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DATA PROCESSING ADDENDUM</w:t>
      </w:r>
    </w:p>
    <w:p>
      <w:pPr>
        <w:jc w:val="center"/>
      </w:pPr>
      <w:r>
        <w:rPr>
          <w:b/>
          <w:sz w:val="20"/>
        </w:rPr>
        <w:t>to MSA-2026-014</w:t>
      </w:r>
    </w:p>
    <w:tbl>
      <w:tblPr>
        <w:tblW w:type="auto" w:w="0"/>
        <w:jc w:val="center"/>
        <w:tblLayout w:type="fixed"/>
        <w:tblLook w:firstColumn="1" w:firstRow="1" w:lastColumn="0" w:lastRow="0" w:noHBand="0" w:noVBand="1" w:val="04A0"/>
      </w:tblPr>
      <w:tblGrid>
        <w:gridCol w:w="2376"/>
        <w:gridCol w:w="8064"/>
      </w:tblGrid>
      <w:tr>
        <w:tc>
          <w:tcPr>
            <w:tcW w:type="dxa" w:w="4968"/>
            <w:shd w:fill="EAF0F7"/>
            <w:tcMar>
              <w:top w:w="80" w:type="dxa"/>
              <w:start w:w="100" w:type="dxa"/>
              <w:bottom w:w="80" w:type="dxa"/>
              <w:end w:w="100" w:type="dxa"/>
            </w:tcMar>
            <w:vAlign w:val="center"/>
          </w:tcPr>
          <w:p>
            <w:pPr>
              <w:spacing w:after="0"/>
            </w:pPr>
            <w:r>
              <w:rPr>
                <w:rFonts w:ascii="Arial" w:hAnsi="Arial"/>
                <w:b/>
                <w:sz w:val="18"/>
              </w:rPr>
              <w:t>Addendum ID</w:t>
            </w:r>
          </w:p>
        </w:tc>
        <w:tc>
          <w:tcPr>
            <w:tcW w:type="dxa" w:w="4968"/>
            <w:tcMar>
              <w:top w:w="80" w:type="dxa"/>
              <w:start w:w="100" w:type="dxa"/>
              <w:bottom w:w="80" w:type="dxa"/>
              <w:end w:w="100" w:type="dxa"/>
            </w:tcMar>
            <w:vAlign w:val="center"/>
          </w:tcPr>
          <w:p>
            <w:pPr>
              <w:spacing w:after="0"/>
            </w:pPr>
            <w:r>
              <w:rPr>
                <w:rFonts w:ascii="Arial" w:hAnsi="Arial"/>
                <w:sz w:val="18"/>
              </w:rPr>
              <w:t>DPA-2026-014-A</w:t>
            </w:r>
          </w:p>
        </w:tc>
      </w:tr>
      <w:tr>
        <w:tc>
          <w:tcPr>
            <w:tcW w:type="dxa" w:w="4968"/>
            <w:shd w:fill="EAF0F7"/>
            <w:tcMar>
              <w:top w:w="80" w:type="dxa"/>
              <w:start w:w="100" w:type="dxa"/>
              <w:bottom w:w="80" w:type="dxa"/>
              <w:end w:w="100" w:type="dxa"/>
            </w:tcMar>
            <w:vAlign w:val="center"/>
          </w:tcPr>
          <w:p>
            <w:pPr>
              <w:spacing w:after="0"/>
            </w:pPr>
            <w:r>
              <w:rPr>
                <w:rFonts w:ascii="Arial" w:hAnsi="Arial"/>
                <w:b/>
                <w:sz w:val="18"/>
              </w:rPr>
              <w:t>Controller / Customer</w:t>
            </w:r>
          </w:p>
        </w:tc>
        <w:tc>
          <w:tcPr>
            <w:tcW w:type="dxa" w:w="4968"/>
            <w:tcMar>
              <w:top w:w="80" w:type="dxa"/>
              <w:start w:w="100" w:type="dxa"/>
              <w:bottom w:w="80" w:type="dxa"/>
              <w:end w:w="100" w:type="dxa"/>
            </w:tcMar>
            <w:vAlign w:val="center"/>
          </w:tcPr>
          <w:p>
            <w:pPr>
              <w:spacing w:after="0"/>
            </w:pPr>
            <w:r>
              <w:rPr>
                <w:rFonts w:ascii="Arial" w:hAnsi="Arial"/>
                <w:sz w:val="18"/>
              </w:rPr>
              <w:t>Northstar Retail Technologies Pvt. Ltd.</w:t>
            </w:r>
          </w:p>
        </w:tc>
      </w:tr>
      <w:tr>
        <w:tc>
          <w:tcPr>
            <w:tcW w:type="dxa" w:w="4968"/>
            <w:shd w:fill="EAF0F7"/>
            <w:tcMar>
              <w:top w:w="80" w:type="dxa"/>
              <w:start w:w="100" w:type="dxa"/>
              <w:bottom w:w="80" w:type="dxa"/>
              <w:end w:w="100" w:type="dxa"/>
            </w:tcMar>
            <w:vAlign w:val="center"/>
          </w:tcPr>
          <w:p>
            <w:pPr>
              <w:spacing w:after="0"/>
            </w:pPr>
            <w:r>
              <w:rPr>
                <w:rFonts w:ascii="Arial" w:hAnsi="Arial"/>
                <w:b/>
                <w:sz w:val="18"/>
              </w:rPr>
              <w:t>Processor / Supplier</w:t>
            </w:r>
          </w:p>
        </w:tc>
        <w:tc>
          <w:tcPr>
            <w:tcW w:type="dxa" w:w="4968"/>
            <w:tcMar>
              <w:top w:w="80" w:type="dxa"/>
              <w:start w:w="100" w:type="dxa"/>
              <w:bottom w:w="80" w:type="dxa"/>
              <w:end w:w="100" w:type="dxa"/>
            </w:tcMar>
            <w:vAlign w:val="center"/>
          </w:tcPr>
          <w:p>
            <w:pPr>
              <w:spacing w:after="0"/>
            </w:pPr>
            <w:r>
              <w:rPr>
                <w:rFonts w:ascii="Arial" w:hAnsi="Arial"/>
                <w:sz w:val="18"/>
              </w:rPr>
              <w:t>AsterPeak Cloud Services Pvt. Ltd.</w:t>
            </w:r>
          </w:p>
        </w:tc>
      </w:tr>
      <w:tr>
        <w:tc>
          <w:tcPr>
            <w:tcW w:type="dxa" w:w="4968"/>
            <w:shd w:fill="EAF0F7"/>
            <w:tcMar>
              <w:top w:w="80" w:type="dxa"/>
              <w:start w:w="100" w:type="dxa"/>
              <w:bottom w:w="80" w:type="dxa"/>
              <w:end w:w="100" w:type="dxa"/>
            </w:tcMar>
            <w:vAlign w:val="center"/>
          </w:tcPr>
          <w:p>
            <w:pPr>
              <w:spacing w:after="0"/>
            </w:pPr>
            <w:r>
              <w:rPr>
                <w:rFonts w:ascii="Arial" w:hAnsi="Arial"/>
                <w:b/>
                <w:sz w:val="18"/>
              </w:rPr>
              <w:t>Effective Date</w:t>
            </w:r>
          </w:p>
        </w:tc>
        <w:tc>
          <w:tcPr>
            <w:tcW w:type="dxa" w:w="4968"/>
            <w:tcMar>
              <w:top w:w="80" w:type="dxa"/>
              <w:start w:w="100" w:type="dxa"/>
              <w:bottom w:w="80" w:type="dxa"/>
              <w:end w:w="100" w:type="dxa"/>
            </w:tcMar>
            <w:vAlign w:val="center"/>
          </w:tcPr>
          <w:p>
            <w:pPr>
              <w:spacing w:after="0"/>
            </w:pPr>
            <w:r>
              <w:rPr>
                <w:rFonts w:ascii="Arial" w:hAnsi="Arial"/>
                <w:sz w:val="18"/>
              </w:rPr>
              <w:t>15 January 2026</w:t>
            </w:r>
          </w:p>
        </w:tc>
      </w:tr>
    </w:tbl>
    <w:p/>
    <w:p>
      <w:pPr>
        <w:spacing w:before="80" w:after="40"/>
      </w:pPr>
      <w:r>
        <w:rPr>
          <w:rFonts w:ascii="Arial" w:hAnsi="Arial"/>
          <w:b/>
          <w:color w:val="1F4E79"/>
          <w:sz w:val="21"/>
        </w:rPr>
        <w:t>1. Purpose</w:t>
      </w:r>
    </w:p>
    <w:p>
      <w:pPr>
        <w:spacing w:after="80"/>
        <w:ind w:left="259"/>
      </w:pPr>
      <w:r>
        <w:t>This Data Processing Addendum governs Supplier’s processing of Personal Data on behalf of Customer in connection with the Services under MSA-2026-014.</w:t>
      </w:r>
    </w:p>
    <w:p>
      <w:pPr>
        <w:spacing w:after="80"/>
        <w:ind w:left="259"/>
      </w:pPr>
      <w:r>
        <w:t>This Addendum does not modify commercial payment terms, pricing, or the limitation of liability in the Agreement.</w:t>
      </w:r>
    </w:p>
    <w:p>
      <w:pPr>
        <w:spacing w:before="80" w:after="40"/>
      </w:pPr>
      <w:r>
        <w:rPr>
          <w:rFonts w:ascii="Arial" w:hAnsi="Arial"/>
          <w:b/>
          <w:color w:val="1F4E79"/>
          <w:sz w:val="21"/>
        </w:rPr>
        <w:t>2. Processing Instructions</w:t>
      </w:r>
    </w:p>
    <w:p>
      <w:pPr>
        <w:spacing w:after="80"/>
        <w:ind w:left="259"/>
      </w:pPr>
      <w:r>
        <w:t>Supplier will process Personal Data only on documented instructions from Customer, including as necessary to provide the Services, unless processing is required by applicable law.</w:t>
      </w:r>
    </w:p>
    <w:p>
      <w:pPr>
        <w:spacing w:after="80"/>
        <w:ind w:left="259"/>
      </w:pPr>
      <w:r>
        <w:t>Supplier will promptly inform Customer if, in Supplier’s reasonable opinion, an instruction infringes applicable data-protection law.</w:t>
      </w:r>
    </w:p>
    <w:p>
      <w:pPr>
        <w:spacing w:before="80" w:after="40"/>
      </w:pPr>
      <w:r>
        <w:rPr>
          <w:rFonts w:ascii="Arial" w:hAnsi="Arial"/>
          <w:b/>
          <w:color w:val="1F4E79"/>
          <w:sz w:val="21"/>
        </w:rPr>
        <w:t>3. Security Measures</w:t>
      </w:r>
    </w:p>
    <w:p>
      <w:pPr>
        <w:spacing w:after="80"/>
        <w:ind w:left="259"/>
      </w:pPr>
      <w:r>
        <w:t>Supplier will maintain access controls, encryption in transit, encryption at rest for production Customer Data, vulnerability management, centralized security logging, and periodic security awareness training.</w:t>
      </w:r>
    </w:p>
    <w:p>
      <w:pPr>
        <w:spacing w:after="80"/>
        <w:ind w:left="259"/>
      </w:pPr>
      <w:r>
        <w:t>Supplier will review privileged access at least quarterly and remove access that is no longer required.</w:t>
      </w:r>
    </w:p>
    <w:p>
      <w:pPr>
        <w:spacing w:before="80" w:after="40"/>
      </w:pPr>
      <w:r>
        <w:rPr>
          <w:rFonts w:ascii="Arial" w:hAnsi="Arial"/>
          <w:b/>
          <w:color w:val="1F4E79"/>
          <w:sz w:val="21"/>
        </w:rPr>
        <w:t>4. Security Incident Notification</w:t>
      </w:r>
    </w:p>
    <w:p>
      <w:pPr>
        <w:spacing w:after="80"/>
        <w:ind w:left="259"/>
      </w:pPr>
      <w:r>
        <w:t>Supplier will notify Customer without undue delay and, in any event, within seventy-two (72) hours after confirming a Security Incident involving Customer Personal Data.</w:t>
      </w:r>
    </w:p>
    <w:p>
      <w:pPr>
        <w:spacing w:after="80"/>
        <w:ind w:left="259"/>
      </w:pPr>
      <w:r>
        <w:t>The notice will include, to the extent known, the nature of the incident, categories of affected data, likely consequences, and mitigation steps taken or proposed.</w:t>
      </w:r>
    </w:p>
    <w:p>
      <w:pPr>
        <w:spacing w:before="80" w:after="40"/>
      </w:pPr>
      <w:r>
        <w:rPr>
          <w:rFonts w:ascii="Arial" w:hAnsi="Arial"/>
          <w:b/>
          <w:color w:val="1F4E79"/>
          <w:sz w:val="21"/>
        </w:rPr>
        <w:t>5. Subprocessors</w:t>
      </w:r>
    </w:p>
    <w:p>
      <w:pPr>
        <w:spacing w:after="80"/>
        <w:ind w:left="259"/>
      </w:pPr>
      <w:r>
        <w:t>Customer grants Supplier general authorization to engage subprocessors listed in Supplier’s then-current subprocessor register, subject to written notice of material changes.</w:t>
      </w:r>
    </w:p>
    <w:p>
      <w:pPr>
        <w:spacing w:after="80"/>
        <w:ind w:left="259"/>
      </w:pPr>
      <w:r>
        <w:t>Supplier remains responsible for its subprocessors’ performance of data-protection obligations to the same extent as if performed by Supplier.</w:t>
      </w:r>
    </w:p>
    <w:p>
      <w:pPr>
        <w:spacing w:before="80" w:after="40"/>
      </w:pPr>
      <w:r>
        <w:rPr>
          <w:rFonts w:ascii="Arial" w:hAnsi="Arial"/>
          <w:b/>
          <w:color w:val="1F4E79"/>
          <w:sz w:val="21"/>
        </w:rPr>
        <w:t>6. Return and Deletion</w:t>
      </w:r>
    </w:p>
    <w:p>
      <w:pPr>
        <w:spacing w:after="80"/>
        <w:ind w:left="259"/>
      </w:pPr>
      <w:r>
        <w:t>Upon termination of the Services and at Customer’s written request, Supplier will return or delete Customer Personal Data, except to the extent retention is required by law or maintained in immutable backup media subject to ordinary retention cycles.</w:t>
      </w:r>
    </w:p>
    <w:p>
      <w:pPr>
        <w:spacing w:before="80" w:after="40"/>
      </w:pPr>
      <w:r>
        <w:rPr>
          <w:rFonts w:ascii="Arial" w:hAnsi="Arial"/>
          <w:b/>
          <w:color w:val="1F4E79"/>
          <w:sz w:val="21"/>
        </w:rPr>
        <w:t>7. Audit Information</w:t>
      </w:r>
    </w:p>
    <w:p>
      <w:pPr>
        <w:spacing w:after="80"/>
        <w:ind w:left="259"/>
      </w:pPr>
      <w:r>
        <w:t>Supplier will make available information reasonably necessary to demonstrate compliance with this Addendum, including relevant independent audit reports, subject to confidentiality obligations.</w:t>
      </w:r>
    </w:p>
    <w:p/>
    <w:p>
      <w:r>
        <w:rPr>
          <w:b/>
        </w:rPr>
        <w:t>ACKNOWLEDGED AND AGREED</w:t>
      </w:r>
    </w:p>
    <w:tbl>
      <w:tblPr>
        <w:tblW w:type="auto" w:w="0"/>
        <w:jc w:val="center"/>
        <w:tblLook w:firstColumn="1" w:firstRow="1" w:lastColumn="0" w:lastRow="0" w:noHBand="0" w:noVBand="1" w:val="04A0"/>
      </w:tblPr>
      <w:tblGrid>
        <w:gridCol w:w="4968"/>
        <w:gridCol w:w="4968"/>
      </w:tblGrid>
      <w:tr>
        <w:tc>
          <w:tcPr>
            <w:tcW w:type="dxa" w:w="4968"/>
            <w:tcMar>
              <w:top w:w="80" w:type="dxa"/>
              <w:start w:w="100" w:type="dxa"/>
              <w:bottom w:w="80" w:type="dxa"/>
              <w:end w:w="100" w:type="dxa"/>
            </w:tcMar>
          </w:tcPr>
          <w:p>
            <w:r>
              <w:t>Northstar Retail Technologies Pvt. Ltd.</w:t>
            </w:r>
          </w:p>
        </w:tc>
        <w:tc>
          <w:tcPr>
            <w:tcW w:type="dxa" w:w="4968"/>
            <w:tcMar>
              <w:top w:w="80" w:type="dxa"/>
              <w:start w:w="100" w:type="dxa"/>
              <w:bottom w:w="80" w:type="dxa"/>
              <w:end w:w="100" w:type="dxa"/>
            </w:tcMar>
          </w:tcPr>
          <w:p>
            <w:r>
              <w:t>AsterPeak Cloud Services Pvt. Ltd.</w:t>
            </w:r>
          </w:p>
        </w:tc>
      </w:tr>
      <w:tr>
        <w:tc>
          <w:tcPr>
            <w:tcW w:type="dxa" w:w="4968"/>
            <w:tcMar>
              <w:top w:w="80" w:type="dxa"/>
              <w:start w:w="100" w:type="dxa"/>
              <w:bottom w:w="80" w:type="dxa"/>
              <w:end w:w="100" w:type="dxa"/>
            </w:tcMar>
          </w:tcPr>
          <w:p>
            <w:r>
              <w:t>Priya Menon, VP Procurement</w:t>
            </w:r>
          </w:p>
        </w:tc>
        <w:tc>
          <w:tcPr>
            <w:tcW w:type="dxa" w:w="4968"/>
            <w:tcMar>
              <w:top w:w="80" w:type="dxa"/>
              <w:start w:w="100" w:type="dxa"/>
              <w:bottom w:w="80" w:type="dxa"/>
              <w:end w:w="100" w:type="dxa"/>
            </w:tcMar>
          </w:tcPr>
          <w:p>
            <w:r>
              <w:t>Arjun Rao, COO</w:t>
            </w:r>
          </w:p>
        </w:tc>
      </w:tr>
      <w:tr>
        <w:tc>
          <w:tcPr>
            <w:tcW w:type="dxa" w:w="4968"/>
            <w:tcMar>
              <w:top w:w="80" w:type="dxa"/>
              <w:start w:w="100" w:type="dxa"/>
              <w:bottom w:w="80" w:type="dxa"/>
              <w:end w:w="100" w:type="dxa"/>
            </w:tcMar>
          </w:tcPr>
          <w:p>
            <w:r>
              <w:t>15 January 2026</w:t>
            </w:r>
          </w:p>
        </w:tc>
        <w:tc>
          <w:tcPr>
            <w:tcW w:type="dxa" w:w="4968"/>
            <w:tcMar>
              <w:top w:w="80" w:type="dxa"/>
              <w:start w:w="100" w:type="dxa"/>
              <w:bottom w:w="80" w:type="dxa"/>
              <w:end w:w="100" w:type="dxa"/>
            </w:tcMar>
          </w:tcPr>
          <w:p>
            <w:r>
              <w:t>15 January 2026</w:t>
            </w:r>
          </w:p>
        </w:tc>
      </w:tr>
    </w:tbl>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4"/>
      </w:rPr>
      <w:t xml:space="preserve">SYNTHETIC DEMO DOCUMENT  •  DPA-2026-014-A  •  </w:t>
    </w:r>
    <w:r>
      <w:rPr>
        <w:rFonts w:ascii="Arial" w:hAnsi="Arial"/>
        <w:color w:val="6E6E6E"/>
        <w:sz w:val="14"/>
      </w:rPr>
      <w:t xml:space="preserve">Page </w:t>
    </w:r>
    <w:r>
      <w:rPr>
        <w:rFonts w:ascii="Arial" w:hAnsi="Arial"/>
        <w:color w:val="6E6E6E"/>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6"/>
      </w:rPr>
      <w:t>NORTHSTAR RETAIL TECHNOLOGIES PVT. LTD.  |  COMMERCIAL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