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color w:val="595959"/>
          <w:sz w:val="20"/>
          <w:szCs w:val="20"/>
        </w:rPr>
        <w:t xml:space="preserve">Google Summer of Code 2026  •  ML4SCI / DeepLense</w:t>
      </w:r>
    </w:p>
    <w:p>
      <w:pPr>
        <w:spacing w:before="80" w:after="100"/>
        <w:jc w:val="center"/>
      </w:pPr>
      <w:r>
        <w:rPr>
          <w:rFonts w:ascii="Arial" w:cs="Arial" w:eastAsia="Arial" w:hAnsi="Arial"/>
          <w:b/>
          <w:bCs/>
          <w:color w:val="1F4E79"/>
          <w:sz w:val="46"/>
          <w:szCs w:val="46"/>
        </w:rPr>
        <w:t xml:space="preserve">Physics-Informed Diffusion Models</w:t>
        <w:br/>
        <w:t xml:space="preserve">for Gravitational Lensing Simulation</w:t>
      </w:r>
    </w:p>
    <w:p>
      <w:pPr>
        <w:spacing w:before="0" w:after="280"/>
        <w:jc w:val="center"/>
      </w:pPr>
      <w:r>
        <w:rPr>
          <w:rFonts w:ascii="Arial" w:cs="Arial" w:eastAsia="Arial" w:hAnsi="Arial"/>
          <w:i/>
          <w:iCs/>
          <w:color w:val="2E5EA3"/>
          <w:sz w:val="24"/>
          <w:szCs w:val="24"/>
        </w:rPr>
        <w:t xml:space="preserve">A Single-Architecture, Controlled-Ablation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0C8D8" w:sz="1"/>
              <w:left w:val="single" w:color="C0C8D8" w:sz="1"/>
              <w:bottom w:val="single" w:color="C0C8D8" w:sz="1"/>
              <w:right w:val="single" w:color="C0C8D8" w:sz="1"/>
            </w:tcBorders>
            <w:shd w:fill="D6E4F7" w:val="clear"/>
            <w:tcMar>
              <w:top w:type="dxa" w:w="70"/>
              <w:left w:type="dxa" w:w="100"/>
              <w:bottom w:type="dxa" w:w="70"/>
              <w:right w:type="dxa" w:w="100"/>
            </w:tcMar>
          </w:tcPr>
          <w:p>
            <w:r>
              <w:rPr>
                <w:rFonts w:ascii="Arial" w:cs="Arial" w:eastAsia="Arial" w:hAnsi="Arial"/>
                <w:b/>
                <w:bCs/>
                <w:i w:val="false"/>
                <w:iCs w:val="false"/>
                <w:color w:val="1F4E79"/>
                <w:sz w:val="20"/>
                <w:szCs w:val="20"/>
              </w:rPr>
              <w:t xml:space="preserve">Applicant</w:t>
            </w:r>
          </w:p>
        </w:tc>
        <w:tc>
          <w:tcPr>
            <w:tcW w:type="dxa" w:w="686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Aditya Singh</w:t>
            </w:r>
          </w:p>
        </w:tc>
      </w:tr>
      <w:tr>
        <w:tc>
          <w:tcPr>
            <w:tcW w:type="dxa" w:w="2500"/>
            <w:tcBorders>
              <w:top w:val="single" w:color="C0C8D8" w:sz="1"/>
              <w:left w:val="single" w:color="C0C8D8" w:sz="1"/>
              <w:bottom w:val="single" w:color="C0C8D8" w:sz="1"/>
              <w:right w:val="single" w:color="C0C8D8" w:sz="1"/>
            </w:tcBorders>
            <w:shd w:fill="D6E4F7" w:val="clear"/>
            <w:tcMar>
              <w:top w:type="dxa" w:w="70"/>
              <w:left w:type="dxa" w:w="100"/>
              <w:bottom w:type="dxa" w:w="70"/>
              <w:right w:type="dxa" w:w="100"/>
            </w:tcMar>
          </w:tcPr>
          <w:p>
            <w:r>
              <w:rPr>
                <w:rFonts w:ascii="Arial" w:cs="Arial" w:eastAsia="Arial" w:hAnsi="Arial"/>
                <w:b/>
                <w:bCs/>
                <w:i w:val="false"/>
                <w:iCs w:val="false"/>
                <w:color w:val="1F4E79"/>
                <w:sz w:val="20"/>
                <w:szCs w:val="20"/>
              </w:rPr>
              <w:t xml:space="preserve">Email</w:t>
            </w:r>
          </w:p>
        </w:tc>
        <w:tc>
          <w:tcPr>
            <w:tcW w:type="dxa" w:w="686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aditya26189@gmail.com</w:t>
            </w:r>
          </w:p>
        </w:tc>
      </w:tr>
      <w:tr>
        <w:tc>
          <w:tcPr>
            <w:tcW w:type="dxa" w:w="2500"/>
            <w:tcBorders>
              <w:top w:val="single" w:color="C0C8D8" w:sz="1"/>
              <w:left w:val="single" w:color="C0C8D8" w:sz="1"/>
              <w:bottom w:val="single" w:color="C0C8D8" w:sz="1"/>
              <w:right w:val="single" w:color="C0C8D8" w:sz="1"/>
            </w:tcBorders>
            <w:shd w:fill="D6E4F7" w:val="clear"/>
            <w:tcMar>
              <w:top w:type="dxa" w:w="70"/>
              <w:left w:type="dxa" w:w="100"/>
              <w:bottom w:type="dxa" w:w="70"/>
              <w:right w:type="dxa" w:w="100"/>
            </w:tcMar>
          </w:tcPr>
          <w:p>
            <w:r>
              <w:rPr>
                <w:rFonts w:ascii="Arial" w:cs="Arial" w:eastAsia="Arial" w:hAnsi="Arial"/>
                <w:b/>
                <w:bCs/>
                <w:i w:val="false"/>
                <w:iCs w:val="false"/>
                <w:color w:val="1F4E79"/>
                <w:sz w:val="20"/>
                <w:szCs w:val="20"/>
              </w:rPr>
              <w:t xml:space="preserve">GitHub</w:t>
            </w:r>
          </w:p>
        </w:tc>
        <w:tc>
          <w:tcPr>
            <w:tcW w:type="dxa" w:w="686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github.com/aditya26189</w:t>
            </w:r>
          </w:p>
        </w:tc>
      </w:tr>
      <w:tr>
        <w:tc>
          <w:tcPr>
            <w:tcW w:type="dxa" w:w="2500"/>
            <w:tcBorders>
              <w:top w:val="single" w:color="C0C8D8" w:sz="1"/>
              <w:left w:val="single" w:color="C0C8D8" w:sz="1"/>
              <w:bottom w:val="single" w:color="C0C8D8" w:sz="1"/>
              <w:right w:val="single" w:color="C0C8D8" w:sz="1"/>
            </w:tcBorders>
            <w:shd w:fill="D6E4F7" w:val="clear"/>
            <w:tcMar>
              <w:top w:type="dxa" w:w="70"/>
              <w:left w:type="dxa" w:w="100"/>
              <w:bottom w:type="dxa" w:w="70"/>
              <w:right w:type="dxa" w:w="100"/>
            </w:tcMar>
          </w:tcPr>
          <w:p>
            <w:r>
              <w:rPr>
                <w:rFonts w:ascii="Arial" w:cs="Arial" w:eastAsia="Arial" w:hAnsi="Arial"/>
                <w:b/>
                <w:bCs/>
                <w:i w:val="false"/>
                <w:iCs w:val="false"/>
                <w:color w:val="1F4E79"/>
                <w:sz w:val="20"/>
                <w:szCs w:val="20"/>
              </w:rPr>
              <w:t xml:space="preserve">University</w:t>
            </w:r>
          </w:p>
        </w:tc>
        <w:tc>
          <w:tcPr>
            <w:tcW w:type="dxa" w:w="686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IIT Kharagpur — Dual Degree, Mechanical Engineering (Engg. Entrepreneurship); Minor: CS&amp;E; Micro-Spec: AI &amp; Applications  |  CGPA 8.33</w:t>
            </w:r>
          </w:p>
        </w:tc>
      </w:tr>
      <w:tr>
        <w:tc>
          <w:tcPr>
            <w:tcW w:type="dxa" w:w="2500"/>
            <w:tcBorders>
              <w:top w:val="single" w:color="C0C8D8" w:sz="1"/>
              <w:left w:val="single" w:color="C0C8D8" w:sz="1"/>
              <w:bottom w:val="single" w:color="C0C8D8" w:sz="1"/>
              <w:right w:val="single" w:color="C0C8D8" w:sz="1"/>
            </w:tcBorders>
            <w:shd w:fill="D6E4F7" w:val="clear"/>
            <w:tcMar>
              <w:top w:type="dxa" w:w="70"/>
              <w:left w:type="dxa" w:w="100"/>
              <w:bottom w:type="dxa" w:w="70"/>
              <w:right w:type="dxa" w:w="100"/>
            </w:tcMar>
          </w:tcPr>
          <w:p>
            <w:r>
              <w:rPr>
                <w:rFonts w:ascii="Arial" w:cs="Arial" w:eastAsia="Arial" w:hAnsi="Arial"/>
                <w:b/>
                <w:bCs/>
                <w:i w:val="false"/>
                <w:iCs w:val="false"/>
                <w:color w:val="1F4E79"/>
                <w:sz w:val="20"/>
                <w:szCs w:val="20"/>
              </w:rPr>
              <w:t xml:space="preserve">Mentors</w:t>
            </w:r>
          </w:p>
        </w:tc>
        <w:tc>
          <w:tcPr>
            <w:tcW w:type="dxa" w:w="686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Michael Toomey (MIT)  •  Pranath Reddy (University of Florida)  •  Sergei Gleyzer (University of Alabama)  •  Hamees Sayed (IIT Madras)</w:t>
            </w:r>
          </w:p>
        </w:tc>
      </w:tr>
      <w:tr>
        <w:tc>
          <w:tcPr>
            <w:tcW w:type="dxa" w:w="2500"/>
            <w:tcBorders>
              <w:top w:val="single" w:color="C0C8D8" w:sz="1"/>
              <w:left w:val="single" w:color="C0C8D8" w:sz="1"/>
              <w:bottom w:val="single" w:color="C0C8D8" w:sz="1"/>
              <w:right w:val="single" w:color="C0C8D8" w:sz="1"/>
            </w:tcBorders>
            <w:shd w:fill="D6E4F7" w:val="clear"/>
            <w:tcMar>
              <w:top w:type="dxa" w:w="70"/>
              <w:left w:type="dxa" w:w="100"/>
              <w:bottom w:type="dxa" w:w="70"/>
              <w:right w:type="dxa" w:w="100"/>
            </w:tcMar>
          </w:tcPr>
          <w:p>
            <w:r>
              <w:rPr>
                <w:rFonts w:ascii="Arial" w:cs="Arial" w:eastAsia="Arial" w:hAnsi="Arial"/>
                <w:b/>
                <w:bCs/>
                <w:i w:val="false"/>
                <w:iCs w:val="false"/>
                <w:color w:val="1F4E79"/>
                <w:sz w:val="20"/>
                <w:szCs w:val="20"/>
              </w:rPr>
              <w:t xml:space="preserve">Project Duration</w:t>
            </w:r>
          </w:p>
        </w:tc>
        <w:tc>
          <w:tcPr>
            <w:tcW w:type="dxa" w:w="686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350 hours  —  Large track (~22 weeks, ~16 hrs/week)</w:t>
            </w:r>
          </w:p>
        </w:tc>
      </w:tr>
      <w:tr>
        <w:tc>
          <w:tcPr>
            <w:tcW w:type="dxa" w:w="2500"/>
            <w:tcBorders>
              <w:top w:val="single" w:color="C0C8D8" w:sz="1"/>
              <w:left w:val="single" w:color="C0C8D8" w:sz="1"/>
              <w:bottom w:val="single" w:color="C0C8D8" w:sz="1"/>
              <w:right w:val="single" w:color="C0C8D8" w:sz="1"/>
            </w:tcBorders>
            <w:shd w:fill="D6E4F7" w:val="clear"/>
            <w:tcMar>
              <w:top w:type="dxa" w:w="70"/>
              <w:left w:type="dxa" w:w="100"/>
              <w:bottom w:type="dxa" w:w="70"/>
              <w:right w:type="dxa" w:w="100"/>
            </w:tcMar>
          </w:tcPr>
          <w:p>
            <w:r>
              <w:rPr>
                <w:rFonts w:ascii="Arial" w:cs="Arial" w:eastAsia="Arial" w:hAnsi="Arial"/>
                <w:b/>
                <w:bCs/>
                <w:i w:val="false"/>
                <w:iCs w:val="false"/>
                <w:color w:val="1F4E79"/>
                <w:sz w:val="20"/>
                <w:szCs w:val="20"/>
              </w:rPr>
              <w:t xml:space="preserve">Difficulty</w:t>
            </w:r>
          </w:p>
        </w:tc>
        <w:tc>
          <w:tcPr>
            <w:tcW w:type="dxa" w:w="686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Advanced</w:t>
            </w:r>
          </w:p>
        </w:tc>
      </w:tr>
    </w:tbl>
    <w:p>
      <w:pPr>
        <w:pBdr>
          <w:bottom w:val="single" w:color="1F4E79" w:sz="6" w:space="1"/>
        </w:pBdr>
        <w:spacing w:before="200" w:after="200"/>
      </w:pPr>
    </w:p>
    <w:p>
      <w:pPr>
        <w:pStyle w:val="Heading1"/>
        <w:pBdr>
          <w:bottom w:val="single" w:color="1F4E79" w:sz="8" w:space="4"/>
        </w:pBdr>
        <w:spacing w:before="380" w:after="120"/>
      </w:pPr>
      <w:r>
        <w:rPr>
          <w:rFonts w:ascii="Arial" w:cs="Arial" w:eastAsia="Arial" w:hAnsi="Arial"/>
          <w:b/>
          <w:bCs/>
          <w:color w:val="1F4E79"/>
          <w:sz w:val="32"/>
          <w:szCs w:val="32"/>
        </w:rPr>
        <w:t xml:space="preserve">Abstract</w:t>
      </w:r>
    </w:p>
    <w:p>
      <w:pPr>
        <w:spacing w:before="80" w:after="80"/>
      </w:pPr>
      <w:r>
        <w:t>Strong gravitational lensing is one of the most powerful probes of dark matter substructure. Current state-of-the-art simulators face challenges: the sim-to-real gap causes classifiers trained on simulated lensed images to fail on real observations (Alexander et al., 2021). FlowLensing (Sayed et al., 2025) achieves up to 200× speedup in batch inference over classical ray-tracing (due to GPU batch parallelism; 13.3× per single sample; Table 1), but encodes no lensing physics into its architecture. Its authors explicitly call for "weaving lensing equations into the model's architecture" as future work. This proposal answers that call. The primary deliverable is a physics-valid generator — a two-stage generative pipeline evaluated strictly by its PSNR and AUC performance against FlowLensing. Sim-to-real gap reduction is treated explicitly as a downstream evaluation and ablation target, rather than the core definition of success. Stage 1 (a flow-matching DiT) generates the convergence map κ(θ) conditioned on dark matter class and physical parameters; Stage 2 applies the gravitational lens equation as a native PyTorch differentiable operator. The 350-hour track enables rigorous sequential execution: the two-stage core (Weeks 1–8) is built and gate-checked before two controlled ablations — E(2)-equivariant backbone and auxiliary physics losses — are evaluated on top of it (Weeks 9–18). Deliverables: a working physics-informed simulator with quantified gains over FlowLensing; a four-row ablation table isolating each mechanism's contribution; and a publicly released diverse lensing dataset.</w:t>
      </w:r>
    </w:p>
    <w:p>
      <w:pPr>
        <w:pBdr>
          <w:bottom w:val="single" w:color="CCCCCC" w:sz="3" w:space="1"/>
        </w:pBdr>
        <w:spacing w:before="200" w:after="200"/>
      </w:pPr>
    </w:p>
    <w:p>
      <w:pPr>
        <w:pStyle w:val="Heading1"/>
        <w:pBdr>
          <w:bottom w:val="single" w:color="1F4E79" w:sz="8" w:space="4"/>
        </w:pBdr>
        <w:spacing w:before="380" w:after="120"/>
      </w:pPr>
      <w:r>
        <w:rPr>
          <w:rFonts w:ascii="Arial" w:cs="Arial" w:eastAsia="Arial" w:hAnsi="Arial"/>
          <w:b/>
          <w:bCs/>
          <w:color w:val="1F4E79"/>
          <w:sz w:val="32"/>
          <w:szCs w:val="32"/>
        </w:rPr>
        <w:t xml:space="preserve">1. Motivation and Scientific Context</w:t>
      </w:r>
    </w:p>
    <w:p>
      <w:pPr>
        <w:pStyle w:val="Heading2"/>
        <w:spacing w:before="260" w:after="100"/>
      </w:pPr>
      <w:r>
        <w:rPr>
          <w:rFonts w:ascii="Arial" w:cs="Arial" w:eastAsia="Arial" w:hAnsi="Arial"/>
          <w:b/>
          <w:bCs/>
          <w:color w:val="2E5EA3"/>
          <w:sz w:val="26"/>
          <w:szCs w:val="26"/>
        </w:rPr>
        <w:t xml:space="preserve">1.1  Strong Gravitational Lensing as a Dark Matter Probe</w:t>
      </w:r>
    </w:p>
    <w:p>
      <w:pPr>
        <w:spacing w:before="80" w:after="80"/>
      </w:pPr>
      <w:r>
        <w:rPr>
          <w:rFonts w:ascii="Arial" w:cs="Arial" w:eastAsia="Arial" w:hAnsi="Arial"/>
          <w:sz w:val="22"/>
          <w:szCs w:val="22"/>
        </w:rPr>
        <w:t xml:space="preserve">Strong gravitational lensing occurs when light from a distant source is bent by an intervening massive object, producing Einstein rings, arcs, and multiple images. The precise morphology of these distortions encodes the projected mass distribution of the lens, including its dark matter substructure. Different dark matter candidates predict qualitatively distinct substructure populations: CDM predicts a rich hierarchy of subhalos [1]; ultralight axion dark matter (m ≈ 10⁻²³ eV) produces vortex-like quantum-pressure-driven defects [1, 13]; and superfluid dark matter models (Berezhiani &amp; Khoury, 2015 [10]) predict exotic vortex substructure arising from dark matter condensation. This phenomenology makes strong lensing an extraordinarily powerful dark matter discriminator — but only at scales that demand fast, high-fidelity simulation.</w:t>
      </w:r>
    </w:p>
    <w:p>
      <w:pPr>
        <w:pStyle w:val="Heading2"/>
        <w:spacing w:before="260" w:after="100"/>
      </w:pPr>
      <w:r>
        <w:rPr>
          <w:rFonts w:ascii="Arial" w:cs="Arial" w:eastAsia="Arial" w:hAnsi="Arial"/>
          <w:b/>
          <w:bCs/>
          <w:color w:val="2E5EA3"/>
          <w:sz w:val="26"/>
          <w:szCs w:val="26"/>
        </w:rPr>
        <w:t xml:space="preserve">1.2  The Simulation Bottleneck and the Sim-to-Real Gap</w:t>
      </w:r>
    </w:p>
    <w:p>
      <w:pPr>
        <w:spacing w:before="80" w:after="80"/>
      </w:pPr>
      <w:r>
        <w:rPr>
          <w:rFonts w:ascii="Arial" w:cs="Arial" w:eastAsia="Arial" w:hAnsi="Arial"/>
          <w:sz w:val="22"/>
          <w:szCs w:val="22"/>
        </w:rPr>
        <w:t>Traditional lensing pipelines (lenstronomy, PyAutoLens) are physically rigorous but prohibitively slow for the scales required by upcoming surveys (Rubin/LSST: tens of thousands of strong lenses [15]). Alexander et al. (2021, arXiv:2112.12121) [3] further demonstrated that classifiers trained on simulated lensing images suffer systematic accuracy loss on real observational data — the sim-to-real domain gap. Sayed et al. (2025, arXiv:2510.07878) [5] addressed the speed bottleneck with FlowLensing, achieving up to 200× speedup in batch inference for intensive dark matter models (13.3× per single sample; FlowLensing Table 1) via a DiT-based flow-matching model. However, FlowLensing is purely data-driven and contains no lensing physics in its architecture. The FlowLensing paper explicitly identifies this as its primary limitation and calls for “weaving lensing equations into the model’s architecture” as future work. This proposal answers that call. This proposal is a direct instance of simulation-based inference [14] applied to dark matter substructure: it advances SBI by hard-coding the forward model as a differentiable operator rather than approximating the simulator from data.</w:t>
      </w:r>
    </w:p>
    <w:p>
      <w:pPr>
        <w:pStyle w:val="Heading2"/>
        <w:spacing w:before="260" w:after="100"/>
      </w:pPr>
      <w:r>
        <w:rPr>
          <w:rFonts w:ascii="Arial" w:cs="Arial" w:eastAsia="Arial" w:hAnsi="Arial"/>
          <w:b/>
          <w:bCs/>
          <w:color w:val="2E5EA3"/>
          <w:sz w:val="26"/>
          <w:szCs w:val="26"/>
        </w:rPr>
        <w:t xml:space="preserve">1.3  Physics-Informed Generative Models: Precedents</w:t>
      </w:r>
    </w:p>
    <w:p>
      <w:pPr>
        <w:spacing w:before="80" w:after="80"/>
      </w:pPr>
      <w:r>
        <w:rPr>
          <w:rFonts w:ascii="Arial" w:cs="Arial" w:eastAsia="Arial" w:hAnsi="Arial"/>
          <w:sz w:val="22"/>
          <w:szCs w:val="22"/>
        </w:rPr>
        <w:t>Physics-informed machine learning has demonstrated that encoding known physical laws as architectural priors produces generators that are not merely statistically realistic but physically consistent. Hoogeboom et al. (2022, arXiv:2203.17003) [6] showed that imposing E(3) equivariance on a diffusion model for molecular generation dramatically improves physical validity. Adam et al. (2022, arXiv:2211.03812) [7] demonstrated score-based generative priors directly in the strong-lensing domain. Both works motivate the central hypothesis of this proposal: structural encoding of lensing physics — not merely statistical fitting to lensing images — will narrow the sim-to-real gap in ways that purely data-driven approaches cannot.</w:t>
      </w:r>
    </w:p>
    <w:p>
      <w:pPr>
        <w:pBdr>
          <w:bottom w:val="single" w:color="CCCCCC" w:sz="3" w:space="1"/>
        </w:pBdr>
        <w:spacing w:before="200" w:after="200"/>
      </w:pPr>
    </w:p>
    <w:p>
      <w:pPr>
        <w:pStyle w:val="Heading1"/>
        <w:pBdr>
          <w:bottom w:val="single" w:color="1F4E79" w:sz="8" w:space="4"/>
        </w:pBdr>
        <w:spacing w:before="380" w:after="120"/>
      </w:pPr>
      <w:r>
        <w:rPr>
          <w:rFonts w:ascii="Arial" w:cs="Arial" w:eastAsia="Arial" w:hAnsi="Arial"/>
          <w:b/>
          <w:bCs/>
          <w:color w:val="1F4E79"/>
          <w:sz w:val="32"/>
          <w:szCs w:val="32"/>
        </w:rPr>
        <w:t xml:space="preserve">2. Technical Approach</w:t>
      </w:r>
    </w:p>
    <w:p>
      <w:pPr>
        <w:spacing w:before="80" w:after="80"/>
      </w:pPr>
      <w:r>
        <w:rPr>
          <w:rFonts w:ascii="Arial" w:cs="Arial" w:eastAsia="Arial" w:hAnsi="Arial"/>
          <w:b/>
          <w:bCs/>
          <w:sz w:val="22"/>
          <w:szCs w:val="22"/>
        </w:rPr>
        <w:t xml:space="preserve">Architecture overview:</w:t>
      </w:r>
      <w:r>
        <w:rPr>
          <w:rFonts w:ascii="Arial" w:cs="Arial" w:eastAsia="Arial" w:hAnsi="Arial"/>
          <w:sz w:val="22"/>
          <w:szCs w:val="22"/>
        </w:rPr>
        <w:t xml:space="preserve">  The project has one core architecture and two ablation extensions, executed sequentially. The core (Strategy 2) is complete and independently publishable. The extensions (Strategies 1 and 3) are controlled experiments that quantify the marginal contribution of each additional physics-encoding mechanism. This is not scope hedging — it is the correct experimental design for an ablation study.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560"/>
      </w:tblGrid>
      <w:tr>
        <w:tc>
          <w:tcPr>
            <w:tcW w:type="dxa" w:w="1400"/>
            <w:tcBorders>
              <w:top w:val="single" w:color="C0C8D8" w:sz="1"/>
              <w:left w:val="single" w:color="C0C8D8" w:sz="1"/>
              <w:bottom w:val="single" w:color="C0C8D8" w:sz="1"/>
              <w:right w:val="single" w:color="C0C8D8"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2200"/>
            <w:tcBorders>
              <w:top w:val="single" w:color="C0C8D8" w:sz="1"/>
              <w:left w:val="single" w:color="C0C8D8" w:sz="1"/>
              <w:bottom w:val="single" w:color="C0C8D8" w:sz="1"/>
              <w:right w:val="single" w:color="C0C8D8"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Name</w:t>
            </w:r>
          </w:p>
        </w:tc>
        <w:tc>
          <w:tcPr>
            <w:tcW w:type="dxa" w:w="3200"/>
            <w:tcBorders>
              <w:top w:val="single" w:color="C0C8D8" w:sz="1"/>
              <w:left w:val="single" w:color="C0C8D8" w:sz="1"/>
              <w:bottom w:val="single" w:color="C0C8D8" w:sz="1"/>
              <w:right w:val="single" w:color="C0C8D8"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What it contributes</w:t>
            </w:r>
          </w:p>
        </w:tc>
        <w:tc>
          <w:tcPr>
            <w:tcW w:type="dxa" w:w="2560"/>
            <w:tcBorders>
              <w:top w:val="single" w:color="C0C8D8" w:sz="1"/>
              <w:left w:val="single" w:color="C0C8D8" w:sz="1"/>
              <w:bottom w:val="single" w:color="C0C8D8" w:sz="1"/>
              <w:right w:val="single" w:color="C0C8D8"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Weeks</w:t>
            </w:r>
          </w:p>
        </w:tc>
      </w:tr>
      <w:tr>
        <w:tc>
          <w:tcPr>
            <w:tcW w:type="dxa" w:w="1400"/>
            <w:tcBorders>
              <w:top w:val="single" w:color="C0C8D8" w:sz="1"/>
              <w:left w:val="single" w:color="C0C8D8" w:sz="1"/>
              <w:bottom w:val="single" w:color="C0C8D8" w:sz="1"/>
              <w:right w:val="single" w:color="C0C8D8" w:sz="1"/>
            </w:tcBorders>
            <w:shd w:fill="2E5EA3"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CORE</w:t>
            </w:r>
          </w:p>
        </w:tc>
        <w:tc>
          <w:tcPr>
            <w:tcW w:type="dxa" w:w="220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bCs/>
                <w:i w:val="false"/>
                <w:iCs w:val="false"/>
                <w:color w:val="000000"/>
                <w:sz w:val="20"/>
                <w:szCs w:val="20"/>
              </w:rPr>
              <w:t xml:space="preserve">Strategy 2: κ-Map Pipeline</w:t>
            </w:r>
          </w:p>
        </w:tc>
        <w:tc>
          <w:tcPr>
            <w:tcW w:type="dxa" w:w="320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Hard-codes the lens equation as a differentiable operator. Every generated image is physically valid by construction.</w:t>
            </w:r>
          </w:p>
        </w:tc>
        <w:tc>
          <w:tcPr>
            <w:tcW w:type="dxa" w:w="2560"/>
            <w:tcBorders>
              <w:top w:val="single" w:color="C0C8D8" w:sz="1"/>
              <w:left w:val="single" w:color="C0C8D8" w:sz="1"/>
              <w:bottom w:val="single" w:color="C0C8D8" w:sz="1"/>
              <w:right w:val="single" w:color="C0C8D8" w:sz="1"/>
            </w:tcBorders>
            <w:shd w:fill="EAF2FB" w:val="clear"/>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1–8</w:t>
            </w:r>
          </w:p>
        </w:tc>
      </w:tr>
      <w:tr>
        <w:tc>
          <w:tcPr>
            <w:tcW w:type="dxa" w:w="1400"/>
            <w:tcBorders>
              <w:top w:val="single" w:color="C0C8D8" w:sz="1"/>
              <w:left w:val="single" w:color="C0C8D8" w:sz="1"/>
              <w:bottom w:val="single" w:color="C0C8D8" w:sz="1"/>
              <w:right w:val="single" w:color="C0C8D8" w:sz="1"/>
            </w:tcBorders>
            <w:shd w:fill="E8F5E9" w:val="clear"/>
            <w:tcMar>
              <w:top w:type="dxa" w:w="70"/>
              <w:left w:type="dxa" w:w="100"/>
              <w:bottom w:type="dxa" w:w="70"/>
              <w:right w:type="dxa" w:w="100"/>
            </w:tcMar>
          </w:tcPr>
          <w:p>
            <w:r>
              <w:rPr>
                <w:rFonts w:ascii="Arial" w:cs="Arial" w:eastAsia="Arial" w:hAnsi="Arial"/>
                <w:b/>
                <w:bCs/>
                <w:i w:val="false"/>
                <w:iCs w:val="false"/>
                <w:color w:val="555555"/>
                <w:sz w:val="20"/>
                <w:szCs w:val="20"/>
              </w:rPr>
              <w:t xml:space="preserve">ABLATION A</w:t>
            </w:r>
          </w:p>
        </w:tc>
        <w:tc>
          <w:tcPr>
            <w:tcW w:type="dxa" w:w="220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Strategy 1: E(2) Equivariance</w:t>
            </w:r>
          </w:p>
        </w:tc>
        <w:tc>
          <w:tcPr>
            <w:tcW w:type="dxa" w:w="320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Tests whether rotational equivariance in the κ-map generator reduces orientation-dependent artefacts and improves power spectrum fidelity.</w:t>
            </w:r>
          </w:p>
        </w:tc>
        <w:tc>
          <w:tcPr>
            <w:tcW w:type="dxa" w:w="2560"/>
            <w:tcBorders>
              <w:top w:val="single" w:color="C0C8D8" w:sz="1"/>
              <w:left w:val="single" w:color="C0C8D8" w:sz="1"/>
              <w:bottom w:val="single" w:color="C0C8D8" w:sz="1"/>
              <w:right w:val="single" w:color="C0C8D8" w:sz="1"/>
            </w:tcBorders>
            <w:shd w:fill="EBF5E9" w:val="clear"/>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9–13</w:t>
            </w:r>
          </w:p>
        </w:tc>
      </w:tr>
      <w:tr>
        <w:tc>
          <w:tcPr>
            <w:tcW w:type="dxa" w:w="1400"/>
            <w:tcBorders>
              <w:top w:val="single" w:color="C0C8D8" w:sz="1"/>
              <w:left w:val="single" w:color="C0C8D8" w:sz="1"/>
              <w:bottom w:val="single" w:color="C0C8D8" w:sz="1"/>
              <w:right w:val="single" w:color="C0C8D8" w:sz="1"/>
            </w:tcBorders>
            <w:shd w:fill="FFF3E0" w:val="clear"/>
            <w:tcMar>
              <w:top w:type="dxa" w:w="70"/>
              <w:left w:type="dxa" w:w="100"/>
              <w:bottom w:type="dxa" w:w="70"/>
              <w:right w:type="dxa" w:w="100"/>
            </w:tcMar>
          </w:tcPr>
          <w:p>
            <w:r>
              <w:rPr>
                <w:rFonts w:ascii="Arial" w:cs="Arial" w:eastAsia="Arial" w:hAnsi="Arial"/>
                <w:b/>
                <w:bCs/>
                <w:i w:val="false"/>
                <w:iCs w:val="false"/>
                <w:color w:val="555555"/>
                <w:sz w:val="20"/>
                <w:szCs w:val="20"/>
              </w:rPr>
              <w:t xml:space="preserve">ABLATION B</w:t>
            </w:r>
          </w:p>
        </w:tc>
        <w:tc>
          <w:tcPr>
            <w:tcW w:type="dxa" w:w="220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Strategy 3: Physics Losses</w:t>
            </w:r>
          </w:p>
        </w:tc>
        <w:tc>
          <w:tcPr>
            <w:tcW w:type="dxa" w:w="320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Tests whether soft constraints (lens-equation residual, mass-positivity, power-spectrum moment matching) improve training data efficiency and generalisation.</w:t>
            </w:r>
          </w:p>
        </w:tc>
        <w:tc>
          <w:tcPr>
            <w:tcW w:type="dxa" w:w="2560"/>
            <w:tcBorders>
              <w:top w:val="single" w:color="C0C8D8" w:sz="1"/>
              <w:left w:val="single" w:color="C0C8D8" w:sz="1"/>
              <w:bottom w:val="single" w:color="C0C8D8" w:sz="1"/>
              <w:right w:val="single" w:color="C0C8D8" w:sz="1"/>
            </w:tcBorders>
            <w:shd w:fill="FFF3E0" w:val="clear"/>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14–18</w:t>
            </w:r>
          </w:p>
        </w:tc>
      </w:tr>
      <w:tr>
        <w:tc>
          <w:tcPr>
            <w:tcW w:type="dxa" w:w="1400"/>
            <w:tcBorders>
              <w:top w:val="single" w:color="C0C8D8" w:sz="1"/>
              <w:left w:val="single" w:color="C0C8D8" w:sz="1"/>
              <w:bottom w:val="single" w:color="C0C8D8" w:sz="1"/>
              <w:right w:val="single" w:color="C0C8D8" w:sz="1"/>
            </w:tcBorders>
            <w:shd w:fill="7B5EA7" w:val="clear"/>
            <w:tcMar>
              <w:top w:type="dxa" w:w="70"/>
              <w:left w:type="dxa" w:w="100"/>
              <w:bottom w:type="dxa" w:w="70"/>
              <w:right w:type="dxa" w:w="100"/>
            </w:tcMar>
          </w:tcPr>
          <w:p>
            <w:r>
              <w:rPr>
                <w:rFonts w:ascii="Arial" w:cs="Arial" w:eastAsia="Arial" w:hAnsi="Arial"/>
                <w:b/>
                <w:bCs/>
                <w:i w:val="false"/>
                <w:iCs w:val="false"/>
                <w:color w:val="FFFFFF"/>
                <w:sz w:val="20"/>
                <w:szCs w:val="20"/>
              </w:rPr>
              <w:t xml:space="preserve">RELEASE</w:t>
            </w:r>
          </w:p>
        </w:tc>
        <w:tc>
          <w:tcPr>
            <w:tcW w:type="dxa" w:w="220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Dataset + Evaluation + Report</w:t>
            </w:r>
          </w:p>
        </w:tc>
        <w:tc>
          <w:tcPr>
            <w:tcW w:type="dxa" w:w="320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Full ablation table, diverse multi-PSF dataset, public release, and final report.</w:t>
            </w:r>
          </w:p>
        </w:tc>
        <w:tc>
          <w:tcPr>
            <w:tcW w:type="dxa" w:w="2560"/>
            <w:tcBorders>
              <w:top w:val="single" w:color="C0C8D8" w:sz="1"/>
              <w:left w:val="single" w:color="C0C8D8" w:sz="1"/>
              <w:bottom w:val="single" w:color="C0C8D8" w:sz="1"/>
              <w:right w:val="single" w:color="C0C8D8" w:sz="1"/>
            </w:tcBorders>
            <w:shd w:fill="F3E5F5" w:val="clear"/>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19–22</w:t>
            </w:r>
          </w:p>
        </w:tc>
      </w:tr>
    </w:tbl>
    <w:p>
      <w:pPr>
        <w:spacing w:before="160" w:after="60"/>
      </w:pPr>
    </w:p>
    <w:p>
      <w:pPr>
        <w:pStyle w:val="Heading2"/>
        <w:spacing w:before="260" w:after="100"/>
      </w:pPr>
      <w:r>
        <w:rPr>
          <w:rFonts w:ascii="Arial" w:cs="Arial" w:eastAsia="Arial" w:hAnsi="Arial"/>
          <w:b/>
          <w:bCs/>
          <w:color w:val="2E5EA3"/>
          <w:sz w:val="26"/>
          <w:szCs w:val="26"/>
        </w:rPr>
        <w:t xml:space="preserve">2.1  Background: Gravitational Lensing Physics</w:t>
      </w:r>
    </w:p>
    <w:p>
      <w:pPr>
        <w:spacing w:before="80" w:after="80"/>
      </w:pPr>
      <w:r>
        <w:rPr>
          <w:rFonts w:ascii="Arial" w:cs="Arial" w:eastAsia="Arial" w:hAnsi="Arial"/>
          <w:sz w:val="22"/>
          <w:szCs w:val="22"/>
        </w:rPr>
        <w:t>The lens equation β = θ − α(θ) relates the true source position β to the observed image position θ via the deflection angle α. The lensing potential ψ(θ) gives rise to two observables: the convergence κ = ½∇²ψ (dimensionless projected surface mass density) and the complex shear γ = γ₁ + iγ₂, where γ₁ = ½(ψ,₁₁ − ψ,₂₂) and γ₂ = ψ,₁₂. The convergence and shear are related through the same lensing potential — a hard physical constraint any valid lensed image must satisfy. The dark matter substructure manifests directly in the convergence map: CDM subhalos appear as compact κ spikes; axion vortices appear as ring-like κ depressions. This makes κ the natural intermediate representation for a physics-informed generator. To resolve the mass-sheet degeneracy — the transformation κ → λκ + (1−λ) produces observationally indistinguishable lensed images for any scalar λ, meaning an unconstrained generator could learn arbitrary κ scales — all lenstronomy-generated κ maps are normalised so that the mean convergence within the Einstein radius θ_E satisfies κ̅(&lt;θ_E) = 1.0 before Stage 1 training. This grounds the κ scale physically and reduces scale ambiguity in the generation target.</w:t>
      </w:r>
    </w:p>
    <w:p>
      <w:pPr>
        <w:pStyle w:val="Heading2"/>
        <w:spacing w:before="260" w:after="100"/>
      </w:pPr>
      <w:r>
        <w:rPr>
          <w:rFonts w:ascii="Arial" w:cs="Arial" w:eastAsia="Arial" w:hAnsi="Arial"/>
          <w:b/>
          <w:bCs/>
          <w:color w:val="2E5EA3"/>
          <w:sz w:val="26"/>
          <w:szCs w:val="26"/>
        </w:rPr>
        <w:t xml:space="preserve">2.2  Baseline: Reproducing FlowLensing</w:t>
      </w:r>
    </w:p>
    <w:p>
      <w:pPr>
        <w:spacing w:before="80" w:after="80"/>
      </w:pPr>
      <w:r>
        <w:t>Before any architectural modifications, I will reproduce the FlowLensing baseline (Sayed et al., 2025) [5] on the three-class DeepLense dataset: no substructure, CDM subhalo, and axion vortex (a single class — axionic dark matter with m ≈ 10⁻²³ eV forming vortex defects). The model is a DiT trained via the Lipman et al. (2022) [8] flow-matching objective, conditioned on discrete class label and continuous parameters: Einstein radius θ_E, source coordinates (x, y), and subhalo mass function slope s. Target metrics to match: PSNR, SSIM, MSE (FlowLensing Table 1), and downstream classification AUC (FlowLensing Table 2). This baseline is the fixed reference point for every ablation in the study. Architecture follows FlowLensing [5] exactly — DiT-B with adaLN conditioning, linear interpolation path, velocity-prediction parameterisation.</w:t>
      </w:r>
    </w:p>
    <w:p>
      <w:pPr>
        <w:pStyle w:val="Heading2"/>
        <w:spacing w:before="260" w:after="100"/>
      </w:pPr>
      <w:r>
        <w:rPr>
          <w:rFonts w:ascii="Arial" w:cs="Arial" w:eastAsia="Arial" w:hAnsi="Arial"/>
          <w:b/>
          <w:bCs/>
          <w:color w:val="2E5EA3"/>
          <w:sz w:val="26"/>
          <w:szCs w:val="26"/>
        </w:rPr>
        <w:t xml:space="preserve">2.3  CORE — Strategy 2: Two-Stage κ-Map Pipeline</w:t>
      </w:r>
    </w:p>
    <w:p>
      <w:pPr>
        <w:spacing w:before="80" w:after="80"/>
      </w:pPr>
      <w:r>
        <w:rPr>
          <w:rFonts w:ascii="Arial" w:cs="Arial" w:eastAsia="Arial" w:hAnsi="Arial"/>
          <w:sz w:val="22"/>
          <w:szCs w:val="22"/>
        </w:rPr>
        <w:t xml:space="preserve">The two-stage pipeline restructures generation so that the learned component operates on physically interpretable intermediate representations and the final image synthesis is governed by the exact lens equation:</w:t>
      </w:r>
    </w:p>
    <w:p>
      <w:pPr>
        <w:pStyle w:val="ListParagraph"/>
        <w:numPr>
          <w:ilvl w:val="0"/>
          <w:numId w:val="2"/>
        </w:numPr>
        <w:spacing w:before="60" w:after="60"/>
      </w:pPr>
      <w:r>
        <w:rPr>
          <w:rFonts w:ascii="Arial" w:cs="Arial" w:eastAsia="Arial" w:hAnsi="Arial"/>
          <w:b/>
          <w:bCs/>
          <w:sz w:val="22"/>
          <w:szCs w:val="22"/>
        </w:rPr>
      </w:r>
      <w:r>
        <w:rPr>
          <w:rFonts w:ascii="Arial" w:cs="Arial" w:eastAsia="Arial" w:hAnsi="Arial"/>
          <w:sz w:val="22"/>
          <w:szCs w:val="22"/>
        </w:rPr>
      </w:r>
      <w:r>
        <w:rPr>
          <w:b/>
        </w:rPr>
      </w:r>
      <w:r>
        <w:rPr>
          <w:b w:val="0"/>
        </w:rPr>
      </w:r>
      <w:r>
        <w:rPr>
          <w:b/>
        </w:rPr>
        <w:t>Stage 1 (learned):</w:t>
      </w:r>
      <w:r>
        <w:rPr>
          <w:b w:val="0"/>
        </w:rPr>
        <w:t xml:space="preserve">  A flow-matching DiT generates the convergence map κ(θ) conditioned on dark matter class label and continuous physical parameters (θ_E, x, y, s). The training set for Stage 1 is a paired dataset of κ maps generated offline from lenstronomy using the same parameter distributions as the original DeepLense dataset. No ray-tracing is performed during Stage 1 training.</w:t>
      </w:r>
    </w:p>
    <w:p>
      <w:pPr>
        <w:pStyle w:val="ListParagraph"/>
        <w:numPr>
          <w:ilvl w:val="0"/>
          <w:numId w:val="2"/>
        </w:numPr>
        <w:spacing w:before="60" w:after="60"/>
      </w:pPr>
      <w:r>
        <w:rPr>
          <w:rFonts w:ascii="Arial" w:cs="Arial" w:eastAsia="Arial" w:hAnsi="Arial"/>
          <w:b/>
          <w:bCs/>
          <w:sz w:val="22"/>
          <w:szCs w:val="22"/>
        </w:rPr>
        <w:t xml:space="preserve">Stage 2 (exact physics):</w:t>
      </w:r>
      <w:r>
        <w:rPr>
          <w:rFonts w:ascii="Arial" w:cs="Arial" w:eastAsia="Arial" w:hAnsi="Arial"/>
          <w:sz w:val="22"/>
          <w:szCs w:val="22"/>
        </w:rPr>
        <w:t xml:space="preserve">  The lens equation is applied as a native PyTorch differentiable operator, mapping κ → lensed image. This is not an external library call; it is a self-contained PyTorch module described in full mathematical detail in Section 2.4 below.</w:t>
      </w:r>
    </w:p>
    <w:p>
      <w:pPr>
        <w:spacing w:before="80" w:after="80"/>
      </w:pPr>
      <w:r>
        <w:rPr>
          <w:rFonts w:ascii="Arial" w:cs="Arial" w:eastAsia="Arial" w:hAnsi="Arial"/>
          <w:sz w:val="22"/>
          <w:szCs w:val="22"/>
        </w:rPr>
        <w:t xml:space="preserve">The consequence of this design: every generated image is a physically valid lensing image by construction — not because the network learned to approximate validity from data, but because the lensing forward model is structurally embedded in the generation process. The learned component (Stage 1) only needs to model the distribution of physically plausible κ maps; physical correctness is handled by Stage 2.</w:t>
      </w:r>
    </w:p>
    <w:p>
      <w:pPr>
        <w:spacing w:before="80" w:after="80"/>
      </w:pPr>
      <w:r>
        <w:rPr>
          <w:rFonts w:ascii="Arial" w:cs="Arial" w:eastAsia="Arial" w:hAnsi="Arial"/>
          <w:b/>
          <w:bCs/>
          <w:i/>
          <w:iCs/>
          <w:sz w:val="22"/>
          <w:szCs w:val="22"/>
        </w:rPr>
        <w:t>Risk mitigation: The DeepLense dataset provides lensed images, not κ maps. Stage 1 will be trained on κ maps re-simulated from the existing parameter distributions using lenstronomy (Week 5). Since all parameters (θ_E, x, y, s) are stored in the dataset metadata, this re-simulation is deterministic and requires no new physical assumptions. Lenstronomy’s Python API provides this functionality directly via its LensModel.kappa() method. The initial training set of 10,000 κ maps per class (30,000 total) is smaller than the 89,104-image DeepLense lensed-image dataset, but this is justified: κ maps are structurally simpler targets than full lensed images — they contain no observational noise, no PSF convolution, and no source-lens light superposition — requiring fewer training samples to achieve equivalent distribution coverage. If Stage 1 validation PSNR on held-out κ maps does not converge by epoch 100, the dataset will be expanded to 30,000 images per class using the same lenstronomy pipeline, which takes approximately 6 hours of additional compute on a single T4 GPU.</w:t>
      </w:r>
      <w:r>
        <w:rPr>
          <w:rFonts w:ascii="Arial" w:cs="Arial" w:eastAsia="Arial" w:hAnsi="Arial"/>
          <w:i/>
          <w:iCs/>
          <w:sz w:val="22"/>
          <w:szCs w:val="22"/>
        </w:rPr>
      </w:r>
    </w:p>
    <w:p>
      <w:pPr>
        <w:pStyle w:val="Heading2"/>
        <w:spacing w:before="260" w:after="100"/>
      </w:pPr>
      <w:r>
        <w:rPr>
          <w:rFonts w:ascii="Arial" w:cs="Arial" w:eastAsia="Arial" w:hAnsi="Arial"/>
          <w:b/>
          <w:bCs/>
          <w:color w:val="2E5EA3"/>
          <w:sz w:val="26"/>
          <w:szCs w:val="26"/>
        </w:rPr>
        <w:t xml:space="preserve">2.4  Stage 2: Native PyTorch Differentiable Ray-Tracing</w:t>
      </w:r>
    </w:p>
    <w:p>
      <w:pPr>
        <w:spacing w:before="80" w:after="80"/>
      </w:pPr>
      <w:r>
        <w:rPr>
          <w:rFonts w:ascii="Arial" w:cs="Arial" w:eastAsia="Arial" w:hAnsi="Arial"/>
          <w:sz w:val="22"/>
          <w:szCs w:val="22"/>
        </w:rPr>
        <w:t xml:space="preserve">The central technical contribution of Stage 2 is a differentiable implementation of the gravitational lens equation using only native PyTorch autograd primitives. I explicitly reject the use of JAX-based external libraries (e.g., Caustics) because bridging a PyTorch training loop with a JAX computational graph introduces severe cross-framework latency, prevents unified gradient flow for end-to-end fine-tuning, and creates an undebuggable dependency boundary. The following implementation is fully self-contained.</w:t>
      </w:r>
    </w:p>
    <w:p>
      <w:pPr>
        <w:spacing w:before="180" w:after="60"/>
      </w:pPr>
      <w:r>
        <w:rPr>
          <w:rFonts w:ascii="Arial" w:cs="Arial" w:eastAsia="Arial" w:hAnsi="Arial"/>
          <w:b/>
          <w:bCs/>
          <w:color w:val="2E4057"/>
          <w:sz w:val="22"/>
          <w:szCs w:val="22"/>
        </w:rPr>
        <w:t xml:space="preserve">Deflection Field Computation via 2D FFT</w:t>
      </w:r>
    </w:p>
    <w:p>
      <w:pPr>
        <w:spacing w:before="80" w:after="80"/>
      </w:pPr>
      <w:r>
        <w:rPr>
          <w:rFonts w:ascii="Arial" w:cs="Arial" w:eastAsia="Arial" w:hAnsi="Arial"/>
          <w:sz w:val="22"/>
          <w:szCs w:val="22"/>
        </w:rPr>
        <w:t xml:space="preserve">Given the convergence map κ(θ) output by Stage 1, the deflection angle field α(θ) is given by the convolution of κ with the lensing Green’s function:</w:t>
      </w:r>
    </w:p>
    <w:p>
      <w:pPr>
        <w:spacing w:before="80" w:after="80"/>
      </w:pPr>
      <w:r>
        <w:rPr>
          <w:rFonts w:ascii="Arial" w:cs="Arial" w:eastAsia="Arial" w:hAnsi="Arial"/>
          <w:i/>
          <w:iCs/>
          <w:sz w:val="22"/>
          <w:szCs w:val="22"/>
        </w:rPr>
        <w:t xml:space="preserve">        α(θ) = (1/π) ∫ κ(θ’) × (θ − θ’) / |θ − θ’|²  d²θ’</w:t>
      </w:r>
    </w:p>
    <w:p>
      <w:pPr>
        <w:spacing w:before="80" w:after="80"/>
      </w:pPr>
      <w:r>
        <w:rPr>
          <w:rFonts w:ascii="Arial" w:cs="Arial" w:eastAsia="Arial" w:hAnsi="Arial"/>
          <w:sz w:val="22"/>
          <w:szCs w:val="22"/>
        </w:rPr>
        <w:t xml:space="preserve">Computing this directly via spatial convolution is O(N⁴) for an N×N grid — computationally prohibitive. Instead, applying the Convolution Theorem, this reduces to pointwise multiplication in Fourier space:</w:t>
      </w:r>
    </w:p>
    <w:p>
      <w:pPr>
        <w:spacing w:before="80" w:after="80"/>
      </w:pPr>
      <w:r>
        <w:rPr>
          <w:rFonts w:ascii="Arial" w:cs="Arial" w:eastAsia="Arial" w:hAnsi="Arial"/>
          <w:i/>
          <w:iCs/>
          <w:sz w:val="22"/>
          <w:szCs w:val="22"/>
        </w:rPr>
        <w:t xml:space="preserve">        α = ᴼ⁻¹ ( ᴼ(κ) · ᴼ(K) )</w:t>
      </w:r>
    </w:p>
    <w:p>
      <w:pPr>
        <w:spacing w:before="80" w:after="80"/>
      </w:pPr>
      <w:r>
        <w:rPr>
          <w:rFonts w:ascii="Arial" w:cs="Arial" w:eastAsia="Arial" w:hAnsi="Arial"/>
          <w:sz w:val="22"/>
          <w:szCs w:val="22"/>
        </w:rPr>
        <w:t xml:space="preserve">where K is the pre-computed Fourier transform of the Green’s function kernel. In components, for the x-deflection: K_x(l) = i · l_x / |l|² where l is the 2D frequency vector (the y-component is analogous). This reduces computational cost to O(N² log N) and, critically, torch.fft.rfft2 and torch.fft.irfft2 are fully differentiable with respect to the input κ — gradients flow through the FFT. To prevent circular convolution artefacts arising from the FFT’s implicit periodicity assumption — which would cause mass near one image edge to spuriously deflect rays near the opposite edge, poisoning the autograd backward pass — the κ map is zero-padded to 2N × 2N before applying the Green’s function kernel, then cropped back to N × N post-convolution. The padded region represents physically empty space (zero convergence), ensuring the convolution is aperiodic over the actual image domain. The VRAM cost of this padding is negligible: the 2N × 2N intermediate tensors are freed immediately after irfft2, adding under 0.1 GB at 150 × 150 resolution.</w:t>
      </w:r>
    </w:p>
    <w:p>
      <w:pPr>
        <w:spacing w:before="80" w:after="80"/>
      </w:pPr>
      <w:r>
        <w:rPr>
          <w:rFonts w:ascii="Arial" w:cs="Arial" w:eastAsia="Arial" w:hAnsi="Arial"/>
          <w:sz w:val="22"/>
          <w:szCs w:val="22"/>
        </w:rPr>
        <w:t xml:space="preserve">The PyTorch implementation:</w:t>
      </w:r>
    </w:p>
    <w:p>
      <w:pPr>
        <w:spacing w:before="40" w:after="40"/>
        <w:ind w:left="720"/>
      </w:pPr>
      <w:r>
        <w:rPr>
          <w:rFonts w:ascii="Courier New" w:cs="Courier New" w:eastAsia="Courier New" w:hAnsi="Courier New"/>
          <w:color w:val="1A1A2E"/>
          <w:sz w:val="18"/>
          <w:szCs w:val="18"/>
        </w:rPr>
        <w:t xml:space="preserve">def kappa_to_deflection(kappa: torch.Tensor) -&gt; tuple[torch.Tensor, torch.Tensor]:</w:t>
      </w:r>
    </w:p>
    <w:p>
      <w:pPr>
        <w:spacing w:before="40" w:after="40"/>
        <w:ind w:left="720"/>
      </w:pPr>
      <w:r>
        <w:rPr>
          <w:rFonts w:ascii="Courier New" w:cs="Courier New" w:eastAsia="Courier New" w:hAnsi="Courier New"/>
          <w:color w:val="1A1A2E"/>
          <w:sz w:val="18"/>
          <w:szCs w:val="18"/>
        </w:rPr>
        <w:t xml:space="preserve">    # kappa: [B, 1, H, W], normalised convergence map from Stage 1</w:t>
      </w:r>
    </w:p>
    <w:p>
      <w:pPr>
        <w:spacing w:before="40" w:after="40"/>
        <w:ind w:left="720"/>
      </w:pPr>
      <w:r>
        <w:rPr>
          <w:rFonts w:ascii="Courier New" w:cs="Courier New" w:eastAsia="Courier New" w:hAnsi="Courier New"/>
          <w:color w:val="1A1A2E"/>
          <w:sz w:val="18"/>
          <w:szCs w:val="18"/>
        </w:rPr>
        <w:t xml:space="preserve">    B, _, H, W = kappa.shape</w:t>
      </w:r>
    </w:p>
    <w:p>
      <w:pPr>
        <w:spacing w:before="40" w:after="40"/>
        <w:ind w:left="720"/>
      </w:pPr>
      <w:r>
        <w:rPr>
          <w:rFonts w:ascii="Courier New" w:cs="Courier New" w:eastAsia="Courier New" w:hAnsi="Courier New"/>
          <w:color w:val="1A1A2E"/>
          <w:sz w:val="18"/>
          <w:szCs w:val="18"/>
        </w:rPr>
        <w:t xml:space="preserve">    lx = torch.fft.fftfreq(W, d=1.0/W, device=kappa.device)  # [W]</w:t>
      </w:r>
    </w:p>
    <w:p>
      <w:pPr>
        <w:spacing w:before="40" w:after="40"/>
        <w:ind w:left="720"/>
      </w:pPr>
      <w:r>
        <w:rPr>
          <w:rFonts w:ascii="Courier New" w:cs="Courier New" w:eastAsia="Courier New" w:hAnsi="Courier New"/>
          <w:color w:val="1A1A2E"/>
          <w:sz w:val="18"/>
          <w:szCs w:val="18"/>
        </w:rPr>
        <w:t xml:space="preserve">    ly = torch.fft.fftfreq(H, d=1.0/H, device=kappa.device)  # [H]</w:t>
      </w:r>
    </w:p>
    <w:p>
      <w:pPr>
        <w:spacing w:before="40" w:after="40"/>
        <w:ind w:left="720"/>
      </w:pPr>
      <w:r>
        <w:rPr>
          <w:rFonts w:ascii="Courier New" w:cs="Courier New" w:eastAsia="Courier New" w:hAnsi="Courier New"/>
          <w:color w:val="1A1A2E"/>
          <w:sz w:val="18"/>
          <w:szCs w:val="18"/>
        </w:rPr>
        <w:t xml:space="preserve">    Ly, Lx = torch.meshgrid(ly, lx, indexing='ij')            # [H, W]</w:t>
      </w:r>
    </w:p>
    <w:p>
      <w:pPr>
        <w:spacing w:before="40" w:after="40"/>
        <w:ind w:left="720"/>
      </w:pPr>
      <w:r>
        <w:rPr>
          <w:rFonts w:ascii="Courier New" w:cs="Courier New" w:eastAsia="Courier New" w:hAnsi="Courier New"/>
          <w:color w:val="1A1A2E"/>
          <w:sz w:val="18"/>
          <w:szCs w:val="18"/>
        </w:rPr>
        <w:t xml:space="preserve">    L2 = Lx**2 + Ly**2</w:t>
      </w:r>
    </w:p>
    <w:p>
      <w:pPr>
        <w:spacing w:before="40" w:after="40"/>
        <w:ind w:left="720"/>
      </w:pPr>
      <w:r>
        <w:rPr>
          <w:rFonts w:ascii="Courier New" w:cs="Courier New" w:eastAsia="Courier New" w:hAnsi="Courier New"/>
          <w:color w:val="1A1A2E"/>
          <w:sz w:val="18"/>
          <w:szCs w:val="18"/>
        </w:rPr>
        <w:t xml:space="preserve">    L2[0, 0] = 1.0  # avoid divide-by-zero at DC component</w:t>
      </w:r>
    </w:p>
    <w:p>
      <w:pPr>
        <w:spacing w:before="40" w:after="40"/>
        <w:ind w:left="720"/>
      </w:pPr>
      <w:r>
        <w:rPr>
          <w:rFonts w:ascii="Courier New" w:cs="Courier New" w:eastAsia="Courier New" w:hAnsi="Courier New"/>
          <w:color w:val="1A1A2E"/>
          <w:sz w:val="18"/>
          <w:szCs w:val="18"/>
        </w:rPr>
        <w:t xml:space="preserve">    # Zero-pad to 2N x 2N to prevent circular convolution artefacts</w:t>
      </w:r>
    </w:p>
    <w:p>
      <w:pPr>
        <w:spacing w:before="40" w:after="40"/>
        <w:ind w:left="720"/>
      </w:pPr>
      <w:r>
        <w:rPr>
          <w:rFonts w:ascii="Courier New" w:cs="Courier New" w:eastAsia="Courier New" w:hAnsi="Courier New"/>
          <w:color w:val="1A1A2E"/>
          <w:sz w:val="18"/>
          <w:szCs w:val="18"/>
        </w:rPr>
        <w:t xml:space="preserve">    H2, W2 = 2 * H, 2 * W</w:t>
      </w:r>
    </w:p>
    <w:p>
      <w:pPr>
        <w:spacing w:before="40" w:after="40"/>
        <w:ind w:left="720"/>
      </w:pPr>
      <w:r>
        <w:rPr>
          <w:rFonts w:ascii="Courier New" w:cs="Courier New" w:eastAsia="Courier New" w:hAnsi="Courier New"/>
          <w:color w:val="1A1A2E"/>
          <w:sz w:val="18"/>
          <w:szCs w:val="18"/>
        </w:rPr>
        <w:t xml:space="preserve">    kappa_pad = F.pad(kappa.squeeze(1), (0, W, 0, H))         # [B, 2H, 2W]</w:t>
      </w:r>
    </w:p>
    <w:p>
      <w:pPr>
        <w:spacing w:before="40" w:after="40"/>
        <w:ind w:left="720"/>
      </w:pPr>
      <w:r>
        <w:rPr>
          <w:rFonts w:ascii="Courier New" w:cs="Courier New" w:eastAsia="Courier New" w:hAnsi="Courier New"/>
          <w:color w:val="1A1A2E"/>
          <w:sz w:val="18"/>
          <w:szCs w:val="18"/>
        </w:rPr>
        <w:t xml:space="preserve">    # Recompute freq grids on padded dimensions</w:t>
      </w:r>
    </w:p>
    <w:p>
      <w:pPr>
        <w:spacing w:before="40" w:after="40"/>
        <w:ind w:left="720"/>
      </w:pPr>
      <w:r>
        <w:rPr>
          <w:rFonts w:ascii="Courier New" w:cs="Courier New" w:eastAsia="Courier New" w:hAnsi="Courier New"/>
          <w:color w:val="1A1A2E"/>
          <w:sz w:val="18"/>
          <w:szCs w:val="18"/>
        </w:rPr>
        <w:t xml:space="preserve">    lx2 = torch.fft.fftfreq(W2, d=1.0/W2, device=kappa.device)</w:t>
      </w:r>
    </w:p>
    <w:p>
      <w:pPr>
        <w:spacing w:before="40" w:after="40"/>
        <w:ind w:left="720"/>
      </w:pPr>
      <w:r>
        <w:rPr>
          <w:rFonts w:ascii="Courier New" w:cs="Courier New" w:eastAsia="Courier New" w:hAnsi="Courier New"/>
          <w:color w:val="1A1A2E"/>
          <w:sz w:val="18"/>
          <w:szCs w:val="18"/>
        </w:rPr>
        <w:t xml:space="preserve">    ly2 = torch.fft.fftfreq(H2, d=1.0/H2, device=kappa.device)</w:t>
      </w:r>
    </w:p>
    <w:p>
      <w:pPr>
        <w:spacing w:before="40" w:after="40"/>
        <w:ind w:left="720"/>
      </w:pPr>
      <w:r>
        <w:rPr>
          <w:rFonts w:ascii="Courier New" w:cs="Courier New" w:eastAsia="Courier New" w:hAnsi="Courier New"/>
          <w:color w:val="1A1A2E"/>
          <w:sz w:val="18"/>
          <w:szCs w:val="18"/>
        </w:rPr>
        <w:t xml:space="preserve">    Ly2, Lx2 = torch.meshgrid(ly2, lx2, indexing='ij')        # [2H, 2W]</w:t>
      </w:r>
    </w:p>
    <w:p>
      <w:pPr>
        <w:spacing w:before="40" w:after="40"/>
        <w:ind w:left="720"/>
      </w:pPr>
      <w:r>
        <w:rPr>
          <w:rFonts w:ascii="Courier New" w:cs="Courier New" w:eastAsia="Courier New" w:hAnsi="Courier New"/>
          <w:color w:val="1A1A2E"/>
          <w:sz w:val="18"/>
          <w:szCs w:val="18"/>
        </w:rPr>
        <w:t xml:space="preserve">    L2p = Lx2**2 + Ly2**2;  L2p[0, 0] = 1.0</w:t>
      </w:r>
    </w:p>
    <w:p>
      <w:pPr>
        <w:spacing w:before="40" w:after="40"/>
        <w:ind w:left="720"/>
      </w:pPr>
      <w:r>
        <w:rPr>
          <w:rFonts w:ascii="Courier New" w:cs="Courier New" w:eastAsia="Courier New" w:hAnsi="Courier New"/>
          <w:color w:val="1A1A2E"/>
          <w:sz w:val="18"/>
          <w:szCs w:val="18"/>
        </w:rPr>
        <w:t xml:space="preserve">    kappa_f = torch.fft.rfft2(kappa_pad, s=(H2, W2))          # [B, 2H, W+1]</w:t>
      </w:r>
    </w:p>
    <w:p>
      <w:pPr>
        <w:spacing w:before="40" w:after="40"/>
        <w:ind w:left="720"/>
      </w:pPr>
      <w:r>
        <w:rPr>
          <w:rFonts w:ascii="Courier New" w:cs="Courier New" w:eastAsia="Courier New" w:hAnsi="Courier New"/>
          <w:color w:val="1A1A2E"/>
          <w:sz w:val="18"/>
          <w:szCs w:val="18"/>
        </w:rPr>
        <w:t xml:space="preserve">    Gx = 1j * Lx2[..., :W2//2+1] / L2p[..., :W2//2+1]</w:t>
      </w:r>
    </w:p>
    <w:p>
      <w:pPr>
        <w:spacing w:before="40" w:after="40"/>
        <w:ind w:left="720"/>
      </w:pPr>
      <w:r>
        <w:rPr>
          <w:rFonts w:ascii="Courier New" w:cs="Courier New" w:eastAsia="Courier New" w:hAnsi="Courier New"/>
          <w:color w:val="1A1A2E"/>
          <w:sz w:val="18"/>
          <w:szCs w:val="18"/>
        </w:rPr>
        <w:t xml:space="preserve">    Gy = 1j * Ly2[..., :W2//2+1] / L2p[..., :W2//2+1]</w:t>
      </w:r>
    </w:p>
    <w:p>
      <w:pPr>
        <w:spacing w:before="40" w:after="40"/>
        <w:ind w:left="720"/>
      </w:pPr>
      <w:r>
        <w:rPr>
          <w:rFonts w:ascii="Courier New" w:cs="Courier New" w:eastAsia="Courier New" w:hAnsi="Courier New"/>
          <w:color w:val="1A1A2E"/>
          <w:sz w:val="18"/>
          <w:szCs w:val="18"/>
        </w:rPr>
        <w:t xml:space="preserve">    # irfft2, then crop back to N x N — padded region discarded</w:t>
      </w:r>
    </w:p>
    <w:p>
      <w:pPr>
        <w:spacing w:before="40" w:after="40"/>
        <w:ind w:left="720"/>
      </w:pPr>
      <w:r>
        <w:rPr>
          <w:rFonts w:ascii="Courier New" w:cs="Courier New" w:eastAsia="Courier New" w:hAnsi="Courier New"/>
          <w:color w:val="1A1A2E"/>
          <w:sz w:val="18"/>
          <w:szCs w:val="18"/>
        </w:rPr>
        <w:t xml:space="preserve">    alpha_x = torch.fft.irfft2(kappa_f*Gx, s=(H2,W2))[:, :H, :W]  # [B,H,W]</w:t>
      </w:r>
    </w:p>
    <w:p>
      <w:pPr>
        <w:spacing w:before="40" w:after="40"/>
        <w:ind w:left="720"/>
      </w:pPr>
      <w:r>
        <w:rPr>
          <w:rFonts w:ascii="Courier New" w:cs="Courier New" w:eastAsia="Courier New" w:hAnsi="Courier New"/>
          <w:color w:val="1A1A2E"/>
          <w:sz w:val="18"/>
          <w:szCs w:val="18"/>
        </w:rPr>
        <w:t xml:space="preserve">    alpha_y = torch.fft.irfft2(kappa_f*Gy, s=(H2,W2))[:, :H, :W]  # [B,H,W]</w:t>
      </w:r>
    </w:p>
    <w:p>
      <w:pPr>
        <w:spacing w:before="40" w:after="60"/>
        <w:ind w:left="720"/>
      </w:pPr>
      <w:r>
        <w:rPr>
          <w:rFonts w:ascii="Courier New" w:cs="Courier New" w:eastAsia="Courier New" w:hAnsi="Courier New"/>
          <w:color w:val="1A1A2E"/>
          <w:sz w:val="18"/>
          <w:szCs w:val="18"/>
        </w:rPr>
        <w:t xml:space="preserve">    # Normalize from pixel-unit deflection to [-1, 1] coordinate system</w:t>
        <w:br/>
        <w:t># required by F.grid_sample. Without this, deflections are ~W/2-fold</w:t>
        <w:br/>
        <w:t># too large and grid_sample returns zeros for all out-of-range coords.</w:t>
        <w:br/>
        <w:t>alpha_x = alpha_x * (2.0 / W)</w:t>
        <w:br/>
        <w:t>alpha_y = alpha_y * (2.0 / H)</w:t>
        <w:br/>
        <w:t>return alpha_x.unsqueeze(1), alpha_y.unsqueeze(1)</w:t>
      </w:r>
    </w:p>
    <w:p>
      <w:pPr>
        <w:spacing w:before="60" w:after="60"/>
      </w:pPr>
    </w:p>
    <w:p>
      <w:pPr>
        <w:spacing w:before="80" w:after="80"/>
      </w:pPr>
      <w:r/>
      <w:r>
        <w:t>The factors 2/W and 2/H convert the FFT-domain deflection from pixel-unit coordinates to the [-1, 1] normalized image-plane system expected by F.grid_sample; without this conversion, deflection magnitudes exceed the grid range by a factor of W/2 and the output image is blank. This function is O(N² log N), runs entirely in PyTorch autograd, and adds an estimated ~45 ms of GPU time per batch on a T4 GPU for 150×150 images (to be measured in Week 4)</w:t>
      </w:r>
    </w:p>
    <w:p>
      <w:pPr>
        <w:spacing w:before="180" w:after="60"/>
      </w:pPr>
      <w:r>
        <w:rPr>
          <w:rFonts w:ascii="Arial" w:cs="Arial" w:eastAsia="Arial" w:hAnsi="Arial"/>
          <w:b/>
          <w:bCs/>
          <w:color w:val="2E4057"/>
          <w:sz w:val="22"/>
          <w:szCs w:val="22"/>
        </w:rPr>
        <w:t xml:space="preserve">Lens Equation and Source Plane Sampling</w:t>
      </w:r>
    </w:p>
    <w:p>
      <w:pPr>
        <w:spacing w:before="80" w:after="80"/>
      </w:pPr>
      <w:r>
        <w:rPr>
          <w:rFonts w:ascii="Arial" w:cs="Arial" w:eastAsia="Arial" w:hAnsi="Arial"/>
          <w:sz w:val="22"/>
          <w:szCs w:val="22"/>
        </w:rPr>
        <w:t xml:space="preserve">Once the deflection field is computed, the lens equation maps image plane coordinates θ to source plane coordinates β:</w:t>
      </w:r>
    </w:p>
    <w:p>
      <w:pPr>
        <w:spacing w:before="80" w:after="80"/>
      </w:pPr>
      <w:r>
        <w:rPr>
          <w:rFonts w:ascii="Arial" w:cs="Arial" w:eastAsia="Arial" w:hAnsi="Arial"/>
          <w:i/>
          <w:iCs/>
          <w:sz w:val="22"/>
          <w:szCs w:val="22"/>
        </w:rPr>
        <w:t xml:space="preserve">        β = θ − α(θ)</w:t>
      </w:r>
    </w:p>
    <w:p>
      <w:pPr>
        <w:spacing w:before="80" w:after="80"/>
      </w:pPr>
      <w:r>
        <w:rPr>
          <w:rFonts w:ascii="Arial" w:cs="Arial" w:eastAsia="Arial" w:hAnsi="Arial"/>
          <w:sz w:val="22"/>
          <w:szCs w:val="22"/>
        </w:rPr>
        <w:t xml:space="preserve">The lensed image is then constructed by evaluating the source surface brightness I_s at the mapped coordinates:</w:t>
      </w:r>
    </w:p>
    <w:p>
      <w:pPr>
        <w:spacing w:before="80" w:after="80"/>
      </w:pPr>
      <w:r>
        <w:rPr>
          <w:rFonts w:ascii="Arial" w:cs="Arial" w:eastAsia="Arial" w:hAnsi="Arial"/>
          <w:i/>
          <w:iCs/>
          <w:sz w:val="22"/>
          <w:szCs w:val="22"/>
        </w:rPr>
        <w:t xml:space="preserve">        I_obs(θ) = I_s(β(θ))</w:t>
      </w:r>
    </w:p>
    <w:p>
      <w:pPr>
        <w:spacing w:before="80" w:after="80"/>
      </w:pPr>
      <w:r>
        <w:rPr>
          <w:rFonts w:ascii="Arial" w:cs="Arial" w:eastAsia="Arial" w:hAnsi="Arial"/>
          <w:sz w:val="22"/>
          <w:szCs w:val="22"/>
        </w:rPr>
        <w:t xml:space="preserve">In PyTorch:</w:t>
      </w:r>
    </w:p>
    <w:p>
      <w:pPr>
        <w:spacing w:before="40" w:after="40"/>
        <w:ind w:left="720"/>
      </w:pPr>
      <w:r>
        <w:rPr>
          <w:rFonts w:ascii="Courier New" w:cs="Courier New" w:eastAsia="Courier New" w:hAnsi="Courier New"/>
          <w:color w:val="1A1A2E"/>
          <w:sz w:val="18"/>
          <w:szCs w:val="18"/>
        </w:rPr>
        <w:t xml:space="preserve">def apply_lens_equation(source: torch.Tensor,</w:t>
      </w:r>
    </w:p>
    <w:p>
      <w:pPr>
        <w:spacing w:before="40" w:after="40"/>
        <w:ind w:left="720"/>
      </w:pPr>
      <w:r>
        <w:rPr>
          <w:rFonts w:ascii="Courier New" w:cs="Courier New" w:eastAsia="Courier New" w:hAnsi="Courier New"/>
          <w:color w:val="1A1A2E"/>
          <w:sz w:val="18"/>
          <w:szCs w:val="18"/>
        </w:rPr>
        <w:t xml:space="preserve">                        alpha_x: torch.Tensor,</w:t>
      </w:r>
    </w:p>
    <w:p>
      <w:pPr>
        <w:spacing w:before="40" w:after="40"/>
        <w:ind w:left="720"/>
      </w:pPr>
      <w:r>
        <w:rPr>
          <w:rFonts w:ascii="Courier New" w:cs="Courier New" w:eastAsia="Courier New" w:hAnsi="Courier New"/>
          <w:color w:val="1A1A2E"/>
          <w:sz w:val="18"/>
          <w:szCs w:val="18"/>
        </w:rPr>
        <w:t xml:space="preserve">                        alpha_y: torch.Tensor) -&gt; torch.Tensor:</w:t>
      </w:r>
    </w:p>
    <w:p>
      <w:pPr>
        <w:spacing w:before="40" w:after="40"/>
        <w:ind w:left="720"/>
      </w:pPr>
      <w:r>
        <w:rPr>
          <w:rFonts w:ascii="Courier New" w:cs="Courier New" w:eastAsia="Courier New" w:hAnsi="Courier New"/>
          <w:color w:val="1A1A2E"/>
          <w:sz w:val="18"/>
          <w:szCs w:val="18"/>
        </w:rPr>
        <w:t xml:space="preserve">    B, C, H, W = source.shape</w:t>
      </w:r>
    </w:p>
    <w:p>
      <w:pPr>
        <w:spacing w:before="40" w:after="40"/>
        <w:ind w:left="720"/>
      </w:pPr>
      <w:r>
        <w:rPr>
          <w:rFonts w:ascii="Courier New" w:cs="Courier New" w:eastAsia="Courier New" w:hAnsi="Courier New"/>
          <w:color w:val="1A1A2E"/>
          <w:sz w:val="18"/>
          <w:szCs w:val="18"/>
        </w:rPr>
        <w:t xml:space="preserve">    # Build normalised image-plane grid in [-1, 1]</w:t>
      </w:r>
    </w:p>
    <w:p>
      <w:pPr>
        <w:spacing w:before="40" w:after="40"/>
        <w:ind w:left="720"/>
      </w:pPr>
      <w:r>
        <w:rPr>
          <w:rFonts w:ascii="Courier New" w:cs="Courier New" w:eastAsia="Courier New" w:hAnsi="Courier New"/>
          <w:color w:val="1A1A2E"/>
          <w:sz w:val="18"/>
          <w:szCs w:val="18"/>
        </w:rPr>
        <w:t xml:space="preserve">    grid_y, grid_x = torch.meshgrid(</w:t>
      </w:r>
    </w:p>
    <w:p>
      <w:pPr>
        <w:spacing w:before="40" w:after="40"/>
        <w:ind w:left="720"/>
      </w:pPr>
      <w:r>
        <w:rPr>
          <w:rFonts w:ascii="Courier New" w:cs="Courier New" w:eastAsia="Courier New" w:hAnsi="Courier New"/>
          <w:color w:val="1A1A2E"/>
          <w:sz w:val="18"/>
          <w:szCs w:val="18"/>
        </w:rPr>
        <w:t xml:space="preserve">        torch.linspace(-1, 1, H, device=source.device),</w:t>
      </w:r>
    </w:p>
    <w:p>
      <w:pPr>
        <w:spacing w:before="40" w:after="40"/>
        <w:ind w:left="720"/>
      </w:pPr>
      <w:r>
        <w:rPr>
          <w:rFonts w:ascii="Courier New" w:cs="Courier New" w:eastAsia="Courier New" w:hAnsi="Courier New"/>
          <w:color w:val="1A1A2E"/>
          <w:sz w:val="18"/>
          <w:szCs w:val="18"/>
        </w:rPr>
        <w:t xml:space="preserve">        torch.linspace(-1, 1, W, device=source.device),</w:t>
      </w:r>
    </w:p>
    <w:p>
      <w:pPr>
        <w:spacing w:before="40" w:after="40"/>
        <w:ind w:left="720"/>
      </w:pPr>
      <w:r>
        <w:rPr>
          <w:rFonts w:ascii="Courier New" w:cs="Courier New" w:eastAsia="Courier New" w:hAnsi="Courier New"/>
          <w:color w:val="1A1A2E"/>
          <w:sz w:val="18"/>
          <w:szCs w:val="18"/>
        </w:rPr>
        <w:t xml:space="preserve">        indexing='ij')</w:t>
      </w:r>
    </w:p>
    <w:p>
      <w:pPr>
        <w:spacing w:before="40" w:after="40"/>
        <w:ind w:left="720"/>
      </w:pPr>
      <w:r>
        <w:rPr>
          <w:rFonts w:ascii="Courier New" w:cs="Courier New" w:eastAsia="Courier New" w:hAnsi="Courier New"/>
          <w:color w:val="1A1A2E"/>
          <w:sz w:val="18"/>
          <w:szCs w:val="18"/>
        </w:rPr>
        <w:t xml:space="preserve">    # Map to source plane: beta = theta - alpha</w:t>
      </w:r>
    </w:p>
    <w:p>
      <w:pPr>
        <w:spacing w:before="40" w:after="40"/>
        <w:ind w:left="720"/>
      </w:pPr>
      <w:r>
        <w:rPr>
          <w:rFonts w:ascii="Courier New" w:cs="Courier New" w:eastAsia="Courier New" w:hAnsi="Courier New"/>
          <w:color w:val="1A1A2E"/>
          <w:sz w:val="18"/>
          <w:szCs w:val="18"/>
        </w:rPr>
        <w:t xml:space="preserve">    beta_x = grid_x.unsqueeze(0) - alpha_x.squeeze(1)  # [B, H, W]</w:t>
      </w:r>
    </w:p>
    <w:p>
      <w:pPr>
        <w:spacing w:before="40" w:after="40"/>
        <w:ind w:left="720"/>
      </w:pPr>
      <w:r>
        <w:rPr>
          <w:rFonts w:ascii="Courier New" w:cs="Courier New" w:eastAsia="Courier New" w:hAnsi="Courier New"/>
          <w:color w:val="1A1A2E"/>
          <w:sz w:val="18"/>
          <w:szCs w:val="18"/>
        </w:rPr>
        <w:t xml:space="preserve">    beta_y = grid_y.unsqueeze(0) - alpha_y.squeeze(1)  # [B, H, W]</w:t>
      </w:r>
    </w:p>
    <w:p>
      <w:pPr>
        <w:spacing w:before="40" w:after="40"/>
        <w:ind w:left="720"/>
      </w:pPr>
      <w:r>
        <w:rPr>
          <w:rFonts w:ascii="Courier New" w:cs="Courier New" w:eastAsia="Courier New" w:hAnsi="Courier New"/>
          <w:color w:val="1A1A2E"/>
          <w:sz w:val="18"/>
          <w:szCs w:val="18"/>
        </w:rPr>
        <w:t xml:space="preserve">    # grid_sample expects [B, H, W, 2] in [-1, 1]</w:t>
      </w:r>
    </w:p>
    <w:p>
      <w:pPr>
        <w:spacing w:before="40" w:after="40"/>
        <w:ind w:left="720"/>
      </w:pPr>
      <w:r>
        <w:rPr>
          <w:rFonts w:ascii="Courier New" w:cs="Courier New" w:eastAsia="Courier New" w:hAnsi="Courier New"/>
          <w:color w:val="1A1A2E"/>
          <w:sz w:val="18"/>
          <w:szCs w:val="18"/>
        </w:rPr>
        <w:t xml:space="preserve">    sampling_grid = torch.stack([beta_x, beta_y], dim=-1)</w:t>
      </w:r>
    </w:p>
    <w:p>
      <w:pPr>
        <w:spacing w:before="40" w:after="40"/>
        <w:ind w:left="720"/>
      </w:pPr>
      <w:r>
        <w:rPr>
          <w:rFonts w:ascii="Courier New" w:cs="Courier New" w:eastAsia="Courier New" w:hAnsi="Courier New"/>
          <w:color w:val="1A1A2E"/>
          <w:sz w:val="18"/>
          <w:szCs w:val="18"/>
        </w:rPr>
        <w:t xml:space="preserve">    # F.grid_sample is fully differentiable</w:t>
      </w:r>
    </w:p>
    <w:p>
      <w:pPr>
        <w:spacing w:before="40" w:after="40"/>
        <w:ind w:left="720"/>
      </w:pPr>
      <w:r>
        <w:rPr>
          <w:rFonts w:ascii="Courier New" w:cs="Courier New" w:eastAsia="Courier New" w:hAnsi="Courier New"/>
          <w:color w:val="1A1A2E"/>
          <w:sz w:val="18"/>
          <w:szCs w:val="18"/>
        </w:rPr>
        <w:t xml:space="preserve">    return F.grid_sample(source, sampling_grid,</w:t>
      </w:r>
    </w:p>
    <w:p>
      <w:pPr>
        <w:spacing w:before="40" w:after="40"/>
        <w:ind w:left="720"/>
      </w:pPr>
      <w:r>
        <w:rPr>
          <w:rFonts w:ascii="Courier New" w:cs="Courier New" w:eastAsia="Courier New" w:hAnsi="Courier New"/>
          <w:color w:val="1A1A2E"/>
          <w:sz w:val="18"/>
          <w:szCs w:val="18"/>
        </w:rPr>
        <w:t xml:space="preserve">                        mode='bilinear', align_corners=True)</w:t>
      </w:r>
    </w:p>
    <w:p>
      <w:pPr>
        <w:spacing w:before="60" w:after="60"/>
      </w:pPr>
    </w:p>
    <w:p>
      <w:pPr>
        <w:spacing w:before="80" w:after="80"/>
      </w:pPr>
      <w:r>
        <w:rPr>
          <w:rFonts w:ascii="Arial" w:cs="Arial" w:eastAsia="Arial" w:hAnsi="Arial"/>
          <w:sz w:val="22"/>
          <w:szCs w:val="22"/>
        </w:rPr>
        <w:t xml:space="preserve">torch.nn.functional.grid_sample provides bilinear interpolation with full autograd support. This completes Stage 2. The combined pipeline (Stage 1 κ generation + Stage 2 ray-tracing) adds no external dependencies and requires no JAX, no Caustics installation, and no cross-framework data transfer.</w:t>
      </w:r>
    </w:p>
    <w:p>
      <w:pPr>
        <w:spacing w:before="180" w:after="60"/>
      </w:pPr>
      <w:r>
        <w:rPr>
          <w:rFonts w:ascii="Arial" w:cs="Arial" w:eastAsia="Arial" w:hAnsi="Arial"/>
          <w:b/>
          <w:bCs/>
          <w:color w:val="2E4057"/>
          <w:sz w:val="22"/>
          <w:szCs w:val="22"/>
        </w:rPr>
        <w:t xml:space="preserve">Source Galaxy Model: Parametric Sérsic Profile</w:t>
      </w:r>
    </w:p>
    <w:p>
      <w:pPr>
        <w:spacing w:before="80" w:after="80"/>
      </w:pPr>
      <w:r>
        <w:rPr>
          <w:rFonts w:ascii="Arial" w:cs="Arial" w:eastAsia="Arial" w:hAnsi="Arial"/>
          <w:sz w:val="22"/>
          <w:szCs w:val="22"/>
        </w:rPr>
        <w:t xml:space="preserve">The apply_lens_equation() function takes a source tensor as its first argument. This section defines exactly what that tensor is and where it comes from, since this choice determines whether the pipeline generates physically valid lensed images or merely lensed textures.</w:t>
      </w:r>
    </w:p>
    <w:p>
      <w:pPr>
        <w:spacing w:before="80" w:after="80"/>
      </w:pPr>
      <w:r>
        <w:rPr>
          <w:rFonts w:ascii="Arial" w:cs="Arial" w:eastAsia="Arial" w:hAnsi="Arial"/>
          <w:sz w:val="22"/>
          <w:szCs w:val="22"/>
        </w:rPr>
        <w:t xml:space="preserve">There are three candidate options: (a) a parametric Sérsic profile rendered from sampled parameters, (b) a separate learned source generator, or (c) fixed template images from the lenstronomy re-simulation. The choice is (a), for precise reasons:</w:t>
      </w:r>
    </w:p>
    <w:p>
      <w:pPr>
        <w:numPr>
          <w:ilvl w:val="0"/>
          <w:numId w:val="1"/>
        </w:numPr>
        <w:spacing w:before="60" w:after="60"/>
      </w:pPr>
      <w:r>
        <w:rPr>
          <w:rFonts w:ascii="Arial" w:cs="Arial" w:eastAsia="Arial" w:hAnsi="Arial"/>
          <w:b/>
          <w:bCs/>
          <w:sz w:val="22"/>
          <w:szCs w:val="22"/>
        </w:rPr>
        <w:t xml:space="preserve">Option (b) is rejected</w:t>
      </w:r>
      <w:r>
        <w:rPr>
          <w:rFonts w:ascii="Arial" w:cs="Arial" w:eastAsia="Arial" w:hAnsi="Arial"/>
          <w:sz w:val="22"/>
          <w:szCs w:val="22"/>
        </w:rPr>
        <w:t xml:space="preserve"> because a learned source generator inside Stage 2 would introduce a second set of trainable parameters into what is supposed to be an exact physics operator. The core architectural claim of the two-stage pipeline is that Stage 2 contains no learned components — this is what makes it possible to attribute physical consistency to the architecture rather than to the data. A learned source model collapses that distinction and makes the ablation table uninterpretable.</w:t>
      </w:r>
    </w:p>
    <w:p>
      <w:pPr>
        <w:numPr>
          <w:ilvl w:val="0"/>
          <w:numId w:val="1"/>
        </w:numPr>
        <w:spacing w:before="60" w:after="60"/>
      </w:pPr>
      <w:r>
        <w:rPr>
          <w:rFonts w:ascii="Arial" w:cs="Arial" w:eastAsia="Arial" w:hAnsi="Arial"/>
          <w:b/>
          <w:bCs/>
          <w:sz w:val="22"/>
          <w:szCs w:val="22"/>
        </w:rPr>
        <w:t xml:space="preserve">Option (c) is rejected</w:t>
      </w:r>
      <w:r>
        <w:rPr>
          <w:rFonts w:ascii="Arial" w:cs="Arial" w:eastAsia="Arial" w:hAnsi="Arial"/>
          <w:sz w:val="22"/>
          <w:szCs w:val="22"/>
        </w:rPr>
        <w:t xml:space="preserve"> because fixed templates cap morphological diversity. The number of distinct lensed configurations the pipeline can produce is bounded by the size of the template library, which defeats the purpose of a generative model and reintroduces a sim-to-real gap through a different mechanism.</w:t>
      </w:r>
    </w:p>
    <w:p>
      <w:pPr>
        <w:numPr>
          <w:ilvl w:val="0"/>
          <w:numId w:val="1"/>
        </w:numPr>
        <w:spacing w:before="60" w:after="60"/>
      </w:pPr>
      <w:r>
        <w:rPr>
          <w:rFonts w:ascii="Arial" w:cs="Arial" w:eastAsia="Arial" w:hAnsi="Arial"/>
          <w:b/>
          <w:bCs/>
          <w:sz w:val="22"/>
          <w:szCs w:val="22"/>
        </w:rPr>
        <w:t>Option (a), the parametric Sérsic profile, is chosen because: (i) lenstronomy uses a Sérsic light profile for source generation (Sayed et al., Section 2), meaning the source morphology space is well-characterised; (ii) at re-simulation time (Week 5), Sérsic parameters (n, r_e, q, φ) will be sampled from standard galaxy morphology priors consistent with lenstronomy’s default configuration for the DeepLense dataset — Sérsic index n uniform in [0.5, 4.0], effective radius r_e from a log-normal distribution centred at 0.2 arcseconds calibrated to Euclid-like sources, axis ratio q uniform in [0.3, 1.0], position angle φ uniform in [0, π]. This introduces no assumptions beyond what the dataset already encodes; (iii) a Sérsic profile is a closed-form analytical expression, renderable in ≈15 lines of differentiable PyTorch with zero additional model parameters; and (iv) at inference time, sampling these four parameters from their priors and composing with κ sampling from Stage 1 gives a joint generative model p(κ, source | class, θ_E, x, y, s) that covers the full lensing distribution without any learned source component. A statistical consistency check in Week 5 (power spectrum and Einstein radius distribution comparison between Stage 2 outputs and the original DeepLense images) will confirm prior compatibility; priors are adjusted if distributions diverge by more than one standard deviation on any metric.</w:t>
      </w:r>
      <w:r>
        <w:rPr>
          <w:rFonts w:ascii="Arial" w:cs="Arial" w:eastAsia="Arial" w:hAnsi="Arial"/>
          <w:sz w:val="22"/>
          <w:szCs w:val="22"/>
        </w:rPr>
      </w:r>
    </w:p>
    <w:p>
      <w:pPr>
        <w:spacing w:before="80" w:after="80"/>
      </w:pPr>
      <w:r>
        <w:rPr>
          <w:rFonts w:ascii="Arial" w:cs="Arial" w:eastAsia="Arial" w:hAnsi="Arial"/>
          <w:sz w:val="22"/>
          <w:szCs w:val="22"/>
        </w:rPr>
        <w:t xml:space="preserve">The Sérsic surface brightness profile is defined as:</w:t>
      </w:r>
    </w:p>
    <w:p>
      <w:pPr>
        <w:spacing w:before="40" w:after="40"/>
        <w:ind w:left="720"/>
      </w:pPr>
      <w:r>
        <w:rPr>
          <w:rFonts w:ascii="Arial" w:cs="Arial" w:eastAsia="Arial" w:hAnsi="Arial"/>
          <w:i/>
          <w:iCs/>
          <w:sz w:val="22"/>
          <w:szCs w:val="22"/>
        </w:rPr>
        <w:t xml:space="preserve">I(r) = I_e · exp(−b_n · [(r / r_e)^(1/n) − 1])</w:t>
      </w:r>
    </w:p>
    <w:p>
      <w:pPr>
        <w:spacing w:before="80" w:after="40"/>
      </w:pPr>
      <w:r>
        <w:rPr>
          <w:rFonts w:ascii="Arial" w:cs="Arial" w:eastAsia="Arial" w:hAnsi="Arial"/>
          <w:sz w:val="22"/>
          <w:szCs w:val="22"/>
        </w:rPr>
        <w:t xml:space="preserve">The PyTorch implementation:</w:t>
      </w:r>
    </w:p>
    <w:p>
      <w:pPr>
        <w:spacing w:before="40" w:after="40"/>
        <w:ind w:left="720"/>
      </w:pPr>
      <w:r>
        <w:rPr>
          <w:rFonts w:ascii="Courier New" w:cs="Courier New" w:eastAsia="Courier New" w:hAnsi="Courier New"/>
          <w:sz w:val="18"/>
          <w:szCs w:val="18"/>
          <w:color w:val="1A1A2E"/>
        </w:rPr>
        <w:t xml:space="preserve">def render_sersic(n, r_e, q, phi, H, W, device) -&gt; torch.Tensor:</w:t>
      </w:r>
    </w:p>
    <w:p>
      <w:pPr>
        <w:spacing w:before="40" w:after="40"/>
        <w:ind w:left="720"/>
      </w:pPr>
      <w:r>
        <w:rPr>
          <w:rFonts w:ascii="Courier New" w:cs="Courier New" w:eastAsia="Courier New" w:hAnsi="Courier New"/>
          <w:sz w:val="18"/>
          <w:szCs w:val="18"/>
          <w:color w:val="1A1A2E"/>
        </w:rPr>
        <w:t xml:space="preserve">    # Build source-plane coordinate grid in [-1, 1]</w:t>
      </w:r>
    </w:p>
    <w:p>
      <w:pPr>
        <w:spacing w:before="40" w:after="40"/>
        <w:ind w:left="720"/>
      </w:pPr>
      <w:r>
        <w:rPr>
          <w:rFonts w:ascii="Courier New" w:cs="Courier New" w:eastAsia="Courier New" w:hAnsi="Courier New"/>
          <w:sz w:val="18"/>
          <w:szCs w:val="18"/>
          <w:color w:val="1A1A2E"/>
        </w:rPr>
        <w:t xml:space="preserve">    gy, gx = torch.meshgrid(torch.linspace(-1,1,H,device=device),</w:t>
      </w:r>
    </w:p>
    <w:p>
      <w:pPr>
        <w:spacing w:before="40" w:after="40"/>
        <w:ind w:left="720"/>
      </w:pPr>
      <w:r>
        <w:rPr>
          <w:rFonts w:ascii="Courier New" w:cs="Courier New" w:eastAsia="Courier New" w:hAnsi="Courier New"/>
          <w:sz w:val="18"/>
          <w:szCs w:val="18"/>
          <w:color w:val="1A1A2E"/>
        </w:rPr>
        <w:t xml:space="preserve">                              torch.linspace(-1,1,W,device=device), indexing=’ij’)</w:t>
      </w:r>
    </w:p>
    <w:p>
      <w:pPr>
        <w:spacing w:before="40" w:after="40"/>
        <w:ind w:left="720"/>
      </w:pPr>
      <w:r>
        <w:rPr>
          <w:rFonts w:ascii="Courier New" w:cs="Courier New" w:eastAsia="Courier New" w:hAnsi="Courier New"/>
          <w:sz w:val="18"/>
          <w:szCs w:val="18"/>
          <w:color w:val="1A1A2E"/>
        </w:rPr>
        <w:t xml:space="preserve">    # Rotate to position angle phi, apply axis ratio q</w:t>
      </w:r>
    </w:p>
    <w:p>
      <w:pPr>
        <w:spacing w:before="40" w:after="40"/>
        <w:ind w:left="720"/>
      </w:pPr>
      <w:r>
        <w:rPr>
          <w:rFonts w:ascii="Courier New" w:cs="Courier New" w:eastAsia="Courier New" w:hAnsi="Courier New"/>
          <w:sz w:val="18"/>
          <w:szCs w:val="18"/>
          <w:color w:val="1A1A2E"/>
        </w:rPr>
        <w:t xml:space="preserve">    xr =  gx * torch.cos(phi) + gy * torch.sin(phi)</w:t>
      </w:r>
    </w:p>
    <w:p>
      <w:pPr>
        <w:spacing w:before="40" w:after="40"/>
        <w:ind w:left="720"/>
      </w:pPr>
      <w:r>
        <w:rPr>
          <w:rFonts w:ascii="Courier New" w:cs="Courier New" w:eastAsia="Courier New" w:hAnsi="Courier New"/>
          <w:sz w:val="18"/>
          <w:szCs w:val="18"/>
          <w:color w:val="1A1A2E"/>
        </w:rPr>
        <w:t xml:space="preserve">    yr = -gx * torch.sin(phi) + gy * torch.cos(phi)</w:t>
      </w:r>
    </w:p>
    <w:p>
      <w:pPr>
        <w:spacing w:before="40" w:after="40"/>
        <w:ind w:left="720"/>
      </w:pPr>
      <w:r>
        <w:rPr>
          <w:rFonts w:ascii="Courier New" w:cs="Courier New" w:eastAsia="Courier New" w:hAnsi="Courier New"/>
          <w:sz w:val="18"/>
          <w:szCs w:val="18"/>
          <w:color w:val="1A1A2E"/>
        </w:rPr>
        <w:t xml:space="preserve">    r = torch.sqrt(xr**2 + (yr / q)**2).clamp(min=1e-6)</w:t>
      </w:r>
    </w:p>
    <w:p>
      <w:pPr>
        <w:spacing w:before="40" w:after="40"/>
        <w:ind w:left="720"/>
      </w:pPr>
      <w:r>
        <w:rPr>
          <w:rFonts w:ascii="Courier New" w:cs="Courier New" w:eastAsia="Courier New" w:hAnsi="Courier New"/>
          <w:sz w:val="18"/>
          <w:szCs w:val="18"/>
          <w:color w:val="1A1A2E"/>
        </w:rPr>
        <w:t xml:space="preserve">    b_n = 1.9992 * n - 0.3271                  # Ciotti &amp; Bertin 1999 approximation</w:t>
      </w:r>
    </w:p>
    <w:p>
      <w:pPr>
        <w:spacing w:before="40" w:after="40"/>
        <w:ind w:left="720"/>
      </w:pPr>
      <w:r>
        <w:rPr>
          <w:rFonts w:ascii="Courier New" w:cs="Courier New" w:eastAsia="Courier New" w:hAnsi="Courier New"/>
          <w:sz w:val="18"/>
          <w:szCs w:val="18"/>
          <w:color w:val="1A1A2E"/>
        </w:rPr>
        <w:t xml:space="preserve">    I = torch.exp(-b_n * ((r / r_e).pow(1.0 / n) - 1.0))</w:t>
      </w:r>
    </w:p>
    <w:p>
      <w:pPr>
        <w:spacing w:before="40" w:after="60"/>
        <w:ind w:left="720"/>
      </w:pPr>
      <w:r>
        <w:rPr>
          <w:rFonts w:ascii="Courier New" w:cs="Courier New" w:eastAsia="Courier New" w:hAnsi="Courier New"/>
          <w:sz w:val="18"/>
          <w:szCs w:val="18"/>
          <w:color w:val="1A1A2E"/>
        </w:rPr>
        <w:t xml:space="preserve">    return (I / I.sum()).unsqueeze(0).unsqueeze(0)  # [1, 1, H, W], flux-normalised</w:t>
      </w:r>
    </w:p>
    <w:p>
      <w:pPr>
        <w:spacing w:before="80" w:after="80"/>
      </w:pPr>
      <w:r>
        <w:rPr>
          <w:rFonts w:ascii="Arial" w:cs="Arial" w:eastAsia="Arial" w:hAnsi="Arial"/>
          <w:sz w:val="22"/>
          <w:szCs w:val="22"/>
        </w:rPr>
        <w:t>The complete inference recipe is therefore: (1) sample dark matter class and physical parameters (θ_E, x, y, s) from their empirical distributions; (2) sample source Sérsic parameters (n, r_e, q, φ) from the lenstronomy default priors (n ∈ [0.5, 4.0], r_e log-normal at 0.2″, q ∈ [0.3, 1.0], φ ∈ [0, π]) calibrated against the DeepLense image distribution in Week 5; (3) run Stage 1 to generate κ(θ); (4) run kappa_to_deflection() to compute α(θ); (5) run render_sersic() to compute I_s; (6) run apply_lens_equation(I_s, α_x, α_y) to produce I_obs. Steps (3)–(6) are each fully differentiable, so the entire chain from κ to I_obs supports end-to-end gradient flow during optional fine-tuning. The source galaxy model adds zero learned parameters and zero additional training loops to the pipeline.</w:t>
      </w:r>
    </w:p>
    <w:p>
      <w:pPr>
        <w:spacing w:before="180" w:after="60"/>
      </w:pPr>
      <w:r>
        <w:rPr>
          <w:rFonts w:ascii="Arial" w:cs="Arial" w:eastAsia="Arial" w:hAnsi="Arial"/>
          <w:b/>
          <w:bCs/>
          <w:color w:val="2E4057"/>
          <w:sz w:val="22"/>
          <w:szCs w:val="22"/>
        </w:rPr>
        <w:t xml:space="preserve">Memory and VRAM Analysis</w:t>
      </w:r>
    </w:p>
    <w:p>
      <w:pPr>
        <w:spacing w:before="80" w:after="80"/>
      </w:pPr>
      <w:r>
        <w:rPr>
          <w:rFonts w:ascii="Arial" w:cs="Arial" w:eastAsia="Arial" w:hAnsi="Arial"/>
          <w:sz w:val="22"/>
          <w:szCs w:val="22"/>
        </w:rPr>
        <w:t xml:space="preserve">Peak VRAM for a batch of 32 images at 150×150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0C8D8" w:sz="1"/>
              <w:left w:val="single" w:color="C0C8D8" w:sz="1"/>
              <w:bottom w:val="single" w:color="C0C8D8" w:sz="1"/>
              <w:right w:val="single" w:color="C0C8D8"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Operation</w:t>
            </w:r>
          </w:p>
        </w:tc>
        <w:tc>
          <w:tcPr>
            <w:tcW w:type="dxa" w:w="2500"/>
            <w:tcBorders>
              <w:top w:val="single" w:color="C0C8D8" w:sz="1"/>
              <w:left w:val="single" w:color="C0C8D8" w:sz="1"/>
              <w:bottom w:val="single" w:color="C0C8D8" w:sz="1"/>
              <w:right w:val="single" w:color="C0C8D8"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Peak VRAM (approx.)</w:t>
            </w:r>
          </w:p>
        </w:tc>
        <w:tc>
          <w:tcPr>
            <w:tcW w:type="dxa" w:w="3360"/>
            <w:tcBorders>
              <w:top w:val="single" w:color="C0C8D8" w:sz="1"/>
              <w:left w:val="single" w:color="C0C8D8" w:sz="1"/>
              <w:bottom w:val="single" w:color="C0C8D8" w:sz="1"/>
              <w:right w:val="single" w:color="C0C8D8"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350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Stage 1: κ-map DiT forward pass</w:t>
            </w:r>
          </w:p>
        </w:tc>
        <w:tc>
          <w:tcPr>
            <w:tcW w:type="dxa" w:w="250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~6 GB</w:t>
            </w:r>
          </w:p>
        </w:tc>
        <w:tc>
          <w:tcPr>
            <w:tcW w:type="dxa" w:w="336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Matches FlowLensing baseline</w:t>
            </w:r>
          </w:p>
        </w:tc>
      </w:tr>
      <w:tr>
        <w:tc>
          <w:tcPr>
            <w:tcW w:type="dxa" w:w="350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Stage 2: FFT deflection + grid_sample</w:t>
            </w:r>
          </w:p>
        </w:tc>
        <w:tc>
          <w:tcPr>
            <w:tcW w:type="dxa" w:w="2500"/>
            <w:tcBorders>
              <w:top w:val="single" w:color="C0C8D8" w:sz="1"/>
              <w:left w:val="single" w:color="C0C8D8" w:sz="1"/>
              <w:bottom w:val="single" w:color="C0C8D8" w:sz="1"/>
              <w:right w:val="single" w:color="C0C8D8" w:sz="1"/>
            </w:tcBorders>
            <w:shd w:fill="E8F5E9" w:val="clear"/>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~0.8 GB</w:t>
            </w:r>
          </w:p>
        </w:tc>
        <w:tc>
          <w:tcPr>
            <w:tcW w:type="dxa" w:w="336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Intermediate FFT tensors freed immediately after irfft2</w:t>
            </w:r>
          </w:p>
        </w:tc>
      </w:tr>
      <w:tr>
        <w:tc>
          <w:tcPr>
            <w:tcW w:type="dxa" w:w="350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End-to-end fine-tuning (Stage 1 + Stage 2 backward)</w:t>
            </w:r>
          </w:p>
        </w:tc>
        <w:tc>
          <w:tcPr>
            <w:tcW w:type="dxa" w:w="250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~9 GB</w:t>
            </w:r>
          </w:p>
        </w:tc>
        <w:tc>
          <w:tcPr>
            <w:tcW w:type="dxa" w:w="3360"/>
            <w:tcBorders>
              <w:top w:val="single" w:color="C0C8D8" w:sz="1"/>
              <w:left w:val="single" w:color="C0C8D8" w:sz="1"/>
              <w:bottom w:val="single" w:color="C0C8D8" w:sz="1"/>
              <w:right w:val="single" w:color="C0C8D8" w:sz="1"/>
            </w:tcBorders>
            <w:tcMar>
              <w:top w:type="dxa" w:w="70"/>
              <w:left w:type="dxa" w:w="100"/>
              <w:bottom w:type="dxa" w:w="70"/>
              <w:right w:type="dxa" w:w="100"/>
            </w:tcMar>
          </w:tcPr>
          <w:p>
            <w:r>
              <w:rPr>
                <w:rFonts w:ascii="Arial" w:cs="Arial" w:eastAsia="Arial" w:hAnsi="Arial"/>
                <w:b w:val="false"/>
                <w:bCs w:val="false"/>
                <w:i w:val="false"/>
                <w:iCs w:val="false"/>
                <w:color w:val="000000"/>
                <w:sz w:val="20"/>
                <w:szCs w:val="20"/>
              </w:rPr>
              <w:t xml:space="preserve">Feasible on A100 40GB; marginal on T4 16GB at batch=8</w:t>
            </w:r>
          </w:p>
        </w:tc>
      </w:tr>
    </w:tbl>
    <w:p>
      <w:pPr>
        <w:spacing w:before="80" w:after="60"/>
      </w:pPr>
    </w:p>
    <w:p>
      <w:pPr>
        <w:spacing w:before="80" w:after="80"/>
      </w:pPr>
      <w:r>
        <w:rPr>
          <w:rFonts w:ascii="Arial" w:cs="Arial" w:eastAsia="Arial" w:hAnsi="Arial"/>
          <w:b/>
          <w:bCs/>
          <w:sz w:val="22"/>
          <w:szCs w:val="22"/>
        </w:rPr>
        <w:t xml:space="preserve">Training strategy:</w:t>
      </w:r>
      <w:r>
        <w:rPr>
          <w:rFonts w:ascii="Arial" w:cs="Arial" w:eastAsia="Arial" w:hAnsi="Arial"/>
          <w:sz w:val="22"/>
          <w:szCs w:val="22"/>
        </w:rPr>
        <w:t xml:space="preserve"> Stage 1 trains offline on κ maps (no Stage 2 in the loop, VRAM ~6 GB). End-to-end fine-tuning is performed in a separate optional pass with gradient checkpointing enabled to bring VRAM below 12 GB on T4. Primary compute is Kaggle free tier (T4, 30 GPU hours/week); Colab Pro+ A100 is used as secondary for the fine-tuning pass only.</w:t>
      </w:r>
    </w:p>
    <w:p>
      <w:pPr>
        <w:pStyle w:val="Heading2"/>
        <w:spacing w:before="260" w:after="100"/>
      </w:pPr>
      <w:r>
        <w:rPr>
          <w:rFonts w:ascii="Arial" w:cs="Arial" w:eastAsia="Arial" w:hAnsi="Arial"/>
          <w:b/>
          <w:bCs/>
          <w:color w:val="2E5EA3"/>
          <w:sz w:val="26"/>
          <w:szCs w:val="26"/>
        </w:rPr>
        <w:t xml:space="preserve">2.5  ABLATION A — Strategy 1: E(2)-Equivariant κ Generator</w:t>
      </w:r>
    </w:p>
    <w:p>
      <w:pPr>
        <w:spacing w:before="80" w:after="80"/>
      </w:pPr>
      <w:r>
        <w:t>Built on top of the working Strategy 2 foundation, Ablation A reimplements Stage 1 as an E(2)-equivariant U-Net backbone trained via the identical flow-matching objective, replacing the DiT while preserving the conditioning framework, training loss, and evaluation protocol. This is the architecturally correct path: DiT uses multi-head self-attention with absolute positional embeddings, which are not rotation-equivariant by construction — bolting escnn steerable filters onto attention layers does not produce end-to-end equivariance because the positional encoding alone breaks it. An equivariant U-Net (Weiler &amp; Cesa, 2019 [12]) built entirely from escnn steerable convolutional blocks is fully E(2)-equivariant end-to-end. The scientific question being tested is identical: does enforcing rotational equivariance in the κ generator improve the physical validity of generated κ maps (as measured by power spectrum fidelity and Einstein radius distribution), and does this improvement propagate through Stage 2 to improve final lensed image quality? Source position (x,y) conditioning requires irrep-1 injection in escnn; handled in Week 9 field type design.</w:t>
      </w:r>
    </w:p>
    <w:p>
      <w:pPr>
        <w:spacing w:before="80" w:after="80"/>
      </w:pPr>
      <w:r>
        <w:rPr>
          <w:rFonts w:ascii="Arial" w:cs="Arial" w:eastAsia="Arial" w:hAnsi="Arial"/>
          <w:sz w:val="22"/>
          <w:szCs w:val="22"/>
        </w:rPr>
        <w:t xml:space="preserve">The E(2) group (2D rotations + reflections) is the correct symmetry group for this application. Lensing configurations have no handedness — a mirrored lens is equally physical — so the full orthogonal group O(2) rather than SO(2) must be used. Equivariance is unit-tested at ≥ 8 rotation angles with residual ≤ 10⁻⁵.</w:t>
      </w:r>
    </w:p>
    <w:p>
      <w:pPr>
        <w:spacing w:before="80" w:after="80"/>
      </w:pPr>
      <w:r>
        <w:rPr>
          <w:rFonts w:ascii="Arial" w:cs="Arial" w:eastAsia="Arial" w:hAnsi="Arial"/>
          <w:b/>
          <w:bCs/>
          <w:sz w:val="22"/>
          <w:szCs w:val="22"/>
        </w:rPr>
        <w:t xml:space="preserve">Why this is sequenced second, not first:</w:t>
      </w:r>
      <w:r>
        <w:rPr>
          <w:rFonts w:ascii="Arial" w:cs="Arial" w:eastAsia="Arial" w:hAnsi="Arial"/>
          <w:sz w:val="22"/>
          <w:szCs w:val="22"/>
        </w:rPr>
        <w:t xml:space="preserve"> Redesigning Stage 1 as a full equivariant U-Net requires careful escnn field type selection at each encoder/decoder resolution level, and the correct field types can only be chosen once the baseline Stage 1 DiT’s failure modes (which spatial scales matter most, which feature resolutions drive PSNR) are understood from Weeks 6–8. Attempting the backbone swap on an untested baseline conflates two sources of error and makes debugging impossible.</w:t>
      </w:r>
    </w:p>
    <w:p>
      <w:pPr>
        <w:pStyle w:val="Heading2"/>
        <w:spacing w:before="260" w:after="100"/>
      </w:pPr>
      <w:r>
        <w:rPr>
          <w:rFonts w:ascii="Arial" w:cs="Arial" w:eastAsia="Arial" w:hAnsi="Arial"/>
          <w:b/>
          <w:bCs/>
          <w:color w:val="2E5EA3"/>
          <w:sz w:val="26"/>
          <w:szCs w:val="26"/>
        </w:rPr>
        <w:t xml:space="preserve">2.6  ABLATION B — Strategy 3: Auxiliary Physics Losses</w:t>
      </w:r>
    </w:p>
    <w:p>
      <w:pPr>
        <w:spacing w:before="80" w:after="80"/>
      </w:pPr>
      <w:r>
        <w:rPr>
          <w:rFonts w:ascii="Arial" w:cs="Arial" w:eastAsia="Arial" w:hAnsi="Arial"/>
          <w:sz w:val="22"/>
          <w:szCs w:val="22"/>
        </w:rPr>
        <w:t xml:space="preserve">This ablation adds three physics-based soft constraints to the Strategy 2 training objective, testing whether they improve training data efficiency or generalisation to out-of-distribution lens configurations:</w:t>
      </w:r>
    </w:p>
    <w:p>
      <w:pPr>
        <w:pStyle w:val="ListParagraph"/>
        <w:numPr>
          <w:ilvl w:val="0"/>
          <w:numId w:val="2"/>
        </w:numPr>
        <w:spacing w:before="60" w:after="60"/>
      </w:pPr>
      <w:r>
        <w:t>Lens-equation residual loss (primary): ||I_obs − Φ(κ_pred)||, where Φ is the Stage 2 operator. A lightweight auxiliary convolutional decoder head (3 conv layers, ~200K parameters) attached to the intermediate feature representations of the Stage 1 denoising backbone — not to its final κ output — predicts an intermediate κ estimate at each denoising step. This enables the residual loss to be computed during training without waiting for the final κ output, providing dense gradient signal throughout the denoising trajectory. The loss uses the flow-matching interpolation estimate x̂₀(t), not the noisy intermediate; this is available at each flow-matching step under the CFM objective.</w:t>
      </w:r>
    </w:p>
    <w:p>
      <w:pPr>
        <w:pStyle w:val="ListParagraph"/>
        <w:numPr>
          <w:ilvl w:val="0"/>
          <w:numId w:val="2"/>
        </w:numPr>
        <w:spacing w:before="60" w:after="60"/>
      </w:pPr>
      <w:r>
        <w:rPr>
          <w:rFonts w:ascii="Arial" w:cs="Arial" w:eastAsia="Arial" w:hAnsi="Arial"/>
          <w:b/>
          <w:bCs/>
          <w:sz w:val="22"/>
          <w:szCs w:val="22"/>
        </w:rPr>
        <w:t xml:space="preserve">Mass-sheet positivity:</w:t>
      </w:r>
      <w:r>
        <w:rPr>
          <w:rFonts w:ascii="Arial" w:cs="Arial" w:eastAsia="Arial" w:hAnsi="Arial"/>
          <w:sz w:val="22"/>
          <w:szCs w:val="22"/>
        </w:rPr>
        <w:t xml:space="preserve"> L_pos = λ · ||min(κ_pred, 0)||_2², penalising negative convergence (non-physical surface mass density).</w:t>
      </w:r>
    </w:p>
    <w:p>
      <w:pPr>
        <w:pStyle w:val="ListParagraph"/>
        <w:numPr>
          <w:ilvl w:val="0"/>
          <w:numId w:val="2"/>
        </w:numPr>
        <w:spacing w:before="60" w:after="60"/>
      </w:pPr>
      <w:r>
        <w:rPr>
          <w:rFonts w:ascii="Arial" w:cs="Arial" w:eastAsia="Arial" w:hAnsi="Arial"/>
          <w:b/>
          <w:bCs/>
          <w:sz w:val="22"/>
          <w:szCs w:val="22"/>
        </w:rPr>
        <w:t xml:space="preserve">Power-spectrum moment constraint:</w:t>
      </w:r>
      <w:r>
        <w:rPr>
          <w:rFonts w:ascii="Arial" w:cs="Arial" w:eastAsia="Arial" w:hAnsi="Arial"/>
          <w:sz w:val="22"/>
          <w:szCs w:val="22"/>
        </w:rPr>
        <w:t xml:space="preserve"> L_ps = ||P_generated(ℓ) − P_target(ℓ)||_2 over the angular power spectrum, where P_target is estimated from the lenstronomy re-simulated κ training set. This enforces that generated κ maps have the correct statistical structure at all spatial scales.</w:t>
      </w:r>
    </w:p>
    <w:p>
      <w:pPr>
        <w:pStyle w:val="ListParagraph"/>
        <w:numPr>
          <w:ilvl w:val="0"/>
          <w:numId w:val="2"/>
        </w:numPr>
        <w:spacing w:before="60" w:after="60"/>
      </w:pPr>
      <w:r>
        <w:rPr>
          <w:rFonts w:ascii="Arial" w:cs="Arial" w:eastAsia="Arial" w:hAnsi="Arial"/>
          <w:b/>
          <w:bCs/>
          <w:sz w:val="22"/>
          <w:szCs w:val="22"/>
        </w:rPr>
        <w:t xml:space="preserve">κ-normalisation constraint (mass-sheet degeneracy fix):</w:t>
      </w:r>
      <w:r>
        <w:rPr>
          <w:rFonts w:ascii="Arial" w:cs="Arial" w:eastAsia="Arial" w:hAnsi="Arial"/>
          <w:sz w:val="22"/>
          <w:szCs w:val="22"/>
        </w:rPr>
        <w:t xml:space="preserve"> L_norm = ||κ̅(&lt;θ_E)_pred − 1.0||², penalising deviation of the mean convergence within the predicted Einstein radius annulus from its physical value of 1.0. This soft constraint directly addresses the mass-sheet degeneracy and is complementary to the hard normalisation applied during Stage 1 training.</w:t>
      </w:r>
    </w:p>
    <w:p>
      <w:pPr>
        <w:spacing w:before="80" w:after="80"/>
      </w:pPr>
      <w:r>
        <w:rPr>
          <w:rFonts w:ascii="Arial" w:cs="Arial" w:eastAsia="Arial" w:hAnsi="Arial"/>
          <w:b/>
          <w:bCs/>
          <w:sz w:val="22"/>
          <w:szCs w:val="22"/>
        </w:rPr>
        <w:t xml:space="preserve">Note on Kaiser-Squires:</w:t>
      </w:r>
      <w:r>
        <w:rPr>
          <w:rFonts w:ascii="Arial" w:cs="Arial" w:eastAsia="Arial" w:hAnsi="Arial"/>
          <w:sz w:val="22"/>
          <w:szCs w:val="22"/>
        </w:rPr>
        <w:t xml:space="preserve"> The Kaiser-Squires algorithm is a weak-lensing technique designed for statistical shear reconstruction over large sky patches. It is not directly applicable to the non-linear, localised fields of strong lensing. This ablation uses the lens-equation residual loss instead, which is the principled strong-lensing analogue. KS is not used.</w:t>
      </w:r>
    </w:p>
    <w:p>
      <w:pPr>
        <w:pStyle w:val="Heading2"/>
        <w:spacing w:before="260" w:after="100"/>
      </w:pPr>
      <w:r>
        <w:rPr>
          <w:rFonts w:ascii="Arial" w:cs="Arial" w:eastAsia="Arial" w:hAnsi="Arial"/>
          <w:b/>
          <w:bCs/>
          <w:color w:val="2E5EA3"/>
          <w:sz w:val="26"/>
          <w:szCs w:val="26"/>
        </w:rPr>
        <w:t xml:space="preserve">2.7  Evaluation Suite</w:t>
      </w:r>
    </w:p>
    <w:p>
      <w:pPr>
        <w:spacing w:before="180" w:after="60"/>
      </w:pPr>
      <w:r>
        <w:rPr>
          <w:rFonts w:ascii="Arial" w:cs="Arial" w:eastAsia="Arial" w:hAnsi="Arial"/>
          <w:b/>
          <w:bCs/>
          <w:color w:val="2E4057"/>
          <w:sz w:val="22"/>
          <w:szCs w:val="22"/>
        </w:rPr>
        <w:t xml:space="preserve">Physical Consistency Metrics</w:t>
      </w:r>
    </w:p>
    <w:p>
      <w:pPr>
        <w:pStyle w:val="ListParagraph"/>
        <w:numPr>
          <w:ilvl w:val="0"/>
          <w:numId w:val="2"/>
        </w:numPr>
        <w:spacing w:before="60" w:after="60"/>
      </w:pPr>
      <w:r>
        <w:rPr>
          <w:rFonts w:ascii="Arial" w:cs="Arial" w:eastAsia="Arial" w:hAnsi="Arial"/>
          <w:sz w:val="22"/>
          <w:szCs w:val="22"/>
        </w:rPr>
        <w:t xml:space="preserve">PSNR, SSIM, MSE vs. lenstronomy classical simulations (mirrors FlowLensing Table 1)</w:t>
      </w:r>
    </w:p>
    <w:p>
      <w:pPr>
        <w:pStyle w:val="ListParagraph"/>
        <w:numPr>
          <w:ilvl w:val="0"/>
          <w:numId w:val="2"/>
        </w:numPr>
        <w:spacing w:before="60" w:after="60"/>
      </w:pPr>
      <w:r>
        <w:rPr>
          <w:rFonts w:ascii="Arial" w:cs="Arial" w:eastAsia="Arial" w:hAnsi="Arial"/>
          <w:sz w:val="22"/>
          <w:szCs w:val="22"/>
        </w:rPr>
        <w:t xml:space="preserve">Angular power spectrum P(ℓ): mean and standard deviation per dark matter class, KS-test p-value vs. classical</w:t>
      </w:r>
    </w:p>
    <w:p>
      <w:pPr>
        <w:pStyle w:val="ListParagraph"/>
        <w:numPr>
          <w:ilvl w:val="0"/>
          <w:numId w:val="2"/>
        </w:numPr>
        <w:spacing w:before="60" w:after="60"/>
      </w:pPr>
      <w:r>
        <w:rPr>
          <w:rFonts w:ascii="Arial" w:cs="Arial" w:eastAsia="Arial" w:hAnsi="Arial"/>
          <w:sz w:val="22"/>
          <w:szCs w:val="22"/>
        </w:rPr>
        <w:t xml:space="preserve">Einstein radius distribution: KS-test p-value, generated vs. classical</w:t>
      </w:r>
    </w:p>
    <w:p>
      <w:pPr>
        <w:pStyle w:val="ListParagraph"/>
        <w:numPr>
          <w:ilvl w:val="0"/>
          <w:numId w:val="2"/>
        </w:numPr>
        <w:spacing w:before="60" w:after="60"/>
      </w:pPr>
      <w:r>
        <w:rPr>
          <w:rFonts w:ascii="Arial" w:cs="Arial" w:eastAsia="Arial" w:hAnsi="Arial"/>
          <w:sz w:val="22"/>
          <w:szCs w:val="22"/>
        </w:rPr>
        <w:t xml:space="preserve">Mass-positivity rate: fraction of generated κ maps with min(κ) ≥ 0</w:t>
      </w:r>
    </w:p>
    <w:p>
      <w:pPr>
        <w:pStyle w:val="ListParagraph"/>
        <w:numPr>
          <w:ilvl w:val="0"/>
          <w:numId w:val="2"/>
        </w:numPr>
        <w:spacing w:before="60" w:after="60"/>
      </w:pPr>
      <w:r>
        <w:rPr>
          <w:rFonts w:ascii="Arial" w:cs="Arial" w:eastAsia="Arial" w:hAnsi="Arial"/>
          <w:b/>
          <w:bCs/>
          <w:sz w:val="22"/>
          <w:szCs w:val="22"/>
        </w:rPr>
        <w:t xml:space="preserve">FID (domain-aware):</w:t>
      </w:r>
      <w:r>
        <w:rPr>
          <w:rFonts w:ascii="Arial" w:cs="Arial" w:eastAsia="Arial" w:hAnsi="Arial"/>
          <w:sz w:val="22"/>
          <w:szCs w:val="22"/>
        </w:rPr>
        <w:t xml:space="preserve"> computed on ResNet-18 fine-tuned on DeepLense, not Inception-v3. FlowLensing explicitly warns that Inception features “may not be an ideal indicator of astrophysical realism” [5]. Inception Score (IS) is not used.</w:t>
      </w:r>
    </w:p>
    <w:p>
      <w:pPr>
        <w:spacing w:before="180" w:after="60"/>
      </w:pPr>
      <w:r>
        <w:rPr>
          <w:rFonts w:ascii="Arial" w:cs="Arial" w:eastAsia="Arial" w:hAnsi="Arial"/>
          <w:b/>
          <w:bCs/>
          <w:color w:val="2E4057"/>
          <w:sz w:val="22"/>
          <w:szCs w:val="22"/>
        </w:rPr>
        <w:t xml:space="preserve">Downstream Utility Metrics</w:t>
      </w:r>
    </w:p>
    <w:p>
      <w:pPr>
        <w:pStyle w:val="ListParagraph"/>
        <w:numPr>
          <w:ilvl w:val="0"/>
          <w:numId w:val="2"/>
        </w:numPr>
        <w:spacing w:before="60" w:after="60"/>
      </w:pPr>
      <w:r>
        <w:rPr>
          <w:rFonts w:ascii="Arial" w:cs="Arial" w:eastAsia="Arial" w:hAnsi="Arial"/>
          <w:sz w:val="22"/>
          <w:szCs w:val="22"/>
        </w:rPr>
        <w:t xml:space="preserve">ResNet-18 AUC: train on generated data, evaluate on held-out classical simulations (measures simulation fidelity)</w:t>
      </w:r>
    </w:p>
    <w:p>
      <w:pPr>
        <w:pStyle w:val="ListParagraph"/>
        <w:numPr>
          <w:ilvl w:val="0"/>
          <w:numId w:val="2"/>
        </w:numPr>
        <w:spacing w:before="60" w:after="60"/>
      </w:pPr>
      <w:r>
        <w:rPr>
          <w:rFonts w:ascii="Arial" w:cs="Arial" w:eastAsia="Arial" w:hAnsi="Arial"/>
          <w:sz w:val="22"/>
          <w:szCs w:val="22"/>
        </w:rPr>
        <w:t xml:space="preserve">ResNet-18 AUC: train on classical, evaluate on generated (measures distribution coverage)</w:t>
      </w:r>
    </w:p>
    <w:p>
      <w:pPr>
        <w:pStyle w:val="ListParagraph"/>
        <w:numPr>
          <w:ilvl w:val="0"/>
          <w:numId w:val="2"/>
        </w:numPr>
        <w:spacing w:before="60" w:after="60"/>
      </w:pPr>
      <w:r>
        <w:rPr>
          <w:rFonts w:ascii="Arial" w:cs="Arial" w:eastAsia="Arial" w:hAnsi="Arial"/>
          <w:sz w:val="22"/>
          <w:szCs w:val="22"/>
        </w:rPr>
        <w:t>domain adaptation (DA): Alexander et al. (2021) [3] protocol — augment real-image fine-tuning with generated samples, measure transfer accuracy improvement</w:t>
      </w:r>
    </w:p>
    <w:p>
      <w:pPr>
        <w:pStyle w:val="ListParagraph"/>
        <w:numPr>
          <w:ilvl w:val="0"/>
          <w:numId w:val="2"/>
        </w:numPr>
        <w:spacing w:before="60" w:after="60"/>
      </w:pPr>
      <w:r>
        <w:rPr>
          <w:rFonts w:ascii="Arial" w:cs="Arial" w:eastAsia="Arial" w:hAnsi="Arial"/>
          <w:sz w:val="22"/>
          <w:szCs w:val="22"/>
        </w:rPr>
        <w:t xml:space="preserve">4-row ablation table: FlowLensing baseline | Strategy 2 only | Strategy 2 + Ablation A | Strategy 2 + Ablation A + B</w:t>
      </w:r>
    </w:p>
    <w:p>
      <w:pPr>
        <w:pBdr>
          <w:bottom w:val="single" w:color="CCCCCC" w:sz="3" w:space="1"/>
        </w:pBdr>
        <w:spacing w:before="200" w:after="200"/>
      </w:pPr>
    </w:p>
    <w:p>
      <w:r>
        <w:t>Coding conventions: Black formatter, type hints, NumPy-style docstrings matching existing DeepLense repo style. CI: GitHub Actions with pytest ≥90% coverage gate on all new core modules before PR merge.</w:t>
      </w:r>
    </w:p>
    <w:p>
      <w:r>
        <w:t>Existing modules extended: deeplense/models/flow_lensing/ — FlowLensing baseline reproduced in parallel directory without modifying existing code.</w:t>
      </w:r>
    </w:p>
    <w:p>
      <w:r>
        <w:t>New modules: deeplense/models/flow_lensing_physics/ containing stage1_dit.py (κ-map flow-matching DiT, baseline + Ablation A), stage2_raytracer.py (kappa_to_deflection() + apply_lens_equation()), sersic_source.py (render_sersic() + Sérsic prior sampler), equivariant_unet.py (E(2)-equivariant U-Net for Ablation A), physics_losses.py (L_res, L_pos, L_ps, L_norm for Ablation B). Evaluation: deeplense/eval/physics_metrics.py (power spectrum P(ℓ), Einstein radius KS-test, domain-aware FID). Data: deeplense/data/kappa_simulator.py (lenstronomy κ re-simulation pipeline, multiprocessing.Pool parallelisation).</w:t>
      </w:r>
    </w:p>
    <w:p>
      <w:r>
        <w:t>Target repository: github.com/ML4SCI/DeepLense. Development in personal fork github.com/aditya26189/DeepLense; single PR opened against main at project end.</w:t>
      </w:r>
    </w:p>
    <w:p>
      <w:r>
        <w:rPr>
          <w:b/>
        </w:rPr>
        <w:t>2.8  Codebase Integration</w:t>
      </w:r>
    </w:p>
    <w:p>
      <w:pPr>
        <w:pStyle w:val="Heading1"/>
        <w:pBdr>
          <w:bottom w:val="single" w:color="1F4E79" w:sz="8" w:space="4"/>
        </w:pBdr>
        <w:spacing w:before="380" w:after="120"/>
      </w:pPr>
      <w:r>
        <w:rPr>
          <w:rFonts w:ascii="Arial" w:cs="Arial" w:eastAsia="Arial" w:hAnsi="Arial"/>
          <w:b/>
          <w:bCs/>
          <w:color w:val="1F4E79"/>
          <w:sz w:val="32"/>
          <w:szCs w:val="32"/>
        </w:rPr>
        <w:t xml:space="preserve">3. Implementation Plan and Timeline</w:t>
      </w:r>
    </w:p>
    <w:p>
      <w:pPr>
        <w:spacing w:before="80" w:after="80"/>
      </w:pPr>
      <w:r>
        <w:rPr>
          <w:rFonts w:ascii="Arial" w:cs="Arial" w:eastAsia="Arial" w:hAnsi="Arial"/>
          <w:sz w:val="22"/>
          <w:szCs w:val="22"/>
        </w:rPr>
        <w:t xml:space="preserve">350 hours over 22 weeks (~16 hours/week). IIT Kharagpur end-semester examinations conclude late April 2026, leaving the full GSoC coding period (May–October 2026) free. The timeline has hard gates: Ablations A and B only begin if the Strategy 2 foundation passes its Week 8 acceptance criteria (PSNR ≥ baseline, AUC ≥ baseline).</w:t>
      </w:r>
    </w:p>
    <w:p>
      <w:pPr>
        <w:spacing w:before="80" w:after="60"/>
      </w:pPr>
    </w:p>
    <w:tbl>
      <w:tblPr>
        <w:tblW w:type="auto" w:w="0"/>
        <w:tblLook w:firstColumn="1" w:firstRow="1" w:lastColumn="0" w:lastRow="0" w:noHBand="0" w:noVBand="1" w:val="04A0"/>
      </w:tblPr>
      <w:tblGrid>
        <w:gridCol w:w="2016"/>
        <w:gridCol w:w="2016"/>
        <w:gridCol w:w="2016"/>
        <w:gridCol w:w="2016"/>
        <w:gridCol w:w="2016"/>
      </w:tblGrid>
      <w:tr>
        <w:tc>
          <w:tcPr>
            <w:tcW w:type="dxa" w:w="2016"/>
          </w:tcPr>
          <w:p>
            <w:r>
              <w:t>Week</w:t>
            </w:r>
          </w:p>
        </w:tc>
        <w:tc>
          <w:tcPr>
            <w:tcW w:type="dxa" w:w="2016"/>
          </w:tcPr>
          <w:p>
            <w:r>
              <w:t>Phase</w:t>
            </w:r>
          </w:p>
        </w:tc>
        <w:tc>
          <w:tcPr>
            <w:tcW w:type="dxa" w:w="2016"/>
          </w:tcPr>
          <w:p>
            <w:r>
              <w:t>Tasks</w:t>
            </w:r>
          </w:p>
        </w:tc>
        <w:tc>
          <w:tcPr>
            <w:tcW w:type="dxa" w:w="2016"/>
          </w:tcPr>
          <w:p>
            <w:r>
              <w:t>Deliverable</w:t>
            </w:r>
          </w:p>
        </w:tc>
        <w:tc>
          <w:tcPr>
            <w:tcW w:type="dxa" w:w="2016"/>
          </w:tcPr>
          <w:p>
            <w:r>
              <w:t>Hours</w:t>
            </w:r>
          </w:p>
        </w:tc>
      </w:tr>
      <w:tr>
        <w:tc>
          <w:tcPr>
            <w:tcW w:type="dxa" w:w="2016"/>
          </w:tcPr>
          <w:p>
            <w:r>
              <w:t>CB</w:t>
            </w:r>
          </w:p>
        </w:tc>
        <w:tc>
          <w:tcPr>
            <w:tcW w:type="dxa" w:w="2016"/>
          </w:tcPr>
          <w:p>
            <w:r>
              <w:t>Community Bonding</w:t>
            </w:r>
          </w:p>
        </w:tc>
        <w:tc>
          <w:tcPr>
            <w:tcW w:type="dxa" w:w="2016"/>
          </w:tcPr>
          <w:p>
            <w:r>
              <w:t>Pre-coding orientation: finalize compute allocation (Kaggle T4/Colab Pro+), establish check-in cadence with mentors, and complete high-level codebase orientation. Confirm DeepLense metadata stores complete lens model parameters (ellipticity, position angle, profile type) sufficient for deterministic κ re-simulation.</w:t>
            </w:r>
          </w:p>
        </w:tc>
        <w:tc>
          <w:tcPr>
            <w:tcW w:type="dxa" w:w="2016"/>
          </w:tcPr>
          <w:p>
            <w:r>
              <w:t>Codebase familiarity + mentor alignment</w:t>
            </w:r>
          </w:p>
        </w:tc>
        <w:tc>
          <w:tcPr>
            <w:tcW w:type="dxa" w:w="2016"/>
          </w:tcPr>
          <w:p>
            <w:r>
              <w:t>Env setup + lit notes</w:t>
            </w:r>
          </w:p>
        </w:tc>
      </w:tr>
      <w:tr>
        <w:tc>
          <w:tcPr>
            <w:tcW w:type="dxa" w:w="2016"/>
          </w:tcPr>
          <w:p>
            <w:r>
              <w:t>1</w:t>
            </w:r>
          </w:p>
        </w:tc>
        <w:tc>
          <w:tcPr>
            <w:tcW w:type="dxa" w:w="2016"/>
          </w:tcPr>
          <w:p>
            <w:r>
              <w:t>Foundation</w:t>
            </w:r>
          </w:p>
        </w:tc>
        <w:tc>
          <w:tcPr>
            <w:tcW w:type="dxa" w:w="2016"/>
          </w:tcPr>
          <w:p>
            <w:r>
              <w:t>Technical work begins: deep literature review (FlowLensing [5], DDPM [4], escnn [12], DiT [9]). Set up DeepLense codebase, lenstronomy environment, wandb logging, and reproducibility seeds.</w:t>
            </w:r>
          </w:p>
        </w:tc>
        <w:tc>
          <w:tcPr>
            <w:tcW w:type="dxa" w:w="2016"/>
          </w:tcPr>
          <w:p>
            <w:r>
              <w:t>Env setup + lit notes + mentor call</w:t>
            </w:r>
          </w:p>
        </w:tc>
        <w:tc>
          <w:tcPr>
            <w:tcW w:type="dxa" w:w="2016"/>
          </w:tcPr>
          <w:p>
            <w:r>
              <w:t>16</w:t>
            </w:r>
          </w:p>
        </w:tc>
      </w:tr>
      <w:tr>
        <w:tc>
          <w:tcPr>
            <w:tcW w:type="dxa" w:w="2016"/>
          </w:tcPr>
          <w:p>
            <w:r>
              <w:t>2</w:t>
            </w:r>
          </w:p>
        </w:tc>
        <w:tc>
          <w:tcPr>
            <w:tcW w:type="dxa" w:w="2016"/>
          </w:tcPr>
          <w:p>
            <w:r>
              <w:t>Foundation</w:t>
            </w:r>
          </w:p>
        </w:tc>
        <w:tc>
          <w:tcPr>
            <w:tcW w:type="dxa" w:w="2016"/>
          </w:tcPr>
          <w:p>
            <w:r>
              <w:t>Reproduce FlowLensing baseline DiT on 3-class dataset (no substructure, CDM subhalo, axion vortex). Match reported PSNR, SSIM, MSE from FlowLensing Table 1. Debug training instabilities. Midterm target: training loss curves match FlowLensing reported behaviour. If full metric match not achieved by end of Week 2, proceed to Week 3 with best available checkpoint; metric match reattempted in Week 3 buffer.</w:t>
            </w:r>
          </w:p>
        </w:tc>
        <w:tc>
          <w:tcPr>
            <w:tcW w:type="dxa" w:w="2016"/>
          </w:tcPr>
          <w:p>
            <w:r>
              <w:t>Reproduced baseline (PSNR/SSIM/MSE matched)</w:t>
            </w:r>
          </w:p>
        </w:tc>
        <w:tc>
          <w:tcPr>
            <w:tcW w:type="dxa" w:w="2016"/>
          </w:tcPr>
          <w:p>
            <w:r>
              <w:t>18</w:t>
            </w:r>
          </w:p>
        </w:tc>
      </w:tr>
      <w:tr>
        <w:tc>
          <w:tcPr>
            <w:tcW w:type="dxa" w:w="2016"/>
          </w:tcPr>
          <w:p>
            <w:r>
              <w:t>3</w:t>
            </w:r>
          </w:p>
        </w:tc>
        <w:tc>
          <w:tcPr>
            <w:tcW w:type="dxa" w:w="2016"/>
          </w:tcPr>
          <w:p>
            <w:r>
              <w:t>Foundation</w:t>
            </w:r>
          </w:p>
        </w:tc>
        <w:tc>
          <w:tcPr>
            <w:tcW w:type="dxa" w:w="2016"/>
          </w:tcPr>
          <w:p>
            <w:r>
              <w:t>Complete baseline reproduction: match downstream AUC from FlowLensing Table 2 using ResNet-18 classifier. Generate lenstronomy classical simulation reference set (1,000 images per class). Design native PyTorch Stage 2 module: kappa_to_deflection() (FFT-based, with 2N×2N zero-padding) and apply_lens_equation() (grid_sample).</w:t>
            </w:r>
          </w:p>
        </w:tc>
        <w:tc>
          <w:tcPr>
            <w:tcW w:type="dxa" w:w="2016"/>
          </w:tcPr>
          <w:p>
            <w:r>
              <w:t>Stage 2 module (unit tested)</w:t>
            </w:r>
          </w:p>
        </w:tc>
        <w:tc>
          <w:tcPr>
            <w:tcW w:type="dxa" w:w="2016"/>
          </w:tcPr>
          <w:p>
            <w:r>
              <w:t>18</w:t>
            </w:r>
          </w:p>
        </w:tc>
      </w:tr>
      <w:tr>
        <w:tc>
          <w:tcPr>
            <w:tcW w:type="dxa" w:w="2016"/>
          </w:tcPr>
          <w:p>
            <w:r>
              <w:t>4</w:t>
            </w:r>
          </w:p>
        </w:tc>
        <w:tc>
          <w:tcPr>
            <w:tcW w:type="dxa" w:w="2016"/>
          </w:tcPr>
          <w:p>
            <w:r>
              <w:t>Foundation</w:t>
            </w:r>
          </w:p>
        </w:tc>
        <w:tc>
          <w:tcPr>
            <w:tcW w:type="dxa" w:w="2016"/>
          </w:tcPr>
          <w:p>
            <w:r>
              <w:t>Unit test Stage 2 deflection field against lenstronomy numerical output for 10 test κ maps, and confirm ∂L/∂κ autograd flow. Benchmark Stage 2 VRAM and latency across batch sizes 8/16/32 on T4 and A100. Implement gradient checkpointing for end-to-end fine-tuning. Confirm end-to-end VRAM ≤ 12 GB at batch=8 on T4.</w:t>
            </w:r>
          </w:p>
        </w:tc>
        <w:tc>
          <w:tcPr>
            <w:tcW w:type="dxa" w:w="2016"/>
          </w:tcPr>
          <w:p>
            <w:r>
              <w:t>Stage 2 perf benchmark</w:t>
            </w:r>
          </w:p>
        </w:tc>
        <w:tc>
          <w:tcPr>
            <w:tcW w:type="dxa" w:w="2016"/>
          </w:tcPr>
          <w:p>
            <w:r>
              <w:t>16</w:t>
            </w:r>
          </w:p>
        </w:tc>
      </w:tr>
      <w:tr>
        <w:tc>
          <w:tcPr>
            <w:tcW w:type="dxa" w:w="2016"/>
          </w:tcPr>
          <w:p>
            <w:r>
              <w:t>5</w:t>
            </w:r>
          </w:p>
        </w:tc>
        <w:tc>
          <w:tcPr>
            <w:tcW w:type="dxa" w:w="2016"/>
          </w:tcPr>
          <w:p>
            <w:r>
              <w:t>Foundation</w:t>
            </w:r>
          </w:p>
        </w:tc>
        <w:tc>
          <w:tcPr>
            <w:tcW w:type="dxa" w:w="2016"/>
          </w:tcPr>
          <w:p>
            <w:r>
              <w:t>Re-simulate κ map dataset: 10K images per class using lenstronomy.LensModel.kappa() with same (θ_E, x, y, s) parameter distributions as DeepLense. Sérsic source parameters sampled from lenstronomy default priors (n ∈ [0.5, 4.0], r_e log-normal at 0.2″, q ∈ [0.3, 1.0]). Generation parallelised via multiprocessing.Pool across 4 CPU cores; estimated wall-clock time 3–5 hours. Apply κ-normalisation (κ̅(&lt;θ_E) = 1.0) to all maps before saving. Store as HDF5. Verify Sérsic prior compatibility: compare Stage 2 output power spectrum and Einstein radius distribution against DeepLense baseline; priors adjusted if distributions diverge by &gt;1σ.</w:t>
            </w:r>
          </w:p>
        </w:tc>
        <w:tc>
          <w:tcPr>
            <w:tcW w:type="dxa" w:w="2016"/>
          </w:tcPr>
          <w:p>
            <w:r>
              <w:t>κ map dataset (HDF5)</w:t>
            </w:r>
          </w:p>
        </w:tc>
        <w:tc>
          <w:tcPr>
            <w:tcW w:type="dxa" w:w="2016"/>
          </w:tcPr>
          <w:p>
            <w:r>
              <w:t>18</w:t>
            </w:r>
          </w:p>
        </w:tc>
      </w:tr>
      <w:tr>
        <w:tc>
          <w:tcPr>
            <w:tcW w:type="dxa" w:w="2016"/>
          </w:tcPr>
          <w:p>
            <w:r>
              <w:t>6</w:t>
            </w:r>
          </w:p>
        </w:tc>
        <w:tc>
          <w:tcPr>
            <w:tcW w:type="dxa" w:w="2016"/>
          </w:tcPr>
          <w:p>
            <w:r>
              <w:t>Foundation</w:t>
            </w:r>
          </w:p>
        </w:tc>
        <w:tc>
          <w:tcPr>
            <w:tcW w:type="dxa" w:w="2016"/>
          </w:tcPr>
          <w:p>
            <w:r>
              <w:t>Train Stage 1 (κ-map flow-matching DiT) on κ dataset. Evaluate Stage 1 PSNR/SSIM on held-out κ maps. Run Stage 1 + Stage 2 pipeline end-to-end: generate first lensed images. Visual inspection and basic consistency checks.</w:t>
            </w:r>
          </w:p>
        </w:tc>
        <w:tc>
          <w:tcPr>
            <w:tcW w:type="dxa" w:w="2016"/>
          </w:tcPr>
          <w:p>
            <w:r>
              <w:t>Stage 1 trained model + first images</w:t>
            </w:r>
          </w:p>
        </w:tc>
        <w:tc>
          <w:tcPr>
            <w:tcW w:type="dxa" w:w="2016"/>
          </w:tcPr>
          <w:p>
            <w:r>
              <w:t>18</w:t>
            </w:r>
          </w:p>
        </w:tc>
      </w:tr>
      <w:tr>
        <w:tc>
          <w:tcPr>
            <w:tcW w:type="dxa" w:w="2016"/>
          </w:tcPr>
          <w:p>
            <w:r>
              <w:t>7</w:t>
            </w:r>
          </w:p>
        </w:tc>
        <w:tc>
          <w:tcPr>
            <w:tcW w:type="dxa" w:w="2016"/>
          </w:tcPr>
          <w:p>
            <w:r>
              <w:t>Foundation</w:t>
            </w:r>
          </w:p>
        </w:tc>
        <w:tc>
          <w:tcPr>
            <w:tcW w:type="dxa" w:w="2016"/>
          </w:tcPr>
          <w:p>
            <w:r>
              <w:t>Full evaluation of Strategy 2 pipeline: PSNR, SSIM, MSE, power spectrum P(ℓ), Einstein radius KS test, domain-aware FID. Downstream AUC experiment (ResNet-18, both train/test directions). Mid-project report to mentors.</w:t>
            </w:r>
          </w:p>
        </w:tc>
        <w:tc>
          <w:tcPr>
            <w:tcW w:type="dxa" w:w="2016"/>
          </w:tcPr>
          <w:p>
            <w:r>
              <w:t>Strategy 2 full evaluation + mid-report</w:t>
            </w:r>
          </w:p>
        </w:tc>
        <w:tc>
          <w:tcPr>
            <w:tcW w:type="dxa" w:w="2016"/>
          </w:tcPr>
          <w:p>
            <w:r>
              <w:t>16</w:t>
            </w:r>
          </w:p>
        </w:tc>
      </w:tr>
      <w:tr>
        <w:tc>
          <w:tcPr>
            <w:tcW w:type="dxa" w:w="2016"/>
          </w:tcPr>
          <w:p>
            <w:r>
              <w:t>8</w:t>
            </w:r>
          </w:p>
        </w:tc>
        <w:tc>
          <w:tcPr>
            <w:tcW w:type="dxa" w:w="2016"/>
          </w:tcPr>
          <w:p>
            <w:r>
              <w:t>Foundation</w:t>
            </w:r>
          </w:p>
        </w:tc>
        <w:tc>
          <w:tcPr>
            <w:tcW w:type="dxa" w:w="2016"/>
          </w:tcPr>
          <w:p>
            <w:r>
              <w:t>GATE CHECK: Does Strategy 2 meet acceptance criteria (PSNR ≥ baseline, AUC ≥ baseline)? If yes: proceed to Ablation A. If no: debug and re-train; Ablation A timeline shifts by 1 week. Optional: run end-to-end fine-tuning pass (Stage 1 + Stage 2 jointly).</w:t>
            </w:r>
          </w:p>
        </w:tc>
        <w:tc>
          <w:tcPr>
            <w:tcW w:type="dxa" w:w="2016"/>
          </w:tcPr>
          <w:p>
            <w:r>
              <w:t>Gate check + optional E2E fine-tune</w:t>
            </w:r>
          </w:p>
        </w:tc>
        <w:tc>
          <w:tcPr>
            <w:tcW w:type="dxa" w:w="2016"/>
          </w:tcPr>
          <w:p>
            <w:r>
              <w:t>16</w:t>
            </w:r>
          </w:p>
        </w:tc>
      </w:tr>
      <w:tr>
        <w:tc>
          <w:tcPr>
            <w:tcW w:type="dxa" w:w="2016"/>
          </w:tcPr>
          <w:p>
            <w:r>
              <w:t>9</w:t>
            </w:r>
          </w:p>
        </w:tc>
        <w:tc>
          <w:tcPr>
            <w:tcW w:type="dxa" w:w="2016"/>
          </w:tcPr>
          <w:p>
            <w:r>
              <w:t>Extension</w:t>
            </w:r>
          </w:p>
        </w:tc>
        <w:tc>
          <w:tcPr>
            <w:tcW w:type="dxa" w:w="2016"/>
          </w:tcPr>
          <w:p>
            <w:r>
              <w:t>Design E(2)-equivariant U-Net architecture for Stage 1: select escnn steerable field types (regular, irrep, trivial) at each encoder/decoder resolution level. Implement steerable convolutional blocks for first two encoder levels. Write E(2) equivariance unit tests: ≥ 8 rotation angles, residual ≤ 10⁻⁵. Verify class-label and θ_E conditioning injection is compatible with steerable feature representations. Train non-equivariant U-Net control (same architecture, standard Conv2d) alongside Ablation A to isolate equivariance contribution from architecture contribution.</w:t>
            </w:r>
          </w:p>
        </w:tc>
        <w:tc>
          <w:tcPr>
            <w:tcW w:type="dxa" w:w="2016"/>
          </w:tcPr>
          <w:p>
            <w:r>
              <w:t>Equivariant backbone (unit tested)</w:t>
            </w:r>
          </w:p>
        </w:tc>
        <w:tc>
          <w:tcPr>
            <w:tcW w:type="dxa" w:w="2016"/>
          </w:tcPr>
          <w:p>
            <w:r>
              <w:t>16</w:t>
            </w:r>
          </w:p>
        </w:tc>
      </w:tr>
      <w:tr>
        <w:tc>
          <w:tcPr>
            <w:tcW w:type="dxa" w:w="2016"/>
          </w:tcPr>
          <w:p>
            <w:r>
              <w:t>10</w:t>
            </w:r>
          </w:p>
        </w:tc>
        <w:tc>
          <w:tcPr>
            <w:tcW w:type="dxa" w:w="2016"/>
          </w:tcPr>
          <w:p>
            <w:r>
              <w:t>Extension</w:t>
            </w:r>
          </w:p>
        </w:tc>
        <w:tc>
          <w:tcPr>
            <w:tcW w:type="dxa" w:w="2016"/>
          </w:tcPr>
          <w:p>
            <w:r>
              <w:t>Integrate equivariant backbone into Stage 1 training loop. Run full training on κ dataset. First evaluation: κ PSNR/SSIM and power spectrum vs. non-equivariant Stage 1.</w:t>
            </w:r>
          </w:p>
        </w:tc>
        <w:tc>
          <w:tcPr>
            <w:tcW w:type="dxa" w:w="2016"/>
          </w:tcPr>
          <w:p>
            <w:r>
              <w:t>Strategy 1 trained κ generator</w:t>
            </w:r>
          </w:p>
        </w:tc>
        <w:tc>
          <w:tcPr>
            <w:tcW w:type="dxa" w:w="2016"/>
          </w:tcPr>
          <w:p>
            <w:r>
              <w:t>18</w:t>
            </w:r>
          </w:p>
        </w:tc>
      </w:tr>
      <w:tr>
        <w:tc>
          <w:tcPr>
            <w:tcW w:type="dxa" w:w="2016"/>
          </w:tcPr>
          <w:p>
            <w:r>
              <w:t>11</w:t>
            </w:r>
          </w:p>
        </w:tc>
        <w:tc>
          <w:tcPr>
            <w:tcW w:type="dxa" w:w="2016"/>
          </w:tcPr>
          <w:p>
            <w:r>
              <w:t>Ablation</w:t>
            </w:r>
          </w:p>
        </w:tc>
        <w:tc>
          <w:tcPr>
            <w:tcW w:type="dxa" w:w="2016"/>
          </w:tcPr>
          <w:p>
            <w:r>
              <w:t>Run Stage 1 (equivariant) + Stage 2 end-to-end. Full evaluation suite: PSNR, SSIM, power spectrum, AUC. Ablation table row: “Strategy 2 + Equivariance.”</w:t>
            </w:r>
          </w:p>
        </w:tc>
        <w:tc>
          <w:tcPr>
            <w:tcW w:type="dxa" w:w="2016"/>
          </w:tcPr>
          <w:p>
            <w:r>
              <w:t>Ablation A results</w:t>
            </w:r>
          </w:p>
        </w:tc>
        <w:tc>
          <w:tcPr>
            <w:tcW w:type="dxa" w:w="2016"/>
          </w:tcPr>
          <w:p>
            <w:r>
              <w:t>16</w:t>
            </w:r>
          </w:p>
        </w:tc>
      </w:tr>
      <w:tr>
        <w:tc>
          <w:tcPr>
            <w:tcW w:type="dxa" w:w="2016"/>
          </w:tcPr>
          <w:p>
            <w:r>
              <w:t>12</w:t>
            </w:r>
          </w:p>
        </w:tc>
        <w:tc>
          <w:tcPr>
            <w:tcW w:type="dxa" w:w="2016"/>
          </w:tcPr>
          <w:p>
            <w:r>
              <w:t>Ablation</w:t>
            </w:r>
          </w:p>
        </w:tc>
        <w:tc>
          <w:tcPr>
            <w:tcW w:type="dxa" w:w="2016"/>
          </w:tcPr>
          <w:p>
            <w:r>
              <w:t>Implement auxiliary decoder head on Stage 1 backbone for κ prediction. Implement lens-equation residual loss L_res = ||I_obs - Φ(κ_pred)||. Implement mass-positivity loss L_pos. Initial training with loss weights λ_res, λ_pos on Strategy 2 baseline.</w:t>
            </w:r>
          </w:p>
        </w:tc>
        <w:tc>
          <w:tcPr>
            <w:tcW w:type="dxa" w:w="2016"/>
          </w:tcPr>
          <w:p>
            <w:r>
              <w:t>Physics losses implemented</w:t>
            </w:r>
          </w:p>
        </w:tc>
        <w:tc>
          <w:tcPr>
            <w:tcW w:type="dxa" w:w="2016"/>
          </w:tcPr>
          <w:p>
            <w:r>
              <w:t>16</w:t>
            </w:r>
          </w:p>
        </w:tc>
      </w:tr>
      <w:tr>
        <w:tc>
          <w:tcPr>
            <w:tcW w:type="dxa" w:w="2016"/>
          </w:tcPr>
          <w:p>
            <w:r>
              <w:t>13</w:t>
            </w:r>
          </w:p>
        </w:tc>
        <w:tc>
          <w:tcPr>
            <w:tcW w:type="dxa" w:w="2016"/>
          </w:tcPr>
          <w:p>
            <w:r>
              <w:t>Ablation</w:t>
            </w:r>
          </w:p>
        </w:tc>
        <w:tc>
          <w:tcPr>
            <w:tcW w:type="dxa" w:w="2016"/>
          </w:tcPr>
          <w:p>
            <w:r>
              <w:t>2×2 grid search over loss weights (λ_res, λ_pos) — 4 training runs at reduced dataset size (10K images). Select best configuration by validation PSNR.</w:t>
            </w:r>
          </w:p>
        </w:tc>
        <w:tc>
          <w:tcPr>
            <w:tcW w:type="dxa" w:w="2016"/>
          </w:tcPr>
          <w:p>
            <w:r>
              <w:t>Loss weight sweep</w:t>
            </w:r>
          </w:p>
        </w:tc>
        <w:tc>
          <w:tcPr>
            <w:tcW w:type="dxa" w:w="2016"/>
          </w:tcPr>
          <w:p>
            <w:r>
              <w:t>16</w:t>
            </w:r>
          </w:p>
        </w:tc>
      </w:tr>
      <w:tr>
        <w:tc>
          <w:tcPr>
            <w:tcW w:type="dxa" w:w="2016"/>
          </w:tcPr>
          <w:p>
            <w:r>
              <w:t>14</w:t>
            </w:r>
          </w:p>
        </w:tc>
        <w:tc>
          <w:tcPr>
            <w:tcW w:type="dxa" w:w="2016"/>
          </w:tcPr>
          <w:p>
            <w:r>
              <w:t>Ablation</w:t>
            </w:r>
          </w:p>
        </w:tc>
        <w:tc>
          <w:tcPr>
            <w:tcW w:type="dxa" w:w="2016"/>
          </w:tcPr>
          <w:p>
            <w:r>
              <w:t>Run full training of Strategy 2 + Ablation B (best loss config). Full evaluation suite. Ablation table rows: “Strategy 2 + Physics Losses” and “All Combined.” (For the All Combined configuration, the auxiliary decoder head will be adapted to handle equivariant feature maps via a group-pooling dimensionality reduction layer before the final projection.)</w:t>
            </w:r>
          </w:p>
        </w:tc>
        <w:tc>
          <w:tcPr>
            <w:tcW w:type="dxa" w:w="2016"/>
          </w:tcPr>
          <w:p>
            <w:r>
              <w:t>Ablation B results + full ablation table</w:t>
            </w:r>
          </w:p>
        </w:tc>
        <w:tc>
          <w:tcPr>
            <w:tcW w:type="dxa" w:w="2016"/>
          </w:tcPr>
          <w:p>
            <w:r>
              <w:t>18</w:t>
            </w:r>
          </w:p>
        </w:tc>
      </w:tr>
      <w:tr>
        <w:tc>
          <w:tcPr>
            <w:tcW w:type="dxa" w:w="2016"/>
          </w:tcPr>
          <w:p>
            <w:r>
              <w:t>15</w:t>
            </w:r>
          </w:p>
        </w:tc>
        <w:tc>
          <w:tcPr>
            <w:tcW w:type="dxa" w:w="2016"/>
          </w:tcPr>
          <w:p>
            <w:r>
              <w:t>Ablation</w:t>
            </w:r>
          </w:p>
        </w:tc>
        <w:tc>
          <w:tcPr>
            <w:tcW w:type="dxa" w:w="2016"/>
          </w:tcPr>
          <w:p>
            <w:r>
              <w:t>Alexander et al. (2021) [3] DA experiment: use generated data from Strategy 2 (best variant) to augment real-image fine-tuning. Measure transfer accuracy improvement vs. no-augmentation baseline.</w:t>
            </w:r>
          </w:p>
        </w:tc>
        <w:tc>
          <w:tcPr>
            <w:tcW w:type="dxa" w:w="2016"/>
          </w:tcPr>
          <w:p>
            <w:r>
              <w:t>Sim-to-real gap results</w:t>
            </w:r>
          </w:p>
        </w:tc>
        <w:tc>
          <w:tcPr>
            <w:tcW w:type="dxa" w:w="2016"/>
          </w:tcPr>
          <w:p>
            <w:r>
              <w:t>16</w:t>
            </w:r>
          </w:p>
        </w:tc>
      </w:tr>
      <w:tr>
        <w:tc>
          <w:tcPr>
            <w:tcW w:type="dxa" w:w="2016"/>
          </w:tcPr>
          <w:p>
            <w:r>
              <w:t>16</w:t>
            </w:r>
          </w:p>
        </w:tc>
        <w:tc>
          <w:tcPr>
            <w:tcW w:type="dxa" w:w="2016"/>
          </w:tcPr>
          <w:p>
            <w:r>
              <w:t>Release</w:t>
            </w:r>
          </w:p>
        </w:tc>
        <w:tc>
          <w:tcPr>
            <w:tcW w:type="dxa" w:w="2016"/>
          </w:tcPr>
          <w:p>
            <w:r>
              <w:t>Generate diverse dataset: vary source Sérsic index, lens ellipticity, Einstein radius range. Apply HST, Euclid, and Rubin-like PSFs and noise levels. Rubin variant is a stretch goal — deprioritised if compute is constrained.</w:t>
            </w:r>
          </w:p>
        </w:tc>
        <w:tc>
          <w:tcPr>
            <w:tcW w:type="dxa" w:w="2016"/>
          </w:tcPr>
          <w:p>
            <w:r>
              <w:t>Diverse dataset (HST + Euclid)</w:t>
            </w:r>
          </w:p>
        </w:tc>
        <w:tc>
          <w:tcPr>
            <w:tcW w:type="dxa" w:w="2016"/>
          </w:tcPr>
          <w:p>
            <w:r>
              <w:t>14</w:t>
            </w:r>
          </w:p>
        </w:tc>
      </w:tr>
      <w:tr>
        <w:tc>
          <w:tcPr>
            <w:tcW w:type="dxa" w:w="2016"/>
          </w:tcPr>
          <w:p>
            <w:r>
              <w:t>17</w:t>
            </w:r>
          </w:p>
        </w:tc>
        <w:tc>
          <w:tcPr>
            <w:tcW w:type="dxa" w:w="2016"/>
          </w:tcPr>
          <w:p>
            <w:r>
              <w:t>Release</w:t>
            </w:r>
          </w:p>
        </w:tc>
        <w:tc>
          <w:tcPr>
            <w:tcW w:type="dxa" w:w="2016"/>
          </w:tcPr>
          <w:p>
            <w:r>
              <w:t>Package dataset: HDF5 format, metadata CSV, per-image parameter file, README with generation recipe. All dataset generation scripts included and documented.</w:t>
            </w:r>
          </w:p>
        </w:tc>
        <w:tc>
          <w:tcPr>
            <w:tcW w:type="dxa" w:w="2016"/>
          </w:tcPr>
          <w:p>
            <w:r>
              <w:t>Public dataset packaged</w:t>
            </w:r>
          </w:p>
        </w:tc>
        <w:tc>
          <w:tcPr>
            <w:tcW w:type="dxa" w:w="2016"/>
          </w:tcPr>
          <w:p>
            <w:r>
              <w:t>14</w:t>
            </w:r>
          </w:p>
        </w:tc>
      </w:tr>
      <w:tr>
        <w:tc>
          <w:tcPr>
            <w:tcW w:type="dxa" w:w="2016"/>
          </w:tcPr>
          <w:p>
            <w:r>
              <w:t>18</w:t>
            </w:r>
          </w:p>
        </w:tc>
        <w:tc>
          <w:tcPr>
            <w:tcW w:type="dxa" w:w="2016"/>
          </w:tcPr>
          <w:p>
            <w:r>
              <w:t>Release</w:t>
            </w:r>
          </w:p>
        </w:tc>
        <w:tc>
          <w:tcPr>
            <w:tcW w:type="dxa" w:w="2016"/>
          </w:tcPr>
          <w:p>
            <w:r>
              <w:t>Code clean-up: docstrings, type hints, unit tests (≥90% coverage on core modules). Begin integration into ML4SCI/DeepLense repository: open PR, CI/CD passes.</w:t>
            </w:r>
          </w:p>
        </w:tc>
        <w:tc>
          <w:tcPr>
            <w:tcW w:type="dxa" w:w="2016"/>
          </w:tcPr>
          <w:p>
            <w:r>
              <w:t>Open PR + CI passing</w:t>
            </w:r>
          </w:p>
        </w:tc>
        <w:tc>
          <w:tcPr>
            <w:tcW w:type="dxa" w:w="2016"/>
          </w:tcPr>
          <w:p>
            <w:r>
              <w:t>14</w:t>
            </w:r>
          </w:p>
        </w:tc>
      </w:tr>
      <w:tr>
        <w:tc>
          <w:tcPr>
            <w:tcW w:type="dxa" w:w="2016"/>
          </w:tcPr>
          <w:p>
            <w:r>
              <w:t>19</w:t>
            </w:r>
          </w:p>
        </w:tc>
        <w:tc>
          <w:tcPr>
            <w:tcW w:type="dxa" w:w="2016"/>
          </w:tcPr>
          <w:p>
            <w:r>
              <w:t>Release</w:t>
            </w:r>
          </w:p>
        </w:tc>
        <w:tc>
          <w:tcPr>
            <w:tcW w:type="dxa" w:w="2016"/>
          </w:tcPr>
          <w:p>
            <w:r>
              <w:t>Address PR review feedback. Write technical blog post and record 5-minute demo video. Draft final project report.</w:t>
            </w:r>
          </w:p>
        </w:tc>
        <w:tc>
          <w:tcPr>
            <w:tcW w:type="dxa" w:w="2016"/>
          </w:tcPr>
          <w:p>
            <w:r>
              <w:t>Blog + demo video</w:t>
            </w:r>
          </w:p>
        </w:tc>
        <w:tc>
          <w:tcPr>
            <w:tcW w:type="dxa" w:w="2016"/>
          </w:tcPr>
          <w:p>
            <w:r>
              <w:t>14</w:t>
            </w:r>
          </w:p>
        </w:tc>
      </w:tr>
      <w:tr>
        <w:tc>
          <w:tcPr>
            <w:tcW w:type="dxa" w:w="2016"/>
          </w:tcPr>
          <w:p>
            <w:r>
              <w:t>20–22</w:t>
            </w:r>
          </w:p>
        </w:tc>
        <w:tc>
          <w:tcPr>
            <w:tcW w:type="dxa" w:w="2016"/>
          </w:tcPr>
          <w:p>
            <w:r>
              <w:t>Release</w:t>
            </w:r>
          </w:p>
        </w:tc>
        <w:tc>
          <w:tcPr>
            <w:tcW w:type="dxa" w:w="2016"/>
          </w:tcPr>
          <w:p>
            <w:r>
              <w:t>Final report revision and submission. Mentor sign-off. Respond to any final PR changes. Buffer for any Week 8 gate-check-induced delays.</w:t>
            </w:r>
          </w:p>
        </w:tc>
        <w:tc>
          <w:tcPr>
            <w:tcW w:type="dxa" w:w="2016"/>
          </w:tcPr>
          <w:p>
            <w:r>
              <w:t>Merged PR + final report</w:t>
            </w:r>
          </w:p>
        </w:tc>
        <w:tc>
          <w:tcPr>
            <w:tcW w:type="dxa" w:w="2016"/>
          </w:tcPr>
          <w:p>
            <w:r>
              <w:t>14 (14 hrs/week × 3 weeks = 42 hrs)</w:t>
            </w:r>
          </w:p>
        </w:tc>
      </w:tr>
    </w:tbl>
    <w:p>
      <w:r>
        <w:rPr>
          <w:b/>
        </w:rPr>
        <w:t>3.1 Risk Register</w:t>
      </w:r>
    </w:p>
    <w:tbl>
      <w:tblPr>
        <w:tblW w:type="auto" w:w="0"/>
        <w:tblLook w:firstColumn="1" w:firstRow="1" w:lastColumn="0" w:lastRow="0" w:noHBand="0" w:noVBand="1" w:val="04A0"/>
      </w:tblPr>
      <w:tblGrid>
        <w:gridCol w:w="2016"/>
        <w:gridCol w:w="2016"/>
        <w:gridCol w:w="2016"/>
        <w:gridCol w:w="2016"/>
        <w:gridCol w:w="2016"/>
      </w:tblGrid>
      <w:tr>
        <w:tc>
          <w:tcPr>
            <w:tcW w:type="dxa" w:w="2016"/>
          </w:tcPr>
          <w:p>
            <w:r>
              <w:t>Risk</w:t>
            </w:r>
          </w:p>
        </w:tc>
        <w:tc>
          <w:tcPr>
            <w:tcW w:type="dxa" w:w="2016"/>
          </w:tcPr>
          <w:p>
            <w:r>
              <w:t>Trigger</w:t>
            </w:r>
          </w:p>
        </w:tc>
        <w:tc>
          <w:tcPr>
            <w:tcW w:type="dxa" w:w="2016"/>
          </w:tcPr>
          <w:p>
            <w:r>
              <w:t>Probability</w:t>
            </w:r>
          </w:p>
        </w:tc>
        <w:tc>
          <w:tcPr>
            <w:tcW w:type="dxa" w:w="2016"/>
          </w:tcPr>
          <w:p>
            <w:r>
              <w:t>Mitigation</w:t>
            </w:r>
          </w:p>
        </w:tc>
        <w:tc>
          <w:tcPr>
            <w:tcW w:type="dxa" w:w="2016"/>
          </w:tcPr>
          <w:p>
            <w:r>
              <w:t>De-scope Plan</w:t>
            </w:r>
          </w:p>
        </w:tc>
      </w:tr>
      <w:tr>
        <w:tc>
          <w:tcPr>
            <w:tcW w:type="dxa" w:w="2016"/>
          </w:tcPr>
          <w:p>
            <w:r>
              <w:t>Stage 1 κ dataset size insufficient</w:t>
            </w:r>
          </w:p>
        </w:tc>
        <w:tc>
          <w:tcPr>
            <w:tcW w:type="dxa" w:w="2016"/>
          </w:tcPr>
          <w:p>
            <w:r>
              <w:t>Stage 1 PSNR &lt; baseline by epoch 100</w:t>
            </w:r>
          </w:p>
        </w:tc>
        <w:tc>
          <w:tcPr>
            <w:tcW w:type="dxa" w:w="2016"/>
          </w:tcPr>
          <w:p>
            <w:r>
              <w:t>Medium</w:t>
            </w:r>
          </w:p>
        </w:tc>
        <w:tc>
          <w:tcPr>
            <w:tcW w:type="dxa" w:w="2016"/>
          </w:tcPr>
          <w:p>
            <w:r>
              <w:t>Expand to 30K images per class (90K total) (takes ~6h compute)</w:t>
            </w:r>
          </w:p>
        </w:tc>
        <w:tc>
          <w:tcPr>
            <w:tcW w:type="dxa" w:w="2016"/>
          </w:tcPr>
          <w:p>
            <w:r>
              <w:t>Ablations A and B dropped; baseline only</w:t>
            </w:r>
          </w:p>
        </w:tc>
      </w:tr>
      <w:tr>
        <w:tc>
          <w:tcPr>
            <w:tcW w:type="dxa" w:w="2016"/>
          </w:tcPr>
          <w:p>
            <w:r>
              <w:t>Stage 1 PSNR fails to meet baseline even after expansion</w:t>
            </w:r>
          </w:p>
        </w:tc>
        <w:tc>
          <w:tcPr>
            <w:tcW w:type="dxa" w:w="2016"/>
          </w:tcPr>
          <w:p>
            <w:r>
              <w:t>PSNR &lt; baseline on 30k images</w:t>
            </w:r>
          </w:p>
        </w:tc>
        <w:tc>
          <w:tcPr>
            <w:tcW w:type="dxa" w:w="2016"/>
          </w:tcPr>
          <w:p>
            <w:r>
              <w:t>Low</w:t>
            </w:r>
          </w:p>
        </w:tc>
        <w:tc>
          <w:tcPr>
            <w:tcW w:type="dxa" w:w="2016"/>
          </w:tcPr>
          <w:p>
            <w:r>
              <w:t>Use standard pre-trained architectures as fallback</w:t>
            </w:r>
          </w:p>
        </w:tc>
        <w:tc>
          <w:tcPr>
            <w:tcW w:type="dxa" w:w="2016"/>
          </w:tcPr>
          <w:p>
            <w:r>
              <w:t>Strategy 2 only</w:t>
            </w:r>
          </w:p>
        </w:tc>
      </w:tr>
      <w:tr>
        <w:tc>
          <w:tcPr>
            <w:tcW w:type="dxa" w:w="2016"/>
          </w:tcPr>
          <w:p>
            <w:r>
              <w:t>Equivariant U-Net (Ablation A) overhead exceeds limits</w:t>
            </w:r>
          </w:p>
        </w:tc>
        <w:tc>
          <w:tcPr>
            <w:tcW w:type="dxa" w:w="2016"/>
          </w:tcPr>
          <w:p>
            <w:r>
              <w:t>Training time makes weekly iteration impossible</w:t>
            </w:r>
          </w:p>
        </w:tc>
        <w:tc>
          <w:tcPr>
            <w:tcW w:type="dxa" w:w="2016"/>
          </w:tcPr>
          <w:p>
            <w:r>
              <w:t>High</w:t>
            </w:r>
          </w:p>
        </w:tc>
        <w:tc>
          <w:tcPr>
            <w:tcW w:type="dxa" w:w="2016"/>
          </w:tcPr>
          <w:p>
            <w:r>
              <w:t>Reduce network depth and channel capacity for Ablation A</w:t>
            </w:r>
          </w:p>
        </w:tc>
        <w:tc>
          <w:tcPr>
            <w:tcW w:type="dxa" w:w="2016"/>
          </w:tcPr>
          <w:p>
            <w:r>
              <w:t>Drop Ablation A entirely</w:t>
            </w:r>
          </w:p>
        </w:tc>
      </w:tr>
      <w:tr>
        <w:tc>
          <w:tcPr>
            <w:tcW w:type="dxa" w:w="2016"/>
          </w:tcPr>
          <w:p>
            <w:r>
              <w:t>Alexander et al. (2021) data inaccessible</w:t>
            </w:r>
          </w:p>
        </w:tc>
        <w:tc>
          <w:tcPr>
            <w:tcW w:type="dxa" w:w="2016"/>
          </w:tcPr>
          <w:p>
            <w:r>
              <w:t>Data not public or unavailable upon request</w:t>
            </w:r>
          </w:p>
        </w:tc>
        <w:tc>
          <w:tcPr>
            <w:tcW w:type="dxa" w:w="2016"/>
          </w:tcPr>
          <w:p>
            <w:r>
              <w:t>Medium</w:t>
            </w:r>
          </w:p>
        </w:tc>
        <w:tc>
          <w:tcPr>
            <w:tcW w:type="dxa" w:w="2016"/>
          </w:tcPr>
          <w:p>
            <w:r>
              <w:t>Evaluate DA on simulated noisy data instead</w:t>
            </w:r>
          </w:p>
        </w:tc>
        <w:tc>
          <w:tcPr>
            <w:tcW w:type="dxa" w:w="2016"/>
          </w:tcPr>
          <w:p>
            <w:r>
              <w:t>Drop real-data transfer claim</w:t>
            </w:r>
          </w:p>
        </w:tc>
      </w:tr>
      <w:tr>
        <w:tc>
          <w:tcPr>
            <w:tcW w:type="dxa" w:w="2016"/>
          </w:tcPr>
          <w:p>
            <w:r>
              <w:t>FlowLensing codebase unavailable or broken</w:t>
            </w:r>
          </w:p>
        </w:tc>
        <w:tc>
          <w:tcPr>
            <w:tcW w:type="dxa" w:w="2016"/>
          </w:tcPr>
          <w:p>
            <w:r>
              <w:t>Repo missing or requires undocumented dependencies</w:t>
            </w:r>
          </w:p>
        </w:tc>
        <w:tc>
          <w:tcPr>
            <w:tcW w:type="dxa" w:w="2016"/>
          </w:tcPr>
          <w:p>
            <w:r>
              <w:t>Low</w:t>
            </w:r>
          </w:p>
        </w:tc>
        <w:tc>
          <w:tcPr>
            <w:tcW w:type="dxa" w:w="2016"/>
          </w:tcPr>
          <w:p>
            <w:r>
              <w:t>Re-implement core FlowLensing architecture from paper specifications</w:t>
            </w:r>
          </w:p>
        </w:tc>
        <w:tc>
          <w:tcPr>
            <w:tcW w:type="dxa" w:w="2016"/>
          </w:tcPr>
          <w:p>
            <w:r>
              <w:t>Delay Week 1-2; drop stretch goals</w:t>
            </w:r>
          </w:p>
        </w:tc>
      </w:tr>
      <w:tr>
        <w:tc>
          <w:tcPr>
            <w:tcW w:type="dxa" w:w="2016"/>
          </w:tcPr>
          <w:p>
            <w:r>
              <w:t>Stage 2 FFT calibration error</w:t>
            </w:r>
          </w:p>
        </w:tc>
        <w:tc>
          <w:tcPr>
            <w:tcW w:type="dxa" w:w="2016"/>
          </w:tcPr>
          <w:p>
            <w:r>
              <w:t>Pixel error &gt; 1% compared to lenstronomy</w:t>
            </w:r>
          </w:p>
        </w:tc>
        <w:tc>
          <w:tcPr>
            <w:tcW w:type="dxa" w:w="2016"/>
          </w:tcPr>
          <w:p>
            <w:r>
              <w:t>Low</w:t>
            </w:r>
          </w:p>
        </w:tc>
        <w:tc>
          <w:tcPr>
            <w:tcW w:type="dxa" w:w="2016"/>
          </w:tcPr>
          <w:p>
            <w:r>
              <w:t>SIE analytical deflection fallback</w:t>
            </w:r>
          </w:p>
        </w:tc>
        <w:tc>
          <w:tcPr>
            <w:tcW w:type="dxa" w:w="2016"/>
          </w:tcPr>
          <w:p>
            <w:r>
              <w:t>Drop native PyTorch Stage 2, accept latency hit</w:t>
            </w:r>
          </w:p>
        </w:tc>
      </w:tr>
      <w:tr>
        <w:tc>
          <w:tcPr>
            <w:tcW w:type="dxa" w:w="2016"/>
          </w:tcPr>
          <w:p>
            <w:r>
              <w:t>Week 8 gate check fails</w:t>
            </w:r>
          </w:p>
        </w:tc>
        <w:tc>
          <w:tcPr>
            <w:tcW w:type="dxa" w:w="2016"/>
          </w:tcPr>
          <w:p>
            <w:r>
              <w:t>PSNR &lt; baseline at Week 8</w:t>
            </w:r>
          </w:p>
        </w:tc>
        <w:tc>
          <w:tcPr>
            <w:tcW w:type="dxa" w:w="2016"/>
          </w:tcPr>
          <w:p>
            <w:r>
              <w:t>Medium</w:t>
            </w:r>
          </w:p>
        </w:tc>
        <w:tc>
          <w:tcPr>
            <w:tcW w:type="dxa" w:w="2016"/>
          </w:tcPr>
          <w:p>
            <w:r>
              <w:t>1-week-per-failure timeline shift policy for architecture debugging</w:t>
            </w:r>
          </w:p>
        </w:tc>
        <w:tc>
          <w:tcPr>
            <w:tcW w:type="dxa" w:w="2016"/>
          </w:tcPr>
          <w:p>
            <w:r>
              <w:t>Drop Ablation A entirely</w:t>
            </w:r>
          </w:p>
        </w:tc>
      </w:tr>
    </w:tbl>
    <w:p>
      <w:pPr>
        <w:pBdr>
          <w:bottom w:val="single" w:color="CCCCCC" w:sz="3" w:space="1"/>
        </w:pBdr>
        <w:spacing w:before="200" w:after="200"/>
      </w:pPr>
    </w:p>
    <w:p>
      <w:pPr>
        <w:pStyle w:val="Heading1"/>
        <w:pBdr>
          <w:bottom w:val="single" w:color="1F4E79" w:sz="8" w:space="4"/>
        </w:pBdr>
        <w:spacing w:before="380" w:after="120"/>
      </w:pPr>
      <w:r>
        <w:rPr>
          <w:rFonts w:ascii="Arial" w:cs="Arial" w:eastAsia="Arial" w:hAnsi="Arial"/>
          <w:b/>
          <w:bCs/>
          <w:color w:val="1F4E79"/>
          <w:sz w:val="32"/>
          <w:szCs w:val="32"/>
        </w:rPr>
        <w:t xml:space="preserve">4. Expected Deliverables</w:t>
      </w:r>
    </w:p>
    <w:p>
      <w:pPr>
        <w:spacing w:before="140" w:after="60"/>
      </w:pPr>
      <w:r>
        <w:rPr>
          <w:rFonts w:ascii="Arial" w:cs="Arial" w:eastAsia="Arial" w:hAnsi="Arial"/>
          <w:b/>
          <w:bCs/>
          <w:color w:val="1F4E79"/>
          <w:sz w:val="24"/>
          <w:szCs w:val="24"/>
        </w:rPr>
        <w:t xml:space="preserve">Core Deliverables (unconditional commitments)</w:t>
      </w:r>
    </w:p>
    <w:p>
      <w:pPr>
        <w:pStyle w:val="ListParagraph"/>
        <w:numPr>
          <w:ilvl w:val="0"/>
          <w:numId w:val="2"/>
        </w:numPr>
        <w:spacing w:before="60" w:after="60"/>
      </w:pPr>
      <w:r>
        <w:rPr>
          <w:rFonts w:ascii="Arial" w:cs="Arial" w:eastAsia="Arial" w:hAnsi="Arial"/>
          <w:sz w:val="22"/>
          <w:szCs w:val="22"/>
        </w:rPr>
        <w:t xml:space="preserve">A working two-stage lensing simulator (Stage 1: flow-matching κ generator; Stage 2: native PyTorch differentiable ray-tracer) achieving equal or superior PSNR, SSIM, and downstream AUC to the FlowLensing baseline. Every generated image satisfies the gravitational lens equation by construction. This is the midterm deliverable (Week 8 gate check).</w:t>
      </w:r>
    </w:p>
    <w:p>
      <w:pPr>
        <w:pStyle w:val="ListParagraph"/>
        <w:numPr>
          <w:ilvl w:val="0"/>
          <w:numId w:val="2"/>
        </w:numPr>
        <w:spacing w:before="60" w:after="60"/>
      </w:pPr>
      <w:r>
        <w:rPr>
          <w:rFonts w:ascii="Arial" w:cs="Arial" w:eastAsia="Arial" w:hAnsi="Arial"/>
          <w:sz w:val="22"/>
          <w:szCs w:val="22"/>
        </w:rPr>
        <w:t xml:space="preserve">Clean, documented, unit-tested code integrated into ML4SCI/DeepLense as a merged PR with ≥90% coverage on core modules.</w:t>
      </w:r>
    </w:p>
    <w:p>
      <w:pPr>
        <w:pStyle w:val="ListParagraph"/>
        <w:numPr>
          <w:ilvl w:val="0"/>
          <w:numId w:val="2"/>
        </w:numPr>
        <w:spacing w:before="60" w:after="60"/>
      </w:pPr>
      <w:r>
        <w:rPr>
          <w:rFonts w:ascii="Arial" w:cs="Arial" w:eastAsia="Arial" w:hAnsi="Arial"/>
          <w:sz w:val="22"/>
          <w:szCs w:val="22"/>
        </w:rPr>
        <w:t xml:space="preserve">A technical blog post, 5-minute demo video, and final GSoC project report.</w:t>
      </w:r>
    </w:p>
    <w:p>
      <w:pPr>
        <w:spacing w:before="140" w:after="60"/>
      </w:pPr>
      <w:r>
        <w:rPr>
          <w:rFonts w:ascii="Arial" w:cs="Arial" w:eastAsia="Arial" w:hAnsi="Arial"/>
          <w:b/>
          <w:bCs/>
          <w:color w:val="2E5EA3"/>
          <w:sz w:val="24"/>
          <w:szCs w:val="24"/>
        </w:rPr>
        <w:t xml:space="preserve">Conditional Deliverables (if Week 8 gate check passes)</w:t>
      </w:r>
    </w:p>
    <w:p>
      <w:r>
        <w:t>Quantitative sim-to-real gap reduction via Alexander et al. (2021) domain adaptation protocol (Week 15).</w:t>
      </w:r>
    </w:p>
    <w:p>
      <w:pPr>
        <w:pStyle w:val="ListParagraph"/>
        <w:numPr>
          <w:ilvl w:val="0"/>
          <w:numId w:val="2"/>
        </w:numPr>
        <w:spacing w:before="60" w:after="60"/>
      </w:pPr>
      <w:r>
        <w:rPr>
          <w:rFonts w:ascii="Arial" w:cs="Arial" w:eastAsia="Arial" w:hAnsi="Arial"/>
          <w:sz w:val="22"/>
          <w:szCs w:val="22"/>
        </w:rPr>
        <w:t xml:space="preserve">A four-row controlled ablation table (baseline | Stage 2 core | + E(2) equivariant U-Net | + physics losses) isolating the marginal contribution of each mechanism on PSNR, power spectrum, and downstream AUC.</w:t>
      </w:r>
    </w:p>
    <w:p>
      <w:pPr>
        <w:pStyle w:val="ListParagraph"/>
        <w:numPr>
          <w:ilvl w:val="0"/>
          <w:numId w:val="2"/>
        </w:numPr>
        <w:spacing w:before="60" w:after="60"/>
      </w:pPr>
      <w:r>
        <w:rPr>
          <w:rFonts w:ascii="Arial" w:cs="Arial" w:eastAsia="Arial" w:hAnsi="Arial"/>
          <w:sz w:val="22"/>
          <w:szCs w:val="22"/>
        </w:rPr>
        <w:t xml:space="preserve">A publicly released dataset of ≥30,000 simulated lensing images across HST and Euclid observational conditions (noise models, PSFs).</w:t>
      </w:r>
    </w:p>
    <w:p>
      <w:pPr>
        <w:spacing w:before="140" w:after="60"/>
      </w:pPr>
      <w:r>
        <w:rPr>
          <w:rFonts w:ascii="Arial" w:cs="Arial" w:eastAsia="Arial" w:hAnsi="Arial"/>
          <w:b/>
          <w:bCs/>
          <w:color w:val="595959"/>
          <w:sz w:val="24"/>
          <w:szCs w:val="24"/>
        </w:rPr>
        <w:t xml:space="preserve">Stretch Goals (compute and time permitting)</w:t>
      </w:r>
    </w:p>
    <w:p>
      <w:pPr>
        <w:pStyle w:val="ListParagraph"/>
        <w:numPr>
          <w:ilvl w:val="0"/>
          <w:numId w:val="2"/>
        </w:numPr>
        <w:spacing w:before="60" w:after="60"/>
      </w:pPr>
      <w:r>
        <w:rPr>
          <w:rFonts w:ascii="Arial" w:cs="Arial" w:eastAsia="Arial" w:hAnsi="Arial"/>
          <w:sz w:val="22"/>
          <w:szCs w:val="22"/>
        </w:rPr>
        <w:t xml:space="preserve">Rubin/LSST noise model variant of the diverse dataset. Extension of the κ-map pipeline to continuous dark matter model parameters beyond the three discrete classes.</w:t>
      </w:r>
    </w:p>
    <w:p>
      <w:pPr>
        <w:pBdr>
          <w:bottom w:val="single" w:color="CCCCCC" w:sz="3" w:space="1"/>
        </w:pBdr>
        <w:spacing w:before="200" w:after="200"/>
      </w:pPr>
    </w:p>
    <w:p>
      <w:pPr>
        <w:pStyle w:val="Heading1"/>
        <w:pBdr>
          <w:bottom w:val="single" w:color="1F4E79" w:sz="8" w:space="4"/>
        </w:pBdr>
        <w:spacing w:before="380" w:after="120"/>
      </w:pPr>
      <w:r>
        <w:rPr>
          <w:rFonts w:ascii="Arial" w:cs="Arial" w:eastAsia="Arial" w:hAnsi="Arial"/>
          <w:b/>
          <w:bCs/>
          <w:color w:val="1F4E79"/>
          <w:sz w:val="32"/>
          <w:szCs w:val="32"/>
        </w:rPr>
        <w:t xml:space="preserve">5. Related Work</w:t>
      </w:r>
    </w:p>
    <w:p>
      <w:pPr>
        <w:pStyle w:val="ListParagraph"/>
        <w:numPr>
          <w:ilvl w:val="0"/>
          <w:numId w:val="2"/>
        </w:numPr>
        <w:spacing w:before="60" w:after="60"/>
      </w:pPr>
      <w:r>
        <w:rPr>
          <w:rFonts w:ascii="Arial" w:cs="Arial" w:eastAsia="Arial" w:hAnsi="Arial"/>
          <w:b/>
          <w:bCs/>
          <w:sz w:val="22"/>
          <w:szCs w:val="22"/>
        </w:rPr>
        <w:t>[1] Alexander et al. (2020, arXiv:1909.07346): Deep Learning the Morphology of Dark Matter Substructure — CNN classification of CDM subhalos vs. axion vortex substructure. Establishes the downstream classification protocol this proposal’s ablation table replicates.</w:t>
      </w:r>
      <w:r>
        <w:rPr>
          <w:rFonts w:ascii="Arial" w:cs="Arial" w:eastAsia="Arial" w:hAnsi="Arial"/>
          <w:sz w:val="22"/>
          <w:szCs w:val="22"/>
        </w:rPr>
      </w:r>
    </w:p>
    <w:p>
      <w:pPr>
        <w:pStyle w:val="ListParagraph"/>
        <w:numPr>
          <w:ilvl w:val="0"/>
          <w:numId w:val="2"/>
        </w:numPr>
        <w:spacing w:before="60" w:after="60"/>
      </w:pPr>
      <w:r>
        <w:rPr>
          <w:rFonts w:ascii="Arial" w:cs="Arial" w:eastAsia="Arial" w:hAnsi="Arial"/>
          <w:b/>
          <w:bCs/>
          <w:sz w:val="22"/>
          <w:szCs w:val="22"/>
        </w:rPr>
        <w:t xml:space="preserve">[2] Alexander et al. (2020, arXiv:2008.12731):</w:t>
      </w:r>
      <w:r>
        <w:rPr>
          <w:rFonts w:ascii="Arial" w:cs="Arial" w:eastAsia="Arial" w:hAnsi="Arial"/>
          <w:sz w:val="22"/>
          <w:szCs w:val="22"/>
        </w:rPr>
        <w:t xml:space="preserve"> Decoding Dark Matter Substructure without Supervision — unsupervised detection, enabling theory-agnostic inference.</w:t>
      </w:r>
    </w:p>
    <w:p>
      <w:pPr>
        <w:pStyle w:val="ListParagraph"/>
        <w:numPr>
          <w:ilvl w:val="0"/>
          <w:numId w:val="2"/>
        </w:numPr>
        <w:spacing w:before="60" w:after="60"/>
      </w:pPr>
      <w:r>
        <w:rPr>
          <w:rFonts w:ascii="Arial" w:cs="Arial" w:eastAsia="Arial" w:hAnsi="Arial"/>
          <w:b/>
          <w:bCs/>
          <w:sz w:val="22"/>
          <w:szCs w:val="22"/>
        </w:rPr>
        <w:t>[3] Alexander et al. (2021, arXiv:2112.12121): Domain Adaptation for Simulation-Based Dark Matter Searches — quantifies the sim-to-real gap; the DA protocol is the primary benchmark for this proposal.</w:t>
      </w:r>
      <w:r>
        <w:rPr>
          <w:rFonts w:ascii="Arial" w:cs="Arial" w:eastAsia="Arial" w:hAnsi="Arial"/>
          <w:sz w:val="22"/>
          <w:szCs w:val="22"/>
        </w:rPr>
      </w:r>
    </w:p>
    <w:p>
      <w:pPr>
        <w:pStyle w:val="ListParagraph"/>
        <w:numPr>
          <w:ilvl w:val="0"/>
          <w:numId w:val="2"/>
        </w:numPr>
        <w:spacing w:before="60" w:after="60"/>
      </w:pPr>
      <w:r>
        <w:rPr>
          <w:rFonts w:ascii="Arial" w:cs="Arial" w:eastAsia="Arial" w:hAnsi="Arial"/>
          <w:b/>
          <w:bCs/>
          <w:sz w:val="22"/>
          <w:szCs w:val="22"/>
        </w:rPr>
        <w:t xml:space="preserve">[4] Ho et al. (2020, arXiv:2006.11239):</w:t>
      </w:r>
      <w:r>
        <w:rPr>
          <w:rFonts w:ascii="Arial" w:cs="Arial" w:eastAsia="Arial" w:hAnsi="Arial"/>
          <w:sz w:val="22"/>
          <w:szCs w:val="22"/>
        </w:rPr>
        <w:t xml:space="preserve"> Denoising Diffusion Probabilistic Models — foundational DDPM paper establishing the noise schedule and reverse-process parameterisation underlying the DiT backbone used here.</w:t>
      </w:r>
    </w:p>
    <w:p>
      <w:pPr>
        <w:pStyle w:val="ListParagraph"/>
        <w:numPr>
          <w:ilvl w:val="0"/>
          <w:numId w:val="2"/>
        </w:numPr>
        <w:spacing w:before="60" w:after="60"/>
      </w:pPr>
      <w:r>
        <w:rPr>
          <w:rFonts w:ascii="Arial" w:cs="Arial" w:eastAsia="Arial" w:hAnsi="Arial"/>
          <w:b/>
          <w:bCs/>
          <w:sz w:val="22"/>
          <w:szCs w:val="22"/>
        </w:rPr>
        <w:t xml:space="preserve">[5] Sayed, Reddy, Toomey, Gleyzer (2025, arXiv:2510.07878):</w:t>
      </w:r>
      <w:r>
        <w:rPr>
          <w:rFonts w:ascii="Arial" w:cs="Arial" w:eastAsia="Arial" w:hAnsi="Arial"/>
          <w:sz w:val="22"/>
          <w:szCs w:val="22"/>
        </w:rPr>
        <w:t xml:space="preserve"> FlowLensing — direct predecessor. This proposal implements the exact future-work direction the FlowLensing authors identified: weaving lensing equations into the model’s architecture.</w:t>
      </w:r>
    </w:p>
    <w:p>
      <w:pPr>
        <w:pStyle w:val="ListParagraph"/>
        <w:numPr>
          <w:ilvl w:val="0"/>
          <w:numId w:val="2"/>
        </w:numPr>
        <w:spacing w:before="60" w:after="60"/>
      </w:pPr>
      <w:r>
        <w:rPr>
          <w:rFonts w:ascii="Arial" w:cs="Arial" w:eastAsia="Arial" w:hAnsi="Arial"/>
          <w:b/>
          <w:bCs/>
          <w:sz w:val="22"/>
          <w:szCs w:val="22"/>
        </w:rPr>
        <w:t xml:space="preserve">[6] Hoogeboom, Satorras, Vignac, Welling (2022, arXiv:2203.17003):</w:t>
      </w:r>
      <w:r>
        <w:rPr>
          <w:rFonts w:ascii="Arial" w:cs="Arial" w:eastAsia="Arial" w:hAnsi="Arial"/>
          <w:sz w:val="22"/>
          <w:szCs w:val="22"/>
        </w:rPr>
        <w:t xml:space="preserve"> Equivariant Diffusion for Molecule Generation in 3D — motivates Ablation A; demonstrates that E(3) equivariance in a diffusion model dramatically improves physical validity of generated structures.</w:t>
      </w:r>
    </w:p>
    <w:p>
      <w:pPr>
        <w:pStyle w:val="ListParagraph"/>
        <w:numPr>
          <w:ilvl w:val="0"/>
          <w:numId w:val="2"/>
        </w:numPr>
        <w:spacing w:before="60" w:after="60"/>
      </w:pPr>
      <w:r>
        <w:rPr>
          <w:rFonts w:ascii="Arial" w:cs="Arial" w:eastAsia="Arial" w:hAnsi="Arial"/>
          <w:b/>
          <w:bCs/>
          <w:sz w:val="22"/>
          <w:szCs w:val="22"/>
        </w:rPr>
        <w:t>[7] Adam et al. (2022, arXiv:2211.03812): Posterior Samples of Source Galaxies with Score-Based Priors — demonstrates score-based generative priors in the strong-lensing domain; directly motivates the physics-aware generation approach.</w:t>
      </w:r>
      <w:r>
        <w:rPr>
          <w:rFonts w:ascii="Arial" w:cs="Arial" w:eastAsia="Arial" w:hAnsi="Arial"/>
          <w:sz w:val="22"/>
          <w:szCs w:val="22"/>
        </w:rPr>
      </w:r>
    </w:p>
    <w:p>
      <w:pPr>
        <w:pStyle w:val="ListParagraph"/>
        <w:numPr>
          <w:ilvl w:val="0"/>
          <w:numId w:val="2"/>
        </w:numPr>
        <w:spacing w:before="60" w:after="60"/>
      </w:pPr>
      <w:r>
        <w:rPr>
          <w:rFonts w:ascii="Arial" w:cs="Arial" w:eastAsia="Arial" w:hAnsi="Arial"/>
          <w:b/>
          <w:bCs/>
          <w:sz w:val="22"/>
          <w:szCs w:val="22"/>
        </w:rPr>
        <w:t xml:space="preserve">[8] Lipman et al. (2022, arXiv:2210.02747):</w:t>
      </w:r>
      <w:r>
        <w:rPr>
          <w:rFonts w:ascii="Arial" w:cs="Arial" w:eastAsia="Arial" w:hAnsi="Arial"/>
          <w:sz w:val="22"/>
          <w:szCs w:val="22"/>
        </w:rPr>
        <w:t xml:space="preserve"> Flow Matching for Generative Modeling — introduces the CFM objective used in FlowLensing and reproduced as the baseline here.</w:t>
      </w:r>
    </w:p>
    <w:p>
      <w:pPr>
        <w:pStyle w:val="ListParagraph"/>
        <w:numPr>
          <w:ilvl w:val="0"/>
          <w:numId w:val="2"/>
        </w:numPr>
        <w:spacing w:before="60" w:after="60"/>
      </w:pPr>
      <w:r>
        <w:rPr>
          <w:rFonts w:ascii="Arial" w:cs="Arial" w:eastAsia="Arial" w:hAnsi="Arial"/>
          <w:b/>
          <w:bCs/>
          <w:sz w:val="22"/>
          <w:szCs w:val="22"/>
        </w:rPr>
        <w:t>Peebles &amp; Xie [DiT, 9]: Scalable Diffusion Models with Transformers (DiT) — the backbone architecture of FlowLensing and Stage 1.</w:t>
      </w:r>
      <w:r>
        <w:rPr>
          <w:rFonts w:ascii="Arial" w:cs="Arial" w:eastAsia="Arial" w:hAnsi="Arial"/>
          <w:sz w:val="22"/>
          <w:szCs w:val="22"/>
        </w:rPr>
      </w:r>
    </w:p>
    <w:p>
      <w:pPr>
        <w:pStyle w:val="ListParagraph"/>
        <w:numPr>
          <w:ilvl w:val="0"/>
          <w:numId w:val="2"/>
        </w:numPr>
        <w:spacing w:before="60" w:after="60"/>
      </w:pPr>
      <w:r>
        <w:rPr>
          <w:rFonts w:ascii="Arial" w:cs="Arial" w:eastAsia="Arial" w:hAnsi="Arial"/>
          <w:b/>
          <w:bCs/>
          <w:sz w:val="22"/>
          <w:szCs w:val="22"/>
        </w:rPr>
        <w:t xml:space="preserve">[10] Berezhiani &amp; Khoury (2015, arXiv:1507.01019):</w:t>
      </w:r>
      <w:r>
        <w:rPr>
          <w:rFonts w:ascii="Arial" w:cs="Arial" w:eastAsia="Arial" w:hAnsi="Arial"/>
          <w:sz w:val="22"/>
          <w:szCs w:val="22"/>
        </w:rPr>
        <w:t xml:space="preserve"> Theory of Dark Matter Superfluidity — theoretical motivation for vortex-type dark matter substructure in the axion vortex lensing class.</w:t>
      </w:r>
    </w:p>
    <w:p>
      <w:pPr>
        <w:pStyle w:val="ListParagraph"/>
        <w:numPr>
          <w:ilvl w:val="0"/>
          <w:numId w:val="2"/>
        </w:numPr>
        <w:spacing w:before="60" w:after="60"/>
      </w:pPr>
      <w:r>
        <w:rPr>
          <w:rFonts w:ascii="Arial" w:cs="Arial" w:eastAsia="Arial" w:hAnsi="Arial"/>
          <w:b/>
          <w:bCs/>
          <w:sz w:val="22"/>
          <w:szCs w:val="22"/>
        </w:rPr>
        <w:t xml:space="preserve">[11] Cohen &amp; Welling (2016, arXiv:1602.07576):</w:t>
      </w:r>
      <w:r>
        <w:rPr>
          <w:rFonts w:ascii="Arial" w:cs="Arial" w:eastAsia="Arial" w:hAnsi="Arial"/>
          <w:sz w:val="22"/>
          <w:szCs w:val="22"/>
        </w:rPr>
        <w:t xml:space="preserve"> Group Equivariant Convolutional Networks — foundational group-equivariance framework underlying escnn.</w:t>
      </w:r>
    </w:p>
    <w:p>
      <w:pPr>
        <w:pStyle w:val="ListParagraph"/>
        <w:numPr>
          <w:ilvl w:val="0"/>
          <w:numId w:val="2"/>
        </w:numPr>
        <w:spacing w:before="60" w:after="60"/>
      </w:pPr>
      <w:r>
        <w:rPr>
          <w:rFonts w:ascii="Arial" w:cs="Arial" w:eastAsia="Arial" w:hAnsi="Arial"/>
          <w:b/>
          <w:bCs/>
          <w:sz w:val="22"/>
          <w:szCs w:val="22"/>
        </w:rPr>
        <w:t xml:space="preserve">[12] Weiler &amp; Cesa (2019, arXiv:1911.08251):</w:t>
      </w:r>
      <w:r>
        <w:rPr>
          <w:rFonts w:ascii="Arial" w:cs="Arial" w:eastAsia="Arial" w:hAnsi="Arial"/>
          <w:sz w:val="22"/>
          <w:szCs w:val="22"/>
        </w:rPr>
        <w:t xml:space="preserve"> General E(2)-Equivariant Steerable CNNs (escnn) — provides the E(2) equivariant building blocks used in Ablation A.</w:t>
      </w:r>
    </w:p>
    <w:p>
      <w:pPr>
        <w:pStyle w:val="ListParagraph"/>
        <w:numPr>
          <w:ilvl w:val="0"/>
          <w:numId w:val="2"/>
        </w:numPr>
        <w:spacing w:before="60" w:after="60"/>
      </w:pPr>
      <w:r>
        <w:rPr>
          <w:rFonts w:ascii="Arial" w:cs="Arial" w:eastAsia="Arial" w:hAnsi="Arial"/>
          <w:b/>
          <w:bCs/>
          <w:sz w:val="22"/>
          <w:szCs w:val="22"/>
        </w:rPr>
        <w:t xml:space="preserve">[13] Hui, Ostriker, Tremaine, Witten (2017, arXiv:1610.08297):</w:t>
      </w:r>
      <w:r>
        <w:rPr>
          <w:rFonts w:ascii="Arial" w:cs="Arial" w:eastAsia="Arial" w:hAnsi="Arial"/>
          <w:sz w:val="22"/>
          <w:szCs w:val="22"/>
        </w:rPr>
        <w:t xml:space="preserve"> Ultralight Axions in Astronomy — establishes the theoretical basis for ultralight axion dark matter (m ≈ 10⁻²³ eV) forming quantum-pressure-driven vortex defects; the physical motivation for the axion vortex class in the DeepLense dataset.</w:t>
      </w:r>
    </w:p>
    <w:p>
      <w:pPr>
        <w:pStyle w:val="ListParagraph"/>
        <w:numPr>
          <w:ilvl w:val="0"/>
          <w:numId w:val="2"/>
        </w:numPr>
        <w:spacing w:before="60" w:after="60"/>
      </w:pPr>
      <w:r>
        <w:rPr>
          <w:rFonts w:ascii="Arial" w:cs="Arial" w:eastAsia="Arial" w:hAnsi="Arial"/>
          <w:b/>
          <w:bCs/>
          <w:sz w:val="22"/>
          <w:szCs w:val="22"/>
        </w:rPr>
        <w:t xml:space="preserve">[14] Cranmer, Brehmer, Louppe (2020, arXiv:1911.01429):</w:t>
      </w:r>
      <w:r>
        <w:rPr>
          <w:rFonts w:ascii="Arial" w:cs="Arial" w:eastAsia="Arial" w:hAnsi="Arial"/>
          <w:sz w:val="22"/>
          <w:szCs w:val="22"/>
        </w:rPr>
        <w:t xml:space="preserve"> The Frontier of Simulation-Based Inference — establishes the SBI paradigm: generating physically consistent simulations to train classifiers for scientific inference. This proposal is a direct instance of SBI applied to dark matter substructure; the two-stage κ-map pipeline advances SBI by hard-coding the forward model rather than approximating it.</w:t>
      </w:r>
    </w:p>
    <w:p>
      <w:pPr>
        <w:pBdr>
          <w:bottom w:val="single" w:color="CCCCCC" w:sz="3" w:space="1"/>
        </w:pBdr>
        <w:spacing w:before="200" w:after="200"/>
      </w:pPr>
    </w:p>
    <w:p>
      <w:pPr>
        <w:pStyle w:val="Heading1"/>
        <w:pBdr>
          <w:bottom w:val="single" w:color="1F4E79" w:sz="8" w:space="4"/>
        </w:pBdr>
        <w:spacing w:before="380" w:after="120"/>
      </w:pPr>
      <w:r>
        <w:rPr>
          <w:rFonts w:ascii="Arial" w:cs="Arial" w:eastAsia="Arial" w:hAnsi="Arial"/>
          <w:b/>
          <w:bCs/>
          <w:color w:val="1F4E79"/>
          <w:sz w:val="32"/>
          <w:szCs w:val="32"/>
        </w:rPr>
        <w:t xml:space="preserve">6. About Me</w:t>
      </w:r>
    </w:p>
    <w:p>
      <w:pPr>
        <w:pStyle w:val="Heading2"/>
        <w:spacing w:before="260" w:after="100"/>
      </w:pPr>
      <w:r>
        <w:rPr>
          <w:rFonts w:ascii="Arial" w:cs="Arial" w:eastAsia="Arial" w:hAnsi="Arial"/>
          <w:b/>
          <w:bCs/>
          <w:color w:val="2E5EA3"/>
          <w:sz w:val="26"/>
          <w:szCs w:val="26"/>
        </w:rPr>
        <w:t xml:space="preserve">6.1  Background</w:t>
      </w:r>
    </w:p>
    <w:p>
      <w:pPr>
        <w:spacing w:before="80" w:after="80"/>
      </w:pPr>
      <w:r>
        <w:rPr>
          <w:rFonts w:ascii="Arial" w:cs="Arial" w:eastAsia="Arial" w:hAnsi="Arial"/>
          <w:sz w:val="22"/>
          <w:szCs w:val="22"/>
        </w:rPr>
        <w:t xml:space="preserve">I am a third-year student (Batch of 2023) at the Indian Institute of Technology Kharagpur, pursuing a Dual Degree (B.Tech + M.Tech) in Mechanical Engineering with a specialisation in Engineering Entrepreneurship, CGPA 8.33/10. I hold a Minor in Computer Science &amp; Engineering and a Micro-Specialisation in Artificial Intelligence and Applications.</w:t>
      </w:r>
    </w:p>
    <w:p>
      <w:pPr>
        <w:spacing w:before="80" w:after="80"/>
      </w:pPr>
      <w:r>
        <w:rPr>
          <w:rFonts w:ascii="Arial" w:cs="Arial" w:eastAsia="Arial" w:hAnsi="Arial"/>
          <w:sz w:val="22"/>
          <w:szCs w:val="22"/>
        </w:rPr>
        <w:t xml:space="preserve">Coursework directly relevant to this proposal: Geometric Methods for Computer Vision (covering Lie groups, group representations, and equivariant architectures — the mathematical foundation of Ablation A); Artificial Intelligence; Probability &amp; Statistics; Linear Algebra. Primary deep learning framework: PyTorch (hard requirement for this project). Additional tools: HuggingFace Transformers, scikit-learn, NumPy, FastAPI, Docker.</w:t>
      </w:r>
    </w:p>
    <w:p>
      <w:pPr>
        <w:pStyle w:val="Heading2"/>
        <w:spacing w:before="260" w:after="100"/>
      </w:pPr>
      <w:r>
        <w:rPr>
          <w:rFonts w:ascii="Arial" w:cs="Arial" w:eastAsia="Arial" w:hAnsi="Arial"/>
          <w:b/>
          <w:bCs/>
          <w:color w:val="2E5EA3"/>
          <w:sz w:val="26"/>
          <w:szCs w:val="26"/>
        </w:rPr>
        <w:t xml:space="preserve">6.2  Relevant Technical Experience</w:t>
      </w:r>
    </w:p>
    <w:p>
      <w:pPr>
        <w:spacing w:before="180" w:after="60"/>
      </w:pPr>
      <w:r>
        <w:rPr>
          <w:rFonts w:ascii="Arial" w:cs="Arial" w:eastAsia="Arial" w:hAnsi="Arial"/>
          <w:b/>
          <w:bCs/>
          <w:color w:val="2E4057"/>
          <w:sz w:val="22"/>
          <w:szCs w:val="22"/>
        </w:rPr>
        <w:t xml:space="preserve">Project 1: WorldStrat Ensemble — Scientific Image Super-Resolution (January 2026)</w:t>
      </w:r>
    </w:p>
    <w:p>
      <w:pPr>
        <w:spacing w:before="80" w:after="80"/>
      </w:pPr>
      <w:r>
        <w:rPr>
          <w:rFonts w:ascii="Arial" w:cs="Arial" w:eastAsia="Arial" w:hAnsi="Arial"/>
          <w:sz w:val="22"/>
          <w:szCs w:val="22"/>
        </w:rPr>
        <w:t xml:space="preserve">Built a production-grade Swin2SR + Real-ESRGAN ensemble (28.6M + 16.7M parameters) for 4× super-resolution of Sentinel-2 satellite imagery to WorldView-3 resolution. Implemented three adaptive ensemble weighting strategies; validated on 149 samples across three terrain types, achieving PSNR 29.83 dB / SSIM 0.8456 (+0.24 dB over best single model). Built crash-proof inference with checkpoint auto-recovery and GPU OOM fallback.</w:t>
      </w:r>
    </w:p>
    <w:p>
      <w:pPr>
        <w:spacing w:before="80" w:after="80"/>
      </w:pPr>
      <w:r>
        <w:rPr>
          <w:rFonts w:ascii="Arial" w:cs="Arial" w:eastAsia="Arial" w:hAnsi="Arial"/>
          <w:b/>
          <w:bCs/>
          <w:sz w:val="22"/>
          <w:szCs w:val="22"/>
        </w:rPr>
        <w:t xml:space="preserve">Direct connection:</w:t>
      </w:r>
      <w:r>
        <w:rPr>
          <w:rFonts w:ascii="Arial" w:cs="Arial" w:eastAsia="Arial" w:hAnsi="Arial"/>
          <w:sz w:val="22"/>
          <w:szCs w:val="22"/>
        </w:rPr>
        <w:t xml:space="preserve"> FlowLensing Table 1 evaluates generated images on PSNR, SSIM, and MSE — exactly the metrics I computed and optimised in WorldStrat. Both tasks require scientific image generation in domains where standard FID is insufficient and domain-specific fidelity metrics are the ground truth. I have direct experience with Swin Transformer architectures (related to the ViT/DiT backbone of FlowLensing), GPU-constrained training pipelines, and the engineering discipline required to produce reproducible PSNR benchmarks.</w:t>
      </w:r>
    </w:p>
    <w:p>
      <w:pPr>
        <w:spacing w:before="180" w:after="60"/>
      </w:pPr>
      <w:r>
        <w:t>Project 2: CultRAG at SemEval-2026 Task 7 (Paper Under Review)</w:t>
      </w:r>
    </w:p>
    <w:p>
      <w:pPr>
        <w:spacing w:before="80" w:after="80"/>
      </w:pPr>
      <w:r>
        <w:rPr>
          <w:rFonts w:ascii="Arial" w:cs="Arial" w:eastAsia="Arial" w:hAnsi="Arial"/>
          <w:sz w:val="22"/>
          <w:szCs w:val="22"/>
        </w:rPr>
        <w:t xml:space="preserve">First-authored a research paper on hybrid sparse-dense retrieval for cultural QA, evaluating a 6-phase pipeline on 47K queries with 2-GPU tensor-parallel inference (Llama-3.1-8B, 4-bit NF4 quantisation). The paper includes a statistically rigorous ablation study with McNemar’s testing and per-locale breakdown of component contributions.</w:t>
      </w:r>
    </w:p>
    <w:p>
      <w:pPr>
        <w:spacing w:before="80" w:after="80"/>
      </w:pPr>
      <w:r>
        <w:rPr>
          <w:rFonts w:ascii="Arial" w:cs="Arial" w:eastAsia="Arial" w:hAnsi="Arial"/>
          <w:b/>
          <w:bCs/>
          <w:sz w:val="22"/>
          <w:szCs w:val="22"/>
        </w:rPr>
        <w:t xml:space="preserve">Direct connection:</w:t>
      </w:r>
      <w:r>
        <w:rPr>
          <w:rFonts w:ascii="Arial" w:cs="Arial" w:eastAsia="Arial" w:hAnsi="Arial"/>
          <w:sz w:val="22"/>
          <w:szCs w:val="22"/>
        </w:rPr>
        <w:t xml:space="preserve"> This proposal’s core deliverable is a controlled ablation table with four rows, each row requiring independent training runs and statistical comparison. I have already executed this experimental design at publication quality. I know how to isolate component contributions, report variance, and defend the methodology under peer review.</w:t>
      </w:r>
    </w:p>
    <w:p>
      <w:r>
        <w:t>Note: the dataset labels the CDM subhalo class as 'sphere' (spherical NFW subhalo profiles).</w:t>
      </w:r>
    </w:p>
    <w:p>
      <w:pPr>
        <w:spacing w:before="180" w:after="60"/>
      </w:pPr>
      <w:r>
        <w:rPr>
          <w:rFonts w:ascii="Arial" w:cs="Arial" w:eastAsia="Arial" w:hAnsi="Arial"/>
          <w:b/>
          <w:bCs/>
          <w:color w:val="2E4057"/>
          <w:sz w:val="22"/>
          <w:szCs w:val="22"/>
        </w:rPr>
        <w:t>Project 3: ML4SCI DeepLense Common Test — Equivariant 3-Class Gravitational Lensing Classification (March 2026)</w:t>
        <w:br/>
        <w:br/>
        <w:t>Architecture: C8LensNet (673K parameters) — cyclic-group C8 equivariant CNN using escnn steerable convolutions on rot2dOnR2(N=8), with GroupPooling to produce rotation-invariant features. Compared against ResNet-18 (11.2M parameters) with RandomRotation(180°) augmentation as baseline.</w:t>
        <w:br/>
        <w:br/>
        <w:t>Results on held-out test set:</w:t>
        <w:br/>
        <w:t xml:space="preserve">  no_sub  AUC: 0.9814 (C8) / 0.9886 (R18)</w:t>
        <w:br/>
        <w:t xml:space="preserve">  sphere  AUC: 0.9551 (C8) / 0.9683 (R18)</w:t>
        <w:br/>
        <w:t xml:space="preserve">  vort    AUC: 0.9781 (C8) / 0.9824 (R18)</w:t>
        <w:br/>
        <w:t xml:space="preserve">  Macro   AUC: 0.9715 (C8) / 0.9798 (R18)</w:t>
        <w:br/>
        <w:br/>
        <w:t>C8LensNet achieves macro AUC 0.9715 — within 0.83 pp of ResNet-18 — at 16.6× fewer parameters. Key finding: vort AUC 0.9781 with default argmax accuracy 67.9% is a calibration gap, not a representation failure — post-hoc threshold scaling recovers vort accuracy to 94.2% with zero AUC change, confirming the equivariant representation already contains full discriminative signal. What didn't work: direct argmax on the raw softmax underperforms at the narrow vort/sphere decision boundary due to systematic underconfidence in the GroupPool invariant space.</w:t>
      </w:r>
    </w:p>
    <w:p>
      <w:pPr>
        <w:spacing w:before="80" w:after="80"/>
      </w:pPr>
      <w:r>
        <w:rPr>
          <w:rFonts w:ascii="Arial" w:cs="Arial" w:eastAsia="Arial" w:hAnsi="Arial"/>
          <w:sz w:val="22"/>
          <w:szCs w:val="22"/>
        </w:rPr>
      </w:r>
    </w:p>
    <w:p>
      <w:pPr>
        <w:pStyle w:val="Heading2"/>
        <w:spacing w:before="260" w:after="100"/>
      </w:pPr>
      <w:r>
        <w:rPr>
          <w:rFonts w:ascii="Arial" w:cs="Arial" w:eastAsia="Arial" w:hAnsi="Arial"/>
          <w:b/>
          <w:bCs/>
          <w:color w:val="2E5EA3"/>
          <w:sz w:val="26"/>
          <w:szCs w:val="26"/>
        </w:rPr>
        <w:t xml:space="preserve">6.3  Why This Project, and Why the 350-Hour Track</w:t>
      </w:r>
    </w:p>
    <w:p>
      <w:pPr>
        <w:spacing w:before="80" w:after="80"/>
      </w:pPr>
      <w:r>
        <w:rPr>
          <w:rFonts w:ascii="Arial" w:cs="Arial" w:eastAsia="Arial" w:hAnsi="Arial"/>
          <w:sz w:val="22"/>
          <w:szCs w:val="22"/>
        </w:rPr>
        <w:t xml:space="preserve">The FlowLensing paper ends with a precise research question I can answer: “we aim to weave lensing equations into the model’s architecture.” The two-stage κ-map pipeline with native PyTorch ray-tracing is the exact architectural answer to that question — hard-coding the forward model as a differentiable operator is not a heuristic, it is the correct physics-informed generative design. I chose the 350-hour track because the 175-hour version of this proposal was architecturally overextended: it promised three independent architectural overhauls that would each require 175 hours to execute with the rigour this study demands. The 350-hour track allows me to execute the core pipeline completely, then build the ablations on top of a working foundation — which is the correct experimental design for a study that aims to isolate the contribution of each physics-encoding mechanism.</w:t>
      </w:r>
    </w:p>
    <w:p>
      <w:pPr>
        <w:spacing w:before="80" w:after="80"/>
      </w:pPr>
      <w:r>
        <w:rPr>
          <w:rFonts w:ascii="Arial" w:cs="Arial" w:eastAsia="Arial" w:hAnsi="Arial"/>
          <w:sz w:val="22"/>
          <w:szCs w:val="22"/>
        </w:rPr>
        <w:t xml:space="preserve">The Geometric Methods for Computer Vision coursework I completed at IIT Kharagpur covers the Lie group theory that makes E(2)-equivariant denoising principled rather than heuristically motivated. The PSNR/SSIM benchmarking discipline I developed in WorldStrat maps directly onto the FlowLensing evaluation protocol. And the ablation study methodology I applied in the CultRAG paper is the same methodology this project’s ablation table requires. I am not starting from zero.</w:t>
      </w:r>
    </w:p>
    <w:p>
      <w:pPr>
        <w:pStyle w:val="Heading2"/>
        <w:spacing w:before="260" w:after="100"/>
      </w:pPr>
      <w:r>
        <w:rPr>
          <w:rFonts w:ascii="Arial" w:cs="Arial" w:eastAsia="Arial" w:hAnsi="Arial"/>
          <w:b/>
          <w:bCs/>
          <w:color w:val="2E5EA3"/>
          <w:sz w:val="26"/>
          <w:szCs w:val="26"/>
        </w:rPr>
        <w:t xml:space="preserve">6.4  Availability and Communication</w:t>
      </w:r>
    </w:p>
    <w:p>
      <w:r>
        <w:t>Prior org engagement: Technical clarification regarding DeepLense dataset shape conventions and evaluation protocols was raised via the ML4SCI community forum prior to proposal submission.</w:t>
      </w:r>
    </w:p>
    <w:p>
      <w:pPr>
        <w:spacing w:before="80" w:after="80"/>
      </w:pPr>
      <w:r>
        <w:rPr>
          <w:rFonts w:ascii="Arial" w:cs="Arial" w:eastAsia="Arial" w:hAnsi="Arial"/>
          <w:sz w:val="22"/>
          <w:szCs w:val="22"/>
        </w:rPr>
        <w:t xml:space="preserve">I can commit 16–20 hours per week for the full GSoC coding period (May–October 2026). IIT Kharagpur end-semester examinations conclude late April 2026; the entire coding window is free of academic obligations. I am in IST (UTC+5:30) and will schedule weekly video calls at times convenient for US-Eastern (MIT, U. Florida, U. Alabama) timezones. I will send weekly written progress updates and flag blockers immediately. All technical questions will be directed to ml4-sci@cern.ch; I will not contact mentors directly by email.</w:t>
      </w:r>
    </w:p>
    <w:p>
      <w:pPr>
        <w:spacing w:before="80" w:after="80"/>
      </w:pPr>
      <w:r>
        <w:rPr>
          <w:rFonts w:ascii="Arial" w:cs="Arial" w:eastAsia="Arial" w:hAnsi="Arial"/>
          <w:b/>
          <w:bCs/>
          <w:sz w:val="22"/>
          <w:szCs w:val="22"/>
        </w:rPr>
        <w:t xml:space="preserve">GPU Compute.</w:t>
      </w:r>
      <w:r>
        <w:rPr>
          <w:rFonts w:ascii="Arial" w:cs="Arial" w:eastAsia="Arial" w:hAnsi="Arial"/>
          <w:sz w:val="22"/>
          <w:szCs w:val="22"/>
        </w:rPr>
        <w:t xml:space="preserve"> Primary compute: Kaggle free tier (30 GPU hours/week on T4/P100, persistent datasets, no session interruption on scheduled notebooks — tested and verified for multi-epoch training runs). Secondary: Google Colab Pro+ (A100 40 GB, used for end-to-end fine-tuning passes that exceed Kaggle’s VRAM). All training runs are checkpointed every 10 epochs using wandb artifacts saved to a persistent Kaggle dataset, so no progress is lost to session interruptions. If ML4SCI provides a compute allocation (as some GSoC organisations do), I will request it at acceptance and use it as the primary resource for Ablation A and B runs, which are the most VRAM-intensive phases. Based on comparable DiT workloads at 150×150 resolution, Stage 1 training throughput on a T4 GPU is estimated at 4–5 minutes per epoch at batch size 32. A full 10K×3-class Stage 1 training run is projected at approximately 18 hours end-to-end — fitting comfortably within the standard weekly Kaggle allocation.</w:t>
      </w:r>
    </w:p>
    <w:p>
      <w:pPr>
        <w:pBdr>
          <w:bottom w:val="single" w:color="CCCCCC" w:sz="3" w:space="1"/>
        </w:pBdr>
        <w:spacing w:before="200" w:after="200"/>
      </w:pPr>
    </w:p>
    <w:p>
      <w:pPr>
        <w:pStyle w:val="Heading1"/>
        <w:pBdr>
          <w:bottom w:val="single" w:color="1F4E79" w:sz="8" w:space="4"/>
        </w:pBdr>
        <w:spacing w:before="380" w:after="120"/>
      </w:pPr>
      <w:r>
        <w:rPr>
          <w:rFonts w:ascii="Arial" w:cs="Arial" w:eastAsia="Arial" w:hAnsi="Arial"/>
          <w:b/>
          <w:bCs/>
          <w:color w:val="1F4E79"/>
          <w:sz w:val="32"/>
          <w:szCs w:val="32"/>
        </w:rPr>
        <w:t xml:space="preserve">References</w:t>
      </w:r>
    </w:p>
    <w:p>
      <w:pPr>
        <w:pStyle w:val="ListParagraph"/>
        <w:numPr>
          <w:ilvl w:val="0"/>
          <w:numId w:val="3"/>
        </w:numPr>
        <w:spacing w:before="60" w:after="60"/>
      </w:pPr>
      <w:r>
        <w:rPr>
          <w:rFonts w:ascii="Arial" w:cs="Arial" w:eastAsia="Arial" w:hAnsi="Arial"/>
          <w:sz w:val="20"/>
          <w:szCs w:val="20"/>
        </w:rPr>
        <w:t xml:space="preserve">[1]  S. Alexander, S. Gleyzer, E. McDonough, M. W. Toomey, E. Usai. Deep Learning the Morphology of Dark Matter Substructure. Astrophys. J. 893, 15 (2020). arXiv:1909.07346.</w:t>
      </w:r>
    </w:p>
    <w:p>
      <w:pPr>
        <w:pStyle w:val="ListParagraph"/>
        <w:numPr>
          <w:ilvl w:val="0"/>
          <w:numId w:val="3"/>
        </w:numPr>
        <w:spacing w:before="60" w:after="60"/>
      </w:pPr>
      <w:r>
        <w:rPr>
          <w:rFonts w:ascii="Arial" w:cs="Arial" w:eastAsia="Arial" w:hAnsi="Arial"/>
          <w:sz w:val="20"/>
          <w:szCs w:val="20"/>
        </w:rPr>
        <w:t xml:space="preserve">[2]  S. Alexander, S. Gleyzer, H. Parul, P. Reddy, M. W. Toomey, E. Usai, R. Von Klar. Decoding Dark Matter Substructure without Supervision. arXiv:2008.12731 (2020).</w:t>
      </w:r>
    </w:p>
    <w:p>
      <w:pPr>
        <w:pStyle w:val="ListParagraph"/>
        <w:numPr>
          <w:ilvl w:val="0"/>
          <w:numId w:val="3"/>
        </w:numPr>
        <w:spacing w:before="60" w:after="60"/>
      </w:pPr>
      <w:r>
        <w:rPr>
          <w:rFonts w:ascii="Arial" w:cs="Arial" w:eastAsia="Arial" w:hAnsi="Arial"/>
          <w:sz w:val="20"/>
          <w:szCs w:val="20"/>
        </w:rPr>
        <w:t>[3]  S. Alexander, S. Gleyzer, P. Reddy, M. Tidball, M. W. Toomey. Domain Adaptation for Simulation-Based Dark Matter Searches Using Strong Gravitational Lensing. arXiv:2112.12121 (2021).</w:t>
      </w:r>
    </w:p>
    <w:p>
      <w:pPr>
        <w:pStyle w:val="ListParagraph"/>
        <w:numPr>
          <w:ilvl w:val="0"/>
          <w:numId w:val="3"/>
        </w:numPr>
        <w:spacing w:before="60" w:after="60"/>
      </w:pPr>
      <w:r>
        <w:rPr>
          <w:rFonts w:ascii="Arial" w:cs="Arial" w:eastAsia="Arial" w:hAnsi="Arial"/>
          <w:sz w:val="20"/>
          <w:szCs w:val="20"/>
        </w:rPr>
        <w:t xml:space="preserve">[4]  J. Ho, A. Jain, P. Abbeel. Denoising Diffusion Probabilistic Models. NeurIPS 2020. arXiv:2006.11239.</w:t>
      </w:r>
    </w:p>
    <w:p>
      <w:pPr>
        <w:pStyle w:val="ListParagraph"/>
        <w:numPr>
          <w:ilvl w:val="0"/>
          <w:numId w:val="3"/>
        </w:numPr>
        <w:spacing w:before="60" w:after="60"/>
      </w:pPr>
      <w:r>
        <w:rPr>
          <w:rFonts w:ascii="Arial" w:cs="Arial" w:eastAsia="Arial" w:hAnsi="Arial"/>
          <w:sz w:val="20"/>
          <w:szCs w:val="20"/>
        </w:rPr>
        <w:t xml:space="preserve">[5]  H. Sayed, P. Reddy, M. W. Toomey, S. Gleyzer. FlowLensing: Simulating Gravitational Lensing with Flow Matching. NeurIPS 2025. arXiv:2510.07878.</w:t>
      </w:r>
    </w:p>
    <w:p>
      <w:pPr>
        <w:pStyle w:val="ListParagraph"/>
        <w:numPr>
          <w:ilvl w:val="0"/>
          <w:numId w:val="3"/>
        </w:numPr>
        <w:spacing w:before="60" w:after="60"/>
      </w:pPr>
      <w:r>
        <w:rPr>
          <w:rFonts w:ascii="Arial" w:cs="Arial" w:eastAsia="Arial" w:hAnsi="Arial"/>
          <w:sz w:val="20"/>
          <w:szCs w:val="20"/>
        </w:rPr>
        <w:t xml:space="preserve">[6]  E. Hoogeboom, V. G. Satorras, C. Vignac, M. Welling. Equivariant Diffusion for Molecule Generation in 3D. ICML 2022. arXiv:2203.17003.</w:t>
      </w:r>
    </w:p>
    <w:p>
      <w:pPr>
        <w:pStyle w:val="ListParagraph"/>
        <w:numPr>
          <w:ilvl w:val="0"/>
          <w:numId w:val="3"/>
        </w:numPr>
        <w:spacing w:before="60" w:after="60"/>
      </w:pPr>
      <w:r>
        <w:rPr>
          <w:rFonts w:ascii="Arial" w:cs="Arial" w:eastAsia="Arial" w:hAnsi="Arial"/>
          <w:sz w:val="20"/>
          <w:szCs w:val="20"/>
        </w:rPr>
        <w:t>[7]  A. Adam, A. Coogan, N. Malkin, R. Legin, L. Perreault-Levasseur, Y. D. Hezaveh, Y. Bengio. Posterior Samples of Source Galaxies in Strong Gravitational Lenses with Score-Based Priors. arXiv:2211.03812 (2022).</w:t>
      </w:r>
    </w:p>
    <w:p>
      <w:pPr>
        <w:pStyle w:val="ListParagraph"/>
        <w:numPr>
          <w:ilvl w:val="0"/>
          <w:numId w:val="3"/>
        </w:numPr>
        <w:spacing w:before="60" w:after="60"/>
      </w:pPr>
      <w:r>
        <w:rPr>
          <w:rFonts w:ascii="Arial" w:cs="Arial" w:eastAsia="Arial" w:hAnsi="Arial"/>
          <w:sz w:val="20"/>
          <w:szCs w:val="20"/>
        </w:rPr>
        <w:t xml:space="preserve">[8]  Y. Lipman, R. T. Q. Chen, H. Ben-Hamu, M. Nickel, M. Le. Flow Matching for Generative Modeling. ICLR 2023. arXiv:2210.02747.</w:t>
      </w:r>
    </w:p>
    <w:p>
      <w:pPr>
        <w:pStyle w:val="ListParagraph"/>
        <w:numPr>
          <w:ilvl w:val="0"/>
          <w:numId w:val="3"/>
        </w:numPr>
        <w:spacing w:before="60" w:after="60"/>
      </w:pPr>
      <w:r>
        <w:rPr>
          <w:rFonts w:ascii="Arial" w:cs="Arial" w:eastAsia="Arial" w:hAnsi="Arial"/>
          <w:sz w:val="20"/>
          <w:szCs w:val="20"/>
        </w:rPr>
        <w:t>[9]  W. S. Peebles, S. Xie. Scalable Diffusion Models with Transformers (DiT). ICCV 2023. arXiv:2212.09748.</w:t>
      </w:r>
    </w:p>
    <w:p>
      <w:pPr>
        <w:pStyle w:val="ListParagraph"/>
        <w:numPr>
          <w:ilvl w:val="0"/>
          <w:numId w:val="3"/>
        </w:numPr>
        <w:spacing w:before="60" w:after="60"/>
      </w:pPr>
      <w:r>
        <w:rPr>
          <w:rFonts w:ascii="Arial" w:cs="Arial" w:eastAsia="Arial" w:hAnsi="Arial"/>
          <w:sz w:val="20"/>
          <w:szCs w:val="20"/>
        </w:rPr>
        <w:t xml:space="preserve">[10] L. Berezhiani, J. Khoury. Theory of Dark Matter Superfluidity. Phys. Rev. D 92, 103510 (2015). arXiv:1507.01019.</w:t>
      </w:r>
    </w:p>
    <w:p>
      <w:pPr>
        <w:pStyle w:val="ListParagraph"/>
        <w:numPr>
          <w:ilvl w:val="0"/>
          <w:numId w:val="3"/>
        </w:numPr>
        <w:spacing w:before="60" w:after="60"/>
      </w:pPr>
      <w:r>
        <w:rPr>
          <w:rFonts w:ascii="Arial" w:cs="Arial" w:eastAsia="Arial" w:hAnsi="Arial"/>
          <w:sz w:val="20"/>
          <w:szCs w:val="20"/>
        </w:rPr>
        <w:t xml:space="preserve">[11] T. S. Cohen, M. Welling. Group Equivariant Convolutional Networks. ICML 2016. arXiv:1602.07576.</w:t>
      </w:r>
    </w:p>
    <w:p>
      <w:pPr>
        <w:pStyle w:val="ListParagraph"/>
        <w:numPr>
          <w:ilvl w:val="0"/>
          <w:numId w:val="3"/>
        </w:numPr>
        <w:spacing w:before="60" w:after="60"/>
      </w:pPr>
      <w:r>
        <w:rPr>
          <w:rFonts w:ascii="Arial" w:cs="Arial" w:eastAsia="Arial" w:hAnsi="Arial"/>
          <w:sz w:val="20"/>
          <w:szCs w:val="20"/>
        </w:rPr>
        <w:t xml:space="preserve">[12] M. Weiler, G. Cesa. General E(2)-Equivariant Steerable CNNs. NeurIPS 2019. arXiv:1911.08251.</w:t>
      </w:r>
    </w:p>
    <w:p>
      <w:pPr>
        <w:pStyle w:val="ListParagraph"/>
        <w:numPr>
          <w:ilvl w:val="0"/>
          <w:numId w:val="3"/>
        </w:numPr>
        <w:spacing w:before="60" w:after="60"/>
      </w:pPr>
      <w:r>
        <w:rPr>
          <w:rFonts w:ascii="Arial" w:cs="Arial" w:eastAsia="Arial" w:hAnsi="Arial"/>
          <w:sz w:val="20"/>
          <w:szCs w:val="20"/>
        </w:rPr>
        <w:t xml:space="preserve">[13] L. Hui, J. P. Ostriker, S. Tremaine, E. Witten. Ultralight axions in astronomy. Phys. Rev. D 95, 043541 (2017). arXiv:1610.08297.</w:t>
      </w:r>
    </w:p>
    <w:p>
      <w:pPr>
        <w:spacing w:before="200" w:after="60"/>
      </w:pPr>
    </w:p>
    <w:p>
      <w:pPr>
        <w:pStyle w:val="ListParagraph"/>
      </w:pPr>
      <w:r>
        <w:t>[14] K. Cranmer, J. Brehmer, G. Louppe. The Frontier of Simulation-Based Inference. PNAS 117 (30), 2020. arXiv:1911.01429.</w:t>
      </w:r>
    </w:p>
    <w:p>
      <w:pPr>
        <w:pStyle w:val="ListParagraph"/>
      </w:pPr>
      <w:r>
        <w:t>[15] T. E. Collett. The Population of Galaxy-Galaxy Strong Lenses in Forthcoming Optical Imaging Surveys. ApJ 811, 20 (2015). arXiv:1507.02093.</w:t>
      </w:r>
    </w:p>
    <w:p>
      <w:pPr>
        <w:pStyle w:val="ListParagraph"/>
      </w:pPr>
      <w:r>
        <w:t>[16] L. Ciotti, G. Bertin. Analytical properties of the R^(1/m) law. A&amp;A 352, 447 (1999).</w:t>
      </w:r>
    </w:p>
    <w:p>
      <w:pPr>
        <w:spacing w:before="60" w:after="0"/>
        <w:jc w:val="center"/>
      </w:pPr>
      <w:r>
        <w:rPr>
          <w:rFonts w:ascii="Arial" w:cs="Arial" w:eastAsia="Arial" w:hAnsi="Arial"/>
          <w:i/>
          <w:iCs/>
          <w:color w:val="595959"/>
          <w:sz w:val="18"/>
          <w:szCs w:val="18"/>
        </w:rPr>
        <w:t xml:space="preserve">Submitted to Google Summer of Code 2026 under the ML4SCI organisation.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8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60" w:after="100"/>
      <w:outlineLvl w:val="1"/>
    </w:pPr>
    <w:rPr>
      <w:rFonts w:ascii="Arial" w:cs="Arial" w:eastAsia="Arial" w:hAnsi="Arial"/>
      <w:b/>
      <w:bCs/>
      <w:color w:val="2E5E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2026-03-20T16:58:56.393Z</dcterms:created>
  <dcterms:modified xsi:type="dcterms:W3CDTF">2026-03-20T16:58:56.394Z</dcterms:modified>
</cp:coreProperties>
</file>

<file path=docProps/custom.xml><?xml version="1.0" encoding="utf-8"?>
<Properties xmlns="http://schemas.openxmlformats.org/officeDocument/2006/custom-properties" xmlns:vt="http://schemas.openxmlformats.org/officeDocument/2006/docPropsVTypes"/>
</file>