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jc w:val="center"/>
      </w:pPr>
      <w:r>
        <w:rPr>
          <w:rFonts w:ascii="Arial" w:cs="Arial" w:eastAsia="Arial" w:hAnsi="Arial"/>
          <w:b/>
          <w:bCs/>
          <w:caps/>
          <w:color w:val="2E75B6"/>
          <w:sz w:val="24"/>
          <w:szCs w:val="24"/>
        </w:rPr>
        <w:t xml:space="preserve">RESEARCH PROPOSAL</w:t>
      </w:r>
    </w:p>
    <w:p>
      <w:pPr>
        <w:spacing w:after="0" w:before="80"/>
      </w:pPr>
      <w:r>
        <w:t xml:space="preserve"/>
      </w:r>
    </w:p>
    <w:p>
      <w:pPr>
        <w:jc w:val="center"/>
      </w:pPr>
      <w:r>
        <w:rPr>
          <w:rFonts w:ascii="Arial" w:cs="Arial" w:eastAsia="Arial" w:hAnsi="Arial"/>
          <w:b/>
          <w:bCs/>
          <w:color w:val="1F4E79"/>
          <w:sz w:val="40"/>
          <w:szCs w:val="40"/>
        </w:rPr>
        <w:t xml:space="preserve">Reasoning Commitment Points in Transformer Chain-of-Thought</w:t>
      </w:r>
    </w:p>
    <w:p>
      <w:pPr>
        <w:spacing w:after="0" w:before="40"/>
      </w:pPr>
      <w:r>
        <w:t xml:space="preserve"/>
      </w:r>
    </w:p>
    <w:p>
      <w:pPr>
        <w:jc w:val="center"/>
      </w:pPr>
      <w:r>
        <w:rPr>
          <w:rFonts w:ascii="Arial" w:cs="Arial" w:eastAsia="Arial" w:hAnsi="Arial"/>
          <w:i/>
          <w:iCs/>
          <w:color w:val="595959"/>
          <w:sz w:val="26"/>
          <w:szCs w:val="26"/>
        </w:rPr>
        <w:t xml:space="preserve">A Causal Mechanistic Study of Trajectory Lock-In in Incorrect Reasoning</w:t>
      </w:r>
    </w:p>
    <w:p>
      <w:pPr>
        <w:spacing w:after="0" w:before="160"/>
      </w:pPr>
      <w:r>
        <w:t xml:space="preserve"/>
      </w:r>
    </w:p>
    <w:p>
      <w:pPr>
        <w:pBdr>
          <w:top w:val="single" w:color="2E75B6" w:sz="6" w:space="8"/>
          <w:bottom w:val="single" w:color="2E75B6" w:sz="6" w:space="8"/>
        </w:pBdr>
        <w:spacing w:after="120" w:before="120"/>
        <w:jc w:val="center"/>
      </w:pPr>
      <w:r>
        <w:rPr>
          <w:rFonts w:ascii="Arial" w:cs="Arial" w:eastAsia="Arial" w:hAnsi="Arial"/>
          <w:b/>
          <w:bCs/>
          <w:color w:val="1F4E79"/>
          <w:sz w:val="28"/>
          <w:szCs w:val="28"/>
        </w:rPr>
        <w:t xml:space="preserve">Aditya Singh</w:t>
      </w:r>
      <w:r>
        <w:rPr>
          <w:rFonts w:ascii="Arial" w:cs="Arial" w:eastAsia="Arial" w:hAnsi="Arial"/>
          <w:color w:val="595959"/>
          <w:sz w:val="22"/>
          <w:szCs w:val="22"/>
        </w:rPr>
        <w:br/>
        <w:t xml:space="preserve">
Dual Degree, Mechanical Engineering + CS Minor (AI Specialisation)</w:t>
      </w:r>
      <w:r>
        <w:rPr>
          <w:rFonts w:ascii="Arial" w:cs="Arial" w:eastAsia="Arial" w:hAnsi="Arial"/>
          <w:color w:val="595959"/>
          <w:sz w:val="22"/>
          <w:szCs w:val="22"/>
        </w:rPr>
        <w:br/>
        <w:t xml:space="preserve">Indian Institute of Technology Kharagpur</w:t>
      </w:r>
      <w:r>
        <w:rPr>
          <w:rFonts w:ascii="Arial" w:cs="Arial" w:eastAsia="Arial" w:hAnsi="Arial"/>
          <w:color w:val="2E75B6"/>
          <w:sz w:val="22"/>
          <w:szCs w:val="22"/>
        </w:rPr>
        <w:br/>
        <w:t xml:space="preserve">
Supervised by: Prof. D. Pham  ·  University of Birmingham</w:t>
      </w:r>
      <w:r>
        <w:rPr>
          <w:rFonts w:ascii="Arial" w:cs="Arial" w:eastAsia="Arial" w:hAnsi="Arial"/>
          <w:b/>
          <w:bCs/>
          <w:color w:val="C00000"/>
          <w:sz w:val="22"/>
          <w:szCs w:val="22"/>
        </w:rPr>
        <w:br/>
        <w:t xml:space="preserve">
Target Output: 2-Page Technical Report  ·  arXiv Preprint</w:t>
      </w:r>
    </w:p>
    <w:p>
      <w:pPr>
        <w:spacing w:after="0" w:before="120"/>
      </w:pPr>
      <w:r>
        <w:t xml:space="preserve"/>
      </w:r>
    </w:p>
    <w:p>
      <w:pPr>
        <w:jc w:val="center"/>
      </w:pPr>
      <w:r>
        <w:rPr>
          <w:rFonts w:ascii="Arial" w:cs="Arial" w:eastAsia="Arial" w:hAnsi="Arial"/>
          <w:color w:val="595959"/>
          <w:sz w:val="20"/>
          <w:szCs w:val="20"/>
        </w:rPr>
        <w:t xml:space="preserve">June 2026  ·  4 Weeks  ·  ~16 hrs Active Work  ·  Kaggle T4 Compute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F5F5F5" w:val="clear"/>
            <w:tcMar>
              <w:top w:type="dxa" w:w="140"/>
              <w:left w:type="dxa" w:w="240"/>
              <w:bottom w:type="dxa" w:w="140"/>
              <w:right w:type="dxa" w:w="200"/>
            </w:tcMar>
          </w:tcPr>
          <w:p>
            <w:r>
              <w:rPr>
                <w:rFonts w:ascii="Arial" w:cs="Arial" w:eastAsia="Arial" w:hAnsi="Arial"/>
                <w:i/>
                <w:iCs/>
                <w:color w:val="000000"/>
                <w:sz w:val="22"/>
                <w:szCs w:val="22"/>
              </w:rPr>
              <w:t xml:space="preserve">Large language models with chain-of-thought reasoning exhibit a systematic failure: once reasoning commits to an incorrect trajectory, subsequent tokens do not self-correct regardless of chain length. This failure is empirically documented but mechanistically unexplained. We identify reasoning commitment points — specific semantic stages beyond which incorrect reasoning trajectories become unrecoverable even under direct residual stream intervention. Using paired within-problem activation patching on Qwen2.5-1.5B across 160 GSM8K reasoning chains, we map stage-level recoverability and determine whether trajectory lock-in is concentrated at a specific reasoning stage or accumulates gradually. Correct and incorrect solutions are compared to determine whether early commitment is the mechanistic signature of reasoning failure.</w:t>
            </w:r>
          </w:p>
        </w:tc>
      </w:tr>
    </w:tbl>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Problem Statement and Motivation</w:t>
      </w:r>
    </w:p>
    <w:p>
      <w:pPr>
        <w:pStyle w:val="Heading2"/>
        <w:spacing w:after="100" w:before="240"/>
      </w:pPr>
      <w:r>
        <w:rPr>
          <w:rFonts w:ascii="Arial" w:cs="Arial" w:eastAsia="Arial" w:hAnsi="Arial"/>
          <w:b/>
          <w:bCs/>
          <w:color w:val="2E75B6"/>
          <w:sz w:val="26"/>
          <w:szCs w:val="26"/>
        </w:rPr>
        <w:t xml:space="preserve">1.1  The Failure Mode</w:t>
      </w:r>
    </w:p>
    <w:p>
      <w:pPr>
        <w:spacing w:after="100" w:before="60"/>
      </w:pPr>
      <w:r>
        <w:rPr>
          <w:rFonts w:ascii="Arial" w:cs="Arial" w:eastAsia="Arial" w:hAnsi="Arial"/>
          <w:color w:val="000000"/>
          <w:sz w:val="22"/>
          <w:szCs w:val="22"/>
        </w:rPr>
        <w:t xml:space="preserve">Large language models with chain-of-thought (CoT) prompting exhibit a well-documented failure pattern: once a model begins reasoning toward an incorrect answer, the chain rarely self-corrects. Subsequent tokens elaborate, justify, and reinforce the initial incorrect trajectory. This failure persists regardless of chain length — more tokens do not produce more opportunities for correction; they produce more commitment.</w:t>
      </w:r>
    </w:p>
    <w:p>
      <w:pPr>
        <w:spacing w:after="0" w:before="60"/>
      </w:pPr>
      <w:r>
        <w:t xml:space="preserve"/>
      </w:r>
    </w:p>
    <w:p>
      <w:pPr>
        <w:spacing w:after="100" w:before="60"/>
      </w:pPr>
      <w:r>
        <w:rPr>
          <w:rFonts w:ascii="Arial" w:cs="Arial" w:eastAsia="Arial" w:hAnsi="Arial"/>
          <w:color w:val="000000"/>
          <w:sz w:val="22"/>
          <w:szCs w:val="22"/>
        </w:rPr>
        <w:t xml:space="preserve">This failure is </w:t>
      </w:r>
      <w:r>
        <w:rPr>
          <w:rFonts w:ascii="Arial" w:cs="Arial" w:eastAsia="Arial" w:hAnsi="Arial"/>
          <w:b/>
          <w:bCs/>
          <w:color w:val="000000"/>
          <w:sz w:val="22"/>
          <w:szCs w:val="22"/>
        </w:rPr>
        <w:t xml:space="preserve">empirically documented but mechanistically unexplained.</w:t>
      </w:r>
      <w:r>
        <w:rPr>
          <w:rFonts w:ascii="Arial" w:cs="Arial" w:eastAsia="Arial" w:hAnsi="Arial"/>
          <w:color w:val="000000"/>
          <w:sz w:val="22"/>
          <w:szCs w:val="22"/>
        </w:rPr>
        <w:t xml:space="preserve"> Existing work characterises it statistically — measuring accuracy degradation under perturbation, studying output distributions, or probing residual streams. None of this work identifies </w:t>
      </w:r>
      <w:r>
        <w:rPr>
          <w:rFonts w:ascii="Arial" w:cs="Arial" w:eastAsia="Arial" w:hAnsi="Arial"/>
          <w:i/>
          <w:iCs/>
          <w:color w:val="595959"/>
          <w:sz w:val="22"/>
          <w:szCs w:val="22"/>
        </w:rPr>
        <w:t xml:space="preserve">which specific computational stages are responsible</w:t>
      </w:r>
      <w:r>
        <w:rPr>
          <w:rFonts w:ascii="Arial" w:cs="Arial" w:eastAsia="Arial" w:hAnsi="Arial"/>
          <w:color w:val="000000"/>
          <w:sz w:val="22"/>
          <w:szCs w:val="22"/>
        </w:rPr>
        <w:t xml:space="preserve"> for the model's inability to course-correct, or at what point in the reasoning chain intervention becomes futile.</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1.2  The Central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RESEARCH QUESTION</w:t>
            </w:r>
          </w:p>
        </w:tc>
        <w:tc>
          <w:tcPr>
            <w:tcW w:type="dxa" w:w="80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tcPr>
          <w:p>
            <w:r>
              <w:rPr>
                <w:rFonts w:ascii="Arial" w:cs="Arial" w:eastAsia="Arial" w:hAnsi="Arial"/>
                <w:color w:val="000000"/>
                <w:sz w:val="21"/>
                <w:szCs w:val="21"/>
              </w:rPr>
              <w:t xml:space="preserve">At which semantic stage of chain-of-thought generation does an incorrect reasoning trajectory become unrecoverable under direct residual stream intervention — and does this commitment point differ systematically between correct and incorrect solutions?</w:t>
            </w:r>
          </w:p>
        </w:tc>
      </w:tr>
    </w:tbl>
    <w:p>
      <w:pPr>
        <w:spacing w:after="0" w:before="80"/>
      </w:pPr>
      <w:r>
        <w:t xml:space="preserve"/>
      </w:r>
    </w:p>
    <w:p>
      <w:pPr>
        <w:spacing w:after="100" w:before="60"/>
      </w:pPr>
      <w:r>
        <w:rPr>
          <w:rFonts w:ascii="Arial" w:cs="Arial" w:eastAsia="Arial" w:hAnsi="Arial"/>
          <w:color w:val="000000"/>
          <w:sz w:val="22"/>
          <w:szCs w:val="22"/>
        </w:rPr>
        <w:t xml:space="preserve">This is a causal question, not a statistical one. It requires an intervention methodology — activation patching — applied at semantically meaningful positions in the reasoning chain.</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1.3  Relation to Prior Work</w:t>
      </w:r>
    </w:p>
    <w:p>
      <w:pPr>
        <w:spacing w:after="100" w:before="60"/>
      </w:pPr>
      <w:r>
        <w:rPr>
          <w:rFonts w:ascii="Arial" w:cs="Arial" w:eastAsia="Arial" w:hAnsi="Arial"/>
          <w:b/>
          <w:bCs/>
          <w:color w:val="000000"/>
          <w:sz w:val="22"/>
          <w:szCs w:val="22"/>
        </w:rPr>
        <w:t xml:space="preserve">Cox et al. </w:t>
      </w:r>
      <w:r>
        <w:rPr>
          <w:rFonts w:ascii="Arial" w:cs="Arial" w:eastAsia="Arial" w:hAnsi="Arial"/>
          <w:color w:val="000000"/>
          <w:sz w:val="22"/>
          <w:szCs w:val="22"/>
        </w:rPr>
        <w:t xml:space="preserve">find that many instruction-tuned models determine their final answer before generating chain-of-thought, with probes trained on pre-CoT residual stream activations achieving &gt;0.9 AUC at predicting the final answer. This study complements that finding by measuring commitment </w:t>
      </w:r>
      <w:r>
        <w:rPr>
          <w:rFonts w:ascii="Arial" w:cs="Arial" w:eastAsia="Arial" w:hAnsi="Arial"/>
          <w:i/>
          <w:iCs/>
          <w:color w:val="595959"/>
          <w:sz w:val="22"/>
          <w:szCs w:val="22"/>
        </w:rPr>
        <w:t xml:space="preserve">during</w:t>
      </w:r>
      <w:r>
        <w:rPr>
          <w:rFonts w:ascii="Arial" w:cs="Arial" w:eastAsia="Arial" w:hAnsi="Arial"/>
          <w:color w:val="000000"/>
          <w:sz w:val="22"/>
          <w:szCs w:val="22"/>
        </w:rPr>
        <w:t xml:space="preserve"> CoT generation using causal intervention rather than probing — addressing whether in-chain stages can recover from early incorrect trajectory even when pre-CoT commitment has not fully locked the answer.</w:t>
      </w:r>
    </w:p>
    <w:p>
      <w:pPr>
        <w:spacing w:after="0" w:before="60"/>
      </w:pPr>
      <w:r>
        <w:t xml:space="preserve"/>
      </w:r>
    </w:p>
    <w:p>
      <w:pPr>
        <w:spacing w:after="100" w:before="60"/>
      </w:pPr>
      <w:r>
        <w:rPr>
          <w:rFonts w:ascii="Arial" w:cs="Arial" w:eastAsia="Arial" w:hAnsi="Arial"/>
          <w:b/>
          <w:bCs/>
          <w:color w:val="000000"/>
          <w:sz w:val="22"/>
          <w:szCs w:val="22"/>
        </w:rPr>
        <w:t xml:space="preserve">Lanham et al. </w:t>
      </w:r>
      <w:r>
        <w:rPr>
          <w:rFonts w:ascii="Arial" w:cs="Arial" w:eastAsia="Arial" w:hAnsi="Arial"/>
          <w:color w:val="000000"/>
          <w:sz w:val="22"/>
          <w:szCs w:val="22"/>
        </w:rPr>
        <w:t xml:space="preserve">measure faithfulness — whether CoT tokens are consistent with internal computation. </w:t>
      </w:r>
      <w:r>
        <w:rPr>
          <w:rFonts w:ascii="Arial" w:cs="Arial" w:eastAsia="Arial" w:hAnsi="Arial"/>
          <w:b/>
          <w:bCs/>
          <w:color w:val="000000"/>
          <w:sz w:val="22"/>
          <w:szCs w:val="22"/>
        </w:rPr>
        <w:t xml:space="preserve">Pfau et al. </w:t>
      </w:r>
      <w:r>
        <w:rPr>
          <w:rFonts w:ascii="Arial" w:cs="Arial" w:eastAsia="Arial" w:hAnsi="Arial"/>
          <w:color w:val="000000"/>
          <w:sz w:val="22"/>
          <w:szCs w:val="22"/>
        </w:rPr>
        <w:t xml:space="preserve">measure whether filler tokens carry load in controlled settings. Neither runs causal residual stream patching on a distilled reasoning model and measures at which semantic stage intervention ceases to alter the final answer. The question is adjacent, not identical.</w:t>
      </w:r>
    </w:p>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Methodology</w:t>
      </w:r>
    </w:p>
    <w:p>
      <w:pPr>
        <w:pStyle w:val="Heading2"/>
        <w:spacing w:after="100" w:before="240"/>
      </w:pPr>
      <w:r>
        <w:rPr>
          <w:rFonts w:ascii="Arial" w:cs="Arial" w:eastAsia="Arial" w:hAnsi="Arial"/>
          <w:b/>
          <w:bCs/>
          <w:color w:val="2E75B6"/>
          <w:sz w:val="26"/>
          <w:szCs w:val="26"/>
        </w:rPr>
        <w:t xml:space="preserve">2.1  Model and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Qwen2.5-1.5B-Instruct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Task</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GSM8K mathematical reasoning (grade school math)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Sample size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160 reasoning chains — 80 correct, 80 incorrect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Sampling</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Stratified by problem length quartile to avoid length confound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Incorrect trace generation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Temperature sampling (T=1.0 or T=1.5) on same problem as correct trace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Compute</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Kaggle T4 (16GB VRAM), activation storage batched in groups of 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First verification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TransformerLens loads Qwen2.5-1.5B cleanly before any other step</w:t>
            </w:r>
          </w:p>
        </w:tc>
      </w:tr>
    </w:tbl>
    <w:p>
      <w:pPr>
        <w:spacing w:after="0" w:before="80"/>
      </w:pPr>
      <w:r>
        <w:t xml:space="preserve"/>
      </w:r>
    </w:p>
    <w:p>
      <w:pPr>
        <w:pStyle w:val="Heading2"/>
        <w:spacing w:after="100" w:before="240"/>
      </w:pPr>
      <w:r>
        <w:rPr>
          <w:rFonts w:ascii="Arial" w:cs="Arial" w:eastAsia="Arial" w:hAnsi="Arial"/>
          <w:b/>
          <w:bCs/>
          <w:color w:val="2E75B6"/>
          <w:sz w:val="26"/>
          <w:szCs w:val="26"/>
        </w:rPr>
        <w:t xml:space="preserve">2.2  Semantic Stage Segmentation</w:t>
      </w:r>
    </w:p>
    <w:p>
      <w:pPr>
        <w:spacing w:after="100" w:before="60"/>
      </w:pPr>
      <w:r>
        <w:rPr>
          <w:rFonts w:ascii="Arial" w:cs="Arial" w:eastAsia="Arial" w:hAnsi="Arial"/>
          <w:color w:val="000000"/>
          <w:sz w:val="22"/>
          <w:szCs w:val="22"/>
        </w:rPr>
        <w:t xml:space="preserve">CoT tokens are classified into four semantic stages via rule-based segmentation. Rules are validated on 50 held-out GSM8K examples before any experiment begins.</w:t>
      </w:r>
    </w:p>
    <w:p>
      <w:pPr>
        <w:spacing w:after="0" w:before="40"/>
      </w:pPr>
      <w:r>
        <w:t xml:space="preserve"/>
      </w:r>
    </w:p>
    <w:p>
      <w:pPr>
        <w:pStyle w:val="ListParagraph"/>
        <w:numPr>
          <w:ilvl w:val="0"/>
          <w:numId w:val="2"/>
        </w:numPr>
        <w:spacing w:after="60" w:before="40"/>
      </w:pPr>
      <w:r>
        <w:rPr>
          <w:rFonts w:ascii="Arial" w:cs="Arial" w:eastAsia="Arial" w:hAnsi="Arial"/>
          <w:b/>
          <w:bCs/>
          <w:color w:val="000000"/>
          <w:sz w:val="22"/>
          <w:szCs w:val="22"/>
        </w:rPr>
        <w:t xml:space="preserve">Setup: </w:t>
      </w:r>
      <w:r>
        <w:rPr>
          <w:rFonts w:ascii="Arial" w:cs="Arial" w:eastAsia="Arial" w:hAnsi="Arial"/>
          <w:color w:val="000000"/>
          <w:sz w:val="22"/>
          <w:szCs w:val="22"/>
        </w:rPr>
        <w:t xml:space="preserve">Tokens in the problem restatement — before the first line break following the question mark that ends the problem statement.</w:t>
      </w:r>
    </w:p>
    <w:p>
      <w:pPr>
        <w:pStyle w:val="ListParagraph"/>
        <w:numPr>
          <w:ilvl w:val="0"/>
          <w:numId w:val="2"/>
        </w:numPr>
        <w:spacing w:after="60" w:before="40"/>
      </w:pPr>
      <w:r>
        <w:rPr>
          <w:rFonts w:ascii="Arial" w:cs="Arial" w:eastAsia="Arial" w:hAnsi="Arial"/>
          <w:b/>
          <w:bCs/>
          <w:color w:val="000000"/>
          <w:sz w:val="22"/>
          <w:szCs w:val="22"/>
        </w:rPr>
        <w:t xml:space="preserve">Computation: </w:t>
      </w:r>
      <w:r>
        <w:rPr>
          <w:rFonts w:ascii="Arial" w:cs="Arial" w:eastAsia="Arial" w:hAnsi="Arial"/>
          <w:color w:val="000000"/>
          <w:sz w:val="22"/>
          <w:szCs w:val="22"/>
        </w:rPr>
        <w:t xml:space="preserve">Tokens containing arithmetic operators (+, −, ×, ÷) or isolated equals signs plus adjacent number tokens. Connector phrases containing equals signs (e.g. 'so we get = 15') are classified as transition, not computation.</w:t>
      </w:r>
    </w:p>
    <w:p>
      <w:pPr>
        <w:pStyle w:val="ListParagraph"/>
        <w:numPr>
          <w:ilvl w:val="0"/>
          <w:numId w:val="2"/>
        </w:numPr>
        <w:spacing w:after="60" w:before="40"/>
      </w:pPr>
      <w:r>
        <w:rPr>
          <w:rFonts w:ascii="Arial" w:cs="Arial" w:eastAsia="Arial" w:hAnsi="Arial"/>
          <w:b/>
          <w:bCs/>
          <w:color w:val="000000"/>
          <w:sz w:val="22"/>
          <w:szCs w:val="22"/>
        </w:rPr>
        <w:t xml:space="preserve">Transition: </w:t>
      </w:r>
      <w:r>
        <w:rPr>
          <w:rFonts w:ascii="Arial" w:cs="Arial" w:eastAsia="Arial" w:hAnsi="Arial"/>
          <w:color w:val="000000"/>
          <w:sz w:val="22"/>
          <w:szCs w:val="22"/>
        </w:rPr>
        <w:t xml:space="preserve">Explicit connector phrases: 'therefore', 'so', 'thus', 'this means', 'we get', 'hence', 'which gives', 'that means'.</w:t>
      </w:r>
    </w:p>
    <w:p>
      <w:pPr>
        <w:pStyle w:val="ListParagraph"/>
        <w:numPr>
          <w:ilvl w:val="0"/>
          <w:numId w:val="2"/>
        </w:numPr>
        <w:spacing w:after="60" w:before="40"/>
      </w:pPr>
      <w:r>
        <w:rPr>
          <w:rFonts w:ascii="Arial" w:cs="Arial" w:eastAsia="Arial" w:hAnsi="Arial"/>
          <w:b/>
          <w:bCs/>
          <w:color w:val="000000"/>
          <w:sz w:val="22"/>
          <w:szCs w:val="22"/>
        </w:rPr>
        <w:t xml:space="preserve">Conclusion: </w:t>
      </w:r>
      <w:r>
        <w:rPr>
          <w:rFonts w:ascii="Arial" w:cs="Arial" w:eastAsia="Arial" w:hAnsi="Arial"/>
          <w:color w:val="000000"/>
          <w:sz w:val="22"/>
          <w:szCs w:val="22"/>
        </w:rPr>
        <w:t xml:space="preserve">All tokens following the final transition phrase through the answer token.</w:t>
      </w:r>
    </w:p>
    <w:p>
      <w:pPr>
        <w:spacing w:after="0" w:before="40"/>
      </w:pPr>
      <w:r>
        <w:t xml:space="preserve"/>
      </w:r>
    </w:p>
    <w:p>
      <w:pPr>
        <w:spacing w:after="100" w:before="60"/>
      </w:pPr>
      <w:r>
        <w:rPr>
          <w:rFonts w:ascii="Arial" w:cs="Arial" w:eastAsia="Arial" w:hAnsi="Arial"/>
          <w:i/>
          <w:iCs/>
          <w:color w:val="595959"/>
          <w:sz w:val="22"/>
          <w:szCs w:val="22"/>
        </w:rPr>
        <w:t xml:space="preserve">Segmentation validation protocol: </w:t>
      </w:r>
      <w:r>
        <w:rPr>
          <w:rFonts w:ascii="Arial" w:cs="Arial" w:eastAsia="Arial" w:hAnsi="Arial"/>
          <w:color w:val="000000"/>
          <w:sz w:val="22"/>
          <w:szCs w:val="22"/>
        </w:rPr>
        <w:t xml:space="preserve">Apply rules to 50 held-out examples. Manual inspection of 10 randomly selected examples per stage boundary. Segmentation proceeds only if fewer than 15% of tokens are ambiguously classified.</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2.3  Paired Within-Problem Patching — The Primary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KEY DESIGN</w:t>
            </w:r>
          </w:p>
        </w:tc>
        <w:tc>
          <w:tcPr>
            <w:tcW w:type="dxa" w:w="80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tcPr>
          <w:p>
            <w:r>
              <w:rPr>
                <w:rFonts w:ascii="Arial" w:cs="Arial" w:eastAsia="Arial" w:hAnsi="Arial"/>
                <w:color w:val="000000"/>
                <w:sz w:val="21"/>
                <w:szCs w:val="21"/>
              </w:rPr>
              <w:t xml:space="preserve">Patching uses paired traces from the same problem, not activations from a different problem. This eliminates the semantic incoherence confound inherent in cross-example patching.</w:t>
            </w:r>
          </w:p>
        </w:tc>
      </w:tr>
    </w:tbl>
    <w:p>
      <w:pPr>
        <w:spacing w:after="0" w:before="80"/>
      </w:pPr>
      <w:r>
        <w:t xml:space="preserve"/>
      </w:r>
    </w:p>
    <w:p>
      <w:pPr>
        <w:spacing w:after="100" w:before="60"/>
      </w:pPr>
      <w:r>
        <w:rPr>
          <w:rFonts w:ascii="Arial" w:cs="Arial" w:eastAsia="Arial" w:hAnsi="Arial"/>
          <w:color w:val="000000"/>
          <w:sz w:val="22"/>
          <w:szCs w:val="22"/>
        </w:rPr>
        <w:t xml:space="preserve">For each problem in the incorrect group:</w:t>
      </w:r>
    </w:p>
    <w:p>
      <w:pPr>
        <w:spacing w:after="0" w:before="40"/>
      </w:pPr>
      <w:r>
        <w:t xml:space="preserve"/>
      </w:r>
    </w:p>
    <w:p>
      <w:pPr>
        <w:pStyle w:val="ListParagraph"/>
        <w:numPr>
          <w:ilvl w:val="0"/>
          <w:numId w:val="2"/>
        </w:numPr>
        <w:spacing w:after="60" w:before="40"/>
      </w:pPr>
      <w:r>
        <w:rPr>
          <w:rFonts w:ascii="Arial" w:cs="Arial" w:eastAsia="Arial" w:hAnsi="Arial"/>
          <w:color w:val="000000"/>
          <w:sz w:val="22"/>
          <w:szCs w:val="22"/>
        </w:rPr>
        <w:t xml:space="preserve">Generate a greedy-decode trace (correct answer, temperature=0).</w:t>
      </w:r>
    </w:p>
    <w:p>
      <w:pPr>
        <w:pStyle w:val="ListParagraph"/>
        <w:numPr>
          <w:ilvl w:val="0"/>
          <w:numId w:val="2"/>
        </w:numPr>
        <w:spacing w:after="60" w:before="40"/>
      </w:pPr>
      <w:r>
        <w:rPr>
          <w:rFonts w:ascii="Arial" w:cs="Arial" w:eastAsia="Arial" w:hAnsi="Arial"/>
          <w:color w:val="000000"/>
          <w:sz w:val="22"/>
          <w:szCs w:val="22"/>
        </w:rPr>
        <w:t xml:space="preserve">Generate a temperature-sampled trace (T=1.0) on the same problem until an incorrect answer is produced.</w:t>
      </w:r>
    </w:p>
    <w:p>
      <w:pPr>
        <w:pStyle w:val="ListParagraph"/>
        <w:numPr>
          <w:ilvl w:val="0"/>
          <w:numId w:val="2"/>
        </w:numPr>
        <w:spacing w:after="60" w:before="40"/>
      </w:pPr>
      <w:r>
        <w:rPr>
          <w:rFonts w:ascii="Arial" w:cs="Arial" w:eastAsia="Arial" w:hAnsi="Arial"/>
          <w:color w:val="000000"/>
          <w:sz w:val="22"/>
          <w:szCs w:val="22"/>
        </w:rPr>
        <w:t xml:space="preserve">For each semantic stage S, patch the greedy-trace residual stream activations at all transformer layers for all tokens in stage S into the sampled-incorrect trace.</w:t>
      </w:r>
    </w:p>
    <w:p>
      <w:pPr>
        <w:pStyle w:val="ListParagraph"/>
        <w:numPr>
          <w:ilvl w:val="0"/>
          <w:numId w:val="2"/>
        </w:numPr>
        <w:spacing w:after="60" w:before="40"/>
      </w:pPr>
      <w:r>
        <w:rPr>
          <w:rFonts w:ascii="Arial" w:cs="Arial" w:eastAsia="Arial" w:hAnsi="Arial"/>
          <w:color w:val="000000"/>
          <w:sz w:val="22"/>
          <w:szCs w:val="22"/>
        </w:rPr>
        <w:t xml:space="preserve">Measure whether the top-1 predicted final answer token changes from the incorrect answer to any other value.</w:t>
      </w:r>
    </w:p>
    <w:p>
      <w:pPr>
        <w:spacing w:after="0" w:before="60"/>
      </w:pPr>
      <w:r>
        <w:t xml:space="preserve"/>
      </w:r>
    </w:p>
    <w:p>
      <w:pPr>
        <w:spacing w:after="100" w:before="60"/>
      </w:pPr>
      <w:r>
        <w:rPr>
          <w:rFonts w:ascii="Arial" w:cs="Arial" w:eastAsia="Arial" w:hAnsi="Arial"/>
          <w:b/>
          <w:bCs/>
          <w:color w:val="000000"/>
          <w:sz w:val="22"/>
          <w:szCs w:val="22"/>
        </w:rPr>
        <w:t xml:space="preserve">Why within-problem patching: </w:t>
      </w:r>
      <w:r>
        <w:rPr>
          <w:rFonts w:ascii="Arial" w:cs="Arial" w:eastAsia="Arial" w:hAnsi="Arial"/>
          <w:color w:val="000000"/>
          <w:sz w:val="22"/>
          <w:szCs w:val="22"/>
        </w:rPr>
        <w:t xml:space="preserve">Cross-example patching (injecting activations from a different problem's correct trace) confounds commitment with semantic rejection. If the model's answer does not flip under cross-example patching, it is impossible to distinguish between 'the model is committed to its trajectory' and 'the model correctly rejects activations that are semantically incoherent for this problem's context.' Within-problem patching eliminates this confound — the patch contains the same numbers, entities, and problem structure as the receiving context.</w:t>
      </w:r>
    </w:p>
    <w:p>
      <w:pPr>
        <w:spacing w:after="0" w:before="60"/>
      </w:pPr>
      <w:r>
        <w:t xml:space="preserve"/>
      </w:r>
    </w:p>
    <w:p>
      <w:pPr>
        <w:spacing w:after="100" w:before="60"/>
      </w:pPr>
      <w:r>
        <w:rPr>
          <w:rFonts w:ascii="Arial" w:cs="Arial" w:eastAsia="Arial" w:hAnsi="Arial"/>
          <w:b/>
          <w:bCs/>
          <w:color w:val="000000"/>
          <w:sz w:val="22"/>
          <w:szCs w:val="22"/>
        </w:rPr>
        <w:t xml:space="preserve">Layer coverage: </w:t>
      </w:r>
      <w:r>
        <w:rPr>
          <w:rFonts w:ascii="Arial" w:cs="Arial" w:eastAsia="Arial" w:hAnsi="Arial"/>
          <w:color w:val="000000"/>
          <w:sz w:val="22"/>
          <w:szCs w:val="22"/>
        </w:rPr>
        <w:t xml:space="preserve">Patching replaces residual stream activations at all transformer layers for tokens within the stage. Patching at only the final layer is near-trivial — it is one linear transformation from output logits and produces behavioral manipulation, not mechanistic localization.</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2.4  Commitment Measurement</w:t>
      </w:r>
    </w:p>
    <w:p>
      <w:pPr>
        <w:spacing w:after="100" w:before="60"/>
      </w:pPr>
      <w:r>
        <w:rPr>
          <w:rFonts w:ascii="Arial" w:cs="Arial" w:eastAsia="Arial" w:hAnsi="Arial"/>
          <w:b/>
          <w:bCs/>
          <w:color w:val="000000"/>
          <w:sz w:val="22"/>
          <w:szCs w:val="22"/>
        </w:rPr>
        <w:t xml:space="preserve">Flip rate: </w:t>
      </w:r>
      <w:r>
        <w:rPr>
          <w:rFonts w:ascii="Arial" w:cs="Arial" w:eastAsia="Arial" w:hAnsi="Arial"/>
          <w:color w:val="000000"/>
          <w:sz w:val="22"/>
          <w:szCs w:val="22"/>
        </w:rPr>
        <w:t xml:space="preserve">For each stage, the flip rate is the proportion of incorrect examples where patching that stage's activations shifts the top-1 final answer token to any value other than the original incorrect answer. Reported with 95% bootstrap confidence intervals (1000 resamples).</w:t>
      </w:r>
    </w:p>
    <w:p>
      <w:pPr>
        <w:spacing w:after="0" w:before="60"/>
      </w:pPr>
      <w:r>
        <w:t xml:space="preserve"/>
      </w:r>
    </w:p>
    <w:p>
      <w:pPr>
        <w:spacing w:after="100" w:before="60"/>
      </w:pPr>
      <w:r>
        <w:rPr>
          <w:rFonts w:ascii="Arial" w:cs="Arial" w:eastAsia="Arial" w:hAnsi="Arial"/>
          <w:b/>
          <w:bCs/>
          <w:color w:val="000000"/>
          <w:sz w:val="22"/>
          <w:szCs w:val="22"/>
        </w:rPr>
        <w:t xml:space="preserve">Commitment point: </w:t>
      </w:r>
      <w:r>
        <w:rPr>
          <w:rFonts w:ascii="Arial" w:cs="Arial" w:eastAsia="Arial" w:hAnsi="Arial"/>
          <w:color w:val="000000"/>
          <w:sz w:val="22"/>
          <w:szCs w:val="22"/>
        </w:rPr>
        <w:t xml:space="preserve">Described as the stage at which the flip rate curve shows its sharpest single-stage decline. No binary threshold is declared — the flip rate curve is reported continuously across all four stages. The shape of the curve is the finding.</w:t>
      </w:r>
    </w:p>
    <w:p>
      <w:pPr>
        <w:spacing w:after="0" w:before="60"/>
      </w:pPr>
      <w:r>
        <w:t xml:space="preserve"/>
      </w:r>
    </w:p>
    <w:p>
      <w:pPr>
        <w:spacing w:after="100" w:before="60"/>
      </w:pPr>
      <w:r>
        <w:rPr>
          <w:rFonts w:ascii="Arial" w:cs="Arial" w:eastAsia="Arial" w:hAnsi="Arial"/>
          <w:b/>
          <w:bCs/>
          <w:color w:val="000000"/>
          <w:sz w:val="22"/>
          <w:szCs w:val="22"/>
        </w:rPr>
        <w:t xml:space="preserve">Why no binary threshold: </w:t>
      </w:r>
      <w:r>
        <w:rPr>
          <w:rFonts w:ascii="Arial" w:cs="Arial" w:eastAsia="Arial" w:hAnsi="Arial"/>
          <w:color w:val="000000"/>
          <w:sz w:val="22"/>
          <w:szCs w:val="22"/>
        </w:rPr>
        <w:t xml:space="preserve">A binary commitment declaration (e.g. 'commitment at earliest stage below 80% flip rate') changes its answer by 1-2 stages depending on the threshold chosen. Reporting the full curve allows readers to assess the shape directly without threshold artifacts.</w:t>
      </w:r>
    </w:p>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Experimental Design</w:t>
      </w:r>
    </w:p>
    <w:p>
      <w:pPr>
        <w:pStyle w:val="Heading2"/>
        <w:spacing w:after="100" w:before="240"/>
      </w:pPr>
      <w:r>
        <w:rPr>
          <w:rFonts w:ascii="Arial" w:cs="Arial" w:eastAsia="Arial" w:hAnsi="Arial"/>
          <w:b/>
          <w:bCs/>
          <w:color w:val="2E75B6"/>
          <w:sz w:val="26"/>
          <w:szCs w:val="26"/>
        </w:rPr>
        <w:t xml:space="preserve">3.1  Experiment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Step</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Action and Gate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Day 1</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Verify TransformerLens loads Qwen2.5-1.5B. Run one forward pass. Print residual stream at final token position. If load fails, switch to Qwen2.5-0.5B or GPT2-medium and update proposal.</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1</w:t>
            </w:r>
          </w:p>
        </w:tc>
        <w:tc>
          <w:tcPr>
            <w:tcW w:type="dxa" w:w="7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Collect 160 GSM8K paired traces (greedy correct + temperature-sampled incorrect). Validate segmentation rules on 50 held-out examples. Fix rule ambiguities before Week 2.</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2</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Implement patching pipeline. Test on 5 examples manually. Verify flip occurs at early stages and does not occur at conclusion stage (sanity check). Batch activation storage to disk in groups of 10.</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3</w:t>
            </w:r>
          </w:p>
        </w:tc>
        <w:tc>
          <w:tcPr>
            <w:tcW w:type="dxa" w:w="7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Run full patching sweep across all 160 examples, all 4 stages. Compute flip rates with bootstrap CIs. Produce commitment curve. Run correct-group analysis for comparison.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4</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Write 2-page technical report. One figure: flip rate curve, correct vs incorrect, with 95% CIs. One paragraph on mechanistic implications. Submit to arXiv.</w:t>
            </w:r>
          </w:p>
        </w:tc>
      </w:tr>
    </w:tbl>
    <w:p>
      <w:pPr>
        <w:spacing w:after="0" w:before="80"/>
      </w:pPr>
      <w:r>
        <w:t xml:space="preserve"/>
      </w:r>
    </w:p>
    <w:p>
      <w:pPr>
        <w:pStyle w:val="Heading2"/>
        <w:spacing w:after="100" w:before="240"/>
      </w:pPr>
      <w:r>
        <w:rPr>
          <w:rFonts w:ascii="Arial" w:cs="Arial" w:eastAsia="Arial" w:hAnsi="Arial"/>
          <w:b/>
          <w:bCs/>
          <w:color w:val="2E75B6"/>
          <w:sz w:val="26"/>
          <w:szCs w:val="26"/>
        </w:rPr>
        <w:t xml:space="preserve">3.2  The Correct Group Control</w:t>
      </w:r>
    </w:p>
    <w:p>
      <w:pPr>
        <w:spacing w:after="100" w:before="60"/>
      </w:pPr>
      <w:r>
        <w:rPr>
          <w:rFonts w:ascii="Arial" w:cs="Arial" w:eastAsia="Arial" w:hAnsi="Arial"/>
          <w:color w:val="000000"/>
          <w:sz w:val="22"/>
          <w:szCs w:val="22"/>
        </w:rPr>
        <w:t xml:space="preserve">For the 80 correct solutions, the same patching procedure is applied using a temperature-sampled trace (which may be incorrect) as the receiving context and the greedy trace as the patch source. The flip rate curve for this group tests whether commitment structure differs between reasoning that succeeds and reasoning that fails.</w:t>
      </w:r>
    </w:p>
    <w:p>
      <w:pPr>
        <w:spacing w:after="0" w:before="60"/>
      </w:pPr>
      <w:r>
        <w:t xml:space="preserve"/>
      </w:r>
    </w:p>
    <w:p>
      <w:pPr>
        <w:spacing w:after="100" w:before="60"/>
      </w:pPr>
      <w:r>
        <w:rPr>
          <w:rFonts w:ascii="Arial" w:cs="Arial" w:eastAsia="Arial" w:hAnsi="Arial"/>
          <w:b/>
          <w:bCs/>
          <w:color w:val="000000"/>
          <w:sz w:val="22"/>
          <w:szCs w:val="22"/>
        </w:rPr>
        <w:t xml:space="preserve">Expected pattern if hypothesis holds: </w:t>
      </w:r>
      <w:r>
        <w:rPr>
          <w:rFonts w:ascii="Arial" w:cs="Arial" w:eastAsia="Arial" w:hAnsi="Arial"/>
          <w:color w:val="000000"/>
          <w:sz w:val="22"/>
          <w:szCs w:val="22"/>
        </w:rPr>
        <w:t xml:space="preserve">Incorrect solutions show high flip rates at setup stage, dropping sharply at computation or transition stage. Correct solutions show more gradual decline or sustained high flip rates through computation.</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3.3  OOM Risk Mitigation</w:t>
      </w:r>
    </w:p>
    <w:p>
      <w:pPr>
        <w:spacing w:after="100" w:before="60"/>
      </w:pPr>
      <w:r>
        <w:rPr>
          <w:rFonts w:ascii="Arial" w:cs="Arial" w:eastAsia="Arial" w:hAnsi="Arial"/>
          <w:color w:val="000000"/>
          <w:sz w:val="22"/>
          <w:szCs w:val="22"/>
        </w:rPr>
        <w:t xml:space="preserve">Qwen2.5-1.5B in float16 uses ~3GB VRAM. Full residual stream storage for a 400-token chain across 28 layers at 1536 d_model in float16 is approximately 33MB per example. At batch size 10, peak memory usage is ~3.3GB activations + ~3GB model weights = within T4 limit. Activations are offloaded to disk between batches.</w:t>
      </w:r>
    </w:p>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Outcome</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What It Shows</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Sharp flip rate drop at computation stage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Commitment concentrates at arithmetic steps — once numbers are computed, the trajectory is locked.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Intervention must occur before computation to be effective. Suggests computation tokens are the causal mechanism of commitment.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Sharp drop at transition stage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Commitment concentrates at connector phrases — the model locks in its conclusion at the moment it reasons 'therefore'.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Logical connectors are the commitment mechanism, not computation itself.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Gradual decline across all stages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No single commitment point — trajectory lock-in accumulates across the full chain.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Commitment is distributed, not localized. Intervention at any single stage is insufficient.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No difference between correct and incorrect groups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Commitment structure is identical regardless of correctness — the model commits at the same stage whether right or wrong.</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Commitment is an architectural property, not a failure signature. Self-correction failure is pre-commitment, not post-commitment.</w:t>
            </w:r>
          </w:p>
        </w:tc>
      </w:tr>
    </w:tbl>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Honest Limitations</w:t>
      </w:r>
    </w:p>
    <w:p>
      <w:pPr>
        <w:pStyle w:val="Heading2"/>
        <w:spacing w:after="100" w:before="240"/>
      </w:pPr>
      <w:r>
        <w:rPr>
          <w:rFonts w:ascii="Arial" w:cs="Arial" w:eastAsia="Arial" w:hAnsi="Arial"/>
          <w:b/>
          <w:bCs/>
          <w:color w:val="2E75B6"/>
          <w:sz w:val="26"/>
          <w:szCs w:val="26"/>
        </w:rPr>
        <w:t xml:space="preserve">5.1  Paired Trace Availability</w:t>
      </w:r>
    </w:p>
    <w:p>
      <w:pPr>
        <w:spacing w:after="100" w:before="60"/>
      </w:pPr>
      <w:r>
        <w:rPr>
          <w:rFonts w:ascii="Arial" w:cs="Arial" w:eastAsia="Arial" w:hAnsi="Arial"/>
          <w:color w:val="000000"/>
          <w:sz w:val="22"/>
          <w:szCs w:val="22"/>
        </w:rPr>
        <w:t xml:space="preserve">Collecting paired traces requires temperature sampling until an incorrect answer is found. For a model achieving ~85% accuracy on GSM8K, expect 3-5 inference passes per incorrect example — approximately 400 total inference passes for 80 pairs. At ~2 seconds per pass on T4, this is under 15 minutes of compute. However, on very easy problems the model may not produce incorrect traces at any reasonable temperature. These problems are excluded and documented.</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5.2  Segmentation Rule Brittleness</w:t>
      </w:r>
    </w:p>
    <w:p>
      <w:pPr>
        <w:spacing w:after="100" w:before="60"/>
      </w:pPr>
      <w:r>
        <w:rPr>
          <w:rFonts w:ascii="Arial" w:cs="Arial" w:eastAsia="Arial" w:hAnsi="Arial"/>
          <w:color w:val="000000"/>
          <w:sz w:val="22"/>
          <w:szCs w:val="22"/>
        </w:rPr>
        <w:t xml:space="preserve">Rule-based segmentation will misclassify edge cases: problems with numbers in the question statement (boundary of setup/computation), transition phrases embedded inside arithmetic steps, multi-sentence conclusions. The 50-example validation catches systematic failures. Residual misclassification adds noise to stage-level measurements. This is acknowledged in the report with representative misclassification examples.</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5.3  Model Specificity</w:t>
      </w:r>
    </w:p>
    <w:p>
      <w:pPr>
        <w:spacing w:after="100" w:before="60"/>
      </w:pPr>
      <w:r>
        <w:rPr>
          <w:rFonts w:ascii="Arial" w:cs="Arial" w:eastAsia="Arial" w:hAnsi="Arial"/>
          <w:color w:val="000000"/>
          <w:sz w:val="22"/>
          <w:szCs w:val="22"/>
        </w:rPr>
        <w:t xml:space="preserve">All results are specific to Qwen2.5-1.5B-Instruct on GSM8K. No claims about other reasoning models or other task types are made. The 2-page report explicitly scopes findings to this model and task.</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5.4  Residual Confounds in Incorrect Trace Generation</w:t>
      </w:r>
    </w:p>
    <w:p>
      <w:pPr>
        <w:spacing w:after="100" w:before="60"/>
      </w:pPr>
      <w:r>
        <w:rPr>
          <w:rFonts w:ascii="Arial" w:cs="Arial" w:eastAsia="Arial" w:hAnsi="Arial"/>
          <w:color w:val="000000"/>
          <w:sz w:val="22"/>
          <w:szCs w:val="22"/>
        </w:rPr>
        <w:t xml:space="preserve">Temperature-sampled incorrect traces may differ from greedy traces not only in reasoning trajectory but in fluency, token distribution, and attention pattern structure. The within-problem design eliminates the problem-content confound. It does not eliminate the sampling-strategy confound. This is noted as a limitation and proposed as a future control (e.g. using adversarial prompting to induce structured errors).</w:t>
      </w:r>
    </w:p>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Deliverables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Week</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160 paired GSM8K traces collected and stored. Segmentation rules validated on 50 held-out examples.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2</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Patching pipeline implemented and sanity-checked on 5 manual examples.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Full flip rate sweep complete. Commitment curves computed with 95% bootstrap CIs for both correct and incorrect groups.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Week 4</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2-page technical report. One figure. arXiv submission.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Compute 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Estimate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Paired trace collection (400 inference passes)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~15 mins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Activation storage (160 examples, batched)</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~2 hrs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Patching sweep (4 stages x 160 examples)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~4 hrs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1F4E79"/>
                <w:sz w:val="20"/>
                <w:szCs w:val="20"/>
              </w:rPr>
              <w:t xml:space="preserve">Total active GPU time</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val="false"/>
                <w:bCs w:val="false"/>
                <w:color w:val="000000"/>
                <w:sz w:val="20"/>
                <w:szCs w:val="20"/>
              </w:rPr>
              <w:t xml:space="preserve">~6 hrs (well within Kaggle T4 quota)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1F4E79"/>
                <w:sz w:val="20"/>
                <w:szCs w:val="20"/>
              </w:rPr>
              <w:t xml:space="preserve">Total active human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val="false"/>
                <w:bCs w:val="false"/>
                <w:color w:val="000000"/>
                <w:sz w:val="20"/>
                <w:szCs w:val="20"/>
              </w:rPr>
              <w:t xml:space="preserve">~16 hrs across 4 weeks</w:t>
            </w:r>
          </w:p>
        </w:tc>
      </w:tr>
    </w:tbl>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Final Problem Statement</w:t>
      </w:r>
    </w:p>
    <w:p>
      <w:pPr>
        <w:spacing w:after="100" w:before="60"/>
      </w:pPr>
      <w:r>
        <w:rPr>
          <w:rFonts w:ascii="Arial" w:cs="Arial" w:eastAsia="Arial" w:hAnsi="Arial"/>
          <w:i/>
          <w:iCs/>
          <w:color w:val="595959"/>
          <w:sz w:val="22"/>
          <w:szCs w:val="22"/>
        </w:rPr>
        <w:t xml:space="preserve">This is the submission-ready problem statement. All methodological issues have been resolved.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F5F5F5" w:val="clear"/>
            <w:tcMar>
              <w:top w:type="dxa" w:w="140"/>
              <w:left w:type="dxa" w:w="240"/>
              <w:bottom w:type="dxa" w:w="140"/>
              <w:right w:type="dxa" w:w="200"/>
            </w:tcMar>
          </w:tcPr>
          <w:p>
            <w:r>
              <w:rPr>
                <w:rFonts w:ascii="Arial" w:cs="Arial" w:eastAsia="Arial" w:hAnsi="Arial"/>
                <w:i/>
                <w:iCs/>
                <w:color w:val="000000"/>
                <w:sz w:val="22"/>
                <w:szCs w:val="22"/>
              </w:rPr>
              <w:t xml:space="preserve">Large language models with chain-of-thought reasoning exhibit a systematic failure: once reasoning commits to an incorrect trajectory, subsequent tokens do not self-correct regardless of chain length. This failure is empirically documented but mechanistically unexplained.
We identify reasoning commitment points — specific semantic stages beyond which incorrect reasoning trajectories become unrecoverable even under direct residual stream intervention. To ensure semantic coherence, paired traces are generated from the same problem: a greedy decode (correct, T=0) and a temperature-sampled decode (incorrect, T=1.0). Patching injects greedy-trace residual stream activations across all transformer layers for tokens within each stage into the incorrect trace, measuring at which stage correct-trajectory information can no longer recover the correct answer.
CoT tokens are classified into four semantic stages via rule-based segmentation — setup (tokens before first post-question line break), computation (tokens containing arithmetic operators and adjacent numbers), transition (connector phrases: 'therefore', 'so', 'thus', 'this means', 'we get'), conclusion (tokens following final transition phrase to answer) — validated on 50 held-out examples before the main experiment.
A patch successfully shifts the trajectory if the top-1 predicted final answer token changes from the incorrect answer to any other value. Flip rates are reported continuously across all four stages with 95% bootstrap confidence intervals (1000 resamples). No binary commitment threshold is declared; the shape of the flip rate curve is the finding.
Using this methodology on Qwen2.5-1.5B-Instruct across 160 GSM8K reasoning chains — 80 correct and 80 incorrect, stratified by problem length quartile — we map stage-level recoverability for both groups. Cox et al. find that commitment often precedes CoT generation; our study complements this by measuring commitment during CoT generation using causal intervention, addressing whether in-chain stages can recover from incorrect trajectory even when pre-CoT commitment is incomplete.
We find [result], suggesting [interpretation].</w:t>
            </w:r>
          </w:p>
        </w:tc>
      </w:tr>
    </w:tbl>
    <w:p>
      <w:pPr>
        <w:spacing w:after="0" w:before="1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8. Key References</w:t>
      </w:r>
    </w:p>
    <w:p>
      <w:pPr>
        <w:spacing w:after="100" w:before="60"/>
      </w:pPr>
      <w:r>
        <w:rPr>
          <w:rFonts w:ascii="Arial" w:cs="Arial" w:eastAsia="Arial" w:hAnsi="Arial"/>
          <w:b/>
          <w:bCs/>
          <w:color w:val="000000"/>
          <w:sz w:val="22"/>
          <w:szCs w:val="22"/>
        </w:rPr>
        <w:t xml:space="preserve">Cox et al. (2024). </w:t>
      </w:r>
      <w:r>
        <w:rPr>
          <w:rFonts w:ascii="Arial" w:cs="Arial" w:eastAsia="Arial" w:hAnsi="Arial"/>
          <w:i/>
          <w:iCs/>
          <w:color w:val="595959"/>
          <w:sz w:val="22"/>
          <w:szCs w:val="22"/>
        </w:rPr>
        <w:t xml:space="preserve">Chain-of-Thought Reasoning Without Prompting.</w:t>
      </w:r>
      <w:r>
        <w:rPr>
          <w:rFonts w:ascii="Arial" w:cs="Arial" w:eastAsia="Arial" w:hAnsi="Arial"/>
          <w:color w:val="000000"/>
          <w:sz w:val="22"/>
          <w:szCs w:val="22"/>
        </w:rPr>
        <w:t xml:space="preserve"> [Pre-CoT commitment finding — probes predict final answer at &gt;0.9 AUC before CoT begins.]</w:t>
      </w:r>
    </w:p>
    <w:p>
      <w:pPr>
        <w:spacing w:after="0" w:before="40"/>
      </w:pPr>
      <w:r>
        <w:t xml:space="preserve"/>
      </w:r>
    </w:p>
    <w:p>
      <w:pPr>
        <w:spacing w:after="100" w:before="60"/>
      </w:pPr>
      <w:r>
        <w:rPr>
          <w:rFonts w:ascii="Arial" w:cs="Arial" w:eastAsia="Arial" w:hAnsi="Arial"/>
          <w:b/>
          <w:bCs/>
          <w:color w:val="000000"/>
          <w:sz w:val="22"/>
          <w:szCs w:val="22"/>
        </w:rPr>
        <w:t xml:space="preserve">Lanham et al. (2023). </w:t>
      </w:r>
      <w:r>
        <w:rPr>
          <w:rFonts w:ascii="Arial" w:cs="Arial" w:eastAsia="Arial" w:hAnsi="Arial"/>
          <w:i/>
          <w:iCs/>
          <w:color w:val="595959"/>
          <w:sz w:val="22"/>
          <w:szCs w:val="22"/>
        </w:rPr>
        <w:t xml:space="preserve">Measuring Faithfulness in Chain-of-Thought Reasoning.</w:t>
      </w:r>
      <w:r>
        <w:rPr>
          <w:rFonts w:ascii="Arial" w:cs="Arial" w:eastAsia="Arial" w:hAnsi="Arial"/>
          <w:color w:val="000000"/>
          <w:sz w:val="22"/>
          <w:szCs w:val="22"/>
        </w:rPr>
        <w:t xml:space="preserve"> arXiv:2307.13702. [CoT faithfulness measurement — adjacent, not identical to this study.]</w:t>
      </w:r>
    </w:p>
    <w:p>
      <w:pPr>
        <w:spacing w:after="0" w:before="40"/>
      </w:pPr>
      <w:r>
        <w:t xml:space="preserve"/>
      </w:r>
    </w:p>
    <w:p>
      <w:pPr>
        <w:spacing w:after="100" w:before="60"/>
      </w:pPr>
      <w:r>
        <w:rPr>
          <w:rFonts w:ascii="Arial" w:cs="Arial" w:eastAsia="Arial" w:hAnsi="Arial"/>
          <w:b/>
          <w:bCs/>
          <w:color w:val="000000"/>
          <w:sz w:val="22"/>
          <w:szCs w:val="22"/>
        </w:rPr>
        <w:t xml:space="preserve">Pfau et al. (2024). </w:t>
      </w:r>
      <w:r>
        <w:rPr>
          <w:rFonts w:ascii="Arial" w:cs="Arial" w:eastAsia="Arial" w:hAnsi="Arial"/>
          <w:i/>
          <w:iCs/>
          <w:color w:val="595959"/>
          <w:sz w:val="22"/>
          <w:szCs w:val="22"/>
        </w:rPr>
        <w:t xml:space="preserve">Let's Think Dot by Dot: Hidden Computation in Transformer Language Models.</w:t>
      </w:r>
      <w:r>
        <w:rPr>
          <w:rFonts w:ascii="Arial" w:cs="Arial" w:eastAsia="Arial" w:hAnsi="Arial"/>
          <w:color w:val="000000"/>
          <w:sz w:val="22"/>
          <w:szCs w:val="22"/>
        </w:rPr>
        <w:t xml:space="preserve"> arXiv:2404.15758. [Filler token causal load — controlled synthetic settings.]</w:t>
      </w:r>
    </w:p>
    <w:p>
      <w:pPr>
        <w:spacing w:after="0" w:before="40"/>
      </w:pPr>
      <w:r>
        <w:t xml:space="preserve"/>
      </w:r>
    </w:p>
    <w:p>
      <w:pPr>
        <w:spacing w:after="100" w:before="60"/>
      </w:pPr>
      <w:r>
        <w:rPr>
          <w:rFonts w:ascii="Arial" w:cs="Arial" w:eastAsia="Arial" w:hAnsi="Arial"/>
          <w:b/>
          <w:bCs/>
          <w:color w:val="000000"/>
          <w:sz w:val="22"/>
          <w:szCs w:val="22"/>
        </w:rPr>
        <w:t xml:space="preserve">Wang et al. (2022). </w:t>
      </w:r>
      <w:r>
        <w:rPr>
          <w:rFonts w:ascii="Arial" w:cs="Arial" w:eastAsia="Arial" w:hAnsi="Arial"/>
          <w:i/>
          <w:iCs/>
          <w:color w:val="595959"/>
          <w:sz w:val="22"/>
          <w:szCs w:val="22"/>
        </w:rPr>
        <w:t xml:space="preserve">Interpretability in the Wild: a Circuit for Indirect Object Identification in GPT-2 small.</w:t>
      </w:r>
      <w:r>
        <w:rPr>
          <w:rFonts w:ascii="Arial" w:cs="Arial" w:eastAsia="Arial" w:hAnsi="Arial"/>
          <w:color w:val="000000"/>
          <w:sz w:val="22"/>
          <w:szCs w:val="22"/>
        </w:rPr>
        <w:t xml:space="preserve"> arXiv:2211.00593. [Activation patching methodology template.]</w:t>
      </w:r>
    </w:p>
    <w:p>
      <w:pPr>
        <w:spacing w:after="0" w:before="40"/>
      </w:pPr>
      <w:r>
        <w:t xml:space="preserve"/>
      </w:r>
    </w:p>
    <w:p>
      <w:pPr>
        <w:spacing w:after="100" w:before="60"/>
      </w:pPr>
      <w:r>
        <w:rPr>
          <w:rFonts w:ascii="Arial" w:cs="Arial" w:eastAsia="Arial" w:hAnsi="Arial"/>
          <w:b/>
          <w:bCs/>
          <w:color w:val="000000"/>
          <w:sz w:val="22"/>
          <w:szCs w:val="22"/>
        </w:rPr>
        <w:t xml:space="preserve">Conmy et al. (2023). </w:t>
      </w:r>
      <w:r>
        <w:rPr>
          <w:rFonts w:ascii="Arial" w:cs="Arial" w:eastAsia="Arial" w:hAnsi="Arial"/>
          <w:i/>
          <w:iCs/>
          <w:color w:val="595959"/>
          <w:sz w:val="22"/>
          <w:szCs w:val="22"/>
        </w:rPr>
        <w:t xml:space="preserve">Towards Automated Circuit Discovery for Mechanistic Interpretability.</w:t>
      </w:r>
      <w:r>
        <w:rPr>
          <w:rFonts w:ascii="Arial" w:cs="Arial" w:eastAsia="Arial" w:hAnsi="Arial"/>
          <w:color w:val="000000"/>
          <w:sz w:val="22"/>
          <w:szCs w:val="22"/>
        </w:rPr>
        <w:t xml:space="preserve"> NeurIPS 2023. [Activation patching at scale.]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Aditya Singh  ·  IIT Kharagpur  ·  Reasoning Commitment Points  ·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2026-05-31T19:19:44.390Z</dcterms:created>
  <dcterms:modified xsi:type="dcterms:W3CDTF">2026-05-31T19:19:44.405Z</dcterms:modified>
</cp:coreProperties>
</file>

<file path=docProps/custom.xml><?xml version="1.0" encoding="utf-8"?>
<Properties xmlns="http://schemas.openxmlformats.org/officeDocument/2006/custom-properties" xmlns:vt="http://schemas.openxmlformats.org/officeDocument/2006/docPropsVTypes"/>
</file>