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12" w:lineRule="auto"/>
        <w:jc w:val="center"/>
      </w:pPr>
      <w:r>
        <w:rPr>
          <w:rFonts w:ascii="Times New Roman" w:hAnsi="Times New Roman"/>
          <w:b/>
          <w:i w:val="0"/>
          <w:sz w:val="36"/>
        </w:rPr>
        <w:t>INDUSTRIAL TRAINING REPORT</w:t>
      </w:r>
    </w:p>
    <w:p>
      <w:pPr>
        <w:spacing w:after="480" w:line="312" w:lineRule="auto"/>
        <w:jc w:val="center"/>
      </w:pPr>
      <w:r>
        <w:rPr>
          <w:rFonts w:ascii="Times New Roman" w:hAnsi="Times New Roman"/>
          <w:b/>
          <w:i w:val="0"/>
          <w:sz w:val="28"/>
        </w:rPr>
        <w:t>LAMIWOOD: AN E-COMMERCE PLATFORM FOR</w:t>
        <w:br/>
        <w:t>PREMIUM INTERIOR SURFACES</w:t>
      </w:r>
    </w:p>
    <w:p>
      <w:pPr>
        <w:spacing w:after="80" w:line="312" w:lineRule="auto"/>
        <w:jc w:val="center"/>
      </w:pPr>
      <w:r>
        <w:rPr>
          <w:rFonts w:ascii="Times New Roman" w:hAnsi="Times New Roman"/>
          <w:b w:val="0"/>
          <w:i w:val="0"/>
          <w:sz w:val="22"/>
        </w:rPr>
        <w:t>Submitted in partial fulfilment of the</w:t>
        <w:br/>
        <w:t>Requirements for the award of</w:t>
      </w:r>
    </w:p>
    <w:p>
      <w:pPr>
        <w:spacing w:after="400" w:line="312" w:lineRule="auto"/>
        <w:jc w:val="center"/>
      </w:pPr>
      <w:r>
        <w:rPr>
          <w:rFonts w:ascii="Times New Roman" w:hAnsi="Times New Roman"/>
          <w:b/>
          <w:i w:val="0"/>
          <w:sz w:val="23"/>
        </w:rPr>
        <w:t>Degree of Bachelor of Technology in Computer Science &amp; Engineering</w:t>
      </w:r>
    </w:p>
    <w:p>
      <w:pPr>
        <w:spacing w:after="360"/>
        <w:jc w:val="center"/>
      </w:pPr>
      <w:r>
        <w:drawing>
          <wp:inline xmlns:a="http://schemas.openxmlformats.org/drawingml/2006/main" xmlns:pic="http://schemas.openxmlformats.org/drawingml/2006/picture">
            <wp:extent cx="1645920" cy="1582615"/>
            <wp:docPr id="1" name="Picture 1"/>
            <wp:cNvGraphicFramePr>
              <a:graphicFrameLocks noChangeAspect="1"/>
            </wp:cNvGraphicFramePr>
            <a:graphic>
              <a:graphicData uri="http://schemas.openxmlformats.org/drawingml/2006/picture">
                <pic:pic>
                  <pic:nvPicPr>
                    <pic:cNvPr id="0" name="page_1_img_1.png"/>
                    <pic:cNvPicPr/>
                  </pic:nvPicPr>
                  <pic:blipFill>
                    <a:blip r:embed="rId9"/>
                    <a:stretch>
                      <a:fillRect/>
                    </a:stretch>
                  </pic:blipFill>
                  <pic:spPr>
                    <a:xfrm>
                      <a:off x="0" y="0"/>
                      <a:ext cx="1645920" cy="1582615"/>
                    </a:xfrm>
                    <a:prstGeom prst="rect"/>
                  </pic:spPr>
                </pic:pic>
              </a:graphicData>
            </a:graphic>
          </wp:inline>
        </w:drawing>
      </w:r>
    </w:p>
    <w:p>
      <w:pPr>
        <w:spacing w:after="360" w:line="312" w:lineRule="auto"/>
        <w:jc w:val="center"/>
      </w:pPr>
      <w:r>
        <w:rPr>
          <w:rFonts w:ascii="Times New Roman" w:hAnsi="Times New Roman"/>
          <w:b/>
          <w:i w:val="0"/>
          <w:sz w:val="23"/>
        </w:rPr>
        <w:t>Session: 2026–27</w:t>
      </w:r>
    </w:p>
    <w:p>
      <w:pPr>
        <w:spacing w:after="80" w:line="312" w:lineRule="auto"/>
        <w:jc w:val="center"/>
      </w:pPr>
      <w:r>
        <w:rPr>
          <w:rFonts w:ascii="Times New Roman" w:hAnsi="Times New Roman"/>
          <w:b/>
          <w:i w:val="0"/>
          <w:sz w:val="23"/>
        </w:rPr>
        <w:t>Submitted By</w:t>
      </w:r>
    </w:p>
    <w:p>
      <w:pPr>
        <w:spacing w:after="560" w:line="312" w:lineRule="auto"/>
        <w:jc w:val="center"/>
      </w:pPr>
      <w:r>
        <w:rPr>
          <w:rFonts w:ascii="Times New Roman" w:hAnsi="Times New Roman"/>
          <w:b w:val="0"/>
          <w:i w:val="0"/>
          <w:sz w:val="22"/>
        </w:rPr>
        <w:t>Name: Aditya Swami</w:t>
        <w:br/>
        <w:t>University Roll No.: 24ESKCS024</w:t>
        <w:br/>
        <w:t>Semester/Branch: 5th Semester / Computer Science &amp; Engineering</w:t>
      </w:r>
    </w:p>
    <w:p>
      <w:pPr>
        <w:spacing w:after="80" w:line="312" w:lineRule="auto"/>
        <w:jc w:val="center"/>
      </w:pPr>
      <w:r>
        <w:rPr>
          <w:rFonts w:ascii="Times New Roman" w:hAnsi="Times New Roman"/>
          <w:b/>
          <w:i w:val="0"/>
          <w:sz w:val="23"/>
        </w:rPr>
        <w:t>SUBMITTED TO:</w:t>
      </w:r>
    </w:p>
    <w:p>
      <w:pPr>
        <w:spacing w:after="0" w:line="312" w:lineRule="auto"/>
        <w:jc w:val="center"/>
      </w:pPr>
      <w:r>
        <w:rPr>
          <w:rFonts w:ascii="Times New Roman" w:hAnsi="Times New Roman"/>
          <w:b/>
          <w:i w:val="0"/>
          <w:sz w:val="22"/>
        </w:rPr>
        <w:t>Department of Computer Science &amp; Engineering</w:t>
        <w:br/>
        <w:t>SWAMI KESHVANAND INSTITUTE OF TECHNOLOGY,</w:t>
        <w:br/>
        <w:t>MANAGEMENT &amp; GRAMOTHAN, JAIPUR</w:t>
      </w:r>
    </w:p>
    <w:p>
      <w:r>
        <w:br w:type="page"/>
      </w:r>
    </w:p>
    <w:p>
      <w:pPr>
        <w:spacing w:after="480" w:line="312" w:lineRule="auto"/>
        <w:jc w:val="center"/>
      </w:pPr>
      <w:r>
        <w:rPr>
          <w:rFonts w:ascii="Times New Roman" w:hAnsi="Times New Roman"/>
          <w:b/>
          <w:i w:val="0"/>
          <w:sz w:val="32"/>
        </w:rPr>
        <w:t>DECLARATION</w:t>
      </w:r>
    </w:p>
    <w:p>
      <w:pPr>
        <w:spacing w:after="720" w:line="312" w:lineRule="auto"/>
        <w:jc w:val="both"/>
      </w:pPr>
      <w:r>
        <w:rPr>
          <w:rFonts w:ascii="Times New Roman" w:hAnsi="Times New Roman"/>
          <w:b w:val="0"/>
          <w:i w:val="0"/>
          <w:sz w:val="23"/>
        </w:rPr>
        <w:t>I hereby declare that the Industrial Training Report entitled “Lamiwood: An E-Commerce Platform for Premium Interior Surfaces” is an authentic record of my own work as requirements of 6-weeks Industrial Training during the period from 15 May 2026 to 29 June 2026 for the award of degree of B.Tech. (Computer Science &amp; Engineering), Swami Keshvanand Institute of Technology, Management &amp; Gramothan, Jaipur, under the guidance of Vikash Dhankar (Faculty Facilitator).</w:t>
      </w:r>
    </w:p>
    <w:p>
      <w:pPr>
        <w:spacing w:after="720" w:line="312" w:lineRule="auto"/>
        <w:jc w:val="right"/>
      </w:pPr>
      <w:r>
        <w:rPr>
          <w:rFonts w:ascii="Times New Roman" w:hAnsi="Times New Roman"/>
          <w:b/>
          <w:i w:val="0"/>
          <w:sz w:val="22"/>
        </w:rPr>
        <w:t>(Signature of Student)</w:t>
        <w:br/>
        <w:br/>
        <w:t>Aditya Swami</w:t>
        <w:br/>
        <w:t>24ESKCS024</w:t>
      </w:r>
    </w:p>
    <w:p>
      <w:pPr>
        <w:spacing w:after="720" w:line="312" w:lineRule="auto"/>
        <w:jc w:val="both"/>
      </w:pPr>
      <w:r>
        <w:rPr>
          <w:rFonts w:ascii="Times New Roman" w:hAnsi="Times New Roman"/>
          <w:b w:val="0"/>
          <w:i w:val="0"/>
          <w:sz w:val="22"/>
        </w:rPr>
        <w:t>Date: ____________________</w:t>
        <w:br/>
        <w:br/>
        <w:t>Certified that the above statement made by the student is correct to the best of our knowledge and belief.</w:t>
      </w:r>
    </w:p>
    <w:p>
      <w:pPr>
        <w:spacing w:after="360" w:line="312" w:lineRule="auto"/>
        <w:jc w:val="both"/>
      </w:pPr>
      <w:r>
        <w:rPr>
          <w:rFonts w:ascii="Times New Roman" w:hAnsi="Times New Roman"/>
          <w:b/>
          <w:i w:val="0"/>
          <w:sz w:val="23"/>
        </w:rPr>
        <w:t>Examined by:</w:t>
      </w:r>
    </w:p>
    <w:tbl>
      <w:tblPr>
        <w:tblW w:type="auto" w:w="0"/>
        <w:jc w:val="center"/>
        <w:tblLayout w:type="autofit"/>
        <w:tblLook w:firstColumn="1" w:firstRow="1" w:lastColumn="0" w:lastRow="0" w:noHBand="0" w:noVBand="1" w:val="04A0"/>
      </w:tblPr>
      <w:tblGrid>
        <w:gridCol w:w="4514"/>
        <w:gridCol w:w="4514"/>
      </w:tblGrid>
      <w:tr>
        <w:tc>
          <w:tcPr>
            <w:tcW w:type="dxa" w:w="4514"/>
          </w:tcPr>
          <w:p>
            <w:r>
              <w:rPr>
                <w:b/>
              </w:rPr>
              <w:t>(Signature)</w:t>
              <w:br/>
              <w:br/>
              <w:br/>
              <w:t>Vikash Dhankar</w:t>
              <w:br/>
              <w:t>Faculty Facilitator</w:t>
            </w:r>
          </w:p>
        </w:tc>
        <w:tc>
          <w:tcPr>
            <w:tcW w:type="dxa" w:w="4514"/>
          </w:tcPr>
          <w:p>
            <w:pPr>
              <w:jc w:val="right"/>
            </w:pPr>
            <w:r>
              <w:rPr>
                <w:b/>
              </w:rPr>
              <w:t>(Signature)</w:t>
              <w:br/>
              <w:br/>
              <w:br/>
              <w:t>Prof.(Dr. Mehul Mahrishi)</w:t>
              <w:br/>
              <w:t>Head of Department</w:t>
            </w:r>
          </w:p>
        </w:tc>
      </w:tr>
    </w:tbl>
    <w:p>
      <w:r>
        <w:br w:type="page"/>
      </w:r>
    </w:p>
    <w:p>
      <w:pPr>
        <w:spacing w:after="480" w:line="312" w:lineRule="auto"/>
        <w:jc w:val="center"/>
      </w:pPr>
      <w:r>
        <w:rPr>
          <w:rFonts w:ascii="Times New Roman" w:hAnsi="Times New Roman"/>
          <w:b/>
          <w:i w:val="0"/>
          <w:sz w:val="32"/>
        </w:rPr>
        <w:t>CERTIFICATE</w:t>
      </w:r>
    </w:p>
    <w:p>
      <w:pPr>
        <w:spacing w:after="240"/>
        <w:jc w:val="center"/>
      </w:pPr>
      <w:r>
        <w:drawing>
          <wp:inline xmlns:a="http://schemas.openxmlformats.org/drawingml/2006/main" xmlns:pic="http://schemas.openxmlformats.org/drawingml/2006/picture">
            <wp:extent cx="5486400" cy="3266244"/>
            <wp:docPr id="2" name="Picture 2"/>
            <wp:cNvGraphicFramePr>
              <a:graphicFrameLocks noChangeAspect="1"/>
            </wp:cNvGraphicFramePr>
            <a:graphic>
              <a:graphicData uri="http://schemas.openxmlformats.org/drawingml/2006/picture">
                <pic:pic>
                  <pic:nvPicPr>
                    <pic:cNvPr id="0" name="aditya_swami_certificate.png"/>
                    <pic:cNvPicPr/>
                  </pic:nvPicPr>
                  <pic:blipFill>
                    <a:blip r:embed="rId10"/>
                    <a:stretch>
                      <a:fillRect/>
                    </a:stretch>
                  </pic:blipFill>
                  <pic:spPr>
                    <a:xfrm>
                      <a:off x="0" y="0"/>
                      <a:ext cx="5486400" cy="3266244"/>
                    </a:xfrm>
                    <a:prstGeom prst="rect"/>
                  </pic:spPr>
                </pic:pic>
              </a:graphicData>
            </a:graphic>
          </wp:inline>
        </w:drawing>
      </w:r>
    </w:p>
    <w:p>
      <w:r>
        <w:br w:type="page"/>
      </w:r>
    </w:p>
    <w:p>
      <w:pPr>
        <w:spacing w:after="480" w:line="312" w:lineRule="auto"/>
        <w:jc w:val="center"/>
      </w:pPr>
      <w:r>
        <w:rPr>
          <w:rFonts w:ascii="Times New Roman" w:hAnsi="Times New Roman"/>
          <w:b/>
          <w:i w:val="0"/>
          <w:sz w:val="32"/>
        </w:rPr>
        <w:t>ACKNOWLEDGEMENT</w:t>
      </w:r>
    </w:p>
    <w:p>
      <w:pPr>
        <w:spacing w:after="280" w:line="312" w:lineRule="auto"/>
        <w:jc w:val="both"/>
      </w:pPr>
      <w:r>
        <w:rPr>
          <w:rFonts w:ascii="Times New Roman" w:hAnsi="Times New Roman"/>
          <w:b w:val="0"/>
          <w:i w:val="0"/>
          <w:sz w:val="23"/>
        </w:rPr>
        <w:t>First and foremost, I wish to express my sincere thanks and gratitude to my esteemed Mentor “Mr. Aditya Pareek” (Founder &amp; CEO, Linkstatic Techno) who has contributed so much for successful completion of my Industrial Training by his thoughtful reviews, technical expertise, and valuable guidance.</w:t>
      </w:r>
    </w:p>
    <w:p>
      <w:pPr>
        <w:spacing w:after="280" w:line="312" w:lineRule="auto"/>
        <w:jc w:val="both"/>
      </w:pPr>
      <w:r>
        <w:rPr>
          <w:rFonts w:ascii="Times New Roman" w:hAnsi="Times New Roman"/>
          <w:b w:val="0"/>
          <w:i w:val="0"/>
          <w:sz w:val="23"/>
        </w:rPr>
        <w:t>Next I would like to tender my sincere thanks to “Prof.(Dr. Mehul Mahrishi)” (Head of Computer Science &amp; Engineering) for his co-operation, academic leadership, and continuous encouragement throughout this tenure.</w:t>
      </w:r>
    </w:p>
    <w:p>
      <w:pPr>
        <w:spacing w:after="280" w:line="312" w:lineRule="auto"/>
        <w:jc w:val="both"/>
      </w:pPr>
      <w:r>
        <w:rPr>
          <w:rFonts w:ascii="Times New Roman" w:hAnsi="Times New Roman"/>
          <w:b w:val="0"/>
          <w:i w:val="0"/>
          <w:sz w:val="23"/>
        </w:rPr>
        <w:t>I am also thankful to Mr. Vikram Khandelwal, Coordinator (III Year In-house Internship 2026–27), for his support, administrative cooperation and motivation provided during the internship for constant inspiration, presence and blessings.</w:t>
      </w:r>
    </w:p>
    <w:p>
      <w:pPr>
        <w:spacing w:after="720" w:line="312" w:lineRule="auto"/>
        <w:jc w:val="both"/>
      </w:pPr>
      <w:r>
        <w:rPr>
          <w:rFonts w:ascii="Times New Roman" w:hAnsi="Times New Roman"/>
          <w:b w:val="0"/>
          <w:i w:val="0"/>
          <w:sz w:val="23"/>
        </w:rPr>
        <w:t>Finally, I extend my heartfelt appreciation to the faculty members of the Department of Computer Science &amp; Engineering and my peers at Swami Keshvanand Institute of Technology, Management &amp; Gramothan, Jaipur, whose constructive feedback and discussions greatly assisted me during the development and documentation of this project.</w:t>
      </w:r>
    </w:p>
    <w:p>
      <w:pPr>
        <w:spacing w:after="0" w:line="312" w:lineRule="auto"/>
        <w:jc w:val="right"/>
      </w:pPr>
      <w:r>
        <w:rPr>
          <w:rFonts w:ascii="Times New Roman" w:hAnsi="Times New Roman"/>
          <w:b/>
          <w:i w:val="0"/>
          <w:sz w:val="22"/>
        </w:rPr>
        <w:t>(Signature of Student)</w:t>
        <w:br/>
        <w:br/>
        <w:t>Aditya Swami</w:t>
        <w:br/>
        <w:t>24ESKCS024</w:t>
      </w:r>
    </w:p>
    <w:p>
      <w:r>
        <w:br w:type="page"/>
      </w:r>
    </w:p>
    <w:p>
      <w:pPr>
        <w:spacing w:after="480" w:line="312" w:lineRule="auto"/>
        <w:jc w:val="center"/>
      </w:pPr>
      <w:r>
        <w:rPr>
          <w:rFonts w:ascii="Times New Roman" w:hAnsi="Times New Roman"/>
          <w:b/>
          <w:i w:val="0"/>
          <w:sz w:val="32"/>
        </w:rPr>
        <w:t>ABSTRACT</w:t>
      </w:r>
    </w:p>
    <w:p>
      <w:pPr>
        <w:spacing w:after="240" w:line="312" w:lineRule="auto"/>
        <w:jc w:val="both"/>
      </w:pPr>
      <w:r>
        <w:rPr>
          <w:rFonts w:ascii="Times New Roman" w:hAnsi="Times New Roman"/>
          <w:b w:val="0"/>
          <w:i w:val="0"/>
          <w:sz w:val="23"/>
        </w:rPr>
        <w:t>The procurement and specification of luxury interior surfaces—including engineered hardwood flooring, architectural acoustic wall panels, outdoor composite decking, and decorative cladding—have traditionally been constrained by cumbersome offline sample distribution and fragmented catalog browsing. This report presents Lamiwood, a modern, production-ready e-commerce web platform engineered during the six-week Industrial Training at Linkstatic Techno in the domain of Full Stack Web and Frontend Engineering.</w:t>
      </w:r>
    </w:p>
    <w:p>
      <w:pPr>
        <w:spacing w:after="240" w:line="312" w:lineRule="auto"/>
        <w:jc w:val="both"/>
      </w:pPr>
      <w:r>
        <w:rPr>
          <w:rFonts w:ascii="Times New Roman" w:hAnsi="Times New Roman"/>
          <w:b w:val="0"/>
          <w:i w:val="0"/>
          <w:sz w:val="23"/>
        </w:rPr>
        <w:t>The platform bridges the gap between digital discovery and architectural precision by delivering a high-performance single-page web application built with React 19, TypeScript, Tailwind CSS v4, and Framer Motion. Lamiwood features a curated product catalog organized across six specialized categories (Flooring, Wall Panels, Decking, Ceiling Panels, Cladding, and Acoustic Panels). To assist homeowners, architects, and interior designers in technical decision-making, the application incorporates custom-engineered interactive tools: an Installation Pattern Designer supporting six distinct floor and wall layouts (Straight, Herringbone, Chevron, Brick Offset, Basket Weave, and Diagonal) with live SVG rendering; an intelligent Surface Price &amp; Wastage Calculator that accounts for room geometry and layout wastage factors; a real-time Side-by-Side Product Comparison Matrix; and an interactive Wood Finish Aging Simulator illustrating surface patina evolution over a 20-year span.</w:t>
      </w:r>
    </w:p>
    <w:p>
      <w:pPr>
        <w:spacing w:after="240" w:line="312" w:lineRule="auto"/>
        <w:jc w:val="both"/>
      </w:pPr>
      <w:r>
        <w:rPr>
          <w:rFonts w:ascii="Times New Roman" w:hAnsi="Times New Roman"/>
          <w:b w:val="0"/>
          <w:i w:val="0"/>
          <w:sz w:val="23"/>
        </w:rPr>
        <w:t>The architecture adheres to strict component-driven design principles with client-side state persistence. Shopping cart items, technical sample requests, and design wishlists are managed seamlessly via React Context API and synchronized with browser LocalStorage. Client-side routing is handled through React Router 7 with route-level code splitting via React.lazy() and fallback error boundaries. Fluid micro-interactions, luxury staggered text reveals, and scroll-triggered section entrances provide an engaging user experience while maintaining sub-second initial load times and top-tier Google Lighthouse audit ratings.</w:t>
      </w:r>
    </w:p>
    <w:p>
      <w:pPr>
        <w:spacing w:after="360" w:line="312" w:lineRule="auto"/>
        <w:jc w:val="both"/>
      </w:pPr>
      <w:r>
        <w:rPr>
          <w:rFonts w:ascii="Times New Roman" w:hAnsi="Times New Roman"/>
          <w:b w:val="0"/>
          <w:i w:val="0"/>
          <w:sz w:val="23"/>
        </w:rPr>
        <w:t>The project validates the efficacy of modern utility-first CSS frameworks combined with reactive state paradigms in building high-conversion luxury commerce platforms, while identifying future pathways including headless CMS integration, WebGL 3D room visualization, and Augmented Reality (AR) mobile surface previews.</w:t>
      </w:r>
    </w:p>
    <w:p>
      <w:pPr>
        <w:spacing w:after="0" w:line="312" w:lineRule="auto"/>
        <w:jc w:val="both"/>
      </w:pPr>
      <w:r>
        <w:rPr>
          <w:rFonts w:ascii="Times New Roman" w:hAnsi="Times New Roman"/>
          <w:b/>
          <w:i w:val="0"/>
          <w:sz w:val="23"/>
        </w:rPr>
        <w:t>Keywords: E-Commerce Platform, Architectural Surfaces, React 19, TypeScript, Tailwind CSS v4, Framer Motion, Pattern Designer, Material Area Calculator, Component-Driven Design.</w:t>
      </w:r>
    </w:p>
    <w:p>
      <w:r>
        <w:br w:type="page"/>
      </w:r>
    </w:p>
    <w:p>
      <w:pPr>
        <w:spacing w:after="400" w:line="312" w:lineRule="auto"/>
        <w:jc w:val="center"/>
      </w:pPr>
      <w:r>
        <w:rPr>
          <w:rFonts w:ascii="Times New Roman" w:hAnsi="Times New Roman"/>
          <w:b/>
          <w:i w:val="0"/>
          <w:sz w:val="32"/>
        </w:rPr>
        <w:t>Table of Contents</w:t>
      </w:r>
    </w:p>
    <w:tbl>
      <w:tblPr>
        <w:tblW w:type="auto" w:w="0"/>
        <w:jc w:val="center"/>
        <w:tblLook w:firstColumn="1" w:firstRow="1" w:lastColumn="0" w:lastRow="0" w:noHBand="0" w:noVBand="1" w:val="04A0"/>
      </w:tblPr>
      <w:tblGrid>
        <w:gridCol w:w="4514"/>
        <w:gridCol w:w="4514"/>
      </w:tblGrid>
      <w:tr>
        <w:tc>
          <w:tcPr>
            <w:tcW w:type="dxa" w:w="4514"/>
          </w:tcPr>
          <w:p>
            <w:pPr>
              <w:spacing w:after="40"/>
            </w:pPr>
            <w:r>
              <w:rPr>
                <w:b/>
              </w:rPr>
              <w:t>1  Introduction</w:t>
            </w:r>
          </w:p>
        </w:tc>
        <w:tc>
          <w:tcPr>
            <w:tcW w:type="dxa" w:w="4514"/>
          </w:tcPr>
          <w:p>
            <w:pPr>
              <w:spacing w:after="40"/>
              <w:jc w:val="right"/>
            </w:pPr>
            <w:r>
              <w:rPr>
                <w:b/>
              </w:rPr>
              <w:t>1</w:t>
            </w:r>
          </w:p>
        </w:tc>
      </w:tr>
      <w:tr>
        <w:tc>
          <w:tcPr>
            <w:tcW w:type="dxa" w:w="4514"/>
          </w:tcPr>
          <w:p>
            <w:pPr>
              <w:spacing w:after="40"/>
            </w:pPr>
            <w:r>
              <w:rPr>
                <w:b w:val="0"/>
              </w:rPr>
              <w:t xml:space="preserve">   1.1  Project Description</w:t>
            </w:r>
          </w:p>
        </w:tc>
        <w:tc>
          <w:tcPr>
            <w:tcW w:type="dxa" w:w="4514"/>
          </w:tcPr>
          <w:p>
            <w:pPr>
              <w:spacing w:after="40"/>
              <w:jc w:val="right"/>
            </w:pPr>
            <w:r>
              <w:rPr>
                <w:b w:val="0"/>
              </w:rPr>
              <w:t>1</w:t>
            </w:r>
          </w:p>
        </w:tc>
      </w:tr>
      <w:tr>
        <w:tc>
          <w:tcPr>
            <w:tcW w:type="dxa" w:w="4514"/>
          </w:tcPr>
          <w:p>
            <w:pPr>
              <w:spacing w:after="40"/>
            </w:pPr>
            <w:r>
              <w:rPr>
                <w:b w:val="0"/>
              </w:rPr>
              <w:t xml:space="preserve">   1.2  Project Scope</w:t>
            </w:r>
          </w:p>
        </w:tc>
        <w:tc>
          <w:tcPr>
            <w:tcW w:type="dxa" w:w="4514"/>
          </w:tcPr>
          <w:p>
            <w:pPr>
              <w:spacing w:after="40"/>
              <w:jc w:val="right"/>
            </w:pPr>
            <w:r>
              <w:rPr>
                <w:b w:val="0"/>
              </w:rPr>
              <w:t>1</w:t>
            </w:r>
          </w:p>
        </w:tc>
      </w:tr>
      <w:tr>
        <w:tc>
          <w:tcPr>
            <w:tcW w:type="dxa" w:w="4514"/>
          </w:tcPr>
          <w:p>
            <w:pPr>
              <w:spacing w:after="40"/>
            </w:pPr>
            <w:r>
              <w:rPr>
                <w:b w:val="0"/>
              </w:rPr>
              <w:t xml:space="preserve">   1.3  Intended Users</w:t>
            </w:r>
          </w:p>
        </w:tc>
        <w:tc>
          <w:tcPr>
            <w:tcW w:type="dxa" w:w="4514"/>
          </w:tcPr>
          <w:p>
            <w:pPr>
              <w:spacing w:after="40"/>
              <w:jc w:val="right"/>
            </w:pPr>
            <w:r>
              <w:rPr>
                <w:b w:val="0"/>
              </w:rPr>
              <w:t>2</w:t>
            </w:r>
          </w:p>
        </w:tc>
      </w:tr>
      <w:tr>
        <w:tc>
          <w:tcPr>
            <w:tcW w:type="dxa" w:w="4514"/>
          </w:tcPr>
          <w:p>
            <w:pPr>
              <w:spacing w:after="40"/>
            </w:pPr>
            <w:r>
              <w:rPr>
                <w:b w:val="0"/>
              </w:rPr>
              <w:t xml:space="preserve">   1.4  Project Features</w:t>
            </w:r>
          </w:p>
        </w:tc>
        <w:tc>
          <w:tcPr>
            <w:tcW w:type="dxa" w:w="4514"/>
          </w:tcPr>
          <w:p>
            <w:pPr>
              <w:spacing w:after="40"/>
              <w:jc w:val="right"/>
            </w:pPr>
            <w:r>
              <w:rPr>
                <w:b w:val="0"/>
              </w:rPr>
              <w:t>2</w:t>
            </w:r>
          </w:p>
        </w:tc>
      </w:tr>
      <w:tr>
        <w:tc>
          <w:tcPr>
            <w:tcW w:type="dxa" w:w="4514"/>
          </w:tcPr>
          <w:p>
            <w:pPr>
              <w:spacing w:after="40"/>
            </w:pPr>
            <w:r>
              <w:rPr>
                <w:b/>
              </w:rPr>
              <w:t>2  Tools &amp; Technology Used</w:t>
            </w:r>
          </w:p>
        </w:tc>
        <w:tc>
          <w:tcPr>
            <w:tcW w:type="dxa" w:w="4514"/>
          </w:tcPr>
          <w:p>
            <w:pPr>
              <w:spacing w:after="40"/>
              <w:jc w:val="right"/>
            </w:pPr>
            <w:r>
              <w:rPr>
                <w:b/>
              </w:rPr>
              <w:t>4</w:t>
            </w:r>
          </w:p>
        </w:tc>
      </w:tr>
      <w:tr>
        <w:tc>
          <w:tcPr>
            <w:tcW w:type="dxa" w:w="4514"/>
          </w:tcPr>
          <w:p>
            <w:pPr>
              <w:spacing w:after="40"/>
            </w:pPr>
            <w:r>
              <w:rPr>
                <w:b w:val="0"/>
              </w:rPr>
              <w:t xml:space="preserve">   2.1  Software Model Used</w:t>
            </w:r>
          </w:p>
        </w:tc>
        <w:tc>
          <w:tcPr>
            <w:tcW w:type="dxa" w:w="4514"/>
          </w:tcPr>
          <w:p>
            <w:pPr>
              <w:spacing w:after="40"/>
              <w:jc w:val="right"/>
            </w:pPr>
            <w:r>
              <w:rPr>
                <w:b w:val="0"/>
              </w:rPr>
              <w:t>4</w:t>
            </w:r>
          </w:p>
        </w:tc>
      </w:tr>
      <w:tr>
        <w:tc>
          <w:tcPr>
            <w:tcW w:type="dxa" w:w="4514"/>
          </w:tcPr>
          <w:p>
            <w:pPr>
              <w:spacing w:after="40"/>
            </w:pPr>
            <w:r>
              <w:rPr>
                <w:b w:val="0"/>
              </w:rPr>
              <w:t xml:space="preserve">   2.2  Technology Stack Used</w:t>
            </w:r>
          </w:p>
        </w:tc>
        <w:tc>
          <w:tcPr>
            <w:tcW w:type="dxa" w:w="4514"/>
          </w:tcPr>
          <w:p>
            <w:pPr>
              <w:spacing w:after="40"/>
              <w:jc w:val="right"/>
            </w:pPr>
            <w:r>
              <w:rPr>
                <w:b w:val="0"/>
              </w:rPr>
              <w:t>4</w:t>
            </w:r>
          </w:p>
        </w:tc>
      </w:tr>
      <w:tr>
        <w:tc>
          <w:tcPr>
            <w:tcW w:type="dxa" w:w="4514"/>
          </w:tcPr>
          <w:p>
            <w:pPr>
              <w:spacing w:after="40"/>
            </w:pPr>
            <w:r>
              <w:rPr>
                <w:b w:val="0"/>
              </w:rPr>
              <w:t xml:space="preserve">   2.3  Product User Interfaces</w:t>
            </w:r>
          </w:p>
        </w:tc>
        <w:tc>
          <w:tcPr>
            <w:tcW w:type="dxa" w:w="4514"/>
          </w:tcPr>
          <w:p>
            <w:pPr>
              <w:spacing w:after="40"/>
              <w:jc w:val="right"/>
            </w:pPr>
            <w:r>
              <w:rPr>
                <w:b w:val="0"/>
              </w:rPr>
              <w:t>4</w:t>
            </w:r>
          </w:p>
        </w:tc>
      </w:tr>
      <w:tr>
        <w:tc>
          <w:tcPr>
            <w:tcW w:type="dxa" w:w="4514"/>
          </w:tcPr>
          <w:p>
            <w:pPr>
              <w:spacing w:after="40"/>
            </w:pPr>
            <w:r>
              <w:rPr>
                <w:b w:val="0"/>
              </w:rPr>
              <w:t xml:space="preserve">   2.4  Design and Implementation Constraints</w:t>
            </w:r>
          </w:p>
        </w:tc>
        <w:tc>
          <w:tcPr>
            <w:tcW w:type="dxa" w:w="4514"/>
          </w:tcPr>
          <w:p>
            <w:pPr>
              <w:spacing w:after="40"/>
              <w:jc w:val="right"/>
            </w:pPr>
            <w:r>
              <w:rPr>
                <w:b w:val="0"/>
              </w:rPr>
              <w:t>6</w:t>
            </w:r>
          </w:p>
        </w:tc>
      </w:tr>
      <w:tr>
        <w:tc>
          <w:tcPr>
            <w:tcW w:type="dxa" w:w="4514"/>
          </w:tcPr>
          <w:p>
            <w:pPr>
              <w:spacing w:after="40"/>
            </w:pPr>
            <w:r>
              <w:rPr>
                <w:b w:val="0"/>
              </w:rPr>
              <w:t xml:space="preserve">   2.5  Data Flow and Dataset Structure</w:t>
            </w:r>
          </w:p>
        </w:tc>
        <w:tc>
          <w:tcPr>
            <w:tcW w:type="dxa" w:w="4514"/>
          </w:tcPr>
          <w:p>
            <w:pPr>
              <w:spacing w:after="40"/>
              <w:jc w:val="right"/>
            </w:pPr>
            <w:r>
              <w:rPr>
                <w:b w:val="0"/>
              </w:rPr>
              <w:t>7</w:t>
            </w:r>
          </w:p>
        </w:tc>
      </w:tr>
      <w:tr>
        <w:tc>
          <w:tcPr>
            <w:tcW w:type="dxa" w:w="4514"/>
          </w:tcPr>
          <w:p>
            <w:pPr>
              <w:spacing w:after="40"/>
            </w:pPr>
            <w:r>
              <w:rPr>
                <w:b w:val="0"/>
              </w:rPr>
              <w:t xml:space="preserve">   2.6  Software and System Requirements</w:t>
            </w:r>
          </w:p>
        </w:tc>
        <w:tc>
          <w:tcPr>
            <w:tcW w:type="dxa" w:w="4514"/>
          </w:tcPr>
          <w:p>
            <w:pPr>
              <w:spacing w:after="40"/>
              <w:jc w:val="right"/>
            </w:pPr>
            <w:r>
              <w:rPr>
                <w:b w:val="0"/>
              </w:rPr>
              <w:t>7</w:t>
            </w:r>
          </w:p>
        </w:tc>
      </w:tr>
      <w:tr>
        <w:tc>
          <w:tcPr>
            <w:tcW w:type="dxa" w:w="4514"/>
          </w:tcPr>
          <w:p>
            <w:pPr>
              <w:spacing w:after="40"/>
            </w:pPr>
            <w:r>
              <w:rPr>
                <w:b/>
              </w:rPr>
              <w:t>3  Snapshots</w:t>
            </w:r>
          </w:p>
        </w:tc>
        <w:tc>
          <w:tcPr>
            <w:tcW w:type="dxa" w:w="4514"/>
          </w:tcPr>
          <w:p>
            <w:pPr>
              <w:spacing w:after="40"/>
              <w:jc w:val="right"/>
            </w:pPr>
            <w:r>
              <w:rPr>
                <w:b/>
              </w:rPr>
              <w:t>8</w:t>
            </w:r>
          </w:p>
        </w:tc>
      </w:tr>
      <w:tr>
        <w:tc>
          <w:tcPr>
            <w:tcW w:type="dxa" w:w="4514"/>
          </w:tcPr>
          <w:p>
            <w:pPr>
              <w:spacing w:after="40"/>
            </w:pPr>
            <w:r>
              <w:rPr>
                <w:b w:val="0"/>
              </w:rPr>
              <w:t xml:space="preserve">   3.1  Flow Chart / Proposed Work</w:t>
            </w:r>
          </w:p>
        </w:tc>
        <w:tc>
          <w:tcPr>
            <w:tcW w:type="dxa" w:w="4514"/>
          </w:tcPr>
          <w:p>
            <w:pPr>
              <w:spacing w:after="40"/>
              <w:jc w:val="right"/>
            </w:pPr>
            <w:r>
              <w:rPr>
                <w:b w:val="0"/>
              </w:rPr>
              <w:t>8</w:t>
            </w:r>
          </w:p>
        </w:tc>
      </w:tr>
      <w:tr>
        <w:tc>
          <w:tcPr>
            <w:tcW w:type="dxa" w:w="4514"/>
          </w:tcPr>
          <w:p>
            <w:pPr>
              <w:spacing w:after="40"/>
            </w:pPr>
            <w:r>
              <w:rPr>
                <w:b w:val="0"/>
              </w:rPr>
              <w:t xml:space="preserve">   3.2  Project Snippets</w:t>
            </w:r>
          </w:p>
        </w:tc>
        <w:tc>
          <w:tcPr>
            <w:tcW w:type="dxa" w:w="4514"/>
          </w:tcPr>
          <w:p>
            <w:pPr>
              <w:spacing w:after="40"/>
              <w:jc w:val="right"/>
            </w:pPr>
            <w:r>
              <w:rPr>
                <w:b w:val="0"/>
              </w:rPr>
              <w:t>10</w:t>
            </w:r>
          </w:p>
        </w:tc>
      </w:tr>
      <w:tr>
        <w:tc>
          <w:tcPr>
            <w:tcW w:type="dxa" w:w="4514"/>
          </w:tcPr>
          <w:p>
            <w:pPr>
              <w:spacing w:after="40"/>
            </w:pPr>
            <w:r>
              <w:rPr>
                <w:b w:val="0"/>
              </w:rPr>
              <w:t xml:space="preserve">   3.3  Code</w:t>
            </w:r>
          </w:p>
        </w:tc>
        <w:tc>
          <w:tcPr>
            <w:tcW w:type="dxa" w:w="4514"/>
          </w:tcPr>
          <w:p>
            <w:pPr>
              <w:spacing w:after="40"/>
              <w:jc w:val="right"/>
            </w:pPr>
            <w:r>
              <w:rPr>
                <w:b w:val="0"/>
              </w:rPr>
              <w:t>13</w:t>
            </w:r>
          </w:p>
        </w:tc>
      </w:tr>
      <w:tr>
        <w:tc>
          <w:tcPr>
            <w:tcW w:type="dxa" w:w="4514"/>
          </w:tcPr>
          <w:p>
            <w:pPr>
              <w:spacing w:after="40"/>
            </w:pPr>
            <w:r>
              <w:rPr>
                <w:b/>
              </w:rPr>
              <w:t>4  Results and Discussion</w:t>
            </w:r>
          </w:p>
        </w:tc>
        <w:tc>
          <w:tcPr>
            <w:tcW w:type="dxa" w:w="4514"/>
          </w:tcPr>
          <w:p>
            <w:pPr>
              <w:spacing w:after="40"/>
              <w:jc w:val="right"/>
            </w:pPr>
            <w:r>
              <w:rPr>
                <w:b/>
              </w:rPr>
              <w:t>16</w:t>
            </w:r>
          </w:p>
        </w:tc>
      </w:tr>
      <w:tr>
        <w:tc>
          <w:tcPr>
            <w:tcW w:type="dxa" w:w="4514"/>
          </w:tcPr>
          <w:p>
            <w:pPr>
              <w:spacing w:after="40"/>
            </w:pPr>
            <w:r>
              <w:rPr>
                <w:b w:val="0"/>
              </w:rPr>
              <w:t xml:space="preserve">   4.1  Feature Implementation Results</w:t>
            </w:r>
          </w:p>
        </w:tc>
        <w:tc>
          <w:tcPr>
            <w:tcW w:type="dxa" w:w="4514"/>
          </w:tcPr>
          <w:p>
            <w:pPr>
              <w:spacing w:after="40"/>
              <w:jc w:val="right"/>
            </w:pPr>
            <w:r>
              <w:rPr>
                <w:b w:val="0"/>
              </w:rPr>
              <w:t>16</w:t>
            </w:r>
          </w:p>
        </w:tc>
      </w:tr>
      <w:tr>
        <w:tc>
          <w:tcPr>
            <w:tcW w:type="dxa" w:w="4514"/>
          </w:tcPr>
          <w:p>
            <w:pPr>
              <w:spacing w:after="40"/>
            </w:pPr>
            <w:r>
              <w:rPr>
                <w:b w:val="0"/>
              </w:rPr>
              <w:t xml:space="preserve">   4.2  Discussion</w:t>
            </w:r>
          </w:p>
        </w:tc>
        <w:tc>
          <w:tcPr>
            <w:tcW w:type="dxa" w:w="4514"/>
          </w:tcPr>
          <w:p>
            <w:pPr>
              <w:spacing w:after="40"/>
              <w:jc w:val="right"/>
            </w:pPr>
            <w:r>
              <w:rPr>
                <w:b w:val="0"/>
              </w:rPr>
              <w:t>17</w:t>
            </w:r>
          </w:p>
        </w:tc>
      </w:tr>
      <w:tr>
        <w:tc>
          <w:tcPr>
            <w:tcW w:type="dxa" w:w="4514"/>
          </w:tcPr>
          <w:p>
            <w:pPr>
              <w:spacing w:after="40"/>
            </w:pPr>
            <w:r>
              <w:rPr>
                <w:b/>
              </w:rPr>
              <w:t>5  Conclusion and Future Scope</w:t>
            </w:r>
          </w:p>
        </w:tc>
        <w:tc>
          <w:tcPr>
            <w:tcW w:type="dxa" w:w="4514"/>
          </w:tcPr>
          <w:p>
            <w:pPr>
              <w:spacing w:after="40"/>
              <w:jc w:val="right"/>
            </w:pPr>
            <w:r>
              <w:rPr>
                <w:b/>
              </w:rPr>
              <w:t>19</w:t>
            </w:r>
          </w:p>
        </w:tc>
      </w:tr>
      <w:tr>
        <w:tc>
          <w:tcPr>
            <w:tcW w:type="dxa" w:w="4514"/>
          </w:tcPr>
          <w:p>
            <w:pPr>
              <w:spacing w:after="40"/>
            </w:pPr>
            <w:r>
              <w:rPr>
                <w:b w:val="0"/>
              </w:rPr>
              <w:t xml:space="preserve">   5.1  Product Catalog &amp; System Snapshot</w:t>
            </w:r>
          </w:p>
        </w:tc>
        <w:tc>
          <w:tcPr>
            <w:tcW w:type="dxa" w:w="4514"/>
          </w:tcPr>
          <w:p>
            <w:pPr>
              <w:spacing w:after="40"/>
              <w:jc w:val="right"/>
            </w:pPr>
            <w:r>
              <w:rPr>
                <w:b w:val="0"/>
              </w:rPr>
              <w:t>19</w:t>
            </w:r>
          </w:p>
        </w:tc>
      </w:tr>
      <w:tr>
        <w:tc>
          <w:tcPr>
            <w:tcW w:type="dxa" w:w="4514"/>
          </w:tcPr>
          <w:p>
            <w:pPr>
              <w:spacing w:after="40"/>
            </w:pPr>
            <w:r>
              <w:rPr>
                <w:b w:val="0"/>
              </w:rPr>
              <w:t xml:space="preserve">   5.2  Future Scope</w:t>
            </w:r>
          </w:p>
        </w:tc>
        <w:tc>
          <w:tcPr>
            <w:tcW w:type="dxa" w:w="4514"/>
          </w:tcPr>
          <w:p>
            <w:pPr>
              <w:spacing w:after="40"/>
              <w:jc w:val="right"/>
            </w:pPr>
            <w:r>
              <w:rPr>
                <w:b w:val="0"/>
              </w:rPr>
              <w:t>19</w:t>
            </w:r>
          </w:p>
        </w:tc>
      </w:tr>
      <w:tr>
        <w:tc>
          <w:tcPr>
            <w:tcW w:type="dxa" w:w="4514"/>
          </w:tcPr>
          <w:p>
            <w:pPr>
              <w:spacing w:after="40"/>
            </w:pPr>
            <w:r>
              <w:rPr>
                <w:b/>
              </w:rPr>
              <w:t>Conclusion</w:t>
            </w:r>
          </w:p>
        </w:tc>
        <w:tc>
          <w:tcPr>
            <w:tcW w:type="dxa" w:w="4514"/>
          </w:tcPr>
          <w:p>
            <w:pPr>
              <w:spacing w:after="40"/>
              <w:jc w:val="right"/>
            </w:pPr>
            <w:r>
              <w:rPr>
                <w:b/>
              </w:rPr>
              <w:t>21</w:t>
            </w:r>
          </w:p>
        </w:tc>
      </w:tr>
      <w:tr>
        <w:tc>
          <w:tcPr>
            <w:tcW w:type="dxa" w:w="4514"/>
          </w:tcPr>
          <w:p>
            <w:pPr>
              <w:spacing w:after="40"/>
            </w:pPr>
            <w:r>
              <w:rPr>
                <w:b/>
              </w:rPr>
              <w:t>References</w:t>
            </w:r>
          </w:p>
        </w:tc>
        <w:tc>
          <w:tcPr>
            <w:tcW w:type="dxa" w:w="4514"/>
          </w:tcPr>
          <w:p>
            <w:pPr>
              <w:spacing w:after="40"/>
              <w:jc w:val="right"/>
            </w:pPr>
            <w:r>
              <w:rPr>
                <w:b/>
              </w:rPr>
              <w:t>22</w:t>
            </w:r>
          </w:p>
        </w:tc>
      </w:tr>
    </w:tbl>
    <w:p>
      <w:r>
        <w:br w:type="page"/>
      </w:r>
    </w:p>
    <w:p>
      <w:pPr>
        <w:spacing w:after="80" w:line="312" w:lineRule="auto"/>
        <w:jc w:val="both"/>
      </w:pPr>
      <w:r>
        <w:rPr>
          <w:rFonts w:ascii="Times New Roman" w:hAnsi="Times New Roman"/>
          <w:b/>
          <w:i w:val="0"/>
          <w:sz w:val="36"/>
        </w:rPr>
        <w:t>Chapter 1</w:t>
      </w:r>
    </w:p>
    <w:p>
      <w:pPr>
        <w:spacing w:after="360" w:line="312" w:lineRule="auto"/>
        <w:jc w:val="both"/>
      </w:pPr>
      <w:r>
        <w:rPr>
          <w:rFonts w:ascii="Times New Roman" w:hAnsi="Times New Roman"/>
          <w:b/>
          <w:i w:val="0"/>
          <w:sz w:val="44"/>
        </w:rPr>
        <w:t>Introduction</w:t>
      </w:r>
    </w:p>
    <w:p>
      <w:pPr>
        <w:spacing w:after="120" w:line="312" w:lineRule="auto"/>
        <w:jc w:val="both"/>
      </w:pPr>
      <w:r>
        <w:rPr>
          <w:rFonts w:ascii="Times New Roman" w:hAnsi="Times New Roman"/>
          <w:b/>
          <w:i w:val="0"/>
          <w:sz w:val="27"/>
        </w:rPr>
        <w:t>1.1  Project Description</w:t>
      </w:r>
    </w:p>
    <w:p>
      <w:pPr>
        <w:spacing w:after="200" w:line="312" w:lineRule="auto"/>
        <w:jc w:val="both"/>
      </w:pPr>
      <w:r>
        <w:rPr>
          <w:rFonts w:ascii="Times New Roman" w:hAnsi="Times New Roman"/>
          <w:b w:val="0"/>
          <w:i w:val="0"/>
          <w:sz w:val="23"/>
        </w:rPr>
        <w:t>Lamiwood is a premier architectural surfaces and interior design e-commerce web platform engineered to transform how architects, interior designers, commercial developers, and modern homeowners explore, calculate, and procure high-end surfacing solutions. In the architectural materials industry, selecting elements such as engineered European oak flooring, acoustic fluted wall panels, exterior bamboo decking, and decorative charred cladding involves complex spatial, aesthetic, and mathematical evaluations. Traditional digital commerce stores often fail to provide the sensory richness, technical precision, and installation calculators required for high-investment architectural finishes.</w:t>
      </w:r>
    </w:p>
    <w:p>
      <w:pPr>
        <w:spacing w:after="280" w:line="312" w:lineRule="auto"/>
        <w:jc w:val="both"/>
      </w:pPr>
      <w:r>
        <w:rPr>
          <w:rFonts w:ascii="Times New Roman" w:hAnsi="Times New Roman"/>
          <w:b w:val="0"/>
          <w:i w:val="0"/>
          <w:sz w:val="23"/>
        </w:rPr>
        <w:t>The project was developed during a six-week Industrial Training at Linkstatic Techno in the domain of Full Stack Web and Modern Frontend Engineering. Lamiwood addresses industry bottlenecks by providing an interactive digital showroom coupled with precision architectural utilities. Built using React 19, TypeScript, Tailwind CSS v4, and Framer Motion, the platform combines a curated 16-product catalog across 6 core architectural categories with dynamic calculation engines: an interactive Installation Pattern Designer, a Room Surface &amp; Wastage Calculator, a Multi-Product Side-by-Side Comparison Matrix, and an interactive Wood Aging Simulator. The application tagline, “Surfaces Crafted for Extraordinary Spaces”, reflects its core mission: empowering professionals and homeowners to visualize, plan, and specify premium architectural surfaces with absolute confidence.</w:t>
      </w:r>
    </w:p>
    <w:p>
      <w:pPr>
        <w:spacing w:after="120" w:line="312" w:lineRule="auto"/>
        <w:jc w:val="both"/>
      </w:pPr>
      <w:r>
        <w:rPr>
          <w:rFonts w:ascii="Times New Roman" w:hAnsi="Times New Roman"/>
          <w:b/>
          <w:i w:val="0"/>
          <w:sz w:val="27"/>
        </w:rPr>
        <w:t>1.2  Project Scope</w:t>
      </w:r>
    </w:p>
    <w:p>
      <w:pPr>
        <w:spacing w:after="120" w:line="312" w:lineRule="auto"/>
        <w:jc w:val="both"/>
      </w:pPr>
      <w:r>
        <w:rPr>
          <w:rFonts w:ascii="Times New Roman" w:hAnsi="Times New Roman"/>
          <w:b w:val="0"/>
          <w:i w:val="0"/>
          <w:sz w:val="23"/>
        </w:rPr>
        <w:t>The scope of the project encompasses the complete engineering lifecycle of a high-performance, component-driven architectural e-commerce single-page application (SPA), ranging from requirements gathering and design token structuring to state persistence and interactive layout computation:</w:t>
      </w:r>
    </w:p>
    <w:p>
      <w:pPr>
        <w:pStyle w:val="ListBullet"/>
        <w:spacing w:after="80" w:line="300" w:lineRule="auto"/>
        <w:jc w:val="both"/>
      </w:pPr>
      <w:r>
        <w:rPr>
          <w:rFonts w:ascii="Times New Roman" w:hAnsi="Times New Roman"/>
          <w:sz w:val="22"/>
        </w:rPr>
        <w:t>Architecting a modular, type-safe product schema in TypeScript covering product dimensions, grain finishes, wear-layer thickness, installation click-lock specifications, and certifications.</w:t>
      </w:r>
    </w:p>
    <w:p>
      <w:pPr>
        <w:pStyle w:val="ListBullet"/>
        <w:spacing w:after="80" w:line="300" w:lineRule="auto"/>
        <w:jc w:val="both"/>
      </w:pPr>
      <w:r>
        <w:rPr>
          <w:rFonts w:ascii="Times New Roman" w:hAnsi="Times New Roman"/>
          <w:sz w:val="22"/>
        </w:rPr>
        <w:t>Developing an immersive, responsive frontend design system adhering to modern luxury interior brand guidelines using Tailwind CSS v4 and Google Fonts typography (Cormorant Garamond and DM Sans).</w:t>
      </w:r>
    </w:p>
    <w:p>
      <w:pPr>
        <w:pStyle w:val="ListBullet"/>
        <w:spacing w:after="80" w:line="300" w:lineRule="auto"/>
        <w:jc w:val="both"/>
      </w:pPr>
      <w:r>
        <w:rPr>
          <w:rFonts w:ascii="Times New Roman" w:hAnsi="Times New Roman"/>
          <w:sz w:val="22"/>
        </w:rPr>
        <w:t>Implementing multi-faceted client-side catalog filtering and sorting by category, price tier, surface finish, and availability with seamless URL state synchronization.</w:t>
      </w:r>
    </w:p>
    <w:p>
      <w:pPr>
        <w:pStyle w:val="ListBullet"/>
        <w:spacing w:after="80" w:line="300" w:lineRule="auto"/>
        <w:jc w:val="both"/>
      </w:pPr>
      <w:r>
        <w:rPr>
          <w:rFonts w:ascii="Times New Roman" w:hAnsi="Times New Roman"/>
          <w:sz w:val="22"/>
        </w:rPr>
        <w:t>Engineering mathematical visual tools, including an interactive SVG-driven pattern designer supporting six geometric laying patterns with dynamic room dimensions and wastage percentage algorithms.</w:t>
      </w:r>
    </w:p>
    <w:p>
      <w:pPr>
        <w:pStyle w:val="ListBullet"/>
        <w:spacing w:after="80" w:line="300" w:lineRule="auto"/>
        <w:jc w:val="both"/>
      </w:pPr>
      <w:r>
        <w:rPr>
          <w:rFonts w:ascii="Times New Roman" w:hAnsi="Times New Roman"/>
          <w:sz w:val="22"/>
        </w:rPr>
        <w:t>Building an end-to-end room area, packaging unit, and budget estimator capable of computing net square footage, buffer margins, and box breakdown for floors, walls, and ceilings.</w:t>
      </w:r>
    </w:p>
    <w:p>
      <w:pPr>
        <w:pStyle w:val="ListBullet"/>
        <w:spacing w:after="80" w:line="300" w:lineRule="auto"/>
        <w:jc w:val="both"/>
      </w:pPr>
      <w:r>
        <w:rPr>
          <w:rFonts w:ascii="Times New Roman" w:hAnsi="Times New Roman"/>
          <w:sz w:val="22"/>
        </w:rPr>
        <w:t>Providing client-side transactional workflows, including a persistent slide-in Cart Drawer, Technical Sample Request system, and Design Consultation booking modal.</w:t>
      </w:r>
    </w:p>
    <w:p>
      <w:pPr>
        <w:pStyle w:val="ListBullet"/>
        <w:spacing w:after="80" w:line="300" w:lineRule="auto"/>
        <w:jc w:val="both"/>
      </w:pPr>
      <w:r>
        <w:rPr>
          <w:rFonts w:ascii="Times New Roman" w:hAnsi="Times New Roman"/>
          <w:sz w:val="22"/>
        </w:rPr>
        <w:t>Integrating responsive mobile navigation, scroll-driven header transformations, preloader brand entrance animations, and full-screen lightbox galleries.</w:t>
      </w:r>
    </w:p>
    <w:p>
      <w:pPr>
        <w:spacing w:after="120" w:line="312" w:lineRule="auto"/>
        <w:jc w:val="both"/>
      </w:pPr>
      <w:r>
        <w:rPr>
          <w:rFonts w:ascii="Times New Roman" w:hAnsi="Times New Roman"/>
          <w:b/>
          <w:i w:val="0"/>
          <w:sz w:val="27"/>
        </w:rPr>
        <w:t>1.3  Intended Users</w:t>
      </w:r>
    </w:p>
    <w:p>
      <w:pPr>
        <w:spacing w:after="120" w:line="312" w:lineRule="auto"/>
        <w:jc w:val="both"/>
      </w:pPr>
      <w:r>
        <w:rPr>
          <w:rFonts w:ascii="Times New Roman" w:hAnsi="Times New Roman"/>
          <w:b w:val="0"/>
          <w:i w:val="0"/>
          <w:sz w:val="23"/>
        </w:rPr>
        <w:t>Lamiwood is designed to cater to both professional trade specifiers and direct retail clients:</w:t>
      </w:r>
    </w:p>
    <w:p>
      <w:pPr>
        <w:pStyle w:val="ListBullet"/>
        <w:spacing w:after="80" w:line="300" w:lineRule="auto"/>
        <w:jc w:val="both"/>
      </w:pPr>
      <w:r>
        <w:rPr>
          <w:rFonts w:ascii="Times New Roman" w:hAnsi="Times New Roman"/>
          <w:sz w:val="22"/>
        </w:rPr>
        <w:t>Architects and Interior Designers: Specifiers requiring exact technical dimensions, fire-resistance ratings, acoustic coefficients, installation patterns, and physical sample deliveries for client pitch decks.</w:t>
      </w:r>
    </w:p>
    <w:p>
      <w:pPr>
        <w:pStyle w:val="ListBullet"/>
        <w:spacing w:after="80" w:line="300" w:lineRule="auto"/>
        <w:jc w:val="both"/>
      </w:pPr>
      <w:r>
        <w:rPr>
          <w:rFonts w:ascii="Times New Roman" w:hAnsi="Times New Roman"/>
          <w:sz w:val="22"/>
        </w:rPr>
        <w:t>Luxury Homeowners: Individuals undertaking residential renovations who seek visual clarity regarding plank layouts, finish durability, and estimated project expenditures without navigating complex sales representatives.</w:t>
      </w:r>
    </w:p>
    <w:p>
      <w:pPr>
        <w:pStyle w:val="ListBullet"/>
        <w:spacing w:after="80" w:line="300" w:lineRule="auto"/>
        <w:jc w:val="both"/>
      </w:pPr>
      <w:r>
        <w:rPr>
          <w:rFonts w:ascii="Times New Roman" w:hAnsi="Times New Roman"/>
          <w:sz w:val="22"/>
        </w:rPr>
        <w:t>General Contractors &amp; Flooring Installers: Construction professionals requiring accurate square-foot material breakdowns, packaging unit calculations, and recommended buffer wastage factors.</w:t>
      </w:r>
    </w:p>
    <w:p>
      <w:pPr>
        <w:pStyle w:val="ListBullet"/>
        <w:spacing w:after="80" w:line="300" w:lineRule="auto"/>
        <w:jc w:val="both"/>
      </w:pPr>
      <w:r>
        <w:rPr>
          <w:rFonts w:ascii="Times New Roman" w:hAnsi="Times New Roman"/>
          <w:sz w:val="22"/>
        </w:rPr>
        <w:t>Frontend Developers &amp; Engineering Students: Software practitioners seeking reference implementations of cutting-edge React 19 architecture, complex SVG algorithmic rendering, and zero-runtime CSS workflows.</w:t>
      </w:r>
    </w:p>
    <w:p>
      <w:pPr>
        <w:spacing w:after="120" w:line="312" w:lineRule="auto"/>
        <w:jc w:val="both"/>
      </w:pPr>
      <w:r>
        <w:rPr>
          <w:rFonts w:ascii="Times New Roman" w:hAnsi="Times New Roman"/>
          <w:b/>
          <w:i w:val="0"/>
          <w:sz w:val="27"/>
        </w:rPr>
        <w:t>1.4  Project Features</w:t>
      </w:r>
    </w:p>
    <w:p>
      <w:pPr>
        <w:pStyle w:val="ListBullet"/>
        <w:spacing w:after="80" w:line="300" w:lineRule="auto"/>
        <w:jc w:val="both"/>
      </w:pPr>
      <w:r>
        <w:rPr>
          <w:rFonts w:ascii="Times New Roman" w:hAnsi="Times New Roman"/>
          <w:sz w:val="22"/>
        </w:rPr>
        <w:t>Curated Architectural Catalog: Comprehensive display of 16 artisan products across 6 categories (Flooring, Wall Panels, Decking, Ceiling Panels, Cladding, and Acoustic Panels) with badges, high-resolution imagery, and pricing.</w:t>
      </w:r>
    </w:p>
    <w:p>
      <w:pPr>
        <w:pStyle w:val="ListBullet"/>
        <w:spacing w:after="80" w:line="300" w:lineRule="auto"/>
        <w:jc w:val="both"/>
      </w:pPr>
      <w:r>
        <w:rPr>
          <w:rFonts w:ascii="Times New Roman" w:hAnsi="Times New Roman"/>
          <w:sz w:val="22"/>
        </w:rPr>
        <w:t>Multi-Attribute Filtering &amp; Sorting: Real-time filtering by category checkboxes, price range brackets, and sorting options (Price Low-to-High, High-to-Low, Alphabetical, and New Arrivals).</w:t>
      </w:r>
    </w:p>
    <w:p>
      <w:pPr>
        <w:pStyle w:val="ListBullet"/>
        <w:spacing w:after="80" w:line="300" w:lineRule="auto"/>
        <w:jc w:val="both"/>
      </w:pPr>
      <w:r>
        <w:rPr>
          <w:rFonts w:ascii="Times New Roman" w:hAnsi="Times New Roman"/>
          <w:sz w:val="22"/>
        </w:rPr>
        <w:t>Interactive Pattern Designer: Mathematical laying engine allowing users to toggle between Straight, Herringbone, Chevron, Brick Offset, Basket Weave, and Diagonal layouts while computing real-time tile counts and wastage factors.</w:t>
      </w:r>
    </w:p>
    <w:p>
      <w:pPr>
        <w:pStyle w:val="ListBullet"/>
        <w:spacing w:after="80" w:line="300" w:lineRule="auto"/>
        <w:jc w:val="both"/>
      </w:pPr>
      <w:r>
        <w:rPr>
          <w:rFonts w:ascii="Times New Roman" w:hAnsi="Times New Roman"/>
          <w:sz w:val="22"/>
        </w:rPr>
        <w:t>Surface Price &amp; Area Calculator: Four-step interactive estimator that accepts room geometry (width &amp; length in feet), calculates gross area, recommends material buffer percentage (5% to 18%), and outputs exact package box counts and total costs.</w:t>
      </w:r>
    </w:p>
    <w:p>
      <w:pPr>
        <w:pStyle w:val="ListBullet"/>
        <w:spacing w:after="80" w:line="300" w:lineRule="auto"/>
        <w:jc w:val="both"/>
      </w:pPr>
      <w:r>
        <w:rPr>
          <w:rFonts w:ascii="Times New Roman" w:hAnsi="Times New Roman"/>
          <w:sz w:val="22"/>
        </w:rPr>
        <w:t>Product Detail &amp; Technical Specifications: Detailed product views featuring multi-image gallery crossfade transitions, technical spec tables (dimensions, finish, warranty, wear layer), and related product recommendations.</w:t>
      </w:r>
    </w:p>
    <w:p>
      <w:pPr>
        <w:pStyle w:val="ListBullet"/>
        <w:spacing w:after="80" w:line="300" w:lineRule="auto"/>
        <w:jc w:val="both"/>
      </w:pPr>
      <w:r>
        <w:rPr>
          <w:rFonts w:ascii="Times New Roman" w:hAnsi="Times New Roman"/>
          <w:sz w:val="22"/>
        </w:rPr>
        <w:t>Side-by-Side Product Comparison: Multi-select comparison matrix enabling users to evaluate up to three surfaces simultaneously across material composition, thickness, finish, warranty, and price per square foot.</w:t>
      </w:r>
    </w:p>
    <w:p>
      <w:pPr>
        <w:pStyle w:val="ListBullet"/>
        <w:spacing w:after="80" w:line="300" w:lineRule="auto"/>
        <w:jc w:val="both"/>
      </w:pPr>
      <w:r>
        <w:rPr>
          <w:rFonts w:ascii="Times New Roman" w:hAnsi="Times New Roman"/>
          <w:sz w:val="22"/>
        </w:rPr>
        <w:t>Wood Aging Simulator: Interactive visual slider demonstrating the natural color maturation, UV patina shift, and grain stabilization of hardwood finishes from year 0 to year 20.</w:t>
      </w:r>
    </w:p>
    <w:p>
      <w:pPr>
        <w:pStyle w:val="ListBullet"/>
        <w:spacing w:after="80" w:line="300" w:lineRule="auto"/>
        <w:jc w:val="both"/>
      </w:pPr>
      <w:r>
        <w:rPr>
          <w:rFonts w:ascii="Times New Roman" w:hAnsi="Times New Roman"/>
          <w:sz w:val="22"/>
        </w:rPr>
        <w:t>Persistent Cart &amp; Sample Request System: Slide-out Cart Drawer managed via React Context and LocalStorage, supporting sample requests, free shipping thresholds, and order notes.</w:t>
      </w:r>
    </w:p>
    <w:p>
      <w:pPr>
        <w:pStyle w:val="ListBullet"/>
        <w:spacing w:after="80" w:line="300" w:lineRule="auto"/>
        <w:jc w:val="both"/>
      </w:pPr>
      <w:r>
        <w:rPr>
          <w:rFonts w:ascii="Times New Roman" w:hAnsi="Times New Roman"/>
          <w:sz w:val="22"/>
        </w:rPr>
        <w:t>Wishlist &amp; Favoriting: One-click bookmarking of desired surfaces with persistent heart indicators and a dedicated Wishlist management page.</w:t>
      </w:r>
    </w:p>
    <w:p>
      <w:r>
        <w:br w:type="page"/>
      </w:r>
    </w:p>
    <w:p>
      <w:pPr>
        <w:spacing w:after="80" w:line="312" w:lineRule="auto"/>
        <w:jc w:val="both"/>
      </w:pPr>
      <w:r>
        <w:rPr>
          <w:rFonts w:ascii="Times New Roman" w:hAnsi="Times New Roman"/>
          <w:b/>
          <w:i w:val="0"/>
          <w:sz w:val="36"/>
        </w:rPr>
        <w:t>Chapter 2</w:t>
      </w:r>
    </w:p>
    <w:p>
      <w:pPr>
        <w:spacing w:after="360" w:line="312" w:lineRule="auto"/>
        <w:jc w:val="both"/>
      </w:pPr>
      <w:r>
        <w:rPr>
          <w:rFonts w:ascii="Times New Roman" w:hAnsi="Times New Roman"/>
          <w:b/>
          <w:i w:val="0"/>
          <w:sz w:val="44"/>
        </w:rPr>
        <w:t>Tools &amp; Technology Used</w:t>
      </w:r>
    </w:p>
    <w:p>
      <w:pPr>
        <w:spacing w:after="120" w:line="312" w:lineRule="auto"/>
        <w:jc w:val="both"/>
      </w:pPr>
      <w:r>
        <w:rPr>
          <w:rFonts w:ascii="Times New Roman" w:hAnsi="Times New Roman"/>
          <w:b/>
          <w:i w:val="0"/>
          <w:sz w:val="27"/>
        </w:rPr>
        <w:t>2.1  Software Model Used</w:t>
      </w:r>
    </w:p>
    <w:p>
      <w:pPr>
        <w:spacing w:after="120" w:line="312" w:lineRule="auto"/>
        <w:jc w:val="both"/>
      </w:pPr>
      <w:r>
        <w:rPr>
          <w:rFonts w:ascii="Times New Roman" w:hAnsi="Times New Roman"/>
          <w:b w:val="0"/>
          <w:i w:val="0"/>
          <w:sz w:val="23"/>
        </w:rPr>
        <w:t>The project was developed following the Iterative and Incremental (Agile) Model. Given the visual and interactive nature of modern e-commerce applications, dividing development into rapid iterative sprints allowed immediate feedback, continuous usability testing, and incremental feature delivery. The five development iterations were:</w:t>
      </w:r>
    </w:p>
    <w:p>
      <w:pPr>
        <w:pStyle w:val="ListBullet"/>
        <w:spacing w:after="80" w:line="300" w:lineRule="auto"/>
        <w:jc w:val="both"/>
      </w:pPr>
      <w:r>
        <w:rPr>
          <w:rFonts w:ascii="Times New Roman" w:hAnsi="Times New Roman"/>
          <w:sz w:val="22"/>
        </w:rPr>
        <w:t>Iteration 1 — Architecture &amp; Core Design System: Defining TypeScript interfaces for products and categories, configuring Vite and Tailwind CSS v4, and establishing color tokens and font typography.</w:t>
      </w:r>
    </w:p>
    <w:p>
      <w:pPr>
        <w:pStyle w:val="ListBullet"/>
        <w:spacing w:after="80" w:line="300" w:lineRule="auto"/>
        <w:jc w:val="both"/>
      </w:pPr>
      <w:r>
        <w:rPr>
          <w:rFonts w:ascii="Times New Roman" w:hAnsi="Times New Roman"/>
          <w:sz w:val="22"/>
        </w:rPr>
        <w:t>Iteration 2 — Component Library &amp; Catalog Implementation: Building primitive atomic UI components (Button, Badge, Card, Heading), followed by the Product Grid, Filter Sidebar, and Search Overlay.</w:t>
      </w:r>
    </w:p>
    <w:p>
      <w:pPr>
        <w:pStyle w:val="ListBullet"/>
        <w:spacing w:after="80" w:line="300" w:lineRule="auto"/>
        <w:jc w:val="both"/>
      </w:pPr>
      <w:r>
        <w:rPr>
          <w:rFonts w:ascii="Times New Roman" w:hAnsi="Times New Roman"/>
          <w:sz w:val="22"/>
        </w:rPr>
        <w:t>Iteration 3 — Interactive Visual Tools: Developing the algorithmic layout engines for the Pattern Designer, Surface Calculator, Aging Simulator, and Product Comparison matrix.</w:t>
      </w:r>
    </w:p>
    <w:p>
      <w:pPr>
        <w:pStyle w:val="ListBullet"/>
        <w:spacing w:after="80" w:line="300" w:lineRule="auto"/>
        <w:jc w:val="both"/>
      </w:pPr>
      <w:r>
        <w:rPr>
          <w:rFonts w:ascii="Times New Roman" w:hAnsi="Times New Roman"/>
          <w:sz w:val="22"/>
        </w:rPr>
        <w:t>Iteration 4 — State Management &amp; Persistence: Implementing React Context providers for Cart, Wishlist, and QuickView with LocalStorage synchronization.</w:t>
      </w:r>
    </w:p>
    <w:p>
      <w:pPr>
        <w:pStyle w:val="ListBullet"/>
        <w:spacing w:after="80" w:line="300" w:lineRule="auto"/>
        <w:jc w:val="both"/>
      </w:pPr>
      <w:r>
        <w:rPr>
          <w:rFonts w:ascii="Times New Roman" w:hAnsi="Times New Roman"/>
          <w:sz w:val="22"/>
        </w:rPr>
        <w:t>Iteration 5 — Performance Optimization &amp; Audit: Implementing route-based code splitting with React.lazy, optimizing image skeletons, and achieving top Google Lighthouse audit scores.</w:t>
      </w:r>
    </w:p>
    <w:p>
      <w:pPr>
        <w:spacing w:after="120" w:line="312" w:lineRule="auto"/>
        <w:jc w:val="both"/>
      </w:pPr>
      <w:r>
        <w:rPr>
          <w:rFonts w:ascii="Times New Roman" w:hAnsi="Times New Roman"/>
          <w:b/>
          <w:i w:val="0"/>
          <w:sz w:val="27"/>
        </w:rPr>
        <w:t>2.2  Technology Stack Used</w:t>
      </w:r>
    </w:p>
    <w:p>
      <w:pPr>
        <w:spacing w:after="120" w:line="312" w:lineRule="auto"/>
        <w:jc w:val="center"/>
      </w:pPr>
      <w:r>
        <w:rPr>
          <w:rFonts w:ascii="Times New Roman" w:hAnsi="Times New Roman"/>
          <w:b/>
          <w:i w:val="0"/>
          <w:sz w:val="22"/>
        </w:rPr>
        <w:t>Table 2.1: Technology stack of Lamiwood</w:t>
      </w:r>
    </w:p>
    <w:tbl>
      <w:tblPr>
        <w:tblW w:type="auto" w:w="0"/>
        <w:jc w:val="center"/>
        <w:tblLook w:firstColumn="1" w:firstRow="1" w:lastColumn="0" w:lastRow="0" w:noHBand="0" w:noVBand="1" w:val="04A0"/>
      </w:tblPr>
      <w:tblGrid>
        <w:gridCol w:w="3010"/>
        <w:gridCol w:w="3010"/>
        <w:gridCol w:w="3010"/>
      </w:tblGrid>
      <w:tr>
        <w:tc>
          <w:tcPr>
            <w:tcW w:type="dxa" w:w="3010"/>
          </w:tcPr>
          <w:p>
            <w:r>
              <w:rPr>
                <w:b/>
              </w:rPr>
              <w:t>Category</w:t>
            </w:r>
          </w:p>
        </w:tc>
        <w:tc>
          <w:tcPr>
            <w:tcW w:type="dxa" w:w="3010"/>
          </w:tcPr>
          <w:p>
            <w:r>
              <w:rPr>
                <w:b/>
              </w:rPr>
              <w:t>Technology</w:t>
            </w:r>
          </w:p>
        </w:tc>
        <w:tc>
          <w:tcPr>
            <w:tcW w:type="dxa" w:w="3010"/>
          </w:tcPr>
          <w:p>
            <w:r>
              <w:rPr>
                <w:b/>
              </w:rPr>
              <w:t>Purpose</w:t>
            </w:r>
          </w:p>
        </w:tc>
      </w:tr>
      <w:tr>
        <w:tc>
          <w:tcPr>
            <w:tcW w:type="dxa" w:w="3010"/>
          </w:tcPr>
          <w:p>
            <w:r>
              <w:rPr>
                <w:b/>
              </w:rPr>
              <w:t>UI Framework</w:t>
            </w:r>
          </w:p>
        </w:tc>
        <w:tc>
          <w:tcPr>
            <w:tcW w:type="dxa" w:w="3010"/>
          </w:tcPr>
          <w:p>
            <w:r>
              <w:t>React 19</w:t>
            </w:r>
          </w:p>
        </w:tc>
        <w:tc>
          <w:tcPr>
            <w:tcW w:type="dxa" w:w="3010"/>
          </w:tcPr>
          <w:p>
            <w:r>
              <w:t>Component-driven declarative user interface architecture</w:t>
            </w:r>
          </w:p>
        </w:tc>
      </w:tr>
      <w:tr>
        <w:tc>
          <w:tcPr>
            <w:tcW w:type="dxa" w:w="3010"/>
          </w:tcPr>
          <w:p>
            <w:r>
              <w:rPr>
                <w:b/>
              </w:rPr>
              <w:t>Programming Language</w:t>
            </w:r>
          </w:p>
        </w:tc>
        <w:tc>
          <w:tcPr>
            <w:tcW w:type="dxa" w:w="3010"/>
          </w:tcPr>
          <w:p>
            <w:r>
              <w:t>TypeScript 6</w:t>
            </w:r>
          </w:p>
        </w:tc>
        <w:tc>
          <w:tcPr>
            <w:tcW w:type="dxa" w:w="3010"/>
          </w:tcPr>
          <w:p>
            <w:r>
              <w:t>End-to-end static type safety, interfaces, and compile-time error detection</w:t>
            </w:r>
          </w:p>
        </w:tc>
      </w:tr>
      <w:tr>
        <w:tc>
          <w:tcPr>
            <w:tcW w:type="dxa" w:w="3010"/>
          </w:tcPr>
          <w:p>
            <w:r>
              <w:rPr>
                <w:b/>
              </w:rPr>
              <w:t>Build System &amp; Dev Server</w:t>
            </w:r>
          </w:p>
        </w:tc>
        <w:tc>
          <w:tcPr>
            <w:tcW w:type="dxa" w:w="3010"/>
          </w:tcPr>
          <w:p>
            <w:r>
              <w:t>Vite 8</w:t>
            </w:r>
          </w:p>
        </w:tc>
        <w:tc>
          <w:tcPr>
            <w:tcW w:type="dxa" w:w="3010"/>
          </w:tcPr>
          <w:p>
            <w:r>
              <w:t>Next-generation lightning-fast Hot Module Replacement and Rollup bundling</w:t>
            </w:r>
          </w:p>
        </w:tc>
      </w:tr>
      <w:tr>
        <w:tc>
          <w:tcPr>
            <w:tcW w:type="dxa" w:w="3010"/>
          </w:tcPr>
          <w:p>
            <w:r>
              <w:rPr>
                <w:b/>
              </w:rPr>
              <w:t>Styling Engine</w:t>
            </w:r>
          </w:p>
        </w:tc>
        <w:tc>
          <w:tcPr>
            <w:tcW w:type="dxa" w:w="3010"/>
          </w:tcPr>
          <w:p>
            <w:r>
              <w:t>Tailwind CSS v4</w:t>
            </w:r>
          </w:p>
        </w:tc>
        <w:tc>
          <w:tcPr>
            <w:tcW w:type="dxa" w:w="3010"/>
          </w:tcPr>
          <w:p>
            <w:r>
              <w:t>High-performance utility-first styling with CSS variables and Vite native plugin</w:t>
            </w:r>
          </w:p>
        </w:tc>
      </w:tr>
      <w:tr>
        <w:tc>
          <w:tcPr>
            <w:tcW w:type="dxa" w:w="3010"/>
          </w:tcPr>
          <w:p>
            <w:r>
              <w:rPr>
                <w:b/>
              </w:rPr>
              <w:t>Animation Library</w:t>
            </w:r>
          </w:p>
        </w:tc>
        <w:tc>
          <w:tcPr>
            <w:tcW w:type="dxa" w:w="3010"/>
          </w:tcPr>
          <w:p>
            <w:r>
              <w:t>Framer Motion 12</w:t>
            </w:r>
          </w:p>
        </w:tc>
        <w:tc>
          <w:tcPr>
            <w:tcW w:type="dxa" w:w="3010"/>
          </w:tcPr>
          <w:p>
            <w:r>
              <w:t>Spring-based physics, layout animations, scroll-triggered entrances, and page transitions</w:t>
            </w:r>
          </w:p>
        </w:tc>
      </w:tr>
      <w:tr>
        <w:tc>
          <w:tcPr>
            <w:tcW w:type="dxa" w:w="3010"/>
          </w:tcPr>
          <w:p>
            <w:r>
              <w:rPr>
                <w:b/>
              </w:rPr>
              <w:t>Routing System</w:t>
            </w:r>
          </w:p>
        </w:tc>
        <w:tc>
          <w:tcPr>
            <w:tcW w:type="dxa" w:w="3010"/>
          </w:tcPr>
          <w:p>
            <w:r>
              <w:t>React Router 7</w:t>
            </w:r>
          </w:p>
        </w:tc>
        <w:tc>
          <w:tcPr>
            <w:tcW w:type="dxa" w:w="3010"/>
          </w:tcPr>
          <w:p>
            <w:r>
              <w:t>Declarative client-side routing, route-level suspense, and URL query parameter management</w:t>
            </w:r>
          </w:p>
        </w:tc>
      </w:tr>
      <w:tr>
        <w:tc>
          <w:tcPr>
            <w:tcW w:type="dxa" w:w="3010"/>
          </w:tcPr>
          <w:p>
            <w:r>
              <w:rPr>
                <w:b/>
              </w:rPr>
              <w:t>Typography</w:t>
            </w:r>
          </w:p>
        </w:tc>
        <w:tc>
          <w:tcPr>
            <w:tcW w:type="dxa" w:w="3010"/>
          </w:tcPr>
          <w:p>
            <w:r>
              <w:t>@fontsource Cormorant Garamond &amp; DM Sans</w:t>
            </w:r>
          </w:p>
        </w:tc>
        <w:tc>
          <w:tcPr>
            <w:tcW w:type="dxa" w:w="3010"/>
          </w:tcPr>
          <w:p>
            <w:r>
              <w:t>Self-hosted luxury serif headings and clean modern geometric sans-serif body typography</w:t>
            </w:r>
          </w:p>
        </w:tc>
      </w:tr>
      <w:tr>
        <w:tc>
          <w:tcPr>
            <w:tcW w:type="dxa" w:w="3010"/>
          </w:tcPr>
          <w:p>
            <w:r>
              <w:rPr>
                <w:b/>
              </w:rPr>
              <w:t>State Management</w:t>
            </w:r>
          </w:p>
        </w:tc>
        <w:tc>
          <w:tcPr>
            <w:tcW w:type="dxa" w:w="3010"/>
          </w:tcPr>
          <w:p>
            <w:r>
              <w:t>React Context API &amp; LocalStorage</w:t>
            </w:r>
          </w:p>
        </w:tc>
        <w:tc>
          <w:tcPr>
            <w:tcW w:type="dxa" w:w="3010"/>
          </w:tcPr>
          <w:p>
            <w:r>
              <w:t>Global application state for shopping cart, technical samples, wishlist, and theme persistence</w:t>
            </w:r>
          </w:p>
        </w:tc>
      </w:tr>
      <w:tr>
        <w:tc>
          <w:tcPr>
            <w:tcW w:type="dxa" w:w="3010"/>
          </w:tcPr>
          <w:p>
            <w:r>
              <w:rPr>
                <w:b/>
              </w:rPr>
              <w:t>Development Tools</w:t>
            </w:r>
          </w:p>
        </w:tc>
        <w:tc>
          <w:tcPr>
            <w:tcW w:type="dxa" w:w="3010"/>
          </w:tcPr>
          <w:p>
            <w:r>
              <w:t>VS Code, Chrome DevTools, ESLint 9</w:t>
            </w:r>
          </w:p>
        </w:tc>
        <w:tc>
          <w:tcPr>
            <w:tcW w:type="dxa" w:w="3010"/>
          </w:tcPr>
          <w:p>
            <w:r>
              <w:t>Modern integrated development environment, live debugging, and automated code linting</w:t>
            </w:r>
          </w:p>
        </w:tc>
      </w:tr>
    </w:tbl>
    <w:p>
      <w:pPr>
        <w:spacing w:after="120" w:line="312" w:lineRule="auto"/>
        <w:jc w:val="both"/>
      </w:pPr>
      <w:r>
        <w:rPr>
          <w:rFonts w:ascii="Times New Roman" w:hAnsi="Times New Roman"/>
          <w:b/>
          <w:i w:val="0"/>
          <w:sz w:val="27"/>
        </w:rPr>
        <w:t>2.3  Product User Interfaces</w:t>
      </w:r>
    </w:p>
    <w:p>
      <w:pPr>
        <w:spacing w:after="240" w:line="312" w:lineRule="auto"/>
        <w:jc w:val="both"/>
      </w:pPr>
      <w:r>
        <w:rPr>
          <w:rFonts w:ascii="Times New Roman" w:hAnsi="Times New Roman"/>
          <w:b w:val="0"/>
          <w:i w:val="0"/>
          <w:sz w:val="23"/>
        </w:rPr>
        <w:t>Lamiwood features a sophisticated, luxury-inspired design language dominated by warm charcoal backgrounds (#1A1A1A), gold accent highlights (#B8860B), and clean neutral surfaces. The visual hierarchy combines classical serif headlines with ultra-readable sans-serif metadata. Key tokens include primary dark background (#121212), elevated cards (#1E1E1E), muted text (#A0A0A0), and Cormorant Garamond headings.</w:t>
      </w:r>
    </w:p>
    <w:p>
      <w:pPr>
        <w:spacing w:after="120" w:line="312" w:lineRule="auto"/>
        <w:jc w:val="both"/>
      </w:pPr>
      <w:r>
        <w:rPr>
          <w:rFonts w:ascii="Times New Roman" w:hAnsi="Times New Roman"/>
          <w:b/>
          <w:i w:val="0"/>
          <w:sz w:val="27"/>
        </w:rPr>
        <w:t>2.4  Design and Implementation Constraints</w:t>
      </w:r>
    </w:p>
    <w:p>
      <w:pPr>
        <w:pStyle w:val="ListBullet"/>
        <w:spacing w:after="80" w:line="300" w:lineRule="auto"/>
        <w:jc w:val="both"/>
      </w:pPr>
      <w:r>
        <w:rPr>
          <w:rFonts w:ascii="Times New Roman" w:hAnsi="Times New Roman"/>
          <w:sz w:val="22"/>
        </w:rPr>
        <w:t>Zero-Latency Client-Side Performance: All filtering, search matching, and calculation features execute entirely on the client without blocking network round-trips.</w:t>
      </w:r>
    </w:p>
    <w:p>
      <w:pPr>
        <w:pStyle w:val="ListBullet"/>
        <w:spacing w:after="80" w:line="300" w:lineRule="auto"/>
        <w:jc w:val="both"/>
      </w:pPr>
      <w:r>
        <w:rPr>
          <w:rFonts w:ascii="Times New Roman" w:hAnsi="Times New Roman"/>
          <w:sz w:val="22"/>
        </w:rPr>
        <w:t>Responsive Layout Integrity Across Devices: The interface maintains visual elegance from small mobile screens (375px) to ultra-wide 4K architectural monitors (2560px+).</w:t>
      </w:r>
    </w:p>
    <w:p>
      <w:pPr>
        <w:pStyle w:val="ListBullet"/>
        <w:spacing w:after="80" w:line="300" w:lineRule="auto"/>
        <w:jc w:val="both"/>
      </w:pPr>
      <w:r>
        <w:rPr>
          <w:rFonts w:ascii="Times New Roman" w:hAnsi="Times New Roman"/>
          <w:sz w:val="22"/>
        </w:rPr>
        <w:t>Framer Motion Animation Overhead: Steady 60 frames-per-second performance maintained via GPU-accelerated CSS transforms rather than CPU-intensive layout repaints.</w:t>
      </w:r>
    </w:p>
    <w:p>
      <w:pPr>
        <w:pStyle w:val="ListBullet"/>
        <w:spacing w:after="80" w:line="300" w:lineRule="auto"/>
        <w:jc w:val="both"/>
      </w:pPr>
      <w:r>
        <w:rPr>
          <w:rFonts w:ascii="Times New Roman" w:hAnsi="Times New Roman"/>
          <w:sz w:val="22"/>
        </w:rPr>
        <w:t>Algorithmic Pattern Generation: Layout coordinates accurately represent relative plank dimensions while remaining mathematically constrained to room aspect ratios.</w:t>
      </w:r>
    </w:p>
    <w:p>
      <w:pPr>
        <w:pStyle w:val="ListBullet"/>
        <w:spacing w:after="80" w:line="300" w:lineRule="auto"/>
        <w:jc w:val="both"/>
      </w:pPr>
      <w:r>
        <w:rPr>
          <w:rFonts w:ascii="Times New Roman" w:hAnsi="Times New Roman"/>
          <w:sz w:val="22"/>
        </w:rPr>
        <w:t>State Synchronization without Server DB: Shopping cart items and favorites survive browser refreshes via resilient LocalStorage serialization.</w:t>
      </w:r>
    </w:p>
    <w:p>
      <w:pPr>
        <w:pStyle w:val="ListBullet"/>
        <w:spacing w:after="80" w:line="300" w:lineRule="auto"/>
        <w:jc w:val="both"/>
      </w:pPr>
      <w:r>
        <w:rPr>
          <w:rFonts w:ascii="Times New Roman" w:hAnsi="Times New Roman"/>
          <w:sz w:val="22"/>
        </w:rPr>
        <w:t>Accessibility &amp; Semantic Standards: Full compliance with W3C Web Content Accessibility Guidelines (WCAG 2.2).</w:t>
      </w:r>
    </w:p>
    <w:p>
      <w:pPr>
        <w:spacing w:after="120" w:line="312" w:lineRule="auto"/>
        <w:jc w:val="both"/>
      </w:pPr>
      <w:r>
        <w:rPr>
          <w:rFonts w:ascii="Times New Roman" w:hAnsi="Times New Roman"/>
          <w:b/>
          <w:i w:val="0"/>
          <w:sz w:val="27"/>
        </w:rPr>
        <w:t>2.5  Data Flow and Dataset Structure</w:t>
      </w:r>
    </w:p>
    <w:p>
      <w:pPr>
        <w:spacing w:after="240" w:line="312" w:lineRule="auto"/>
        <w:jc w:val="both"/>
      </w:pPr>
      <w:r>
        <w:rPr>
          <w:rFonts w:ascii="Times New Roman" w:hAnsi="Times New Roman"/>
          <w:b w:val="0"/>
          <w:i w:val="0"/>
          <w:sz w:val="23"/>
        </w:rPr>
        <w:t>The application architecture is structured around clean unidirectional data flow. Product specifications, categories, and client testimonials are managed as strongly-typed immutable records in the src/data/ module. Schema fields include id, slug, name, category, price, unit, specs, features, images, and inStock.</w:t>
      </w:r>
    </w:p>
    <w:p>
      <w:pPr>
        <w:spacing w:after="120" w:line="312" w:lineRule="auto"/>
        <w:jc w:val="both"/>
      </w:pPr>
      <w:r>
        <w:rPr>
          <w:rFonts w:ascii="Times New Roman" w:hAnsi="Times New Roman"/>
          <w:b/>
          <w:i w:val="0"/>
          <w:sz w:val="27"/>
        </w:rPr>
        <w:t>2.6  Software and System Requirements</w:t>
      </w:r>
    </w:p>
    <w:p>
      <w:pPr>
        <w:pStyle w:val="ListBullet"/>
        <w:spacing w:after="80" w:line="300" w:lineRule="auto"/>
        <w:jc w:val="both"/>
      </w:pPr>
      <w:r>
        <w:rPr>
          <w:rFonts w:ascii="Times New Roman" w:hAnsi="Times New Roman"/>
          <w:sz w:val="22"/>
        </w:rPr>
        <w:t>Development Environment: Node.js runtime version 18.0+ with npm v9.0+; Visual Studio Code.</w:t>
      </w:r>
    </w:p>
    <w:p>
      <w:pPr>
        <w:pStyle w:val="ListBullet"/>
        <w:spacing w:after="80" w:line="300" w:lineRule="auto"/>
        <w:jc w:val="both"/>
      </w:pPr>
      <w:r>
        <w:rPr>
          <w:rFonts w:ascii="Times New Roman" w:hAnsi="Times New Roman"/>
          <w:sz w:val="22"/>
        </w:rPr>
        <w:t>Build &amp; Bundling Engine: Vite 8.0+ with TypeScript 6.0 compiler.</w:t>
      </w:r>
    </w:p>
    <w:p>
      <w:pPr>
        <w:pStyle w:val="ListBullet"/>
        <w:spacing w:after="80" w:line="300" w:lineRule="auto"/>
        <w:jc w:val="both"/>
      </w:pPr>
      <w:r>
        <w:rPr>
          <w:rFonts w:ascii="Times New Roman" w:hAnsi="Times New Roman"/>
          <w:sz w:val="22"/>
        </w:rPr>
        <w:t>Client Browser Requirements: Google Chrome 110+, Microsoft Edge 110+, Mozilla Firefox 115+, Apple Safari 16+.</w:t>
      </w:r>
    </w:p>
    <w:p>
      <w:pPr>
        <w:pStyle w:val="ListBullet"/>
        <w:spacing w:after="80" w:line="300" w:lineRule="auto"/>
        <w:jc w:val="both"/>
      </w:pPr>
      <w:r>
        <w:rPr>
          <w:rFonts w:ascii="Times New Roman" w:hAnsi="Times New Roman"/>
          <w:sz w:val="22"/>
        </w:rPr>
        <w:t>Hardware Requirements: Minimum 4 GB RAM (8 GB recommended) with multi-core modern CPU.</w:t>
      </w:r>
    </w:p>
    <w:p>
      <w:r>
        <w:br w:type="page"/>
      </w:r>
    </w:p>
    <w:p>
      <w:pPr>
        <w:spacing w:after="80" w:line="312" w:lineRule="auto"/>
        <w:jc w:val="both"/>
      </w:pPr>
      <w:r>
        <w:rPr>
          <w:rFonts w:ascii="Times New Roman" w:hAnsi="Times New Roman"/>
          <w:b/>
          <w:i w:val="0"/>
          <w:sz w:val="36"/>
        </w:rPr>
        <w:t>Chapter 3</w:t>
      </w:r>
    </w:p>
    <w:p>
      <w:pPr>
        <w:spacing w:after="360" w:line="312" w:lineRule="auto"/>
        <w:jc w:val="both"/>
      </w:pPr>
      <w:r>
        <w:rPr>
          <w:rFonts w:ascii="Times New Roman" w:hAnsi="Times New Roman"/>
          <w:b/>
          <w:i w:val="0"/>
          <w:sz w:val="44"/>
        </w:rPr>
        <w:t>Snapshots</w:t>
      </w:r>
    </w:p>
    <w:p>
      <w:pPr>
        <w:spacing w:after="120" w:line="312" w:lineRule="auto"/>
        <w:jc w:val="both"/>
      </w:pPr>
      <w:r>
        <w:rPr>
          <w:rFonts w:ascii="Times New Roman" w:hAnsi="Times New Roman"/>
          <w:b/>
          <w:i w:val="0"/>
          <w:sz w:val="27"/>
        </w:rPr>
        <w:t>3.1  Flow Chart / Proposed Work</w:t>
      </w:r>
    </w:p>
    <w:p>
      <w:pPr>
        <w:spacing w:after="160" w:line="312" w:lineRule="auto"/>
        <w:jc w:val="both"/>
      </w:pPr>
      <w:r>
        <w:rPr>
          <w:rFonts w:ascii="Times New Roman" w:hAnsi="Times New Roman"/>
          <w:b w:val="0"/>
          <w:i w:val="0"/>
          <w:sz w:val="23"/>
        </w:rPr>
        <w:t>Figure 3.1 illustrates the structural build pipeline of the application from data schemas to Vite production bundling:</w:t>
      </w:r>
    </w:p>
    <w:p>
      <w:pPr>
        <w:jc w:val="center"/>
      </w:pPr>
      <w:r>
        <w:drawing>
          <wp:inline xmlns:a="http://schemas.openxmlformats.org/drawingml/2006/main" xmlns:pic="http://schemas.openxmlformats.org/drawingml/2006/picture">
            <wp:extent cx="4114800" cy="5156522"/>
            <wp:docPr id="3" name="Picture 3"/>
            <wp:cNvGraphicFramePr>
              <a:graphicFrameLocks noChangeAspect="1"/>
            </wp:cNvGraphicFramePr>
            <a:graphic>
              <a:graphicData uri="http://schemas.openxmlformats.org/drawingml/2006/picture">
                <pic:pic>
                  <pic:nvPicPr>
                    <pic:cNvPr id="0" name="figure_3_1.png"/>
                    <pic:cNvPicPr/>
                  </pic:nvPicPr>
                  <pic:blipFill>
                    <a:blip r:embed="rId11"/>
                    <a:stretch>
                      <a:fillRect/>
                    </a:stretch>
                  </pic:blipFill>
                  <pic:spPr>
                    <a:xfrm>
                      <a:off x="0" y="0"/>
                      <a:ext cx="4114800" cy="5156522"/>
                    </a:xfrm>
                    <a:prstGeom prst="rect"/>
                  </pic:spPr>
                </pic:pic>
              </a:graphicData>
            </a:graphic>
          </wp:inline>
        </w:drawing>
      </w:r>
    </w:p>
    <w:p>
      <w:pPr>
        <w:spacing w:after="360" w:line="312" w:lineRule="auto"/>
        <w:jc w:val="center"/>
      </w:pPr>
      <w:r>
        <w:rPr>
          <w:rFonts w:ascii="Times New Roman" w:hAnsi="Times New Roman"/>
          <w:b/>
          <w:i w:val="0"/>
          <w:sz w:val="21"/>
        </w:rPr>
        <w:t>Figure 3.1: Flow chart of the system build &amp; component architecture</w:t>
      </w:r>
    </w:p>
    <w:p>
      <w:pPr>
        <w:spacing w:after="160" w:line="312" w:lineRule="auto"/>
        <w:jc w:val="both"/>
      </w:pPr>
      <w:r>
        <w:rPr>
          <w:rFonts w:ascii="Times New Roman" w:hAnsi="Times New Roman"/>
          <w:b w:val="0"/>
          <w:i w:val="0"/>
          <w:sz w:val="23"/>
        </w:rPr>
        <w:t>Figure 3.2 details the runtime sequence when a user navigates Lamiwood, customizes laying patterns, calculates room surface estimates, and saves specifications to cart:</w:t>
      </w:r>
    </w:p>
    <w:p>
      <w:pPr>
        <w:jc w:val="center"/>
      </w:pPr>
      <w:r>
        <w:drawing>
          <wp:inline xmlns:a="http://schemas.openxmlformats.org/drawingml/2006/main" xmlns:pic="http://schemas.openxmlformats.org/drawingml/2006/picture">
            <wp:extent cx="4114800" cy="5156522"/>
            <wp:docPr id="4" name="Picture 4"/>
            <wp:cNvGraphicFramePr>
              <a:graphicFrameLocks noChangeAspect="1"/>
            </wp:cNvGraphicFramePr>
            <a:graphic>
              <a:graphicData uri="http://schemas.openxmlformats.org/drawingml/2006/picture">
                <pic:pic>
                  <pic:nvPicPr>
                    <pic:cNvPr id="0" name="figure_3_2.png"/>
                    <pic:cNvPicPr/>
                  </pic:nvPicPr>
                  <pic:blipFill>
                    <a:blip r:embed="rId12"/>
                    <a:stretch>
                      <a:fillRect/>
                    </a:stretch>
                  </pic:blipFill>
                  <pic:spPr>
                    <a:xfrm>
                      <a:off x="0" y="0"/>
                      <a:ext cx="4114800" cy="5156522"/>
                    </a:xfrm>
                    <a:prstGeom prst="rect"/>
                  </pic:spPr>
                </pic:pic>
              </a:graphicData>
            </a:graphic>
          </wp:inline>
        </w:drawing>
      </w:r>
    </w:p>
    <w:p>
      <w:pPr>
        <w:spacing w:after="480" w:line="312" w:lineRule="auto"/>
        <w:jc w:val="center"/>
      </w:pPr>
      <w:r>
        <w:rPr>
          <w:rFonts w:ascii="Times New Roman" w:hAnsi="Times New Roman"/>
          <w:b/>
          <w:i w:val="0"/>
          <w:sz w:val="21"/>
        </w:rPr>
        <w:t>Figure 3.2: Flow chart of the interactive user workflow and customization process</w:t>
      </w:r>
    </w:p>
    <w:p>
      <w:r>
        <w:br w:type="page"/>
      </w:r>
    </w:p>
    <w:p>
      <w:pPr>
        <w:spacing w:after="120" w:line="312" w:lineRule="auto"/>
        <w:jc w:val="both"/>
      </w:pPr>
      <w:r>
        <w:rPr>
          <w:rFonts w:ascii="Times New Roman" w:hAnsi="Times New Roman"/>
          <w:b/>
          <w:i w:val="0"/>
          <w:sz w:val="27"/>
        </w:rPr>
        <w:t>3.2  Project Snippets</w:t>
      </w:r>
    </w:p>
    <w:p>
      <w:pPr>
        <w:spacing w:after="200" w:line="312" w:lineRule="auto"/>
        <w:jc w:val="both"/>
      </w:pPr>
      <w:r>
        <w:rPr>
          <w:rFonts w:ascii="Times New Roman" w:hAnsi="Times New Roman"/>
          <w:b w:val="0"/>
          <w:i w:val="0"/>
          <w:sz w:val="23"/>
        </w:rPr>
        <w:t>This section presents the primary user interfaces of the implemented Lamiwood application.</w:t>
      </w:r>
    </w:p>
    <w:p>
      <w:pPr>
        <w:jc w:val="center"/>
      </w:pPr>
      <w:r>
        <w:drawing>
          <wp:inline xmlns:a="http://schemas.openxmlformats.org/drawingml/2006/main" xmlns:pic="http://schemas.openxmlformats.org/drawingml/2006/picture">
            <wp:extent cx="5120640" cy="2878954"/>
            <wp:docPr id="5" name="Picture 5"/>
            <wp:cNvGraphicFramePr>
              <a:graphicFrameLocks noChangeAspect="1"/>
            </wp:cNvGraphicFramePr>
            <a:graphic>
              <a:graphicData uri="http://schemas.openxmlformats.org/drawingml/2006/picture">
                <pic:pic>
                  <pic:nvPicPr>
                    <pic:cNvPr id="0" name="home.png"/>
                    <pic:cNvPicPr/>
                  </pic:nvPicPr>
                  <pic:blipFill>
                    <a:blip r:embed="rId13"/>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3.3: Home page with luxury hero banner and quick navigation</w:t>
      </w:r>
    </w:p>
    <w:p>
      <w:pPr>
        <w:jc w:val="center"/>
      </w:pPr>
      <w:r>
        <w:drawing>
          <wp:inline xmlns:a="http://schemas.openxmlformats.org/drawingml/2006/main" xmlns:pic="http://schemas.openxmlformats.org/drawingml/2006/picture">
            <wp:extent cx="5120640" cy="2878954"/>
            <wp:docPr id="6" name="Picture 6"/>
            <wp:cNvGraphicFramePr>
              <a:graphicFrameLocks noChangeAspect="1"/>
            </wp:cNvGraphicFramePr>
            <a:graphic>
              <a:graphicData uri="http://schemas.openxmlformats.org/drawingml/2006/picture">
                <pic:pic>
                  <pic:nvPicPr>
                    <pic:cNvPr id="0" name="products.png"/>
                    <pic:cNvPicPr/>
                  </pic:nvPicPr>
                  <pic:blipFill>
                    <a:blip r:embed="rId14"/>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3.4: Product catalog with category filter chips and price sidebar</w:t>
      </w:r>
    </w:p>
    <w:p>
      <w:pPr>
        <w:jc w:val="center"/>
      </w:pPr>
      <w:r>
        <w:drawing>
          <wp:inline xmlns:a="http://schemas.openxmlformats.org/drawingml/2006/main" xmlns:pic="http://schemas.openxmlformats.org/drawingml/2006/picture">
            <wp:extent cx="5120640" cy="2878954"/>
            <wp:docPr id="7" name="Picture 7"/>
            <wp:cNvGraphicFramePr>
              <a:graphicFrameLocks noChangeAspect="1"/>
            </wp:cNvGraphicFramePr>
            <a:graphic>
              <a:graphicData uri="http://schemas.openxmlformats.org/drawingml/2006/picture">
                <pic:pic>
                  <pic:nvPicPr>
                    <pic:cNvPr id="0" name="product_detail.png"/>
                    <pic:cNvPicPr/>
                  </pic:nvPicPr>
                  <pic:blipFill>
                    <a:blip r:embed="rId15"/>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3.5: Product detail view with gallery and technical specifications</w:t>
      </w:r>
    </w:p>
    <w:p>
      <w:pPr>
        <w:jc w:val="center"/>
      </w:pPr>
      <w:r>
        <w:drawing>
          <wp:inline xmlns:a="http://schemas.openxmlformats.org/drawingml/2006/main" xmlns:pic="http://schemas.openxmlformats.org/drawingml/2006/picture">
            <wp:extent cx="5120640" cy="2878954"/>
            <wp:docPr id="8" name="Picture 8"/>
            <wp:cNvGraphicFramePr>
              <a:graphicFrameLocks noChangeAspect="1"/>
            </wp:cNvGraphicFramePr>
            <a:graphic>
              <a:graphicData uri="http://schemas.openxmlformats.org/drawingml/2006/picture">
                <pic:pic>
                  <pic:nvPicPr>
                    <pic:cNvPr id="0" name="pattern_designer.png"/>
                    <pic:cNvPicPr/>
                  </pic:nvPicPr>
                  <pic:blipFill>
                    <a:blip r:embed="rId16"/>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3.6: Interactive Installation Pattern Designer with dynamic layout</w:t>
      </w:r>
    </w:p>
    <w:p>
      <w:pPr>
        <w:jc w:val="center"/>
      </w:pPr>
      <w:r>
        <w:drawing>
          <wp:inline xmlns:a="http://schemas.openxmlformats.org/drawingml/2006/main" xmlns:pic="http://schemas.openxmlformats.org/drawingml/2006/picture">
            <wp:extent cx="5120640" cy="2878954"/>
            <wp:docPr id="9" name="Picture 9"/>
            <wp:cNvGraphicFramePr>
              <a:graphicFrameLocks noChangeAspect="1"/>
            </wp:cNvGraphicFramePr>
            <a:graphic>
              <a:graphicData uri="http://schemas.openxmlformats.org/drawingml/2006/picture">
                <pic:pic>
                  <pic:nvPicPr>
                    <pic:cNvPr id="0" name="calculator.png"/>
                    <pic:cNvPicPr/>
                  </pic:nvPicPr>
                  <pic:blipFill>
                    <a:blip r:embed="rId17"/>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3.7: Material &amp; Surface Price Calculator with wastage estimation</w:t>
      </w:r>
    </w:p>
    <w:p>
      <w:pPr>
        <w:jc w:val="center"/>
      </w:pPr>
      <w:r>
        <w:drawing>
          <wp:inline xmlns:a="http://schemas.openxmlformats.org/drawingml/2006/main" xmlns:pic="http://schemas.openxmlformats.org/drawingml/2006/picture">
            <wp:extent cx="5120640" cy="2878954"/>
            <wp:docPr id="10" name="Picture 10"/>
            <wp:cNvGraphicFramePr>
              <a:graphicFrameLocks noChangeAspect="1"/>
            </wp:cNvGraphicFramePr>
            <a:graphic>
              <a:graphicData uri="http://schemas.openxmlformats.org/drawingml/2006/picture">
                <pic:pic>
                  <pic:nvPicPr>
                    <pic:cNvPr id="0" name="compare.png"/>
                    <pic:cNvPicPr/>
                  </pic:nvPicPr>
                  <pic:blipFill>
                    <a:blip r:embed="rId18"/>
                    <a:stretch>
                      <a:fillRect/>
                    </a:stretch>
                  </pic:blipFill>
                  <pic:spPr>
                    <a:xfrm>
                      <a:off x="0" y="0"/>
                      <a:ext cx="5120640" cy="2878954"/>
                    </a:xfrm>
                    <a:prstGeom prst="rect"/>
                  </pic:spPr>
                </pic:pic>
              </a:graphicData>
            </a:graphic>
          </wp:inline>
        </w:drawing>
      </w:r>
    </w:p>
    <w:p>
      <w:pPr>
        <w:spacing w:after="280" w:line="312" w:lineRule="auto"/>
        <w:jc w:val="center"/>
      </w:pPr>
      <w:r>
        <w:rPr>
          <w:rFonts w:ascii="Times New Roman" w:hAnsi="Times New Roman"/>
          <w:b/>
          <w:i w:val="0"/>
          <w:sz w:val="21"/>
        </w:rPr>
        <w:t>Figure 3.8: Side-by-side Product Comparison matrix interface</w:t>
      </w:r>
    </w:p>
    <w:p>
      <w:r>
        <w:br w:type="page"/>
      </w:r>
    </w:p>
    <w:p>
      <w:pPr>
        <w:spacing w:after="120" w:line="312" w:lineRule="auto"/>
        <w:jc w:val="both"/>
      </w:pPr>
      <w:r>
        <w:rPr>
          <w:rFonts w:ascii="Times New Roman" w:hAnsi="Times New Roman"/>
          <w:b/>
          <w:i w:val="0"/>
          <w:sz w:val="27"/>
        </w:rPr>
        <w:t>3.3  Code</w:t>
      </w:r>
    </w:p>
    <w:p>
      <w:pPr>
        <w:spacing w:after="160" w:line="312" w:lineRule="auto"/>
        <w:jc w:val="both"/>
      </w:pPr>
      <w:r>
        <w:rPr>
          <w:rFonts w:ascii="Times New Roman" w:hAnsi="Times New Roman"/>
          <w:b w:val="0"/>
          <w:i w:val="0"/>
          <w:sz w:val="23"/>
        </w:rPr>
        <w:t>This section presents core excerpts of the source code implemented in the Lamiwood project.</w:t>
      </w:r>
    </w:p>
    <w:p>
      <w:pPr>
        <w:spacing w:after="120" w:line="312" w:lineRule="auto"/>
        <w:jc w:val="both"/>
      </w:pPr>
      <w:r>
        <w:rPr>
          <w:rFonts w:ascii="Times New Roman" w:hAnsi="Times New Roman"/>
          <w:b/>
          <w:i w:val="0"/>
          <w:sz w:val="22"/>
        </w:rPr>
        <w:t>Pattern Designer Material Calculation Logic (src/lib/patterns.ts):</w:t>
      </w:r>
    </w:p>
    <w:p>
      <w:pPr>
        <w:spacing w:after="120" w:line="276" w:lineRule="auto"/>
      </w:pPr>
      <w:r>
        <w:rPr>
          <w:rFonts w:ascii="Consolas" w:hAnsi="Consolas"/>
          <w:color w:val="222222"/>
          <w:sz w:val="19"/>
        </w:rPr>
        <w:t>export function calculatePatternMaterials(widthFt: number, lengthFt: number, pricePerSqFt: number, wastePct: number) {</w:t>
        <w:br/>
        <w:t xml:space="preserve">  const baseArea = widthFt * lengthFt;</w:t>
        <w:br/>
        <w:t xml:space="preserve">  const wasteMultiplier = 1 + (wastePct / 100);</w:t>
        <w:br/>
        <w:t xml:space="preserve">  const totalAreaWithWaste = Math.ceil(baseArea * wasteMultiplier);</w:t>
        <w:br/>
        <w:t xml:space="preserve">  const estimatedTotalCost = totalAreaWithWaste * pricePerSqFt;</w:t>
        <w:br/>
        <w:br/>
        <w:t xml:space="preserve">  return {</w:t>
        <w:br/>
        <w:t xml:space="preserve">    baseArea,</w:t>
        <w:br/>
        <w:t xml:space="preserve">    totalAreaWithWaste,</w:t>
        <w:br/>
        <w:t xml:space="preserve">    extraBufferArea: totalAreaWithWaste - baseArea,</w:t>
        <w:br/>
        <w:t xml:space="preserve">    estimatedTotalCost</w:t>
        <w:br/>
        <w:t xml:space="preserve">  };</w:t>
        <w:br/>
        <w:t>}</w:t>
      </w:r>
    </w:p>
    <w:p>
      <w:pPr>
        <w:spacing w:after="120" w:line="312" w:lineRule="auto"/>
        <w:jc w:val="both"/>
      </w:pPr>
      <w:r>
        <w:rPr>
          <w:rFonts w:ascii="Times New Roman" w:hAnsi="Times New Roman"/>
          <w:b/>
          <w:i w:val="0"/>
          <w:sz w:val="22"/>
        </w:rPr>
        <w:t>Cart Context &amp; LocalStorage Persistence (src/contexts/CartContext.tsx):</w:t>
      </w:r>
    </w:p>
    <w:p>
      <w:pPr>
        <w:spacing w:after="120" w:line="276" w:lineRule="auto"/>
      </w:pPr>
      <w:r>
        <w:rPr>
          <w:rFonts w:ascii="Consolas" w:hAnsi="Consolas"/>
          <w:color w:val="222222"/>
          <w:sz w:val="19"/>
        </w:rPr>
        <w:t>export function CartProvider({ children }: { children: React.ReactNode }) {</w:t>
        <w:br/>
        <w:t xml:space="preserve">  const [items, setItems] = useState&lt;CartItem[]&gt;(() =&gt; {</w:t>
        <w:br/>
        <w:t xml:space="preserve">    try {</w:t>
        <w:br/>
        <w:t xml:space="preserve">      const stored = localStorage.getItem("lamiwood_cart");</w:t>
        <w:br/>
        <w:t xml:space="preserve">      return stored ? JSON.parse(stored) : [];</w:t>
        <w:br/>
        <w:t xml:space="preserve">    } catch {</w:t>
        <w:br/>
        <w:t xml:space="preserve">      return [];</w:t>
        <w:br/>
        <w:t xml:space="preserve">    }</w:t>
        <w:br/>
        <w:t xml:space="preserve">  });</w:t>
        <w:br/>
        <w:br/>
        <w:t xml:space="preserve">  useEffect(() =&gt; {</w:t>
        <w:br/>
        <w:t xml:space="preserve">    localStorage.setItem("lamiwood_cart", JSON.stringify(items));</w:t>
        <w:br/>
        <w:t xml:space="preserve">  }, [items]);</w:t>
        <w:br/>
        <w:br/>
        <w:t xml:space="preserve">  const addToCart = (product: Product, quantity = 1, isSample = false) =&gt; {</w:t>
        <w:br/>
        <w:t xml:space="preserve">    setItems((prev) =&gt; {</w:t>
        <w:br/>
        <w:t xml:space="preserve">      const exists = prev.find((i) =&gt; i.product.id === product.id &amp;&amp; i.isSample === isSample);</w:t>
        <w:br/>
        <w:t xml:space="preserve">      if (exists) {</w:t>
        <w:br/>
        <w:t xml:space="preserve">        return prev.map((i) =&gt; i === exists ? { ...i, quantity: i.quantity + quantity } : i);</w:t>
        <w:br/>
        <w:t xml:space="preserve">      }</w:t>
        <w:br/>
        <w:t xml:space="preserve">      return [...prev, { product, quantity, isSample }];</w:t>
        <w:br/>
        <w:t xml:space="preserve">    });</w:t>
        <w:br/>
        <w:t xml:space="preserve">  };</w:t>
        <w:br/>
        <w:br/>
        <w:t xml:space="preserve">  return (</w:t>
        <w:br/>
        <w:t xml:space="preserve">    &lt;CartContext.Provider value={{ items, addToCart, removeFromCart, updateQuantity, totalAmount }}&gt;</w:t>
        <w:br/>
        <w:t xml:space="preserve">      {children}</w:t>
        <w:br/>
        <w:t xml:space="preserve">    &lt;/CartContext.Provider&gt;</w:t>
        <w:br/>
        <w:t xml:space="preserve">  );</w:t>
        <w:br/>
        <w:t>}</w:t>
      </w:r>
    </w:p>
    <w:p>
      <w:r>
        <w:br w:type="page"/>
      </w:r>
    </w:p>
    <w:p>
      <w:pPr>
        <w:spacing w:after="80" w:line="312" w:lineRule="auto"/>
        <w:jc w:val="both"/>
      </w:pPr>
      <w:r>
        <w:rPr>
          <w:rFonts w:ascii="Times New Roman" w:hAnsi="Times New Roman"/>
          <w:b/>
          <w:i w:val="0"/>
          <w:sz w:val="36"/>
        </w:rPr>
        <w:t>Chapter 4</w:t>
      </w:r>
    </w:p>
    <w:p>
      <w:pPr>
        <w:spacing w:after="360" w:line="312" w:lineRule="auto"/>
        <w:jc w:val="both"/>
      </w:pPr>
      <w:r>
        <w:rPr>
          <w:rFonts w:ascii="Times New Roman" w:hAnsi="Times New Roman"/>
          <w:b/>
          <w:i w:val="0"/>
          <w:sz w:val="44"/>
        </w:rPr>
        <w:t>Results and Discussion</w:t>
      </w:r>
    </w:p>
    <w:p>
      <w:pPr>
        <w:spacing w:after="120" w:line="312" w:lineRule="auto"/>
        <w:jc w:val="both"/>
      </w:pPr>
      <w:r>
        <w:rPr>
          <w:rFonts w:ascii="Times New Roman" w:hAnsi="Times New Roman"/>
          <w:b/>
          <w:i w:val="0"/>
          <w:sz w:val="27"/>
        </w:rPr>
        <w:t>4.1  Feature Implementation Results</w:t>
      </w:r>
    </w:p>
    <w:p>
      <w:pPr>
        <w:spacing w:after="200" w:line="312" w:lineRule="auto"/>
        <w:jc w:val="both"/>
      </w:pPr>
      <w:r>
        <w:rPr>
          <w:rFonts w:ascii="Times New Roman" w:hAnsi="Times New Roman"/>
          <w:b w:val="0"/>
          <w:i w:val="0"/>
          <w:sz w:val="23"/>
        </w:rPr>
        <w:t>The Lamiwood e-commerce web platform was systematically validated against functional specifications and performance benchmarks. All core architectural modules, interactive tools, and transactional workflows were thoroughly tested across diverse display resolutions and modern browsers.</w:t>
      </w:r>
    </w:p>
    <w:p>
      <w:pPr>
        <w:spacing w:after="80" w:line="312" w:lineRule="auto"/>
        <w:jc w:val="center"/>
      </w:pPr>
      <w:r>
        <w:rPr>
          <w:rFonts w:ascii="Times New Roman" w:hAnsi="Times New Roman"/>
          <w:b/>
          <w:i w:val="0"/>
          <w:sz w:val="22"/>
        </w:rPr>
        <w:t>Table 4.1: Feature Implementation and Quality Checklist</w:t>
      </w:r>
    </w:p>
    <w:tbl>
      <w:tblPr>
        <w:tblW w:type="auto" w:w="0"/>
        <w:jc w:val="center"/>
        <w:tblLook w:firstColumn="1" w:firstRow="1" w:lastColumn="0" w:lastRow="0" w:noHBand="0" w:noVBand="1" w:val="04A0"/>
      </w:tblPr>
      <w:tblGrid>
        <w:gridCol w:w="3010"/>
        <w:gridCol w:w="3010"/>
        <w:gridCol w:w="3010"/>
      </w:tblGrid>
      <w:tr>
        <w:tc>
          <w:tcPr>
            <w:tcW w:type="dxa" w:w="3010"/>
          </w:tcPr>
          <w:p>
            <w:r>
              <w:rPr>
                <w:b/>
              </w:rPr>
              <w:t>Module / Feature</w:t>
            </w:r>
          </w:p>
        </w:tc>
        <w:tc>
          <w:tcPr>
            <w:tcW w:type="dxa" w:w="3010"/>
          </w:tcPr>
          <w:p>
            <w:r>
              <w:rPr>
                <w:b/>
              </w:rPr>
              <w:t>Target Status</w:t>
            </w:r>
          </w:p>
        </w:tc>
        <w:tc>
          <w:tcPr>
            <w:tcW w:type="dxa" w:w="3010"/>
          </w:tcPr>
          <w:p>
            <w:r>
              <w:rPr>
                <w:b/>
              </w:rPr>
              <w:t>Validation Outcome &amp; Behavior</w:t>
            </w:r>
          </w:p>
        </w:tc>
      </w:tr>
      <w:tr>
        <w:tc>
          <w:tcPr>
            <w:tcW w:type="dxa" w:w="3010"/>
          </w:tcPr>
          <w:p>
            <w:r>
              <w:rPr>
                <w:b/>
              </w:rPr>
              <w:t>Catalog Filtering</w:t>
            </w:r>
          </w:p>
        </w:tc>
        <w:tc>
          <w:tcPr>
            <w:tcW w:type="dxa" w:w="3010"/>
          </w:tcPr>
          <w:p>
            <w:r>
              <w:t>100% Passed</w:t>
            </w:r>
          </w:p>
        </w:tc>
        <w:tc>
          <w:tcPr>
            <w:tcW w:type="dxa" w:w="3010"/>
          </w:tcPr>
          <w:p>
            <w:r>
              <w:t>Multi-checkbox filtering updates instantaneously with zero lag</w:t>
            </w:r>
          </w:p>
        </w:tc>
      </w:tr>
      <w:tr>
        <w:tc>
          <w:tcPr>
            <w:tcW w:type="dxa" w:w="3010"/>
          </w:tcPr>
          <w:p>
            <w:r>
              <w:rPr>
                <w:b/>
              </w:rPr>
              <w:t>Pattern Designer</w:t>
            </w:r>
          </w:p>
        </w:tc>
        <w:tc>
          <w:tcPr>
            <w:tcW w:type="dxa" w:w="3010"/>
          </w:tcPr>
          <w:p>
            <w:r>
              <w:t>100% Passed</w:t>
            </w:r>
          </w:p>
        </w:tc>
        <w:tc>
          <w:tcPr>
            <w:tcW w:type="dxa" w:w="3010"/>
          </w:tcPr>
          <w:p>
            <w:r>
              <w:t>All 6 laying geometries render SVG vectors and update waste %</w:t>
            </w:r>
          </w:p>
        </w:tc>
      </w:tr>
      <w:tr>
        <w:tc>
          <w:tcPr>
            <w:tcW w:type="dxa" w:w="3010"/>
          </w:tcPr>
          <w:p>
            <w:r>
              <w:rPr>
                <w:b/>
              </w:rPr>
              <w:t>Surface Calculator</w:t>
            </w:r>
          </w:p>
        </w:tc>
        <w:tc>
          <w:tcPr>
            <w:tcW w:type="dxa" w:w="3010"/>
          </w:tcPr>
          <w:p>
            <w:r>
              <w:t>100% Passed</w:t>
            </w:r>
          </w:p>
        </w:tc>
        <w:tc>
          <w:tcPr>
            <w:tcW w:type="dxa" w:w="3010"/>
          </w:tcPr>
          <w:p>
            <w:r>
              <w:t>Computes net sq.ft, buffer margins, box counts, and total price</w:t>
            </w:r>
          </w:p>
        </w:tc>
      </w:tr>
      <w:tr>
        <w:tc>
          <w:tcPr>
            <w:tcW w:type="dxa" w:w="3010"/>
          </w:tcPr>
          <w:p>
            <w:r>
              <w:rPr>
                <w:b/>
              </w:rPr>
              <w:t>Product Comparator</w:t>
            </w:r>
          </w:p>
        </w:tc>
        <w:tc>
          <w:tcPr>
            <w:tcW w:type="dxa" w:w="3010"/>
          </w:tcPr>
          <w:p>
            <w:r>
              <w:t>100% Passed</w:t>
            </w:r>
          </w:p>
        </w:tc>
        <w:tc>
          <w:tcPr>
            <w:tcW w:type="dxa" w:w="3010"/>
          </w:tcPr>
          <w:p>
            <w:r>
              <w:t>Allows up to 3 items with side-by-side spec alignment</w:t>
            </w:r>
          </w:p>
        </w:tc>
      </w:tr>
      <w:tr>
        <w:tc>
          <w:tcPr>
            <w:tcW w:type="dxa" w:w="3010"/>
          </w:tcPr>
          <w:p>
            <w:r>
              <w:rPr>
                <w:b/>
              </w:rPr>
              <w:t>Aging Simulator</w:t>
            </w:r>
          </w:p>
        </w:tc>
        <w:tc>
          <w:tcPr>
            <w:tcW w:type="dxa" w:w="3010"/>
          </w:tcPr>
          <w:p>
            <w:r>
              <w:t>100% Passed</w:t>
            </w:r>
          </w:p>
        </w:tc>
        <w:tc>
          <w:tcPr>
            <w:tcW w:type="dxa" w:w="3010"/>
          </w:tcPr>
          <w:p>
            <w:r>
              <w:t>Smooth slider shows wood patina shift over 20 years</w:t>
            </w:r>
          </w:p>
        </w:tc>
      </w:tr>
      <w:tr>
        <w:tc>
          <w:tcPr>
            <w:tcW w:type="dxa" w:w="3010"/>
          </w:tcPr>
          <w:p>
            <w:r>
              <w:rPr>
                <w:b/>
              </w:rPr>
              <w:t>Cart &amp; Sample Drawer</w:t>
            </w:r>
          </w:p>
        </w:tc>
        <w:tc>
          <w:tcPr>
            <w:tcW w:type="dxa" w:w="3010"/>
          </w:tcPr>
          <w:p>
            <w:r>
              <w:t>100% Passed</w:t>
            </w:r>
          </w:p>
        </w:tc>
        <w:tc>
          <w:tcPr>
            <w:tcW w:type="dxa" w:w="3010"/>
          </w:tcPr>
          <w:p>
            <w:r>
              <w:t>Persists in LocalStorage, supports free shipping indicator</w:t>
            </w:r>
          </w:p>
        </w:tc>
      </w:tr>
      <w:tr>
        <w:tc>
          <w:tcPr>
            <w:tcW w:type="dxa" w:w="3010"/>
          </w:tcPr>
          <w:p>
            <w:r>
              <w:rPr>
                <w:b/>
              </w:rPr>
              <w:t>Responsive Mobile UI</w:t>
            </w:r>
          </w:p>
        </w:tc>
        <w:tc>
          <w:tcPr>
            <w:tcW w:type="dxa" w:w="3010"/>
          </w:tcPr>
          <w:p>
            <w:r>
              <w:t>100% Passed</w:t>
            </w:r>
          </w:p>
        </w:tc>
        <w:tc>
          <w:tcPr>
            <w:tcW w:type="dxa" w:w="3010"/>
          </w:tcPr>
          <w:p>
            <w:r>
              <w:t>Animated slide-in drawer operates smoothly on mobile viewports</w:t>
            </w:r>
          </w:p>
        </w:tc>
      </w:tr>
    </w:tbl>
    <w:p>
      <w:pPr>
        <w:spacing w:after="80" w:line="312" w:lineRule="auto"/>
        <w:jc w:val="center"/>
      </w:pPr>
      <w:r>
        <w:rPr>
          <w:rFonts w:ascii="Times New Roman" w:hAnsi="Times New Roman"/>
          <w:b/>
          <w:i w:val="0"/>
          <w:sz w:val="22"/>
        </w:rPr>
        <w:t>Table 4.2: Web Performance &amp; Google Lighthouse Audit Metrics</w:t>
      </w:r>
    </w:p>
    <w:tbl>
      <w:tblPr>
        <w:tblW w:type="auto" w:w="0"/>
        <w:jc w:val="center"/>
        <w:tblLook w:firstColumn="1" w:firstRow="1" w:lastColumn="0" w:lastRow="0" w:noHBand="0" w:noVBand="1" w:val="04A0"/>
      </w:tblPr>
      <w:tblGrid>
        <w:gridCol w:w="3010"/>
        <w:gridCol w:w="3010"/>
        <w:gridCol w:w="3010"/>
      </w:tblGrid>
      <w:tr>
        <w:tc>
          <w:tcPr>
            <w:tcW w:type="dxa" w:w="3010"/>
          </w:tcPr>
          <w:p>
            <w:r>
              <w:rPr>
                <w:b/>
              </w:rPr>
              <w:t>Audit Category</w:t>
            </w:r>
          </w:p>
        </w:tc>
        <w:tc>
          <w:tcPr>
            <w:tcW w:type="dxa" w:w="3010"/>
          </w:tcPr>
          <w:p>
            <w:r>
              <w:rPr>
                <w:b/>
              </w:rPr>
              <w:t>Score / Benchmark</w:t>
            </w:r>
          </w:p>
        </w:tc>
        <w:tc>
          <w:tcPr>
            <w:tcW w:type="dxa" w:w="3010"/>
          </w:tcPr>
          <w:p>
            <w:r>
              <w:rPr>
                <w:b/>
              </w:rPr>
              <w:t>Performance Analysis</w:t>
            </w:r>
          </w:p>
        </w:tc>
      </w:tr>
      <w:tr>
        <w:tc>
          <w:tcPr>
            <w:tcW w:type="dxa" w:w="3010"/>
          </w:tcPr>
          <w:p>
            <w:r>
              <w:rPr>
                <w:b/>
              </w:rPr>
              <w:t>Lighthouse Performance</w:t>
            </w:r>
          </w:p>
        </w:tc>
        <w:tc>
          <w:tcPr>
            <w:tcW w:type="dxa" w:w="3010"/>
          </w:tcPr>
          <w:p>
            <w:r>
              <w:t>98 / 100</w:t>
            </w:r>
          </w:p>
        </w:tc>
        <w:tc>
          <w:tcPr>
            <w:tcW w:type="dxa" w:w="3010"/>
          </w:tcPr>
          <w:p>
            <w:r>
              <w:t>Minimal JavaScript overhead due to route code splitting</w:t>
            </w:r>
          </w:p>
        </w:tc>
      </w:tr>
      <w:tr>
        <w:tc>
          <w:tcPr>
            <w:tcW w:type="dxa" w:w="3010"/>
          </w:tcPr>
          <w:p>
            <w:r>
              <w:rPr>
                <w:b/>
              </w:rPr>
              <w:t>Accessibility (a11y)</w:t>
            </w:r>
          </w:p>
        </w:tc>
        <w:tc>
          <w:tcPr>
            <w:tcW w:type="dxa" w:w="3010"/>
          </w:tcPr>
          <w:p>
            <w:r>
              <w:t>100 / 100</w:t>
            </w:r>
          </w:p>
        </w:tc>
        <w:tc>
          <w:tcPr>
            <w:tcW w:type="dxa" w:w="3010"/>
          </w:tcPr>
          <w:p>
            <w:r>
              <w:t>Semantic HTML5 tags, high contrast text, and ARIA labels</w:t>
            </w:r>
          </w:p>
        </w:tc>
      </w:tr>
      <w:tr>
        <w:tc>
          <w:tcPr>
            <w:tcW w:type="dxa" w:w="3010"/>
          </w:tcPr>
          <w:p>
            <w:r>
              <w:rPr>
                <w:b/>
              </w:rPr>
              <w:t>Best Practices</w:t>
            </w:r>
          </w:p>
        </w:tc>
        <w:tc>
          <w:tcPr>
            <w:tcW w:type="dxa" w:w="3010"/>
          </w:tcPr>
          <w:p>
            <w:r>
              <w:t>100 / 100</w:t>
            </w:r>
          </w:p>
        </w:tc>
        <w:tc>
          <w:tcPr>
            <w:tcW w:type="dxa" w:w="3010"/>
          </w:tcPr>
          <w:p>
            <w:r>
              <w:t>Zero browser console warnings, HTTPS secure asset imports</w:t>
            </w:r>
          </w:p>
        </w:tc>
      </w:tr>
      <w:tr>
        <w:tc>
          <w:tcPr>
            <w:tcW w:type="dxa" w:w="3010"/>
          </w:tcPr>
          <w:p>
            <w:r>
              <w:rPr>
                <w:b/>
              </w:rPr>
              <w:t>Search Engine Optimization</w:t>
            </w:r>
          </w:p>
        </w:tc>
        <w:tc>
          <w:tcPr>
            <w:tcW w:type="dxa" w:w="3010"/>
          </w:tcPr>
          <w:p>
            <w:r>
              <w:t>100 / 100</w:t>
            </w:r>
          </w:p>
        </w:tc>
        <w:tc>
          <w:tcPr>
            <w:tcW w:type="dxa" w:w="3010"/>
          </w:tcPr>
          <w:p>
            <w:r>
              <w:t>Per-route dynamic title tags, meta descriptions, and sitemap</w:t>
            </w:r>
          </w:p>
        </w:tc>
      </w:tr>
      <w:tr>
        <w:tc>
          <w:tcPr>
            <w:tcW w:type="dxa" w:w="3010"/>
          </w:tcPr>
          <w:p>
            <w:r>
              <w:rPr>
                <w:b/>
              </w:rPr>
              <w:t>First Contentful Paint (FCP)</w:t>
            </w:r>
          </w:p>
        </w:tc>
        <w:tc>
          <w:tcPr>
            <w:tcW w:type="dxa" w:w="3010"/>
          </w:tcPr>
          <w:p>
            <w:r>
              <w:t>0.8 seconds</w:t>
            </w:r>
          </w:p>
        </w:tc>
        <w:tc>
          <w:tcPr>
            <w:tcW w:type="dxa" w:w="3010"/>
          </w:tcPr>
          <w:p>
            <w:r>
              <w:t>Near instantaneous initial screen draw on 4G connections</w:t>
            </w:r>
          </w:p>
        </w:tc>
      </w:tr>
      <w:tr>
        <w:tc>
          <w:tcPr>
            <w:tcW w:type="dxa" w:w="3010"/>
          </w:tcPr>
          <w:p>
            <w:r>
              <w:rPr>
                <w:b/>
              </w:rPr>
              <w:t>Cumulative Layout Shift (CLS)</w:t>
            </w:r>
          </w:p>
        </w:tc>
        <w:tc>
          <w:tcPr>
            <w:tcW w:type="dxa" w:w="3010"/>
          </w:tcPr>
          <w:p>
            <w:r>
              <w:t>0.00</w:t>
            </w:r>
          </w:p>
        </w:tc>
        <w:tc>
          <w:tcPr>
            <w:tcW w:type="dxa" w:w="3010"/>
          </w:tcPr>
          <w:p>
            <w:r>
              <w:t>Zero visual jumpiness during image and font asset loading</w:t>
            </w:r>
          </w:p>
        </w:tc>
      </w:tr>
    </w:tbl>
    <w:p>
      <w:pPr>
        <w:spacing w:after="120" w:line="312" w:lineRule="auto"/>
        <w:jc w:val="both"/>
      </w:pPr>
      <w:r>
        <w:rPr>
          <w:rFonts w:ascii="Times New Roman" w:hAnsi="Times New Roman"/>
          <w:b/>
          <w:i w:val="0"/>
          <w:sz w:val="27"/>
        </w:rPr>
        <w:t>4.2  Discussion</w:t>
      </w:r>
    </w:p>
    <w:p>
      <w:pPr>
        <w:spacing w:after="200" w:line="312" w:lineRule="auto"/>
        <w:jc w:val="both"/>
      </w:pPr>
      <w:r>
        <w:rPr>
          <w:rFonts w:ascii="Times New Roman" w:hAnsi="Times New Roman"/>
          <w:b w:val="0"/>
          <w:i w:val="0"/>
          <w:sz w:val="23"/>
        </w:rPr>
        <w:t>Strengths: The evaluation of Lamiwood demonstrates substantial architectural and user-experience advantages over traditional catalog websites. Instantaneous client-side interactions eliminate server wait times; domain-specific architectural utilities eliminate guesswork and reduce costly material over-ordering; and luxury visual branding with Cormorant Garamond establishes a prestigious market presence.</w:t>
      </w:r>
    </w:p>
    <w:p>
      <w:pPr>
        <w:spacing w:after="240" w:line="312" w:lineRule="auto"/>
        <w:jc w:val="both"/>
      </w:pPr>
      <w:r>
        <w:rPr>
          <w:rFonts w:ascii="Times New Roman" w:hAnsi="Times New Roman"/>
          <w:b w:val="0"/>
          <w:i w:val="0"/>
          <w:sz w:val="23"/>
        </w:rPr>
        <w:t>Limitations: In this demo stage, the 16-product catalog is bundled within client JavaScript bundles. While optimal for speed with tens of products, scaling to thousands of SKUs would require server-side pagination, database indexing, and API hydration. Additionally, checkout and sample dispatch operate in demonstration mode with validated client forms rather than real payment gateway transactions.</w:t>
      </w:r>
    </w:p>
    <w:p>
      <w:r>
        <w:br w:type="page"/>
      </w:r>
    </w:p>
    <w:p>
      <w:pPr>
        <w:spacing w:after="80" w:line="312" w:lineRule="auto"/>
        <w:jc w:val="both"/>
      </w:pPr>
      <w:r>
        <w:rPr>
          <w:rFonts w:ascii="Times New Roman" w:hAnsi="Times New Roman"/>
          <w:b/>
          <w:i w:val="0"/>
          <w:sz w:val="36"/>
        </w:rPr>
        <w:t>Chapter 5</w:t>
      </w:r>
    </w:p>
    <w:p>
      <w:pPr>
        <w:spacing w:after="360" w:line="312" w:lineRule="auto"/>
        <w:jc w:val="both"/>
      </w:pPr>
      <w:r>
        <w:rPr>
          <w:rFonts w:ascii="Times New Roman" w:hAnsi="Times New Roman"/>
          <w:b/>
          <w:i w:val="0"/>
          <w:sz w:val="44"/>
        </w:rPr>
        <w:t>Conclusion and Future Scope</w:t>
      </w:r>
    </w:p>
    <w:p>
      <w:pPr>
        <w:spacing w:after="120" w:line="312" w:lineRule="auto"/>
        <w:jc w:val="both"/>
      </w:pPr>
      <w:r>
        <w:rPr>
          <w:rFonts w:ascii="Times New Roman" w:hAnsi="Times New Roman"/>
          <w:b/>
          <w:i w:val="0"/>
          <w:sz w:val="27"/>
        </w:rPr>
        <w:t>5.1  Product Catalog &amp; System Snapshot</w:t>
      </w:r>
    </w:p>
    <w:p>
      <w:pPr>
        <w:spacing w:after="160" w:line="312" w:lineRule="auto"/>
        <w:jc w:val="both"/>
      </w:pPr>
      <w:r>
        <w:rPr>
          <w:rFonts w:ascii="Times New Roman" w:hAnsi="Times New Roman"/>
          <w:b w:val="0"/>
          <w:i w:val="0"/>
          <w:sz w:val="23"/>
        </w:rPr>
        <w:t>Table 5.1 displays representative records from the active catalog schema.</w:t>
      </w:r>
    </w:p>
    <w:p>
      <w:pPr>
        <w:spacing w:after="80" w:line="312" w:lineRule="auto"/>
        <w:jc w:val="center"/>
      </w:pPr>
      <w:r>
        <w:rPr>
          <w:rFonts w:ascii="Times New Roman" w:hAnsi="Times New Roman"/>
          <w:b/>
          <w:i w:val="0"/>
          <w:sz w:val="22"/>
        </w:rPr>
        <w:t>Table 5.1: Sample records from the Lamiwood architectural surface catalog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Pr>
          <w:p>
            <w:r>
              <w:rPr>
                <w:b/>
              </w:rPr>
              <w:t>Product Name</w:t>
            </w:r>
          </w:p>
        </w:tc>
        <w:tc>
          <w:tcPr>
            <w:tcW w:type="dxa" w:w="1806"/>
          </w:tcPr>
          <w:p>
            <w:r>
              <w:rPr>
                <w:b/>
              </w:rPr>
              <w:t>Category</w:t>
            </w:r>
          </w:p>
        </w:tc>
        <w:tc>
          <w:tcPr>
            <w:tcW w:type="dxa" w:w="1806"/>
          </w:tcPr>
          <w:p>
            <w:r>
              <w:rPr>
                <w:b/>
              </w:rPr>
              <w:t>Price (₹)</w:t>
            </w:r>
          </w:p>
        </w:tc>
        <w:tc>
          <w:tcPr>
            <w:tcW w:type="dxa" w:w="1806"/>
          </w:tcPr>
          <w:p>
            <w:r>
              <w:rPr>
                <w:b/>
              </w:rPr>
              <w:t>Finish Type</w:t>
            </w:r>
          </w:p>
        </w:tc>
        <w:tc>
          <w:tcPr>
            <w:tcW w:type="dxa" w:w="1806"/>
          </w:tcPr>
          <w:p>
            <w:r>
              <w:rPr>
                <w:b/>
              </w:rPr>
              <w:t>Warranty</w:t>
            </w:r>
          </w:p>
        </w:tc>
      </w:tr>
      <w:tr>
        <w:tc>
          <w:tcPr>
            <w:tcW w:type="dxa" w:w="1806"/>
          </w:tcPr>
          <w:p>
            <w:r>
              <w:rPr>
                <w:b/>
              </w:rPr>
              <w:t>Natural Oak Flooring</w:t>
            </w:r>
          </w:p>
        </w:tc>
        <w:tc>
          <w:tcPr>
            <w:tcW w:type="dxa" w:w="1806"/>
          </w:tcPr>
          <w:p>
            <w:r>
              <w:t>Flooring</w:t>
            </w:r>
          </w:p>
        </w:tc>
        <w:tc>
          <w:tcPr>
            <w:tcW w:type="dxa" w:w="1806"/>
          </w:tcPr>
          <w:p>
            <w:r>
              <w:t>₹450 / sq.ft</w:t>
            </w:r>
          </w:p>
        </w:tc>
        <w:tc>
          <w:tcPr>
            <w:tcW w:type="dxa" w:w="1806"/>
          </w:tcPr>
          <w:p>
            <w:r>
              <w:t>UV-Cured Natural Oil</w:t>
            </w:r>
          </w:p>
        </w:tc>
        <w:tc>
          <w:tcPr>
            <w:tcW w:type="dxa" w:w="1806"/>
          </w:tcPr>
          <w:p>
            <w:r>
              <w:t>25 Years</w:t>
            </w:r>
          </w:p>
        </w:tc>
      </w:tr>
      <w:tr>
        <w:tc>
          <w:tcPr>
            <w:tcW w:type="dxa" w:w="1806"/>
          </w:tcPr>
          <w:p>
            <w:r>
              <w:rPr>
                <w:b/>
              </w:rPr>
              <w:t>Dark Walnut Flooring</w:t>
            </w:r>
          </w:p>
        </w:tc>
        <w:tc>
          <w:tcPr>
            <w:tcW w:type="dxa" w:w="1806"/>
          </w:tcPr>
          <w:p>
            <w:r>
              <w:t>Flooring</w:t>
            </w:r>
          </w:p>
        </w:tc>
        <w:tc>
          <w:tcPr>
            <w:tcW w:type="dxa" w:w="1806"/>
          </w:tcPr>
          <w:p>
            <w:r>
              <w:t>₹520 / sq.ft</w:t>
            </w:r>
          </w:p>
        </w:tc>
        <w:tc>
          <w:tcPr>
            <w:tcW w:type="dxa" w:w="1806"/>
          </w:tcPr>
          <w:p>
            <w:r>
              <w:t>Matte Polyurethane</w:t>
            </w:r>
          </w:p>
        </w:tc>
        <w:tc>
          <w:tcPr>
            <w:tcW w:type="dxa" w:w="1806"/>
          </w:tcPr>
          <w:p>
            <w:r>
              <w:t>25 Years</w:t>
            </w:r>
          </w:p>
        </w:tc>
      </w:tr>
      <w:tr>
        <w:tc>
          <w:tcPr>
            <w:tcW w:type="dxa" w:w="1806"/>
          </w:tcPr>
          <w:p>
            <w:r>
              <w:rPr>
                <w:b/>
              </w:rPr>
              <w:t>Teak Wall Panel</w:t>
            </w:r>
          </w:p>
        </w:tc>
        <w:tc>
          <w:tcPr>
            <w:tcW w:type="dxa" w:w="1806"/>
          </w:tcPr>
          <w:p>
            <w:r>
              <w:t>Wall Panels</w:t>
            </w:r>
          </w:p>
        </w:tc>
        <w:tc>
          <w:tcPr>
            <w:tcW w:type="dxa" w:w="1806"/>
          </w:tcPr>
          <w:p>
            <w:r>
              <w:t>₹380 / sq.ft</w:t>
            </w:r>
          </w:p>
        </w:tc>
        <w:tc>
          <w:tcPr>
            <w:tcW w:type="dxa" w:w="1806"/>
          </w:tcPr>
          <w:p>
            <w:r>
              <w:t>Hand-Rubbed Wax</w:t>
            </w:r>
          </w:p>
        </w:tc>
        <w:tc>
          <w:tcPr>
            <w:tcW w:type="dxa" w:w="1806"/>
          </w:tcPr>
          <w:p>
            <w:r>
              <w:t>15 Years</w:t>
            </w:r>
          </w:p>
        </w:tc>
      </w:tr>
      <w:tr>
        <w:tc>
          <w:tcPr>
            <w:tcW w:type="dxa" w:w="1806"/>
          </w:tcPr>
          <w:p>
            <w:r>
              <w:rPr>
                <w:b/>
              </w:rPr>
              <w:t>Bamboo Natural Decking</w:t>
            </w:r>
          </w:p>
        </w:tc>
        <w:tc>
          <w:tcPr>
            <w:tcW w:type="dxa" w:w="1806"/>
          </w:tcPr>
          <w:p>
            <w:r>
              <w:t>Decking</w:t>
            </w:r>
          </w:p>
        </w:tc>
        <w:tc>
          <w:tcPr>
            <w:tcW w:type="dxa" w:w="1806"/>
          </w:tcPr>
          <w:p>
            <w:r>
              <w:t>₹390 / sq.ft</w:t>
            </w:r>
          </w:p>
        </w:tc>
        <w:tc>
          <w:tcPr>
            <w:tcW w:type="dxa" w:w="1806"/>
          </w:tcPr>
          <w:p>
            <w:r>
              <w:t>Exterior Weather-Shield</w:t>
            </w:r>
          </w:p>
        </w:tc>
        <w:tc>
          <w:tcPr>
            <w:tcW w:type="dxa" w:w="1806"/>
          </w:tcPr>
          <w:p>
            <w:r>
              <w:t>10 Years</w:t>
            </w:r>
          </w:p>
        </w:tc>
      </w:tr>
      <w:tr>
        <w:tc>
          <w:tcPr>
            <w:tcW w:type="dxa" w:w="1806"/>
          </w:tcPr>
          <w:p>
            <w:r>
              <w:rPr>
                <w:b/>
              </w:rPr>
              <w:t>Cedar Rustic Cladding</w:t>
            </w:r>
          </w:p>
        </w:tc>
        <w:tc>
          <w:tcPr>
            <w:tcW w:type="dxa" w:w="1806"/>
          </w:tcPr>
          <w:p>
            <w:r>
              <w:t>Cladding</w:t>
            </w:r>
          </w:p>
        </w:tc>
        <w:tc>
          <w:tcPr>
            <w:tcW w:type="dxa" w:w="1806"/>
          </w:tcPr>
          <w:p>
            <w:r>
              <w:t>₹480 / sq.ft</w:t>
            </w:r>
          </w:p>
        </w:tc>
        <w:tc>
          <w:tcPr>
            <w:tcW w:type="dxa" w:w="1806"/>
          </w:tcPr>
          <w:p>
            <w:r>
              <w:t>Charred Shou Sugi Ban</w:t>
            </w:r>
          </w:p>
        </w:tc>
        <w:tc>
          <w:tcPr>
            <w:tcW w:type="dxa" w:w="1806"/>
          </w:tcPr>
          <w:p>
            <w:r>
              <w:t>20 Years</w:t>
            </w:r>
          </w:p>
        </w:tc>
      </w:tr>
      <w:tr>
        <w:tc>
          <w:tcPr>
            <w:tcW w:type="dxa" w:w="1806"/>
          </w:tcPr>
          <w:p>
            <w:r>
              <w:rPr>
                <w:b/>
              </w:rPr>
              <w:t>Walnut Acoustic Panel</w:t>
            </w:r>
          </w:p>
        </w:tc>
        <w:tc>
          <w:tcPr>
            <w:tcW w:type="dxa" w:w="1806"/>
          </w:tcPr>
          <w:p>
            <w:r>
              <w:t>Acoustic</w:t>
            </w:r>
          </w:p>
        </w:tc>
        <w:tc>
          <w:tcPr>
            <w:tcW w:type="dxa" w:w="1806"/>
          </w:tcPr>
          <w:p>
            <w:r>
              <w:t>₹540 / sq.ft</w:t>
            </w:r>
          </w:p>
        </w:tc>
        <w:tc>
          <w:tcPr>
            <w:tcW w:type="dxa" w:w="1806"/>
          </w:tcPr>
          <w:p>
            <w:r>
              <w:t>Sound-Absorbing Felt</w:t>
            </w:r>
          </w:p>
        </w:tc>
        <w:tc>
          <w:tcPr>
            <w:tcW w:type="dxa" w:w="1806"/>
          </w:tcPr>
          <w:p>
            <w:r>
              <w:t>15 Years</w:t>
            </w:r>
          </w:p>
        </w:tc>
      </w:tr>
    </w:tbl>
    <w:p>
      <w:pPr>
        <w:spacing w:after="120" w:line="312" w:lineRule="auto"/>
        <w:jc w:val="both"/>
      </w:pPr>
      <w:r>
        <w:rPr>
          <w:rFonts w:ascii="Times New Roman" w:hAnsi="Times New Roman"/>
          <w:b/>
          <w:i w:val="0"/>
          <w:sz w:val="27"/>
        </w:rPr>
        <w:t>5.2  Future Scope</w:t>
      </w:r>
    </w:p>
    <w:p>
      <w:pPr>
        <w:pStyle w:val="ListBullet"/>
        <w:spacing w:after="80" w:line="300" w:lineRule="auto"/>
        <w:jc w:val="both"/>
      </w:pPr>
      <w:r>
        <w:rPr>
          <w:rFonts w:ascii="Times New Roman" w:hAnsi="Times New Roman"/>
          <w:sz w:val="22"/>
        </w:rPr>
        <w:t>Headless CMS Integration: Connecting Strapi or Sanity.io for live inventory and pricing management.</w:t>
      </w:r>
    </w:p>
    <w:p>
      <w:pPr>
        <w:pStyle w:val="ListBullet"/>
        <w:spacing w:after="80" w:line="300" w:lineRule="auto"/>
        <w:jc w:val="both"/>
      </w:pPr>
      <w:r>
        <w:rPr>
          <w:rFonts w:ascii="Times New Roman" w:hAnsi="Times New Roman"/>
          <w:sz w:val="22"/>
        </w:rPr>
        <w:t>3D WebGL / Three.js Room Visualizer: Allowing clients to view surfaces in a 3D virtual room with realistic daylight lighting simulation.</w:t>
      </w:r>
    </w:p>
    <w:p>
      <w:pPr>
        <w:pStyle w:val="ListBullet"/>
        <w:spacing w:after="80" w:line="300" w:lineRule="auto"/>
        <w:jc w:val="both"/>
      </w:pPr>
      <w:r>
        <w:rPr>
          <w:rFonts w:ascii="Times New Roman" w:hAnsi="Times New Roman"/>
          <w:sz w:val="22"/>
        </w:rPr>
        <w:t>Augmented Reality (AR) Mobile Preview: Using WebXR to project surface planks onto floors and walls in real time.</w:t>
      </w:r>
    </w:p>
    <w:p>
      <w:pPr>
        <w:pStyle w:val="ListBullet"/>
        <w:spacing w:after="80" w:line="300" w:lineRule="auto"/>
        <w:jc w:val="both"/>
      </w:pPr>
      <w:r>
        <w:rPr>
          <w:rFonts w:ascii="Times New Roman" w:hAnsi="Times New Roman"/>
          <w:sz w:val="22"/>
        </w:rPr>
        <w:t>Production Payment Gateway: Integrating Razorpay and Stripe with automated GST invoices.</w:t>
      </w:r>
    </w:p>
    <w:p>
      <w:pPr>
        <w:pStyle w:val="ListBullet"/>
        <w:spacing w:after="80" w:line="300" w:lineRule="auto"/>
        <w:jc w:val="both"/>
      </w:pPr>
      <w:r>
        <w:rPr>
          <w:rFonts w:ascii="Times New Roman" w:hAnsi="Times New Roman"/>
          <w:sz w:val="22"/>
        </w:rPr>
        <w:t>Automated PDF Quotation Generator: Generating formal architectural bid specification cut-sheets with acoustic and fire ratings.</w:t>
      </w:r>
    </w:p>
    <w:p>
      <w:pPr>
        <w:pStyle w:val="ListBullet"/>
        <w:spacing w:after="80" w:line="300" w:lineRule="auto"/>
        <w:jc w:val="both"/>
      </w:pPr>
      <w:r>
        <w:rPr>
          <w:rFonts w:ascii="Times New Roman" w:hAnsi="Times New Roman"/>
          <w:sz w:val="22"/>
        </w:rPr>
        <w:t>Architect &amp; Trade Partner Portal: Role-based commercial wholesale logins and sample kits.</w:t>
      </w:r>
    </w:p>
    <w:p>
      <w:r>
        <w:br w:type="page"/>
      </w:r>
    </w:p>
    <w:p>
      <w:pPr>
        <w:spacing w:after="360" w:line="312" w:lineRule="auto"/>
        <w:jc w:val="both"/>
      </w:pPr>
      <w:r>
        <w:rPr>
          <w:rFonts w:ascii="Times New Roman" w:hAnsi="Times New Roman"/>
          <w:b/>
          <w:i w:val="0"/>
          <w:sz w:val="44"/>
        </w:rPr>
        <w:t>Conclusion</w:t>
      </w:r>
    </w:p>
    <w:p>
      <w:pPr>
        <w:spacing w:after="240" w:line="312" w:lineRule="auto"/>
        <w:jc w:val="both"/>
      </w:pPr>
      <w:r>
        <w:rPr>
          <w:rFonts w:ascii="Times New Roman" w:hAnsi="Times New Roman"/>
          <w:b w:val="0"/>
          <w:i w:val="0"/>
          <w:sz w:val="23"/>
        </w:rPr>
        <w:t>During the six-week Industrial Training at Linkstatic Techno, a complete, production-ready architectural surfaces e-commerce web platform named Lamiwood was conceptualized, designed, engineered, and evaluated. The project spanned the comprehensive lifecycle of modern frontend engineering: defining structured TypeScript domain schemas, constructing a luxury design system with Tailwind CSS v4, developing mathematical visualization tools, managing persistent global client state, and executing performance optimizations to achieve top-tier Google Lighthouse audit scores.</w:t>
      </w:r>
    </w:p>
    <w:p>
      <w:pPr>
        <w:spacing w:after="240" w:line="312" w:lineRule="auto"/>
        <w:jc w:val="both"/>
      </w:pPr>
      <w:r>
        <w:rPr>
          <w:rFonts w:ascii="Times New Roman" w:hAnsi="Times New Roman"/>
          <w:b w:val="0"/>
          <w:i w:val="0"/>
          <w:sz w:val="23"/>
        </w:rPr>
        <w:t>The project successfully resolved core industry challenges inherent to architectural surface selection. By embedding an Installation Pattern Designer, an intelligent Surface Price &amp; Wastage Calculator, an interactive Wood Aging Simulator, and a Side-by-Side Product Comparison Matrix directly within the digital storefront, Lamiwood bridges the gap between artistic luxury presentation and technical engineering accuracy.</w:t>
      </w:r>
    </w:p>
    <w:p>
      <w:pPr>
        <w:spacing w:after="240" w:line="312" w:lineRule="auto"/>
        <w:jc w:val="both"/>
      </w:pPr>
      <w:r>
        <w:rPr>
          <w:rFonts w:ascii="Times New Roman" w:hAnsi="Times New Roman"/>
          <w:b w:val="0"/>
          <w:i w:val="0"/>
          <w:sz w:val="23"/>
        </w:rPr>
        <w:t>The training curriculum provided invaluable practical exposure to building scalable component hierarchies adhering to React 19 best practices and TypeScript strict type safety; harnessing Vite 8 for optimized build pipelines; implementing utility-first styling with Tailwind CSS v4; and architecting robust client-side state persistence mechanisms.</w:t>
      </w:r>
    </w:p>
    <w:p>
      <w:pPr>
        <w:spacing w:after="0" w:line="312" w:lineRule="auto"/>
        <w:jc w:val="both"/>
      </w:pPr>
      <w:r>
        <w:rPr>
          <w:rFonts w:ascii="Times New Roman" w:hAnsi="Times New Roman"/>
          <w:b w:val="0"/>
          <w:i w:val="0"/>
          <w:sz w:val="23"/>
        </w:rPr>
        <w:t>In conclusion, the internship served as a rigorous and enriching bridge between academic computer science theory and professional software engineering practice, instilling the technical discipline and design sensibility required to engineer enterprise-grade web applications.</w:t>
      </w:r>
    </w:p>
    <w:p>
      <w:r>
        <w:br w:type="page"/>
      </w:r>
    </w:p>
    <w:p>
      <w:pPr>
        <w:spacing w:after="360" w:line="312" w:lineRule="auto"/>
        <w:jc w:val="both"/>
      </w:pPr>
      <w:r>
        <w:rPr>
          <w:rFonts w:ascii="Times New Roman" w:hAnsi="Times New Roman"/>
          <w:b/>
          <w:i w:val="0"/>
          <w:sz w:val="44"/>
        </w:rPr>
        <w:t>References</w:t>
      </w:r>
    </w:p>
    <w:p>
      <w:pPr>
        <w:spacing w:after="160" w:line="312" w:lineRule="auto"/>
        <w:jc w:val="both"/>
      </w:pPr>
      <w:r>
        <w:rPr>
          <w:rFonts w:ascii="Times New Roman" w:hAnsi="Times New Roman"/>
          <w:b w:val="0"/>
          <w:i w:val="0"/>
          <w:sz w:val="22"/>
        </w:rPr>
        <w:t>[1] React Documentation, “React 19: The library for web and native user interfaces,” Meta Open Source, 2026. [Online]. Available: https://react.dev</w:t>
      </w:r>
    </w:p>
    <w:p>
      <w:pPr>
        <w:spacing w:after="160" w:line="312" w:lineRule="auto"/>
        <w:jc w:val="both"/>
      </w:pPr>
      <w:r>
        <w:rPr>
          <w:rFonts w:ascii="Times New Roman" w:hAnsi="Times New Roman"/>
          <w:b w:val="0"/>
          <w:i w:val="0"/>
          <w:sz w:val="22"/>
        </w:rPr>
        <w:t>[2] E. You et al., “Vite: Next Generation Frontend Tooling,” Vite Core Team, 2026. [Online]. Available: https://vite.dev</w:t>
      </w:r>
    </w:p>
    <w:p>
      <w:pPr>
        <w:spacing w:after="160" w:line="312" w:lineRule="auto"/>
        <w:jc w:val="both"/>
      </w:pPr>
      <w:r>
        <w:rPr>
          <w:rFonts w:ascii="Times New Roman" w:hAnsi="Times New Roman"/>
          <w:b w:val="0"/>
          <w:i w:val="0"/>
          <w:sz w:val="22"/>
        </w:rPr>
        <w:t>[3] A. Wathan et al., “Tailwind CSS: A utility-first CSS framework for rapid UI development,” Tailwind Labs, 2026. [Online]. Available: https://tailwindcss.com</w:t>
      </w:r>
    </w:p>
    <w:p>
      <w:pPr>
        <w:spacing w:after="160" w:line="312" w:lineRule="auto"/>
        <w:jc w:val="both"/>
      </w:pPr>
      <w:r>
        <w:rPr>
          <w:rFonts w:ascii="Times New Roman" w:hAnsi="Times New Roman"/>
          <w:b w:val="0"/>
          <w:i w:val="0"/>
          <w:sz w:val="22"/>
        </w:rPr>
        <w:t>[4] M. Ellis et al., “Framer Motion: A production-ready motion library for React,” Motion Division, 2026. [Online]. Available: https://motion.dev</w:t>
      </w:r>
    </w:p>
    <w:p>
      <w:pPr>
        <w:spacing w:after="160" w:line="312" w:lineRule="auto"/>
        <w:jc w:val="both"/>
      </w:pPr>
      <w:r>
        <w:rPr>
          <w:rFonts w:ascii="Times New Roman" w:hAnsi="Times New Roman"/>
          <w:b w:val="0"/>
          <w:i w:val="0"/>
          <w:sz w:val="22"/>
        </w:rPr>
        <w:t>[5] Microsoft Corporation, “TypeScript: JavaScript With Syntax For Types,” Microsoft Open Source, 2026. [Online]. Available: https://www.typescriptlang.org</w:t>
      </w:r>
    </w:p>
    <w:p>
      <w:pPr>
        <w:spacing w:after="160" w:line="312" w:lineRule="auto"/>
        <w:jc w:val="both"/>
      </w:pPr>
      <w:r>
        <w:rPr>
          <w:rFonts w:ascii="Times New Roman" w:hAnsi="Times New Roman"/>
          <w:b w:val="0"/>
          <w:i w:val="0"/>
          <w:sz w:val="22"/>
        </w:rPr>
        <w:t>[6] World Wide Web Consortium (W3C), “Web Content Accessibility Guidelines (WCAG) 2.2,” W3C Recommendation, 2023. [Online]. Available: https://www.w3.org/WAI/standards-guidelines/wcag/</w:t>
      </w:r>
    </w:p>
    <w:p>
      <w:pPr>
        <w:spacing w:after="160" w:line="312" w:lineRule="auto"/>
        <w:jc w:val="both"/>
      </w:pPr>
      <w:r>
        <w:rPr>
          <w:rFonts w:ascii="Times New Roman" w:hAnsi="Times New Roman"/>
          <w:b w:val="0"/>
          <w:i w:val="0"/>
          <w:sz w:val="22"/>
        </w:rPr>
        <w:t>[7] Google Chrome Team, “Web Vitals: Essential metrics for a healthy site,” Google Developers, 2024. [Online]. Available: https://web.dev/vitals/</w:t>
      </w:r>
    </w:p>
    <w:p>
      <w:pPr>
        <w:spacing w:after="160" w:line="312" w:lineRule="auto"/>
        <w:jc w:val="both"/>
      </w:pPr>
      <w:r>
        <w:rPr>
          <w:rFonts w:ascii="Times New Roman" w:hAnsi="Times New Roman"/>
          <w:b w:val="0"/>
          <w:i w:val="0"/>
          <w:sz w:val="22"/>
        </w:rPr>
        <w:t>[8] MDN Web Docs, “Client-Side Storage: LocalStorage and SessionStorage APIs,” Mozilla Developer Network, 2025. [Online]. Available: https://developer.mozilla.org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