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400"/>
              <w:left w:type="dxa" w:w="560"/>
              <w:bottom w:type="dxa" w:w="400"/>
              <w:right w:type="dxa" w:w="560"/>
            </w:tcMar>
          </w:tcPr>
          <w:p>
            <w:pPr>
              <w:spacing w:after="0"/>
            </w:pPr>
            <w:r>
              <w:rPr>
                <w:rFonts w:ascii="Arial" w:cs="Arial" w:eastAsia="Arial" w:hAnsi="Arial"/>
                <w:b/>
                <w:bCs/>
                <w:color w:val="C8A951"/>
                <w:sz w:val="80"/>
                <w:szCs w:val="80"/>
              </w:rPr>
              <w:t xml:space="preserve">PRODUCT</w:t>
            </w:r>
          </w:p>
          <w:p>
            <w:pPr>
              <w:spacing w:after="60"/>
            </w:pPr>
            <w:r>
              <w:rPr>
                <w:rFonts w:ascii="Arial" w:cs="Arial" w:eastAsia="Arial" w:hAnsi="Arial"/>
                <w:b/>
                <w:bCs/>
                <w:color w:val="FFFFFF"/>
                <w:sz w:val="80"/>
                <w:szCs w:val="80"/>
              </w:rPr>
              <w:t xml:space="preserve">TEARDOWN</w:t>
            </w:r>
          </w:p>
          <w:p>
            <w:pPr>
              <w:spacing w:after="80"/>
            </w:pPr>
            <w:r>
              <w:rPr>
                <w:rFonts w:ascii="Arial" w:cs="Arial" w:eastAsia="Arial" w:hAnsi="Arial"/>
                <w:color w:val="C8A951"/>
                <w:sz w:val="20"/>
                <w:szCs w:val="20"/>
              </w:rPr>
              <w:t xml:space="preserve">─────────────────────────</w:t>
            </w:r>
          </w:p>
          <w:p>
            <w:pPr>
              <w:spacing w:after="40"/>
            </w:pPr>
            <w:r>
              <w:rPr>
                <w:rFonts w:ascii="Georgia" w:cs="Georgia" w:eastAsia="Georgia" w:hAnsi="Georgia"/>
                <w:i/>
                <w:iCs/>
                <w:color w:val="FFFFFF"/>
                <w:sz w:val="36"/>
                <w:szCs w:val="36"/>
              </w:rPr>
              <w:t xml:space="preserve">Vocallabs.ai</w:t>
            </w:r>
          </w:p>
          <w:p>
            <w:pPr>
              <w:spacing w:after="120"/>
            </w:pPr>
            <w:r>
              <w:rPr>
                <w:rFonts w:ascii="Georgia" w:cs="Georgia" w:eastAsia="Georgia" w:hAnsi="Georgia"/>
                <w:i/>
                <w:iCs/>
                <w:color w:val="8896A8"/>
                <w:sz w:val="22"/>
                <w:szCs w:val="22"/>
              </w:rPr>
              <w:t xml:space="preserve">Five non-obvious findings from a real product walkthrough</w:t>
            </w:r>
          </w:p>
          <w:p>
            <w:pPr>
              <w:spacing w:after="40"/>
            </w:pPr>
            <w:r>
              <w:rPr>
                <w:rFonts w:ascii="Arial" w:cs="Arial" w:eastAsia="Arial" w:hAnsi="Arial"/>
                <w:b/>
                <w:bCs/>
                <w:color w:val="FFFFFF"/>
                <w:sz w:val="22"/>
                <w:szCs w:val="22"/>
              </w:rPr>
              <w:t xml:space="preserve">ADITYA YADAV</w:t>
            </w:r>
          </w:p>
          <w:p>
            <w:r>
              <w:rPr>
                <w:rFonts w:ascii="Arial" w:cs="Arial" w:eastAsia="Arial" w:hAnsi="Arial"/>
                <w:color w:val="8896A8"/>
                <w:sz w:val="18"/>
                <w:szCs w:val="18"/>
              </w:rPr>
              <w:t xml:space="preserve">Product Intern Assignment  ·  May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8A951" w:val="clear"/>
            <w:tcMar>
              <w:top w:type="dxa" w:w="50"/>
              <w:left w:type="dxa" w:w="0"/>
              <w:bottom w:type="dxa" w:w="50"/>
              <w:right w:type="dxa" w:w="0"/>
            </w:tcMar>
          </w:tcPr>
          <w:p>
            <w:r>
              <w:t xml:space="preserve"/>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single" w:color="C8A951" w:sz="4"/>
              <w:bottom w:val="none" w:color="FFFFFF" w:sz="0"/>
              <w:right w:val="none" w:color="FFFFFF" w:sz="0"/>
            </w:tcBorders>
            <w:shd w:fill="FFFFFF" w:val="clear"/>
            <w:tcMar>
              <w:top w:type="dxa" w:w="0"/>
              <w:left w:type="dxa" w:w="0"/>
              <w:bottom w:type="dxa" w:w="0"/>
              <w:right w:type="dxa" w:w="0"/>
            </w:tcMar>
          </w:tcPr>
          <w:p>
            <w:r>
              <w:t xml:space="preserve"/>
            </w:r>
          </w:p>
        </w:tc>
        <w:tc>
          <w:tcPr>
            <w:tcW w:type="dxa" w:w="9120"/>
            <w:tcBorders>
              <w:top w:val="none" w:color="FFFFFF" w:sz="0"/>
              <w:left w:val="none" w:color="FFFFFF" w:sz="0"/>
              <w:bottom w:val="none" w:color="FFFFFF" w:sz="0"/>
              <w:right w:val="none" w:color="FFFFFF" w:sz="0"/>
            </w:tcBorders>
            <w:shd w:fill="FFFFFF" w:val="clear"/>
            <w:tcMar>
              <w:top w:type="dxa" w:w="40"/>
              <w:left w:type="dxa" w:w="240"/>
              <w:bottom w:type="dxa" w:w="40"/>
              <w:right w:type="dxa" w:w="0"/>
            </w:tcMar>
          </w:tcPr>
          <w:p>
            <w:pPr>
              <w:spacing w:line="360"/>
            </w:pPr>
            <w:r>
              <w:rPr>
                <w:rFonts w:ascii="Georgia" w:cs="Georgia" w:eastAsia="Georgia" w:hAnsi="Georgia"/>
                <w:i/>
                <w:iCs/>
                <w:color w:val="4A5568"/>
                <w:sz w:val="23"/>
                <w:szCs w:val="23"/>
              </w:rPr>
              <w:t xml:space="preserve">I spent a few hours going through Vocallabs — the website, the mobile app on Google Play, the documentation, and everything buried in their footer. What follows isn’t a framework exercise. It’s five things that genuinely surprised me, the real pain behind each one, and concrete ideas for what to actually do about it.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0D1117" w:val="clear"/>
            <w:tcMar>
              <w:top w:type="dxa" w:w="120"/>
              <w:left w:type="dxa" w:w="100"/>
              <w:bottom w:type="dxa" w:w="120"/>
              <w:right w:type="dxa" w:w="100"/>
            </w:tcMar>
          </w:tcPr>
          <w:p>
            <w:pPr>
              <w:jc w:val="center"/>
            </w:pPr>
            <w:r>
              <w:rPr>
                <w:rFonts w:ascii="Arial" w:cs="Arial" w:eastAsia="Arial" w:hAnsi="Arial"/>
                <w:b/>
                <w:bCs/>
                <w:color w:val="C8A951"/>
                <w:sz w:val="17"/>
                <w:szCs w:val="17"/>
              </w:rPr>
              <w:t xml:space="preserve">01  UX</w:t>
            </w:r>
          </w:p>
        </w:tc>
        <w:tc>
          <w:tcPr>
            <w:tcW w:type="dxa" w:w="1872"/>
            <w:tcBorders>
              <w:top w:val="none" w:color="FFFFFF" w:sz="0"/>
              <w:left w:val="none" w:color="FFFFFF" w:sz="0"/>
              <w:bottom w:val="none" w:color="FFFFFF" w:sz="0"/>
              <w:right w:val="none" w:color="FFFFFF" w:sz="0"/>
            </w:tcBorders>
            <w:shd w:fill="8B1A1A" w:val="clear"/>
            <w:tcMar>
              <w:top w:type="dxa" w:w="120"/>
              <w:left w:type="dxa" w:w="100"/>
              <w:bottom w:type="dxa" w:w="120"/>
              <w:right w:type="dxa" w:w="100"/>
            </w:tcMar>
          </w:tcPr>
          <w:p>
            <w:pPr>
              <w:jc w:val="center"/>
            </w:pPr>
            <w:r>
              <w:rPr>
                <w:rFonts w:ascii="Arial" w:cs="Arial" w:eastAsia="Arial" w:hAnsi="Arial"/>
                <w:b/>
                <w:bCs/>
                <w:color w:val="FFF0F0"/>
                <w:sz w:val="17"/>
                <w:szCs w:val="17"/>
              </w:rPr>
              <w:t xml:space="preserve">02  FEATURES</w:t>
            </w:r>
          </w:p>
        </w:tc>
        <w:tc>
          <w:tcPr>
            <w:tcW w:type="dxa" w:w="1872"/>
            <w:tcBorders>
              <w:top w:val="none" w:color="FFFFFF" w:sz="0"/>
              <w:left w:val="none" w:color="FFFFFF" w:sz="0"/>
              <w:bottom w:val="none" w:color="FFFFFF" w:sz="0"/>
              <w:right w:val="none" w:color="FFFFFF" w:sz="0"/>
            </w:tcBorders>
            <w:shd w:fill="0D5C4A" w:val="clear"/>
            <w:tcMar>
              <w:top w:type="dxa" w:w="120"/>
              <w:left w:type="dxa" w:w="100"/>
              <w:bottom w:type="dxa" w:w="120"/>
              <w:right w:type="dxa" w:w="100"/>
            </w:tcMar>
          </w:tcPr>
          <w:p>
            <w:pPr>
              <w:jc w:val="center"/>
            </w:pPr>
            <w:r>
              <w:rPr>
                <w:rFonts w:ascii="Arial" w:cs="Arial" w:eastAsia="Arial" w:hAnsi="Arial"/>
                <w:b/>
                <w:bCs/>
                <w:color w:val="EDF7F4"/>
                <w:sz w:val="17"/>
                <w:szCs w:val="17"/>
              </w:rPr>
              <w:t xml:space="preserve">03  GTM &amp; ICPS</w:t>
            </w:r>
          </w:p>
        </w:tc>
        <w:tc>
          <w:tcPr>
            <w:tcW w:type="dxa" w:w="1872"/>
            <w:tcBorders>
              <w:top w:val="none" w:color="FFFFFF" w:sz="0"/>
              <w:left w:val="none" w:color="FFFFFF" w:sz="0"/>
              <w:bottom w:val="none" w:color="FFFFFF" w:sz="0"/>
              <w:right w:val="none" w:color="FFFFFF" w:sz="0"/>
            </w:tcBorders>
            <w:shd w:fill="2C3E50" w:val="clear"/>
            <w:tcMar>
              <w:top w:type="dxa" w:w="120"/>
              <w:left w:type="dxa" w:w="100"/>
              <w:bottom w:type="dxa" w:w="120"/>
              <w:right w:type="dxa" w:w="100"/>
            </w:tcMar>
          </w:tcPr>
          <w:p>
            <w:pPr>
              <w:jc w:val="center"/>
            </w:pPr>
            <w:r>
              <w:rPr>
                <w:rFonts w:ascii="Arial" w:cs="Arial" w:eastAsia="Arial" w:hAnsi="Arial"/>
                <w:b/>
                <w:bCs/>
                <w:color w:val="D5E8F0"/>
                <w:sz w:val="17"/>
                <w:szCs w:val="17"/>
              </w:rPr>
              <w:t xml:space="preserve">04  COMPETITORS</w:t>
            </w:r>
          </w:p>
        </w:tc>
        <w:tc>
          <w:tcPr>
            <w:tcW w:type="dxa" w:w="1872"/>
            <w:tcBorders>
              <w:top w:val="none" w:color="FFFFFF" w:sz="0"/>
              <w:left w:val="none" w:color="FFFFFF" w:sz="0"/>
              <w:bottom w:val="none" w:color="FFFFFF" w:sz="0"/>
              <w:right w:val="none" w:color="FFFFFF" w:sz="0"/>
            </w:tcBorders>
            <w:shd w:fill="4A235A" w:val="clear"/>
            <w:tcMar>
              <w:top w:type="dxa" w:w="120"/>
              <w:left w:type="dxa" w:w="100"/>
              <w:bottom w:type="dxa" w:w="120"/>
              <w:right w:type="dxa" w:w="100"/>
            </w:tcMar>
          </w:tcPr>
          <w:p>
            <w:pPr>
              <w:jc w:val="center"/>
            </w:pPr>
            <w:r>
              <w:rPr>
                <w:rFonts w:ascii="Arial" w:cs="Arial" w:eastAsia="Arial" w:hAnsi="Arial"/>
                <w:b/>
                <w:bCs/>
                <w:color w:val="F3E8FF"/>
                <w:sz w:val="17"/>
                <w:szCs w:val="17"/>
              </w:rPr>
              <w:t xml:space="preserve">05  COLLABS</w:t>
            </w:r>
          </w:p>
        </w:tc>
      </w:tr>
    </w:tbl>
    <w:p>
      <w:pPr>
        <w:spacing w:after="0" w:before="4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6840"/>
      </w:tblGrid>
      <w:tr>
        <w:tc>
          <w:tcPr>
            <w:tcW w:type="dxa" w:w="720"/>
            <w:tcBorders>
              <w:top w:val="none" w:color="FFFFFF" w:sz="0"/>
              <w:left w:val="none" w:color="FFFFFF" w:sz="0"/>
              <w:bottom w:val="none" w:color="FFFFFF" w:sz="0"/>
              <w:right w:val="none" w:color="FFFFFF" w:sz="0"/>
            </w:tcBorders>
            <w:shd w:fill="0D1117" w:val="clear"/>
            <w:tcMar>
              <w:top w:type="dxa" w:w="80"/>
              <w:left w:type="dxa" w:w="160"/>
              <w:bottom w:type="dxa" w:w="80"/>
              <w:right w:type="dxa" w:w="160"/>
            </w:tcMar>
            <w:vAlign w:val="center"/>
          </w:tcPr>
          <w:p>
            <w:pPr>
              <w:jc w:val="center"/>
            </w:pPr>
            <w:r>
              <w:rPr>
                <w:rFonts w:ascii="Arial" w:cs="Arial" w:eastAsia="Arial" w:hAnsi="Arial"/>
                <w:b/>
                <w:bCs/>
                <w:color w:val="C8A951"/>
                <w:sz w:val="26"/>
                <w:szCs w:val="26"/>
              </w:rPr>
              <w:t xml:space="preserve">01</w:t>
            </w:r>
          </w:p>
        </w:tc>
        <w:tc>
          <w:tcPr>
            <w:tcW w:type="dxa" w:w="1800"/>
            <w:tcBorders>
              <w:top w:val="none" w:color="FFFFFF" w:sz="0"/>
              <w:left w:val="none" w:color="FFFFFF" w:sz="0"/>
              <w:bottom w:val="none" w:color="FFFFFF" w:sz="0"/>
              <w:right w:val="none" w:color="FFFFFF" w:sz="0"/>
            </w:tcBorders>
            <w:shd w:fill="0D1117" w:val="clear"/>
            <w:tcMar>
              <w:top w:type="dxa" w:w="80"/>
              <w:left w:type="dxa" w:w="180"/>
              <w:bottom w:type="dxa" w:w="80"/>
              <w:right w:type="dxa" w:w="180"/>
            </w:tcMar>
            <w:vAlign w:val="center"/>
          </w:tcPr>
          <w:p>
            <w:pPr>
              <w:jc w:val="center"/>
            </w:pPr>
            <w:r>
              <w:rPr>
                <w:rFonts w:ascii="Arial" w:cs="Arial" w:eastAsia="Arial" w:hAnsi="Arial"/>
                <w:b/>
                <w:bCs/>
                <w:color w:val="C8A951"/>
                <w:sz w:val="17"/>
                <w:szCs w:val="17"/>
              </w:rPr>
              <w:t xml:space="preserve">UX</w:t>
            </w:r>
          </w:p>
        </w:tc>
        <w:tc>
          <w:tcPr>
            <w:tcW w:type="dxa" w:w="6840"/>
            <w:tcBorders>
              <w:top w:val="none" w:color="FFFFFF" w:sz="0"/>
              <w:left w:val="none" w:color="FFFFFF" w:sz="0"/>
              <w:bottom w:val="none" w:color="FFFFFF" w:sz="0"/>
              <w:right w:val="none" w:color="FFFFFF" w:sz="0"/>
            </w:tcBorders>
            <w:shd w:fill="EAE7E0" w:val="clear"/>
            <w:tcMar>
              <w:top w:type="dxa" w:w="80"/>
              <w:left w:type="dxa" w:w="220"/>
              <w:bottom w:type="dxa" w:w="80"/>
              <w:right w:type="dxa" w:w="120"/>
            </w:tcMar>
            <w:vAlign w:val="center"/>
          </w:tcPr>
          <w:p>
            <w:r>
              <w:rPr>
                <w:rFonts w:ascii="Georgia" w:cs="Georgia" w:eastAsia="Georgia" w:hAnsi="Georgia"/>
                <w:i/>
                <w:iCs/>
                <w:color w:val="4A5568"/>
                <w:sz w:val="18"/>
                <w:szCs w:val="18"/>
              </w:rPr>
              <w:t xml:space="preserve">AI ↔ human handoff: buried in the Play Store, absent from the website</w:t>
            </w:r>
          </w:p>
        </w:tc>
      </w:tr>
    </w:tbl>
    <w:p>
      <w:pPr>
        <w:spacing w:after="0" w:before="100"/>
      </w:pPr>
      <w:r>
        <w:t xml:space="preserve"/>
      </w:r>
    </w:p>
    <w:p>
      <w:pPr>
        <w:spacing w:after="100" w:before="0" w:line="360"/>
      </w:pPr>
      <w:r>
        <w:rPr>
          <w:rFonts w:ascii="Georgia" w:cs="Georgia" w:eastAsia="Georgia" w:hAnsi="Georgia"/>
          <w:b/>
          <w:bCs/>
          <w:color w:val="0A0A0F"/>
          <w:sz w:val="36"/>
          <w:szCs w:val="36"/>
        </w:rPr>
        <w:t xml:space="preserve">The product’s sharpest edge is invisible on its own homepage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single" w:color="EAE7E0" w:sz="4"/>
            </w:tcBorders>
            <w:shd w:fill="EDF7F4" w:val="clear"/>
            <w:tcMar>
              <w:top w:type="dxa" w:w="140"/>
              <w:left w:type="dxa" w:w="200"/>
              <w:bottom w:type="dxa" w:w="140"/>
              <w:right w:type="dxa" w:w="200"/>
            </w:tcMar>
            <w:vAlign w:val="center"/>
          </w:tcPr>
          <w:p>
            <w:pPr>
              <w:jc w:val="center"/>
            </w:pPr>
            <w:r>
              <w:rPr>
                <w:rFonts w:ascii="Arial" w:cs="Arial" w:eastAsia="Arial" w:hAnsi="Arial"/>
                <w:b/>
                <w:bCs/>
                <w:color w:val="0D5C4A"/>
                <w:sz w:val="17"/>
                <w:szCs w:val="17"/>
              </w:rPr>
              <w:t xml:space="preserve">OBSERVED</w:t>
            </w:r>
          </w:p>
        </w:tc>
        <w:tc>
          <w:tcPr>
            <w:tcW w:type="dxa" w:w="7920"/>
            <w:tcBorders>
              <w:top w:val="none" w:color="FFFFFF" w:sz="0"/>
              <w:left w:val="none" w:color="FFFFFF" w:sz="0"/>
              <w:bottom w:val="none" w:color="FFFFFF" w:sz="0"/>
              <w:right w:val="none" w:color="FFFFFF" w:sz="0"/>
            </w:tcBorders>
            <w:shd w:fill="EDF7F4" w:val="clear"/>
            <w:tcMar>
              <w:top w:type="dxa" w:w="140"/>
              <w:left w:type="dxa" w:w="220"/>
              <w:bottom w:type="dxa" w:w="140"/>
              <w:right w:type="dxa" w:w="220"/>
            </w:tcMar>
          </w:tcPr>
          <w:p>
            <w:pPr>
              <w:spacing w:line="330"/>
            </w:pPr>
            <w:r>
              <w:rPr>
                <w:rFonts w:ascii="Georgia" w:cs="Georgia" w:eastAsia="Georgia" w:hAnsi="Georgia"/>
                <w:color w:val="0A0A0F"/>
                <w:sz w:val="20"/>
                <w:szCs w:val="20"/>
              </w:rPr>
              <w:t xml:space="preserve">I downloaded the app and checked the Google Play listing. There it was: “seamlessly manage calls with AI support and instant transfers to human agents.” That’s a genuinely differentiated capability — something Retell and VAPI don’t offer natively. But the main website? Every page funnels into a “Get Started ⚡ 2 mins” button that leads to a contact form. No video. No walkthrough. No single screenshot showing what a real handoff looks like. The most interesting thing about the product is invisible.</w:t>
            </w:r>
          </w:p>
        </w:tc>
      </w:tr>
      <w:tr>
        <w:tc>
          <w:tcPr>
            <w:tcW w:type="dxa" w:w="1440"/>
            <w:tcBorders>
              <w:top w:val="single" w:color="EAE7E0" w:sz="4"/>
              <w:left w:val="none" w:color="FFFFFF" w:sz="0"/>
              <w:bottom w:val="none" w:color="FFFFFF" w:sz="0"/>
              <w:right w:val="single" w:color="EAE7E0" w:sz="4"/>
            </w:tcBorders>
            <w:shd w:fill="FDF2F2" w:val="clear"/>
            <w:tcMar>
              <w:top w:type="dxa" w:w="140"/>
              <w:left w:type="dxa" w:w="200"/>
              <w:bottom w:type="dxa" w:w="140"/>
              <w:right w:type="dxa" w:w="200"/>
            </w:tcMar>
            <w:vAlign w:val="center"/>
          </w:tcPr>
          <w:p>
            <w:pPr>
              <w:jc w:val="center"/>
            </w:pPr>
            <w:r>
              <w:rPr>
                <w:rFonts w:ascii="Arial" w:cs="Arial" w:eastAsia="Arial" w:hAnsi="Arial"/>
                <w:b/>
                <w:bCs/>
                <w:color w:val="8B1A1A"/>
                <w:sz w:val="17"/>
                <w:szCs w:val="17"/>
              </w:rPr>
              <w:t xml:space="preserve">PROBLEM</w:t>
            </w:r>
          </w:p>
        </w:tc>
        <w:tc>
          <w:tcPr>
            <w:tcW w:type="dxa" w:w="7920"/>
            <w:tcBorders>
              <w:top w:val="single" w:color="EAE7E0" w:sz="4"/>
              <w:left w:val="none" w:color="FFFFFF" w:sz="0"/>
              <w:bottom w:val="none" w:color="FFFFFF" w:sz="0"/>
              <w:right w:val="none" w:color="FFFFFF" w:sz="0"/>
            </w:tcBorders>
            <w:shd w:fill="FDF2F2" w:val="clear"/>
            <w:tcMar>
              <w:top w:type="dxa" w:w="140"/>
              <w:left w:type="dxa" w:w="220"/>
              <w:bottom w:type="dxa" w:w="140"/>
              <w:right w:type="dxa" w:w="220"/>
            </w:tcMar>
          </w:tcPr>
          <w:p>
            <w:pPr>
              <w:spacing w:line="330"/>
            </w:pPr>
            <w:r>
              <w:rPr>
                <w:rFonts w:ascii="Georgia" w:cs="Georgia" w:eastAsia="Georgia" w:hAnsi="Georgia"/>
                <w:color w:val="0A0A0F"/>
                <w:sz w:val="20"/>
                <w:szCs w:val="20"/>
              </w:rPr>
              <w:t xml:space="preserve">Trust is everything when you’re asking a business to hand over live customer calls. The gap between ‘curious’ and ‘signing up’ is usually closed by seeing the product work — not by reading about it. Right now, a visitor landing on Vocallabs.ai has no way to understand what makes it different from any other voice AI tool. They see the same generic headline that a dozen competitors use. So they leave. The homepage is selling a feature that doesn’t appear anywhere on the homepage.</w:t>
            </w:r>
          </w:p>
        </w:tc>
      </w:tr>
      <w:tr>
        <w:tc>
          <w:tcPr>
            <w:tcW w:type="dxa" w:w="1440"/>
            <w:tcBorders>
              <w:top w:val="single" w:color="EAE7E0" w:sz="4"/>
              <w:left w:val="none" w:color="FFFFFF" w:sz="0"/>
              <w:bottom w:val="none" w:color="FFFFFF" w:sz="0"/>
              <w:right w:val="single" w:color="EAE7E0" w:sz="4"/>
            </w:tcBorders>
            <w:shd w:fill="EEF3FC" w:val="clear"/>
            <w:tcMar>
              <w:top w:type="dxa" w:w="140"/>
              <w:left w:type="dxa" w:w="200"/>
              <w:bottom w:type="dxa" w:w="140"/>
              <w:right w:type="dxa" w:w="200"/>
            </w:tcMar>
            <w:vAlign w:val="center"/>
          </w:tcPr>
          <w:p>
            <w:pPr>
              <w:jc w:val="center"/>
            </w:pPr>
            <w:r>
              <w:rPr>
                <w:rFonts w:ascii="Arial" w:cs="Arial" w:eastAsia="Arial" w:hAnsi="Arial"/>
                <w:b/>
                <w:bCs/>
                <w:color w:val="1A3A6B"/>
                <w:sz w:val="17"/>
                <w:szCs w:val="17"/>
              </w:rPr>
              <w:t xml:space="preserve">SHIP INSTEAD</w:t>
            </w:r>
          </w:p>
        </w:tc>
        <w:tc>
          <w:tcPr>
            <w:tcW w:type="dxa" w:w="7920"/>
            <w:tcBorders>
              <w:top w:val="single" w:color="EAE7E0" w:sz="4"/>
              <w:left w:val="none" w:color="FFFFFF" w:sz="0"/>
              <w:bottom w:val="none" w:color="FFFFFF" w:sz="0"/>
              <w:right w:val="none" w:color="FFFFFF" w:sz="0"/>
            </w:tcBorders>
            <w:shd w:fill="EEF3FC" w:val="clear"/>
            <w:tcMar>
              <w:top w:type="dxa" w:w="140"/>
              <w:left w:type="dxa" w:w="220"/>
              <w:bottom w:type="dxa" w:w="140"/>
              <w:right w:type="dxa" w:w="220"/>
            </w:tcMar>
          </w:tcPr>
          <w:p>
            <w:pPr>
              <w:spacing w:line="330"/>
            </w:pPr>
            <w:r>
              <w:rPr>
                <w:rFonts w:ascii="Georgia" w:cs="Georgia" w:eastAsia="Georgia" w:hAnsi="Georgia"/>
                <w:color w:val="0A0A0F"/>
                <w:sz w:val="20"/>
                <w:szCs w:val="20"/>
              </w:rPr>
              <w:t xml:space="preserve">Film a 90-second screen recording of a real call: AI handles the opener → detects a moment of complexity → transfers cleanly to a human agent with full context already loaded — no awkward ‘Can I get your name again?’ That one moment, shown honestly, does more work than any headline. Embed it above the fold. No narration. No polish. Just the product speaking for itself.</w:t>
            </w:r>
          </w:p>
        </w:tc>
      </w:tr>
    </w:tbl>
    <w:p>
      <w:pPr>
        <w:spacing w:after="0" w:before="4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6840"/>
      </w:tblGrid>
      <w:tr>
        <w:tc>
          <w:tcPr>
            <w:tcW w:type="dxa" w:w="720"/>
            <w:tcBorders>
              <w:top w:val="none" w:color="FFFFFF" w:sz="0"/>
              <w:left w:val="none" w:color="FFFFFF" w:sz="0"/>
              <w:bottom w:val="none" w:color="FFFFFF" w:sz="0"/>
              <w:right w:val="none" w:color="FFFFFF" w:sz="0"/>
            </w:tcBorders>
            <w:shd w:fill="0D1117" w:val="clear"/>
            <w:tcMar>
              <w:top w:type="dxa" w:w="80"/>
              <w:left w:type="dxa" w:w="160"/>
              <w:bottom w:type="dxa" w:w="80"/>
              <w:right w:type="dxa" w:w="160"/>
            </w:tcMar>
            <w:vAlign w:val="center"/>
          </w:tcPr>
          <w:p>
            <w:pPr>
              <w:jc w:val="center"/>
            </w:pPr>
            <w:r>
              <w:rPr>
                <w:rFonts w:ascii="Arial" w:cs="Arial" w:eastAsia="Arial" w:hAnsi="Arial"/>
                <w:b/>
                <w:bCs/>
                <w:color w:val="C8A951"/>
                <w:sz w:val="26"/>
                <w:szCs w:val="26"/>
              </w:rPr>
              <w:t xml:space="preserve">02</w:t>
            </w:r>
          </w:p>
        </w:tc>
        <w:tc>
          <w:tcPr>
            <w:tcW w:type="dxa" w:w="1800"/>
            <w:tcBorders>
              <w:top w:val="none" w:color="FFFFFF" w:sz="0"/>
              <w:left w:val="none" w:color="FFFFFF" w:sz="0"/>
              <w:bottom w:val="none" w:color="FFFFFF" w:sz="0"/>
              <w:right w:val="none" w:color="FFFFFF" w:sz="0"/>
            </w:tcBorders>
            <w:shd w:fill="8B1A1A" w:val="clear"/>
            <w:tcMar>
              <w:top w:type="dxa" w:w="80"/>
              <w:left w:type="dxa" w:w="180"/>
              <w:bottom w:type="dxa" w:w="80"/>
              <w:right w:type="dxa" w:w="180"/>
            </w:tcMar>
            <w:vAlign w:val="center"/>
          </w:tcPr>
          <w:p>
            <w:pPr>
              <w:jc w:val="center"/>
            </w:pPr>
            <w:r>
              <w:rPr>
                <w:rFonts w:ascii="Arial" w:cs="Arial" w:eastAsia="Arial" w:hAnsi="Arial"/>
                <w:b/>
                <w:bCs/>
                <w:color w:val="FFF0F0"/>
                <w:sz w:val="17"/>
                <w:szCs w:val="17"/>
              </w:rPr>
              <w:t xml:space="preserve">FEATURES</w:t>
            </w:r>
          </w:p>
        </w:tc>
        <w:tc>
          <w:tcPr>
            <w:tcW w:type="dxa" w:w="6840"/>
            <w:tcBorders>
              <w:top w:val="none" w:color="FFFFFF" w:sz="0"/>
              <w:left w:val="none" w:color="FFFFFF" w:sz="0"/>
              <w:bottom w:val="none" w:color="FFFFFF" w:sz="0"/>
              <w:right w:val="none" w:color="FFFFFF" w:sz="0"/>
            </w:tcBorders>
            <w:shd w:fill="EAE7E0" w:val="clear"/>
            <w:tcMar>
              <w:top w:type="dxa" w:w="80"/>
              <w:left w:type="dxa" w:w="220"/>
              <w:bottom w:type="dxa" w:w="80"/>
              <w:right w:type="dxa" w:w="120"/>
            </w:tcMar>
            <w:vAlign w:val="center"/>
          </w:tcPr>
          <w:p>
            <w:r>
              <w:rPr>
                <w:rFonts w:ascii="Georgia" w:cs="Georgia" w:eastAsia="Georgia" w:hAnsi="Georgia"/>
                <w:i/>
                <w:iCs/>
                <w:color w:val="4A5568"/>
                <w:sz w:val="18"/>
                <w:szCs w:val="18"/>
              </w:rPr>
              <w:t xml:space="preserve">Emotion analytics: listed as a core feature, undocumented everywhere</w:t>
            </w:r>
          </w:p>
        </w:tc>
      </w:tr>
    </w:tbl>
    <w:p>
      <w:pPr>
        <w:spacing w:after="0" w:before="100"/>
      </w:pPr>
      <w:r>
        <w:t xml:space="preserve"/>
      </w:r>
    </w:p>
    <w:p>
      <w:pPr>
        <w:spacing w:after="100" w:before="0" w:line="360"/>
      </w:pPr>
      <w:r>
        <w:rPr>
          <w:rFonts w:ascii="Georgia" w:cs="Georgia" w:eastAsia="Georgia" w:hAnsi="Georgia"/>
          <w:b/>
          <w:bCs/>
          <w:color w:val="0A0A0F"/>
          <w:sz w:val="36"/>
          <w:szCs w:val="36"/>
        </w:rPr>
        <w:t xml:space="preserve">They’re claiming a moat they haven’t shown yet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single" w:color="EAE7E0" w:sz="4"/>
            </w:tcBorders>
            <w:shd w:fill="EDF7F4" w:val="clear"/>
            <w:tcMar>
              <w:top w:type="dxa" w:w="140"/>
              <w:left w:type="dxa" w:w="200"/>
              <w:bottom w:type="dxa" w:w="140"/>
              <w:right w:type="dxa" w:w="200"/>
            </w:tcMar>
            <w:vAlign w:val="center"/>
          </w:tcPr>
          <w:p>
            <w:pPr>
              <w:jc w:val="center"/>
            </w:pPr>
            <w:r>
              <w:rPr>
                <w:rFonts w:ascii="Arial" w:cs="Arial" w:eastAsia="Arial" w:hAnsi="Arial"/>
                <w:b/>
                <w:bCs/>
                <w:color w:val="0D5C4A"/>
                <w:sz w:val="17"/>
                <w:szCs w:val="17"/>
              </w:rPr>
              <w:t xml:space="preserve">OBSERVED</w:t>
            </w:r>
          </w:p>
        </w:tc>
        <w:tc>
          <w:tcPr>
            <w:tcW w:type="dxa" w:w="7920"/>
            <w:tcBorders>
              <w:top w:val="none" w:color="FFFFFF" w:sz="0"/>
              <w:left w:val="none" w:color="FFFFFF" w:sz="0"/>
              <w:bottom w:val="none" w:color="FFFFFF" w:sz="0"/>
              <w:right w:val="none" w:color="FFFFFF" w:sz="0"/>
            </w:tcBorders>
            <w:shd w:fill="EDF7F4" w:val="clear"/>
            <w:tcMar>
              <w:top w:type="dxa" w:w="140"/>
              <w:left w:type="dxa" w:w="220"/>
              <w:bottom w:type="dxa" w:w="140"/>
              <w:right w:type="dxa" w:w="220"/>
            </w:tcMar>
          </w:tcPr>
          <w:p>
            <w:pPr>
              <w:spacing w:line="330"/>
            </w:pPr>
            <w:r>
              <w:rPr>
                <w:rFonts w:ascii="Georgia" w:cs="Georgia" w:eastAsia="Georgia" w:hAnsi="Georgia"/>
                <w:color w:val="0A0A0F"/>
                <w:sz w:val="20"/>
                <w:szCs w:val="20"/>
              </w:rPr>
              <w:t xml:space="preserve">The brief describes “voice analytics: emotion, intent and tone beyond transcription” as a moat. I went looking for it — checked docs.vocallabs.ai, every blog post across 14 pages, the main website, and archived coverage. Nothing: no dashboard screenshot, no sample output, no documentation. Interestingly, Medium articles from mid-2025 describe Vocallabs as a ‘voice intelligence platform’ with emotion tracking. That language has quietly disappeared from the current positioning.</w:t>
            </w:r>
          </w:p>
        </w:tc>
      </w:tr>
      <w:tr>
        <w:tc>
          <w:tcPr>
            <w:tcW w:type="dxa" w:w="1440"/>
            <w:tcBorders>
              <w:top w:val="single" w:color="EAE7E0" w:sz="4"/>
              <w:left w:val="none" w:color="FFFFFF" w:sz="0"/>
              <w:bottom w:val="none" w:color="FFFFFF" w:sz="0"/>
              <w:right w:val="single" w:color="EAE7E0" w:sz="4"/>
            </w:tcBorders>
            <w:shd w:fill="FDF2F2" w:val="clear"/>
            <w:tcMar>
              <w:top w:type="dxa" w:w="140"/>
              <w:left w:type="dxa" w:w="200"/>
              <w:bottom w:type="dxa" w:w="140"/>
              <w:right w:type="dxa" w:w="200"/>
            </w:tcMar>
            <w:vAlign w:val="center"/>
          </w:tcPr>
          <w:p>
            <w:pPr>
              <w:jc w:val="center"/>
            </w:pPr>
            <w:r>
              <w:rPr>
                <w:rFonts w:ascii="Arial" w:cs="Arial" w:eastAsia="Arial" w:hAnsi="Arial"/>
                <w:b/>
                <w:bCs/>
                <w:color w:val="8B1A1A"/>
                <w:sz w:val="17"/>
                <w:szCs w:val="17"/>
              </w:rPr>
              <w:t xml:space="preserve">PROBLEM</w:t>
            </w:r>
          </w:p>
        </w:tc>
        <w:tc>
          <w:tcPr>
            <w:tcW w:type="dxa" w:w="7920"/>
            <w:tcBorders>
              <w:top w:val="single" w:color="EAE7E0" w:sz="4"/>
              <w:left w:val="none" w:color="FFFFFF" w:sz="0"/>
              <w:bottom w:val="none" w:color="FFFFFF" w:sz="0"/>
              <w:right w:val="none" w:color="FFFFFF" w:sz="0"/>
            </w:tcBorders>
            <w:shd w:fill="FDF2F2" w:val="clear"/>
            <w:tcMar>
              <w:top w:type="dxa" w:w="140"/>
              <w:left w:type="dxa" w:w="220"/>
              <w:bottom w:type="dxa" w:w="140"/>
              <w:right w:type="dxa" w:w="220"/>
            </w:tcMar>
          </w:tcPr>
          <w:p>
            <w:pPr>
              <w:spacing w:line="330"/>
            </w:pPr>
            <w:r>
              <w:rPr>
                <w:rFonts w:ascii="Georgia" w:cs="Georgia" w:eastAsia="Georgia" w:hAnsi="Georgia"/>
                <w:color w:val="0A0A0F"/>
                <w:sz w:val="20"/>
                <w:szCs w:val="20"/>
              </w:rPr>
              <w:t xml:space="preserve">This is actually their most valuable potential feature. Gong and Chorus charge enterprise rates specifically for conversation intelligence — the ability to spot escalation patterns, search calls by emotion, understand why deals fall apart. If Vocallabs has this and doesn’t show it, buyers assume it doesn’t exist. If it’s partially built, the gap between what’s claimed and what’s documented creates an uncomfortable moment the first time a prospect asks to see it on a demo call.</w:t>
            </w:r>
          </w:p>
        </w:tc>
      </w:tr>
      <w:tr>
        <w:tc>
          <w:tcPr>
            <w:tcW w:type="dxa" w:w="1440"/>
            <w:tcBorders>
              <w:top w:val="single" w:color="EAE7E0" w:sz="4"/>
              <w:left w:val="none" w:color="FFFFFF" w:sz="0"/>
              <w:bottom w:val="none" w:color="FFFFFF" w:sz="0"/>
              <w:right w:val="single" w:color="EAE7E0" w:sz="4"/>
            </w:tcBorders>
            <w:shd w:fill="EEF3FC" w:val="clear"/>
            <w:tcMar>
              <w:top w:type="dxa" w:w="140"/>
              <w:left w:type="dxa" w:w="200"/>
              <w:bottom w:type="dxa" w:w="140"/>
              <w:right w:type="dxa" w:w="200"/>
            </w:tcMar>
            <w:vAlign w:val="center"/>
          </w:tcPr>
          <w:p>
            <w:pPr>
              <w:jc w:val="center"/>
            </w:pPr>
            <w:r>
              <w:rPr>
                <w:rFonts w:ascii="Arial" w:cs="Arial" w:eastAsia="Arial" w:hAnsi="Arial"/>
                <w:b/>
                <w:bCs/>
                <w:color w:val="1A3A6B"/>
                <w:sz w:val="17"/>
                <w:szCs w:val="17"/>
              </w:rPr>
              <w:t xml:space="preserve">SHIP INSTEAD</w:t>
            </w:r>
          </w:p>
        </w:tc>
        <w:tc>
          <w:tcPr>
            <w:tcW w:type="dxa" w:w="7920"/>
            <w:tcBorders>
              <w:top w:val="single" w:color="EAE7E0" w:sz="4"/>
              <w:left w:val="none" w:color="FFFFFF" w:sz="0"/>
              <w:bottom w:val="none" w:color="FFFFFF" w:sz="0"/>
              <w:right w:val="none" w:color="FFFFFF" w:sz="0"/>
            </w:tcBorders>
            <w:shd w:fill="EEF3FC" w:val="clear"/>
            <w:tcMar>
              <w:top w:type="dxa" w:w="140"/>
              <w:left w:type="dxa" w:w="220"/>
              <w:bottom w:type="dxa" w:w="140"/>
              <w:right w:type="dxa" w:w="220"/>
            </w:tcMar>
          </w:tcPr>
          <w:p>
            <w:pPr>
              <w:spacing w:line="330"/>
            </w:pPr>
            <w:r>
              <w:rPr>
                <w:rFonts w:ascii="Georgia" w:cs="Georgia" w:eastAsia="Georgia" w:hAnsi="Georgia"/>
                <w:color w:val="0A0A0F"/>
                <w:sz w:val="20"/>
                <w:szCs w:val="20"/>
              </w:rPr>
              <w:t xml:space="preserve">Publish one sample post-call analytics report — anonymised, but real. Show the emotion curve across a sales call that went sideways. Show the moment tone shifted from warm to clipped, and how the system flagged it. Even a single static image does this. If it’s still being built, ship a ‘Conversation Insights — Coming Soon’ doc page with an honest roadmap. Buyers respect transparency. What they don’t forgive is discovering a feature wasn’t ready after signing.</w:t>
            </w:r>
          </w:p>
        </w:tc>
      </w:tr>
    </w:tbl>
    <w:p>
      <w:pPr>
        <w:spacing w:after="0" w:before="4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6840"/>
      </w:tblGrid>
      <w:tr>
        <w:tc>
          <w:tcPr>
            <w:tcW w:type="dxa" w:w="720"/>
            <w:tcBorders>
              <w:top w:val="none" w:color="FFFFFF" w:sz="0"/>
              <w:left w:val="none" w:color="FFFFFF" w:sz="0"/>
              <w:bottom w:val="none" w:color="FFFFFF" w:sz="0"/>
              <w:right w:val="none" w:color="FFFFFF" w:sz="0"/>
            </w:tcBorders>
            <w:shd w:fill="0D1117" w:val="clear"/>
            <w:tcMar>
              <w:top w:type="dxa" w:w="80"/>
              <w:left w:type="dxa" w:w="160"/>
              <w:bottom w:type="dxa" w:w="80"/>
              <w:right w:type="dxa" w:w="160"/>
            </w:tcMar>
            <w:vAlign w:val="center"/>
          </w:tcPr>
          <w:p>
            <w:pPr>
              <w:jc w:val="center"/>
            </w:pPr>
            <w:r>
              <w:rPr>
                <w:rFonts w:ascii="Arial" w:cs="Arial" w:eastAsia="Arial" w:hAnsi="Arial"/>
                <w:b/>
                <w:bCs/>
                <w:color w:val="C8A951"/>
                <w:sz w:val="26"/>
                <w:szCs w:val="26"/>
              </w:rPr>
              <w:t xml:space="preserve">03</w:t>
            </w:r>
          </w:p>
        </w:tc>
        <w:tc>
          <w:tcPr>
            <w:tcW w:type="dxa" w:w="1800"/>
            <w:tcBorders>
              <w:top w:val="none" w:color="FFFFFF" w:sz="0"/>
              <w:left w:val="none" w:color="FFFFFF" w:sz="0"/>
              <w:bottom w:val="none" w:color="FFFFFF" w:sz="0"/>
              <w:right w:val="none" w:color="FFFFFF" w:sz="0"/>
            </w:tcBorders>
            <w:shd w:fill="0D5C4A" w:val="clear"/>
            <w:tcMar>
              <w:top w:type="dxa" w:w="80"/>
              <w:left w:type="dxa" w:w="180"/>
              <w:bottom w:type="dxa" w:w="80"/>
              <w:right w:type="dxa" w:w="180"/>
            </w:tcMar>
            <w:vAlign w:val="center"/>
          </w:tcPr>
          <w:p>
            <w:pPr>
              <w:jc w:val="center"/>
            </w:pPr>
            <w:r>
              <w:rPr>
                <w:rFonts w:ascii="Arial" w:cs="Arial" w:eastAsia="Arial" w:hAnsi="Arial"/>
                <w:b/>
                <w:bCs/>
                <w:color w:val="EDF7F4"/>
                <w:sz w:val="17"/>
                <w:szCs w:val="17"/>
              </w:rPr>
              <w:t xml:space="preserve">GTM &amp; ICPS</w:t>
            </w:r>
          </w:p>
        </w:tc>
        <w:tc>
          <w:tcPr>
            <w:tcW w:type="dxa" w:w="6840"/>
            <w:tcBorders>
              <w:top w:val="none" w:color="FFFFFF" w:sz="0"/>
              <w:left w:val="none" w:color="FFFFFF" w:sz="0"/>
              <w:bottom w:val="none" w:color="FFFFFF" w:sz="0"/>
              <w:right w:val="none" w:color="FFFFFF" w:sz="0"/>
            </w:tcBorders>
            <w:shd w:fill="EAE7E0" w:val="clear"/>
            <w:tcMar>
              <w:top w:type="dxa" w:w="80"/>
              <w:left w:type="dxa" w:w="220"/>
              <w:bottom w:type="dxa" w:w="80"/>
              <w:right w:type="dxa" w:w="120"/>
            </w:tcMar>
            <w:vAlign w:val="center"/>
          </w:tcPr>
          <w:p>
            <w:r>
              <w:rPr>
                <w:rFonts w:ascii="Georgia" w:cs="Georgia" w:eastAsia="Georgia" w:hAnsi="Georgia"/>
                <w:i/>
                <w:iCs/>
                <w:color w:val="4A5568"/>
                <w:sz w:val="18"/>
                <w:szCs w:val="18"/>
              </w:rPr>
              <w:t xml:space="preserve">Bolna names languages. Caller Digital leads with compliance. Vocallabs does neither.</w:t>
            </w:r>
          </w:p>
        </w:tc>
      </w:tr>
    </w:tbl>
    <w:p>
      <w:pPr>
        <w:spacing w:after="0" w:before="100"/>
      </w:pPr>
      <w:r>
        <w:t xml:space="preserve"/>
      </w:r>
    </w:p>
    <w:p>
      <w:pPr>
        <w:spacing w:after="100" w:before="0" w:line="360"/>
      </w:pPr>
      <w:r>
        <w:rPr>
          <w:rFonts w:ascii="Georgia" w:cs="Georgia" w:eastAsia="Georgia" w:hAnsi="Georgia"/>
          <w:b/>
          <w:bCs/>
          <w:color w:val="0A0A0F"/>
          <w:sz w:val="36"/>
          <w:szCs w:val="36"/>
        </w:rPr>
        <w:t xml:space="preserve">India-first is the pitch. The product speaks global English.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single" w:color="EAE7E0" w:sz="4"/>
            </w:tcBorders>
            <w:shd w:fill="EDF7F4" w:val="clear"/>
            <w:tcMar>
              <w:top w:type="dxa" w:w="140"/>
              <w:left w:type="dxa" w:w="200"/>
              <w:bottom w:type="dxa" w:w="140"/>
              <w:right w:type="dxa" w:w="200"/>
            </w:tcMar>
            <w:vAlign w:val="center"/>
          </w:tcPr>
          <w:p>
            <w:pPr>
              <w:jc w:val="center"/>
            </w:pPr>
            <w:r>
              <w:rPr>
                <w:rFonts w:ascii="Arial" w:cs="Arial" w:eastAsia="Arial" w:hAnsi="Arial"/>
                <w:b/>
                <w:bCs/>
                <w:color w:val="0D5C4A"/>
                <w:sz w:val="17"/>
                <w:szCs w:val="17"/>
              </w:rPr>
              <w:t xml:space="preserve">OBSERVED</w:t>
            </w:r>
          </w:p>
        </w:tc>
        <w:tc>
          <w:tcPr>
            <w:tcW w:type="dxa" w:w="7920"/>
            <w:tcBorders>
              <w:top w:val="none" w:color="FFFFFF" w:sz="0"/>
              <w:left w:val="none" w:color="FFFFFF" w:sz="0"/>
              <w:bottom w:val="none" w:color="FFFFFF" w:sz="0"/>
              <w:right w:val="none" w:color="FFFFFF" w:sz="0"/>
            </w:tcBorders>
            <w:shd w:fill="EDF7F4" w:val="clear"/>
            <w:tcMar>
              <w:top w:type="dxa" w:w="140"/>
              <w:left w:type="dxa" w:w="220"/>
              <w:bottom w:type="dxa" w:w="140"/>
              <w:right w:type="dxa" w:w="220"/>
            </w:tcMar>
          </w:tcPr>
          <w:p>
            <w:pPr>
              <w:spacing w:line="330"/>
            </w:pPr>
            <w:r>
              <w:rPr>
                <w:rFonts w:ascii="Georgia" w:cs="Georgia" w:eastAsia="Georgia" w:hAnsi="Georgia"/>
                <w:color w:val="0A0A0F"/>
                <w:sz w:val="20"/>
                <w:szCs w:val="20"/>
              </w:rPr>
              <w:t xml:space="preserve">Vocallabs is positioned as “India-first: tuned for local languages, accents and workflows.” I opened the website looking for what that means in practice. No language selector. No Hinglish. No TRAI or DPDP reference. No INR pricing. No mention of Exotel, Knowlarity, or Ozonetel. The headline copy — “Transform your business with intelligent AI voice agents” — is word-for-word interchangeable with a US SaaS homepage. Bolna lists Hindi, Tamil, Telugu, Kannada, prices in ₹5.52/min, and integrates Sarvam.ai publicly. Caller Digital leads with “TRAI + DPDP + RBI compliant.” Vocallabs does none of this.</w:t>
            </w:r>
          </w:p>
        </w:tc>
      </w:tr>
      <w:tr>
        <w:tc>
          <w:tcPr>
            <w:tcW w:type="dxa" w:w="1440"/>
            <w:tcBorders>
              <w:top w:val="single" w:color="EAE7E0" w:sz="4"/>
              <w:left w:val="none" w:color="FFFFFF" w:sz="0"/>
              <w:bottom w:val="none" w:color="FFFFFF" w:sz="0"/>
              <w:right w:val="single" w:color="EAE7E0" w:sz="4"/>
            </w:tcBorders>
            <w:shd w:fill="FDF2F2" w:val="clear"/>
            <w:tcMar>
              <w:top w:type="dxa" w:w="140"/>
              <w:left w:type="dxa" w:w="200"/>
              <w:bottom w:type="dxa" w:w="140"/>
              <w:right w:type="dxa" w:w="200"/>
            </w:tcMar>
            <w:vAlign w:val="center"/>
          </w:tcPr>
          <w:p>
            <w:pPr>
              <w:jc w:val="center"/>
            </w:pPr>
            <w:r>
              <w:rPr>
                <w:rFonts w:ascii="Arial" w:cs="Arial" w:eastAsia="Arial" w:hAnsi="Arial"/>
                <w:b/>
                <w:bCs/>
                <w:color w:val="8B1A1A"/>
                <w:sz w:val="17"/>
                <w:szCs w:val="17"/>
              </w:rPr>
              <w:t xml:space="preserve">PROBLEM</w:t>
            </w:r>
          </w:p>
        </w:tc>
        <w:tc>
          <w:tcPr>
            <w:tcW w:type="dxa" w:w="7920"/>
            <w:tcBorders>
              <w:top w:val="single" w:color="EAE7E0" w:sz="4"/>
              <w:left w:val="none" w:color="FFFFFF" w:sz="0"/>
              <w:bottom w:val="none" w:color="FFFFFF" w:sz="0"/>
              <w:right w:val="none" w:color="FFFFFF" w:sz="0"/>
            </w:tcBorders>
            <w:shd w:fill="FDF2F2" w:val="clear"/>
            <w:tcMar>
              <w:top w:type="dxa" w:w="140"/>
              <w:left w:type="dxa" w:w="220"/>
              <w:bottom w:type="dxa" w:w="140"/>
              <w:right w:type="dxa" w:w="220"/>
            </w:tcMar>
          </w:tcPr>
          <w:p>
            <w:pPr>
              <w:spacing w:line="330"/>
            </w:pPr>
            <w:r>
              <w:rPr>
                <w:rFonts w:ascii="Georgia" w:cs="Georgia" w:eastAsia="Georgia" w:hAnsi="Georgia"/>
                <w:color w:val="0A0A0F"/>
                <w:sz w:val="20"/>
                <w:szCs w:val="20"/>
              </w:rPr>
              <w:t xml:space="preserve">India’s highest-value voice AI buyers — BFSI, edtech, D2C logistics — are shortlisting vendors right now, and their question is simple: does this vendor actually get how India works? Bolna passes that test on the homepage. Caller Digital does too. Vocallabs has the genuine founder understanding and the India-tuned product — but that lives in the pitch deck, not the website. A buyer who lands on the page has no way to see it.</w:t>
            </w:r>
          </w:p>
        </w:tc>
      </w:tr>
      <w:tr>
        <w:tc>
          <w:tcPr>
            <w:tcW w:type="dxa" w:w="1440"/>
            <w:tcBorders>
              <w:top w:val="single" w:color="EAE7E0" w:sz="4"/>
              <w:left w:val="none" w:color="FFFFFF" w:sz="0"/>
              <w:bottom w:val="none" w:color="FFFFFF" w:sz="0"/>
              <w:right w:val="single" w:color="EAE7E0" w:sz="4"/>
            </w:tcBorders>
            <w:shd w:fill="EEF3FC" w:val="clear"/>
            <w:tcMar>
              <w:top w:type="dxa" w:w="140"/>
              <w:left w:type="dxa" w:w="200"/>
              <w:bottom w:type="dxa" w:w="140"/>
              <w:right w:type="dxa" w:w="200"/>
            </w:tcMar>
            <w:vAlign w:val="center"/>
          </w:tcPr>
          <w:p>
            <w:pPr>
              <w:jc w:val="center"/>
            </w:pPr>
            <w:r>
              <w:rPr>
                <w:rFonts w:ascii="Arial" w:cs="Arial" w:eastAsia="Arial" w:hAnsi="Arial"/>
                <w:b/>
                <w:bCs/>
                <w:color w:val="1A3A6B"/>
                <w:sz w:val="17"/>
                <w:szCs w:val="17"/>
              </w:rPr>
              <w:t xml:space="preserve">SHIP INSTEAD</w:t>
            </w:r>
          </w:p>
        </w:tc>
        <w:tc>
          <w:tcPr>
            <w:tcW w:type="dxa" w:w="7920"/>
            <w:tcBorders>
              <w:top w:val="single" w:color="EAE7E0" w:sz="4"/>
              <w:left w:val="none" w:color="FFFFFF" w:sz="0"/>
              <w:bottom w:val="none" w:color="FFFFFF" w:sz="0"/>
              <w:right w:val="none" w:color="FFFFFF" w:sz="0"/>
            </w:tcBorders>
            <w:shd w:fill="EEF3FC" w:val="clear"/>
            <w:tcMar>
              <w:top w:type="dxa" w:w="140"/>
              <w:left w:type="dxa" w:w="220"/>
              <w:bottom w:type="dxa" w:w="140"/>
              <w:right w:type="dxa" w:w="220"/>
            </w:tcMar>
          </w:tcPr>
          <w:p>
            <w:pPr>
              <w:spacing w:line="330"/>
            </w:pPr>
            <w:r>
              <w:rPr>
                <w:rFonts w:ascii="Georgia" w:cs="Georgia" w:eastAsia="Georgia" w:hAnsi="Georgia"/>
                <w:color w:val="0A0A0F"/>
                <w:sz w:val="20"/>
                <w:szCs w:val="20"/>
              </w:rPr>
              <w:t xml:space="preserve">This is a week of content work, not a product rebuild. Add one homepage section: ‘Built for how India speaks.’ List the specific languages. Name the telephony integrations. One sentence on TRAI and DPDP. Then create one vertical ICP page for D2C brands doing COD verification — a massive, measurable use case with a clear ROI story. Give it a headline, a Hinglish sample script, and a ‘go live in 48 hours’ promise. That one page will convert better than the entire current website.</w:t>
            </w:r>
          </w:p>
        </w:tc>
      </w:tr>
    </w:tbl>
    <w:p>
      <w:pPr>
        <w:spacing w:after="0" w:before="4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6840"/>
      </w:tblGrid>
      <w:tr>
        <w:tc>
          <w:tcPr>
            <w:tcW w:type="dxa" w:w="720"/>
            <w:tcBorders>
              <w:top w:val="none" w:color="FFFFFF" w:sz="0"/>
              <w:left w:val="none" w:color="FFFFFF" w:sz="0"/>
              <w:bottom w:val="none" w:color="FFFFFF" w:sz="0"/>
              <w:right w:val="none" w:color="FFFFFF" w:sz="0"/>
            </w:tcBorders>
            <w:shd w:fill="0D1117" w:val="clear"/>
            <w:tcMar>
              <w:top w:type="dxa" w:w="80"/>
              <w:left w:type="dxa" w:w="160"/>
              <w:bottom w:type="dxa" w:w="80"/>
              <w:right w:type="dxa" w:w="160"/>
            </w:tcMar>
            <w:vAlign w:val="center"/>
          </w:tcPr>
          <w:p>
            <w:pPr>
              <w:jc w:val="center"/>
            </w:pPr>
            <w:r>
              <w:rPr>
                <w:rFonts w:ascii="Arial" w:cs="Arial" w:eastAsia="Arial" w:hAnsi="Arial"/>
                <w:b/>
                <w:bCs/>
                <w:color w:val="C8A951"/>
                <w:sz w:val="26"/>
                <w:szCs w:val="26"/>
              </w:rPr>
              <w:t xml:space="preserve">04</w:t>
            </w:r>
          </w:p>
        </w:tc>
        <w:tc>
          <w:tcPr>
            <w:tcW w:type="dxa" w:w="1800"/>
            <w:tcBorders>
              <w:top w:val="none" w:color="FFFFFF" w:sz="0"/>
              <w:left w:val="none" w:color="FFFFFF" w:sz="0"/>
              <w:bottom w:val="none" w:color="FFFFFF" w:sz="0"/>
              <w:right w:val="none" w:color="FFFFFF" w:sz="0"/>
            </w:tcBorders>
            <w:shd w:fill="2C3E50" w:val="clear"/>
            <w:tcMar>
              <w:top w:type="dxa" w:w="80"/>
              <w:left w:type="dxa" w:w="180"/>
              <w:bottom w:type="dxa" w:w="80"/>
              <w:right w:type="dxa" w:w="180"/>
            </w:tcMar>
            <w:vAlign w:val="center"/>
          </w:tcPr>
          <w:p>
            <w:pPr>
              <w:jc w:val="center"/>
            </w:pPr>
            <w:r>
              <w:rPr>
                <w:rFonts w:ascii="Arial" w:cs="Arial" w:eastAsia="Arial" w:hAnsi="Arial"/>
                <w:b/>
                <w:bCs/>
                <w:color w:val="D5E8F0"/>
                <w:sz w:val="17"/>
                <w:szCs w:val="17"/>
              </w:rPr>
              <w:t xml:space="preserve">COMPETITORS</w:t>
            </w:r>
          </w:p>
        </w:tc>
        <w:tc>
          <w:tcPr>
            <w:tcW w:type="dxa" w:w="6840"/>
            <w:tcBorders>
              <w:top w:val="none" w:color="FFFFFF" w:sz="0"/>
              <w:left w:val="none" w:color="FFFFFF" w:sz="0"/>
              <w:bottom w:val="none" w:color="FFFFFF" w:sz="0"/>
              <w:right w:val="none" w:color="FFFFFF" w:sz="0"/>
            </w:tcBorders>
            <w:shd w:fill="EAE7E0" w:val="clear"/>
            <w:tcMar>
              <w:top w:type="dxa" w:w="80"/>
              <w:left w:type="dxa" w:w="220"/>
              <w:bottom w:type="dxa" w:w="80"/>
              <w:right w:type="dxa" w:w="120"/>
            </w:tcMar>
            <w:vAlign w:val="center"/>
          </w:tcPr>
          <w:p>
            <w:r>
              <w:rPr>
                <w:rFonts w:ascii="Georgia" w:cs="Georgia" w:eastAsia="Georgia" w:hAnsi="Georgia"/>
                <w:i/>
                <w:iCs/>
                <w:color w:val="4A5568"/>
                <w:sz w:val="18"/>
                <w:szCs w:val="18"/>
              </w:rPr>
              <w:t xml:space="preserve">A flywheel that isn’t spinning isn’t a moat — it’s an aspiration.</w:t>
            </w:r>
          </w:p>
        </w:tc>
      </w:tr>
    </w:tbl>
    <w:p>
      <w:pPr>
        <w:spacing w:after="0" w:before="100"/>
      </w:pPr>
      <w:r>
        <w:t xml:space="preserve"/>
      </w:r>
    </w:p>
    <w:p>
      <w:pPr>
        <w:spacing w:after="100" w:before="0" w:line="360"/>
      </w:pPr>
      <w:r>
        <w:rPr>
          <w:rFonts w:ascii="Georgia" w:cs="Georgia" w:eastAsia="Georgia" w:hAnsi="Georgia"/>
          <w:b/>
          <w:bCs/>
          <w:color w:val="0A0A0F"/>
          <w:sz w:val="36"/>
          <w:szCs w:val="36"/>
        </w:rPr>
        <w:t xml:space="preserve">The data flywheel is the stated moat. It has no fuel yet.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single" w:color="EAE7E0" w:sz="4"/>
            </w:tcBorders>
            <w:shd w:fill="EDF7F4" w:val="clear"/>
            <w:tcMar>
              <w:top w:type="dxa" w:w="140"/>
              <w:left w:type="dxa" w:w="200"/>
              <w:bottom w:type="dxa" w:w="140"/>
              <w:right w:type="dxa" w:w="200"/>
            </w:tcMar>
            <w:vAlign w:val="center"/>
          </w:tcPr>
          <w:p>
            <w:pPr>
              <w:jc w:val="center"/>
            </w:pPr>
            <w:r>
              <w:rPr>
                <w:rFonts w:ascii="Arial" w:cs="Arial" w:eastAsia="Arial" w:hAnsi="Arial"/>
                <w:b/>
                <w:bCs/>
                <w:color w:val="0D5C4A"/>
                <w:sz w:val="17"/>
                <w:szCs w:val="17"/>
              </w:rPr>
              <w:t xml:space="preserve">OBSERVED</w:t>
            </w:r>
          </w:p>
        </w:tc>
        <w:tc>
          <w:tcPr>
            <w:tcW w:type="dxa" w:w="7920"/>
            <w:tcBorders>
              <w:top w:val="none" w:color="FFFFFF" w:sz="0"/>
              <w:left w:val="none" w:color="FFFFFF" w:sz="0"/>
              <w:bottom w:val="none" w:color="FFFFFF" w:sz="0"/>
              <w:right w:val="none" w:color="FFFFFF" w:sz="0"/>
            </w:tcBorders>
            <w:shd w:fill="EDF7F4" w:val="clear"/>
            <w:tcMar>
              <w:top w:type="dxa" w:w="140"/>
              <w:left w:type="dxa" w:w="220"/>
              <w:bottom w:type="dxa" w:w="140"/>
              <w:right w:type="dxa" w:w="220"/>
            </w:tcMar>
          </w:tcPr>
          <w:p>
            <w:pPr>
              <w:spacing w:line="330"/>
            </w:pPr>
            <w:r>
              <w:rPr>
                <w:rFonts w:ascii="Georgia" w:cs="Georgia" w:eastAsia="Georgia" w:hAnsi="Georgia"/>
                <w:color w:val="0A0A0F"/>
                <w:sz w:val="20"/>
                <w:szCs w:val="20"/>
              </w:rPr>
              <w:t xml:space="preserve">The brief lists “data flywheel: proprietary conversation intelligence at scale” as a core moat. I looked for the scale needed to make that real: no public customer count, no call volume numbers, no case studies, no named clients. The entire acquisition funnel runs through a sales-gated demo form — the slowest possible way to generate data volume. Meanwhile, SquadStack processes over a million calls a day. Sierra launched an Agent Data Platform for persistent memory. Bolna — YC-backed, $6.3M raised — is accumulating Indic conversation data at speed through developer adoption.</w:t>
            </w:r>
          </w:p>
        </w:tc>
      </w:tr>
      <w:tr>
        <w:tc>
          <w:tcPr>
            <w:tcW w:type="dxa" w:w="1440"/>
            <w:tcBorders>
              <w:top w:val="single" w:color="EAE7E0" w:sz="4"/>
              <w:left w:val="none" w:color="FFFFFF" w:sz="0"/>
              <w:bottom w:val="none" w:color="FFFFFF" w:sz="0"/>
              <w:right w:val="single" w:color="EAE7E0" w:sz="4"/>
            </w:tcBorders>
            <w:shd w:fill="FDF2F2" w:val="clear"/>
            <w:tcMar>
              <w:top w:type="dxa" w:w="140"/>
              <w:left w:type="dxa" w:w="200"/>
              <w:bottom w:type="dxa" w:w="140"/>
              <w:right w:type="dxa" w:w="200"/>
            </w:tcMar>
            <w:vAlign w:val="center"/>
          </w:tcPr>
          <w:p>
            <w:pPr>
              <w:jc w:val="center"/>
            </w:pPr>
            <w:r>
              <w:rPr>
                <w:rFonts w:ascii="Arial" w:cs="Arial" w:eastAsia="Arial" w:hAnsi="Arial"/>
                <w:b/>
                <w:bCs/>
                <w:color w:val="8B1A1A"/>
                <w:sz w:val="17"/>
                <w:szCs w:val="17"/>
              </w:rPr>
              <w:t xml:space="preserve">PROBLEM</w:t>
            </w:r>
          </w:p>
        </w:tc>
        <w:tc>
          <w:tcPr>
            <w:tcW w:type="dxa" w:w="7920"/>
            <w:tcBorders>
              <w:top w:val="single" w:color="EAE7E0" w:sz="4"/>
              <w:left w:val="none" w:color="FFFFFF" w:sz="0"/>
              <w:bottom w:val="none" w:color="FFFFFF" w:sz="0"/>
              <w:right w:val="none" w:color="FFFFFF" w:sz="0"/>
            </w:tcBorders>
            <w:shd w:fill="FDF2F2" w:val="clear"/>
            <w:tcMar>
              <w:top w:type="dxa" w:w="140"/>
              <w:left w:type="dxa" w:w="220"/>
              <w:bottom w:type="dxa" w:w="140"/>
              <w:right w:type="dxa" w:w="220"/>
            </w:tcMar>
          </w:tcPr>
          <w:p>
            <w:pPr>
              <w:spacing w:line="330"/>
            </w:pPr>
            <w:r>
              <w:rPr>
                <w:rFonts w:ascii="Georgia" w:cs="Georgia" w:eastAsia="Georgia" w:hAnsi="Georgia"/>
                <w:color w:val="0A0A0F"/>
                <w:sz w:val="20"/>
                <w:szCs w:val="20"/>
              </w:rPr>
              <w:t xml:space="preserve">A data flywheel only becomes a moat when it’s spinning fast enough that competitors can’t close the gap. Tesla’s self-driving advantage isn’t the algorithm — it’s the miles. Netflix’s recommendation edge isn’t the model — it’s the watch history. At current scale, Vocallabs’ flywheel claim is a future state, not a present reality. The risk: Bolna and Caller Digital are already months ahead in Indian-language conversation data, which is exactly the proprietary input Vocallabs needs to make the moat real.</w:t>
            </w:r>
          </w:p>
        </w:tc>
      </w:tr>
      <w:tr>
        <w:tc>
          <w:tcPr>
            <w:tcW w:type="dxa" w:w="1440"/>
            <w:tcBorders>
              <w:top w:val="single" w:color="EAE7E0" w:sz="4"/>
              <w:left w:val="none" w:color="FFFFFF" w:sz="0"/>
              <w:bottom w:val="none" w:color="FFFFFF" w:sz="0"/>
              <w:right w:val="single" w:color="EAE7E0" w:sz="4"/>
            </w:tcBorders>
            <w:shd w:fill="EEF3FC" w:val="clear"/>
            <w:tcMar>
              <w:top w:type="dxa" w:w="140"/>
              <w:left w:type="dxa" w:w="200"/>
              <w:bottom w:type="dxa" w:w="140"/>
              <w:right w:type="dxa" w:w="200"/>
            </w:tcMar>
            <w:vAlign w:val="center"/>
          </w:tcPr>
          <w:p>
            <w:pPr>
              <w:jc w:val="center"/>
            </w:pPr>
            <w:r>
              <w:rPr>
                <w:rFonts w:ascii="Arial" w:cs="Arial" w:eastAsia="Arial" w:hAnsi="Arial"/>
                <w:b/>
                <w:bCs/>
                <w:color w:val="1A3A6B"/>
                <w:sz w:val="17"/>
                <w:szCs w:val="17"/>
              </w:rPr>
              <w:t xml:space="preserve">SHIP INSTEAD</w:t>
            </w:r>
          </w:p>
        </w:tc>
        <w:tc>
          <w:tcPr>
            <w:tcW w:type="dxa" w:w="7920"/>
            <w:tcBorders>
              <w:top w:val="single" w:color="EAE7E0" w:sz="4"/>
              <w:left w:val="none" w:color="FFFFFF" w:sz="0"/>
              <w:bottom w:val="none" w:color="FFFFFF" w:sz="0"/>
              <w:right w:val="none" w:color="FFFFFF" w:sz="0"/>
            </w:tcBorders>
            <w:shd w:fill="EEF3FC" w:val="clear"/>
            <w:tcMar>
              <w:top w:type="dxa" w:w="140"/>
              <w:left w:type="dxa" w:w="220"/>
              <w:bottom w:type="dxa" w:w="140"/>
              <w:right w:type="dxa" w:w="220"/>
            </w:tcMar>
          </w:tcPr>
          <w:p>
            <w:pPr>
              <w:spacing w:line="330"/>
            </w:pPr>
            <w:r>
              <w:rPr>
                <w:rFonts w:ascii="Georgia" w:cs="Georgia" w:eastAsia="Georgia" w:hAnsi="Georgia"/>
                <w:color w:val="0A0A0F"/>
                <w:sz w:val="20"/>
                <w:szCs w:val="20"/>
              </w:rPr>
              <w:t xml:space="preserve">The fastest way to start spinning the flywheel isn’t enterprise sales — it’s volume. A free tier (even 50 minutes/month) generates Indian-language data no global competitor has. Or offer one high-volume operator — a large BPO, a D2C brand running 10,000 COD calls/day — a heavily subsidised pilot priced for data, not revenue. The moat isn’t claimed in a deck. It’s earned call by call, and right now the counter needs to start running.</w:t>
            </w:r>
          </w:p>
        </w:tc>
      </w:tr>
    </w:tbl>
    <w:p>
      <w:pPr>
        <w:spacing w:after="0" w:before="4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6840"/>
      </w:tblGrid>
      <w:tr>
        <w:tc>
          <w:tcPr>
            <w:tcW w:type="dxa" w:w="720"/>
            <w:tcBorders>
              <w:top w:val="none" w:color="FFFFFF" w:sz="0"/>
              <w:left w:val="none" w:color="FFFFFF" w:sz="0"/>
              <w:bottom w:val="none" w:color="FFFFFF" w:sz="0"/>
              <w:right w:val="none" w:color="FFFFFF" w:sz="0"/>
            </w:tcBorders>
            <w:shd w:fill="0D1117" w:val="clear"/>
            <w:tcMar>
              <w:top w:type="dxa" w:w="80"/>
              <w:left w:type="dxa" w:w="160"/>
              <w:bottom w:type="dxa" w:w="80"/>
              <w:right w:type="dxa" w:w="160"/>
            </w:tcMar>
            <w:vAlign w:val="center"/>
          </w:tcPr>
          <w:p>
            <w:pPr>
              <w:jc w:val="center"/>
            </w:pPr>
            <w:r>
              <w:rPr>
                <w:rFonts w:ascii="Arial" w:cs="Arial" w:eastAsia="Arial" w:hAnsi="Arial"/>
                <w:b/>
                <w:bCs/>
                <w:color w:val="C8A951"/>
                <w:sz w:val="26"/>
                <w:szCs w:val="26"/>
              </w:rPr>
              <w:t xml:space="preserve">05</w:t>
            </w:r>
          </w:p>
        </w:tc>
        <w:tc>
          <w:tcPr>
            <w:tcW w:type="dxa" w:w="1800"/>
            <w:tcBorders>
              <w:top w:val="none" w:color="FFFFFF" w:sz="0"/>
              <w:left w:val="none" w:color="FFFFFF" w:sz="0"/>
              <w:bottom w:val="none" w:color="FFFFFF" w:sz="0"/>
              <w:right w:val="none" w:color="FFFFFF" w:sz="0"/>
            </w:tcBorders>
            <w:shd w:fill="4A235A" w:val="clear"/>
            <w:tcMar>
              <w:top w:type="dxa" w:w="80"/>
              <w:left w:type="dxa" w:w="180"/>
              <w:bottom w:type="dxa" w:w="80"/>
              <w:right w:type="dxa" w:w="180"/>
            </w:tcMar>
            <w:vAlign w:val="center"/>
          </w:tcPr>
          <w:p>
            <w:pPr>
              <w:jc w:val="center"/>
            </w:pPr>
            <w:r>
              <w:rPr>
                <w:rFonts w:ascii="Arial" w:cs="Arial" w:eastAsia="Arial" w:hAnsi="Arial"/>
                <w:b/>
                <w:bCs/>
                <w:color w:val="F3E8FF"/>
                <w:sz w:val="17"/>
                <w:szCs w:val="17"/>
              </w:rPr>
              <w:t xml:space="preserve">COLLABORATIONS</w:t>
            </w:r>
          </w:p>
        </w:tc>
        <w:tc>
          <w:tcPr>
            <w:tcW w:type="dxa" w:w="6840"/>
            <w:tcBorders>
              <w:top w:val="none" w:color="FFFFFF" w:sz="0"/>
              <w:left w:val="none" w:color="FFFFFF" w:sz="0"/>
              <w:bottom w:val="none" w:color="FFFFFF" w:sz="0"/>
              <w:right w:val="none" w:color="FFFFFF" w:sz="0"/>
            </w:tcBorders>
            <w:shd w:fill="EAE7E0" w:val="clear"/>
            <w:tcMar>
              <w:top w:type="dxa" w:w="80"/>
              <w:left w:type="dxa" w:w="220"/>
              <w:bottom w:type="dxa" w:w="80"/>
              <w:right w:type="dxa" w:w="120"/>
            </w:tcMar>
            <w:vAlign w:val="center"/>
          </w:tcPr>
          <w:p>
            <w:r>
              <w:rPr>
                <w:rFonts w:ascii="Georgia" w:cs="Georgia" w:eastAsia="Georgia" w:hAnsi="Georgia"/>
                <w:i/>
                <w:iCs/>
                <w:color w:val="4A5568"/>
                <w:sz w:val="18"/>
                <w:szCs w:val="18"/>
              </w:rPr>
              <w:t xml:space="preserve">Their best growth lever is buried in the footer next to a noise canceller</w:t>
            </w:r>
          </w:p>
        </w:tc>
      </w:tr>
    </w:tbl>
    <w:p>
      <w:pPr>
        <w:spacing w:after="0" w:before="100"/>
      </w:pPr>
      <w:r>
        <w:t xml:space="preserve"/>
      </w:r>
    </w:p>
    <w:p>
      <w:pPr>
        <w:spacing w:after="100" w:before="0" w:line="360"/>
      </w:pPr>
      <w:r>
        <w:rPr>
          <w:rFonts w:ascii="Georgia" w:cs="Georgia" w:eastAsia="Georgia" w:hAnsi="Georgia"/>
          <w:b/>
          <w:bCs/>
          <w:color w:val="0A0A0F"/>
          <w:sz w:val="36"/>
          <w:szCs w:val="36"/>
        </w:rPr>
        <w:t xml:space="preserve">VocalFlow is an open-source product nobody knows exists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single" w:color="EAE7E0" w:sz="4"/>
            </w:tcBorders>
            <w:shd w:fill="EDF7F4" w:val="clear"/>
            <w:tcMar>
              <w:top w:type="dxa" w:w="140"/>
              <w:left w:type="dxa" w:w="200"/>
              <w:bottom w:type="dxa" w:w="140"/>
              <w:right w:type="dxa" w:w="200"/>
            </w:tcMar>
            <w:vAlign w:val="center"/>
          </w:tcPr>
          <w:p>
            <w:pPr>
              <w:jc w:val="center"/>
            </w:pPr>
            <w:r>
              <w:rPr>
                <w:rFonts w:ascii="Arial" w:cs="Arial" w:eastAsia="Arial" w:hAnsi="Arial"/>
                <w:b/>
                <w:bCs/>
                <w:color w:val="0D5C4A"/>
                <w:sz w:val="17"/>
                <w:szCs w:val="17"/>
              </w:rPr>
              <w:t xml:space="preserve">OBSERVED</w:t>
            </w:r>
          </w:p>
        </w:tc>
        <w:tc>
          <w:tcPr>
            <w:tcW w:type="dxa" w:w="7920"/>
            <w:tcBorders>
              <w:top w:val="none" w:color="FFFFFF" w:sz="0"/>
              <w:left w:val="none" w:color="FFFFFF" w:sz="0"/>
              <w:bottom w:val="none" w:color="FFFFFF" w:sz="0"/>
              <w:right w:val="none" w:color="FFFFFF" w:sz="0"/>
            </w:tcBorders>
            <w:shd w:fill="EDF7F4" w:val="clear"/>
            <w:tcMar>
              <w:top w:type="dxa" w:w="140"/>
              <w:left w:type="dxa" w:w="220"/>
              <w:bottom w:type="dxa" w:w="140"/>
              <w:right w:type="dxa" w:w="220"/>
            </w:tcMar>
          </w:tcPr>
          <w:p>
            <w:pPr>
              <w:spacing w:line="330"/>
            </w:pPr>
            <w:r>
              <w:rPr>
                <w:rFonts w:ascii="Georgia" w:cs="Georgia" w:eastAsia="Georgia" w:hAnsi="Georgia"/>
                <w:color w:val="0A0A0F"/>
                <w:sz w:val="20"/>
                <w:szCs w:val="20"/>
              </w:rPr>
              <w:t xml:space="preserve">While exploring the website footer — which most visitors never reach — I found a link to “VocalFlow (Open Source).” I clicked expecting a GitHub page, a README, a community. Instead: a sparse landing page, no visible repository link, no star count, no tutorial, no mention in the main navigation or any blog post. PocoDisk and a Noise Cancellation tool sit alongside it. This feels like a real product that was never properly launched.</w:t>
            </w:r>
          </w:p>
        </w:tc>
      </w:tr>
      <w:tr>
        <w:tc>
          <w:tcPr>
            <w:tcW w:type="dxa" w:w="1440"/>
            <w:tcBorders>
              <w:top w:val="single" w:color="EAE7E0" w:sz="4"/>
              <w:left w:val="none" w:color="FFFFFF" w:sz="0"/>
              <w:bottom w:val="none" w:color="FFFFFF" w:sz="0"/>
              <w:right w:val="single" w:color="EAE7E0" w:sz="4"/>
            </w:tcBorders>
            <w:shd w:fill="FDF2F2" w:val="clear"/>
            <w:tcMar>
              <w:top w:type="dxa" w:w="140"/>
              <w:left w:type="dxa" w:w="200"/>
              <w:bottom w:type="dxa" w:w="140"/>
              <w:right w:type="dxa" w:w="200"/>
            </w:tcMar>
            <w:vAlign w:val="center"/>
          </w:tcPr>
          <w:p>
            <w:pPr>
              <w:jc w:val="center"/>
            </w:pPr>
            <w:r>
              <w:rPr>
                <w:rFonts w:ascii="Arial" w:cs="Arial" w:eastAsia="Arial" w:hAnsi="Arial"/>
                <w:b/>
                <w:bCs/>
                <w:color w:val="8B1A1A"/>
                <w:sz w:val="17"/>
                <w:szCs w:val="17"/>
              </w:rPr>
              <w:t xml:space="preserve">PROBLEM</w:t>
            </w:r>
          </w:p>
        </w:tc>
        <w:tc>
          <w:tcPr>
            <w:tcW w:type="dxa" w:w="7920"/>
            <w:tcBorders>
              <w:top w:val="single" w:color="EAE7E0" w:sz="4"/>
              <w:left w:val="none" w:color="FFFFFF" w:sz="0"/>
              <w:bottom w:val="none" w:color="FFFFFF" w:sz="0"/>
              <w:right w:val="none" w:color="FFFFFF" w:sz="0"/>
            </w:tcBorders>
            <w:shd w:fill="FDF2F2" w:val="clear"/>
            <w:tcMar>
              <w:top w:type="dxa" w:w="140"/>
              <w:left w:type="dxa" w:w="220"/>
              <w:bottom w:type="dxa" w:w="140"/>
              <w:right w:type="dxa" w:w="220"/>
            </w:tcMar>
          </w:tcPr>
          <w:p>
            <w:pPr>
              <w:spacing w:line="330"/>
            </w:pPr>
            <w:r>
              <w:rPr>
                <w:rFonts w:ascii="Georgia" w:cs="Georgia" w:eastAsia="Georgia" w:hAnsi="Georgia"/>
                <w:color w:val="0A0A0F"/>
                <w:sz w:val="20"/>
                <w:szCs w:val="20"/>
              </w:rPr>
              <w:t xml:space="preserve">Open source is the highest-leverage distribution channel available to a pre-seed B2B startup in India right now. VAPI built a $500M valuation on developer trust: CLI tools, MCP integration, IDE plugins, community posts that turned engineers into advocates. Bolna went open-source-first and used that traction to get into YC. Vocallabs has an open-source product and is getting zero value from it — not for developer acquisition, not for community credibility, not for the GitHub stars that signal legitimacy when a technical buyer does due diligence.</w:t>
            </w:r>
          </w:p>
        </w:tc>
      </w:tr>
      <w:tr>
        <w:tc>
          <w:tcPr>
            <w:tcW w:type="dxa" w:w="1440"/>
            <w:tcBorders>
              <w:top w:val="single" w:color="EAE7E0" w:sz="4"/>
              <w:left w:val="none" w:color="FFFFFF" w:sz="0"/>
              <w:bottom w:val="none" w:color="FFFFFF" w:sz="0"/>
              <w:right w:val="single" w:color="EAE7E0" w:sz="4"/>
            </w:tcBorders>
            <w:shd w:fill="EEF3FC" w:val="clear"/>
            <w:tcMar>
              <w:top w:type="dxa" w:w="140"/>
              <w:left w:type="dxa" w:w="200"/>
              <w:bottom w:type="dxa" w:w="140"/>
              <w:right w:type="dxa" w:w="200"/>
            </w:tcMar>
            <w:vAlign w:val="center"/>
          </w:tcPr>
          <w:p>
            <w:pPr>
              <w:jc w:val="center"/>
            </w:pPr>
            <w:r>
              <w:rPr>
                <w:rFonts w:ascii="Arial" w:cs="Arial" w:eastAsia="Arial" w:hAnsi="Arial"/>
                <w:b/>
                <w:bCs/>
                <w:color w:val="1A3A6B"/>
                <w:sz w:val="17"/>
                <w:szCs w:val="17"/>
              </w:rPr>
              <w:t xml:space="preserve">SHIP INSTEAD</w:t>
            </w:r>
          </w:p>
        </w:tc>
        <w:tc>
          <w:tcPr>
            <w:tcW w:type="dxa" w:w="7920"/>
            <w:tcBorders>
              <w:top w:val="single" w:color="EAE7E0" w:sz="4"/>
              <w:left w:val="none" w:color="FFFFFF" w:sz="0"/>
              <w:bottom w:val="none" w:color="FFFFFF" w:sz="0"/>
              <w:right w:val="none" w:color="FFFFFF" w:sz="0"/>
            </w:tcBorders>
            <w:shd w:fill="EEF3FC" w:val="clear"/>
            <w:tcMar>
              <w:top w:type="dxa" w:w="140"/>
              <w:left w:type="dxa" w:w="220"/>
              <w:bottom w:type="dxa" w:w="140"/>
              <w:right w:type="dxa" w:w="220"/>
            </w:tcMar>
          </w:tcPr>
          <w:p>
            <w:pPr>
              <w:spacing w:line="330"/>
            </w:pPr>
            <w:r>
              <w:rPr>
                <w:rFonts w:ascii="Georgia" w:cs="Georgia" w:eastAsia="Georgia" w:hAnsi="Georgia"/>
                <w:color w:val="0A0A0F"/>
                <w:sz w:val="20"/>
                <w:szCs w:val="20"/>
              </w:rPr>
              <w:t xml:space="preserve">Give VocalFlow a real launch. Write a proper README. Create a standalone page with a 3-step ‘deploy your first India voice agent’ walkthrough. Post it to Hacker News as a Show HN with a genuine technical angle: ‘We built an open-source voice agent that handles Hinglish code-switching — here’s how.’ Then reach out to Sarvam.ai about co-publishing it as a joint integration — their developer community becomes Vocallabs’ overnight. One good technical post generates more qualified inbound than six months of SEO blog articles about generic AI topics.</w:t>
            </w:r>
          </w:p>
        </w:tc>
      </w:tr>
    </w:tbl>
    <w:p>
      <w:pPr>
        <w:spacing w:after="0" w:before="3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8A951" w:val="clear"/>
            <w:tcMar>
              <w:top w:type="dxa" w:w="50"/>
              <w:left w:type="dxa" w:w="0"/>
              <w:bottom w:type="dxa" w:w="50"/>
              <w:right w:type="dxa" w:w="0"/>
            </w:tcMar>
          </w:tcPr>
          <w:p>
            <w:r>
              <w:t xml:space="preserve"/>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400"/>
              <w:left w:type="dxa" w:w="560"/>
              <w:bottom w:type="dxa" w:w="400"/>
              <w:right w:type="dxa" w:w="560"/>
            </w:tcMar>
          </w:tcPr>
          <w:p>
            <w:pPr>
              <w:spacing w:after="120"/>
            </w:pPr>
            <w:r>
              <w:rPr>
                <w:rFonts w:ascii="Georgia" w:cs="Georgia" w:eastAsia="Georgia" w:hAnsi="Georgia"/>
                <w:b/>
                <w:bCs/>
                <w:color w:val="C8A951"/>
                <w:sz w:val="30"/>
                <w:szCs w:val="30"/>
              </w:rPr>
              <w:t xml:space="preserve">How I approached this</w:t>
            </w:r>
          </w:p>
          <w:p>
            <w:pPr>
              <w:spacing w:after="120" w:line="340"/>
            </w:pPr>
            <w:r>
              <w:rPr>
                <w:rFonts w:ascii="Georgia" w:cs="Georgia" w:eastAsia="Georgia" w:hAnsi="Georgia"/>
                <w:color w:val="CCCCCC"/>
                <w:sz w:val="20"/>
                <w:szCs w:val="20"/>
              </w:rPr>
              <w:t xml:space="preserve">I tried to write this the way I’d actually think about a product I was about to join. Not five framework boxes to fill, but five things that genuinely caught my attention — gaps between what the product claims and what a real visitor or customer actually experiences. Every observation came from the product itself: clicking through the website, downloading the app, reading the Play Store listing, digging into the docs, and comparing what competitors are doing visibly that Vocallabs isn’t.</w:t>
            </w:r>
          </w:p>
          <w:p>
            <w:pPr>
              <w:spacing w:after="120" w:line="340"/>
            </w:pPr>
            <w:r>
              <w:rPr>
                <w:rFonts w:ascii="Georgia" w:cs="Georgia" w:eastAsia="Georgia" w:hAnsi="Georgia"/>
                <w:color w:val="CCCCCC"/>
                <w:sz w:val="20"/>
                <w:szCs w:val="20"/>
              </w:rPr>
              <w:t xml:space="preserve">The two I’m most excited about are #1 and #5 — the handoff video and VocalFlow — because both cost almost nothing to fix and would immediately change how the product is perceived. The flywheel observation (#4) is the one I’d want to talk through most, because the solution requires a mindset shift, not just a content update.</w:t>
            </w:r>
          </w:p>
          <w:p>
            <w:r>
              <w:rPr>
                <w:rFonts w:ascii="Arial" w:cs="Arial" w:eastAsia="Arial" w:hAnsi="Arial"/>
                <w:color w:val="8896A8"/>
                <w:sz w:val="17"/>
                <w:szCs w:val="17"/>
              </w:rPr>
              <w:t xml:space="preserve">Aditya Yadav  ·  May 2026  ·  Product Intern Assignment  ·  Vocallabs.ai</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0A0A0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Georgia" w:cs="Georgia" w:eastAsia="Georgia" w:hAnsi="Georgia"/>
      <w:b/>
      <w:bCs/>
      <w:sz w:val="40"/>
      <w:szCs w:val="40"/>
    </w:rPr>
  </w:style>
  <w:style w:type="paragraph" w:styleId="Heading2">
    <w:name w:val="Heading 2"/>
    <w:basedOn w:val="Normal"/>
    <w:next w:val="Normal"/>
    <w:qFormat/>
    <w:pPr>
      <w:spacing w:after="100" w:before="200"/>
      <w:outlineLvl w:val="1"/>
    </w:pPr>
    <w:rPr>
      <w:rFonts w:ascii="Georgia" w:cs="Georgia" w:eastAsia="Georgia" w:hAnsi="Georgia"/>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2026-05-30T17:51:00.936Z</dcterms:created>
  <dcterms:modified xsi:type="dcterms:W3CDTF">2026-05-30T17:51:00.936Z</dcterms:modified>
</cp:coreProperties>
</file>

<file path=docProps/custom.xml><?xml version="1.0" encoding="utf-8"?>
<Properties xmlns="http://schemas.openxmlformats.org/officeDocument/2006/custom-properties" xmlns:vt="http://schemas.openxmlformats.org/officeDocument/2006/docPropsVTypes"/>
</file>