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60"/>
        </w:rPr>
        <w:t>Tox-Scraper MCP Server</w:t>
      </w:r>
    </w:p>
    <w:p>
      <w:pPr>
        <w:jc w:val="center"/>
      </w:pPr>
      <w:r>
        <w:rPr>
          <w:color w:val="555555"/>
          <w:sz w:val="36"/>
        </w:rPr>
        <w:t>End-to-End Architecture Report</w:t>
      </w:r>
    </w:p>
    <w:p>
      <w:pPr>
        <w:jc w:val="center"/>
      </w:pPr>
      <w:r>
        <w:rPr>
          <w:i/>
          <w:sz w:val="24"/>
        </w:rPr>
        <w:t>Consolidated 4-Tool Surface  ·  14-Database Harvester  ·  29-Section Review Schema</w:t>
      </w:r>
    </w:p>
    <w:p/>
    <w:p/>
    <w:p/>
    <w:p/>
    <w:p/>
    <w:p/>
    <w:p>
      <w:pPr>
        <w:jc w:val="center"/>
      </w:pPr>
      <w:r>
        <w:rPr>
          <w:color w:val="555555"/>
          <w:sz w:val="22"/>
        </w:rPr>
        <w:t>Prepared for: Aditya B. Yadav (SciToVation)</w:t>
        <w:br/>
        <w:t>Scope: production codebase at scrapper-mcp/</w:t>
        <w:br/>
        <w:t>Date: April 22, 2026</w:t>
      </w:r>
    </w:p>
    <w:p>
      <w:r>
        <w:br w:type="page"/>
      </w:r>
    </w:p>
    <w:p>
      <w:pPr>
        <w:spacing w:before="360" w:after="120"/>
      </w:pPr>
      <w:r>
        <w:rPr>
          <w:rFonts w:ascii="Calibri" w:hAnsi="Calibri"/>
          <w:b/>
          <w:color w:val="1F3A5F"/>
          <w:sz w:val="36"/>
        </w:rPr>
        <w:t>Table of Contents</w:t>
      </w:r>
    </w:p>
    <w:p>
      <w:pPr>
        <w:spacing w:after="40"/>
      </w:pPr>
      <w:r>
        <w:rPr>
          <w:sz w:val="22"/>
        </w:rPr>
        <w:t>1. Executive Summary</w:t>
      </w:r>
    </w:p>
    <w:p>
      <w:pPr>
        <w:spacing w:after="40"/>
      </w:pPr>
      <w:r>
        <w:rPr>
          <w:sz w:val="22"/>
        </w:rPr>
        <w:t>2. Why MCP is the Right Backbone for This System</w:t>
      </w:r>
    </w:p>
    <w:p>
      <w:pPr>
        <w:spacing w:after="40"/>
      </w:pPr>
      <w:r>
        <w:rPr>
          <w:sz w:val="22"/>
        </w:rPr>
        <w:t>3. System Topology (10,000-foot view)</w:t>
      </w:r>
    </w:p>
    <w:p>
      <w:pPr>
        <w:spacing w:after="40"/>
      </w:pPr>
      <w:r>
        <w:rPr>
          <w:sz w:val="22"/>
        </w:rPr>
        <w:t>4. Repository Layout and Package Responsibilities</w:t>
      </w:r>
    </w:p>
    <w:p>
      <w:pPr>
        <w:spacing w:after="40"/>
      </w:pPr>
      <w:r>
        <w:rPr>
          <w:sz w:val="22"/>
        </w:rPr>
        <w:t>5. The 4-Tool MCP Surface</w:t>
      </w:r>
    </w:p>
    <w:p>
      <w:pPr>
        <w:spacing w:after="40"/>
      </w:pPr>
      <w:r>
        <w:rPr>
          <w:sz w:val="22"/>
        </w:rPr>
        <w:t>6. Tool 1 — resolve_chemical</w:t>
      </w:r>
    </w:p>
    <w:p>
      <w:pPr>
        <w:spacing w:after="40"/>
      </w:pPr>
      <w:r>
        <w:rPr>
          <w:sz w:val="22"/>
        </w:rPr>
        <w:t>7. Tool 2 — harvest_evidence</w:t>
      </w:r>
    </w:p>
    <w:p>
      <w:pPr>
        <w:spacing w:after="40"/>
      </w:pPr>
      <w:r>
        <w:rPr>
          <w:sz w:val="22"/>
        </w:rPr>
        <w:t>8. Tool 3 — build_review</w:t>
      </w:r>
    </w:p>
    <w:p>
      <w:pPr>
        <w:spacing w:after="40"/>
      </w:pPr>
      <w:r>
        <w:rPr>
          <w:sz w:val="22"/>
        </w:rPr>
        <w:t>9. Tool 4 — audit_run</w:t>
      </w:r>
    </w:p>
    <w:p>
      <w:pPr>
        <w:spacing w:after="40"/>
      </w:pPr>
      <w:r>
        <w:rPr>
          <w:sz w:val="22"/>
        </w:rPr>
        <w:t>10. The 29-Section Review Schema</w:t>
      </w:r>
    </w:p>
    <w:p>
      <w:pPr>
        <w:spacing w:after="40"/>
      </w:pPr>
      <w:r>
        <w:rPr>
          <w:sz w:val="22"/>
        </w:rPr>
        <w:t>11. Database Registry and Harvester Tier</w:t>
      </w:r>
    </w:p>
    <w:p>
      <w:pPr>
        <w:spacing w:after="40"/>
      </w:pPr>
      <w:r>
        <w:rPr>
          <w:sz w:val="22"/>
        </w:rPr>
        <w:t>12. Evidence Routing and Confidence Scoring</w:t>
      </w:r>
    </w:p>
    <w:p>
      <w:pPr>
        <w:spacing w:after="40"/>
      </w:pPr>
      <w:r>
        <w:rPr>
          <w:sz w:val="22"/>
        </w:rPr>
        <w:t>13. Observability: Tracer and Evidence Ledger</w:t>
      </w:r>
    </w:p>
    <w:p>
      <w:pPr>
        <w:spacing w:after="40"/>
      </w:pPr>
      <w:r>
        <w:rPr>
          <w:sz w:val="22"/>
        </w:rPr>
        <w:t>14. Report Composition and Styling</w:t>
      </w:r>
    </w:p>
    <w:p>
      <w:pPr>
        <w:spacing w:after="40"/>
      </w:pPr>
      <w:r>
        <w:rPr>
          <w:sz w:val="22"/>
        </w:rPr>
        <w:t>15. Zero-Hallucination Guarantees</w:t>
      </w:r>
    </w:p>
    <w:p>
      <w:pPr>
        <w:spacing w:after="40"/>
      </w:pPr>
      <w:r>
        <w:rPr>
          <w:sz w:val="22"/>
        </w:rPr>
        <w:t>16. Runtime, Concurrency, and Failure Handling</w:t>
      </w:r>
    </w:p>
    <w:p>
      <w:pPr>
        <w:spacing w:after="40"/>
      </w:pPr>
      <w:r>
        <w:rPr>
          <w:sz w:val="22"/>
        </w:rPr>
        <w:t>17. Extensibility: Adding Sources, Sections, Keywords</w:t>
      </w:r>
    </w:p>
    <w:p>
      <w:pPr>
        <w:spacing w:after="40"/>
      </w:pPr>
      <w:r>
        <w:rPr>
          <w:sz w:val="22"/>
        </w:rPr>
        <w:t>18. Deployment and Operations</w:t>
      </w:r>
    </w:p>
    <w:p>
      <w:pPr>
        <w:spacing w:after="40"/>
      </w:pPr>
      <w:r>
        <w:rPr>
          <w:sz w:val="22"/>
        </w:rPr>
        <w:t>19. End-to-End Walkthrough (formaldehyde)</w:t>
      </w:r>
    </w:p>
    <w:p>
      <w:pPr>
        <w:spacing w:after="40"/>
      </w:pPr>
      <w:r>
        <w:rPr>
          <w:sz w:val="22"/>
        </w:rPr>
        <w:t>20. Glossary of Core Types</w:t>
      </w:r>
    </w:p>
    <w:p>
      <w:r>
        <w:br w:type="page"/>
      </w:r>
    </w:p>
    <w:p>
      <w:pPr>
        <w:spacing w:before="360" w:after="120"/>
      </w:pPr>
      <w:r>
        <w:rPr>
          <w:rFonts w:ascii="Calibri" w:hAnsi="Calibri"/>
          <w:b/>
          <w:color w:val="1F3A5F"/>
          <w:sz w:val="36"/>
        </w:rPr>
        <w:t>1. Executive Summary</w:t>
      </w:r>
    </w:p>
    <w:p>
      <w:pPr>
        <w:spacing w:after="120"/>
        <w:jc w:val="both"/>
      </w:pPr>
      <w:r>
        <w:rPr>
          <w:b w:val="0"/>
          <w:i w:val="0"/>
          <w:sz w:val="22"/>
        </w:rPr>
        <w:t>Tox-Scraper is a Python MCP (Model Context Protocol) server that converts a chemical query into a fully-cited, ~150–250 page toxicology literature review. The system replaces the fragile, prompt-by-prompt workflow of asking a general LLM to "write me a tox review" with a deterministic pipeline that harvests evidence from 34 curated databases, routes every passage into one of 29 canonical review sections using a 570-keyword bank, and emits a Benzene-v3-style .docx whose every body paragraph is a verbatim excerpt from a logged source URL.</w:t>
      </w:r>
    </w:p>
    <w:p>
      <w:pPr>
        <w:spacing w:after="120"/>
        <w:jc w:val="both"/>
      </w:pPr>
      <w:r>
        <w:rPr>
          <w:b w:val="0"/>
          <w:i w:val="0"/>
          <w:sz w:val="22"/>
        </w:rPr>
        <w:t>After the April 2026 consolidation, the server exposes exactly four semantic MCP tools — resolve_chemical, harvest_evidence, build_review, and audit_run — which collectively replace the previous 32-tool surface. All heavy lifting (parallel harvest, keyword routing, docx assembly, hallucination audit) lives server-side so Claude never touches a URL directly during a run and every network call is observable through a JSONL tracer plus an append-only evidence ledger.</w:t>
      </w:r>
    </w:p>
    <w:p>
      <w:pPr>
        <w:spacing w:after="120"/>
        <w:jc w:val="both"/>
      </w:pPr>
      <w:r>
        <w:rPr>
          <w:b w:val="0"/>
          <w:i w:val="0"/>
          <w:sz w:val="22"/>
        </w:rPr>
        <w:t>The key engineering claim is verifiable rather than rhetorical: every paragraph in the final .docx either appears as a substring of a ledger excerpt, or is flagged by the audit tool as a potential hallucination. No LLM is called during a standard harvest → review run; the report composer is pure glue.</w:t>
      </w:r>
    </w:p>
    <w:p>
      <w:pPr>
        <w:spacing w:before="240" w:after="120"/>
      </w:pPr>
      <w:r>
        <w:rPr>
          <w:rFonts w:ascii="Calibri" w:hAnsi="Calibri"/>
          <w:b/>
          <w:color w:val="1F3A5F"/>
          <w:sz w:val="28"/>
        </w:rPr>
        <w:t>Headline Metrics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24"/>
        <w:gridCol w:w="4824"/>
      </w:tblGrid>
      <w:tr>
        <w:tc>
          <w:tcPr>
            <w:tcW w:type="dxa" w:w="4032"/>
            <w:shd w:val="clear" w:fill="1F3A5F"/>
          </w:tcPr>
          <w:p>
            <w:r/>
            <w:r>
              <w:rPr>
                <w:b/>
                <w:color w:val="FFFFFF"/>
                <w:sz w:val="21"/>
              </w:rPr>
              <w:t>Dimension</w:t>
            </w:r>
          </w:p>
        </w:tc>
        <w:tc>
          <w:tcPr>
            <w:tcW w:type="dxa" w:w="5760"/>
            <w:shd w:val="clear" w:fill="1F3A5F"/>
          </w:tcPr>
          <w:p>
            <w:r/>
            <w:r>
              <w:rPr>
                <w:b/>
                <w:color w:val="FFFFFF"/>
                <w:sz w:val="21"/>
              </w:rPr>
              <w:t>Value</w:t>
            </w:r>
          </w:p>
        </w:tc>
      </w:tr>
      <w:tr>
        <w:tc>
          <w:tcPr>
            <w:tcW w:type="dxa" w:w="4032"/>
          </w:tcPr>
          <w:p>
            <w:r/>
            <w:r>
              <w:rPr>
                <w:sz w:val="20"/>
              </w:rPr>
              <w:t>Source files (first-party, .py)</w:t>
            </w:r>
          </w:p>
        </w:tc>
        <w:tc>
          <w:tcPr>
            <w:tcW w:type="dxa" w:w="5760"/>
          </w:tcPr>
          <w:p>
            <w:r/>
            <w:r>
              <w:rPr>
                <w:sz w:val="20"/>
              </w:rPr>
              <w:t>50 (≈ 8,988 LOC, excluding venv)</w:t>
            </w:r>
          </w:p>
        </w:tc>
      </w:tr>
      <w:tr>
        <w:tc>
          <w:tcPr>
            <w:tcW w:type="dxa" w:w="4032"/>
          </w:tcPr>
          <w:p>
            <w:r/>
            <w:r>
              <w:rPr>
                <w:sz w:val="20"/>
              </w:rPr>
              <w:t>MCP tools exposed</w:t>
            </w:r>
          </w:p>
        </w:tc>
        <w:tc>
          <w:tcPr>
            <w:tcW w:type="dxa" w:w="5760"/>
          </w:tcPr>
          <w:p>
            <w:r/>
            <w:r>
              <w:rPr>
                <w:sz w:val="20"/>
              </w:rPr>
              <w:t>4 (down from 32)</w:t>
            </w:r>
          </w:p>
        </w:tc>
      </w:tr>
      <w:tr>
        <w:tc>
          <w:tcPr>
            <w:tcW w:type="dxa" w:w="4032"/>
          </w:tcPr>
          <w:p>
            <w:r/>
            <w:r>
              <w:rPr>
                <w:sz w:val="20"/>
              </w:rPr>
              <w:t>MCP prompts exposed</w:t>
            </w:r>
          </w:p>
        </w:tc>
        <w:tc>
          <w:tcPr>
            <w:tcW w:type="dxa" w:w="5760"/>
          </w:tcPr>
          <w:p>
            <w:r/>
            <w:r>
              <w:rPr>
                <w:sz w:val="20"/>
              </w:rPr>
              <w:t>3 (full review, quick DB check, PMC deep-dive)</w:t>
            </w:r>
          </w:p>
        </w:tc>
      </w:tr>
      <w:tr>
        <w:tc>
          <w:tcPr>
            <w:tcW w:type="dxa" w:w="4032"/>
          </w:tcPr>
          <w:p>
            <w:r/>
            <w:r>
              <w:rPr>
                <w:sz w:val="20"/>
              </w:rPr>
              <w:t>Curated databases registered</w:t>
            </w:r>
          </w:p>
        </w:tc>
        <w:tc>
          <w:tcPr>
            <w:tcW w:type="dxa" w:w="5760"/>
          </w:tcPr>
          <w:p>
            <w:r/>
            <w:r>
              <w:rPr>
                <w:sz w:val="20"/>
              </w:rPr>
              <w:t>34 (config/databases.py)</w:t>
            </w:r>
          </w:p>
        </w:tc>
      </w:tr>
      <w:tr>
        <w:tc>
          <w:tcPr>
            <w:tcW w:type="dxa" w:w="4032"/>
          </w:tcPr>
          <w:p>
            <w:r/>
            <w:r>
              <w:rPr>
                <w:sz w:val="20"/>
              </w:rPr>
              <w:t>Active per-database harvesters</w:t>
            </w:r>
          </w:p>
        </w:tc>
        <w:tc>
          <w:tcPr>
            <w:tcW w:type="dxa" w:w="5760"/>
          </w:tcPr>
          <w:p>
            <w:r/>
            <w:r>
              <w:rPr>
                <w:sz w:val="20"/>
              </w:rPr>
              <w:t>14 (sources/harvester.py REGISTRY)</w:t>
            </w:r>
          </w:p>
        </w:tc>
      </w:tr>
      <w:tr>
        <w:tc>
          <w:tcPr>
            <w:tcW w:type="dxa" w:w="4032"/>
          </w:tcPr>
          <w:p>
            <w:r/>
            <w:r>
              <w:rPr>
                <w:sz w:val="20"/>
              </w:rPr>
              <w:t>Canonical review sections</w:t>
            </w:r>
          </w:p>
        </w:tc>
        <w:tc>
          <w:tcPr>
            <w:tcW w:type="dxa" w:w="5760"/>
          </w:tcPr>
          <w:p>
            <w:r/>
            <w:r>
              <w:rPr>
                <w:sz w:val="20"/>
              </w:rPr>
              <w:t>29 (config/sections.py LITERATURE_SECTIONS)</w:t>
            </w:r>
          </w:p>
        </w:tc>
      </w:tr>
      <w:tr>
        <w:tc>
          <w:tcPr>
            <w:tcW w:type="dxa" w:w="4032"/>
          </w:tcPr>
          <w:p>
            <w:r/>
            <w:r>
              <w:rPr>
                <w:sz w:val="20"/>
              </w:rPr>
              <w:t>Section keywords in routing bank</w:t>
            </w:r>
          </w:p>
        </w:tc>
        <w:tc>
          <w:tcPr>
            <w:tcW w:type="dxa" w:w="5760"/>
          </w:tcPr>
          <w:p>
            <w:r/>
            <w:r>
              <w:rPr>
                <w:sz w:val="20"/>
              </w:rPr>
              <w:t>570 (sum of SECTION_KEYWORDS buckets)</w:t>
            </w:r>
          </w:p>
        </w:tc>
      </w:tr>
      <w:tr>
        <w:tc>
          <w:tcPr>
            <w:tcW w:type="dxa" w:w="4032"/>
          </w:tcPr>
          <w:p>
            <w:r/>
            <w:r>
              <w:rPr>
                <w:sz w:val="20"/>
              </w:rPr>
              <w:t>Literature query templates</w:t>
            </w:r>
          </w:p>
        </w:tc>
        <w:tc>
          <w:tcPr>
            <w:tcW w:type="dxa" w:w="5760"/>
          </w:tcPr>
          <w:p>
            <w:r/>
            <w:r>
              <w:rPr>
                <w:sz w:val="20"/>
              </w:rPr>
              <w:t>~150 (LITERATURE_QUERY_TEMPLATES)</w:t>
            </w:r>
          </w:p>
        </w:tc>
      </w:tr>
      <w:tr>
        <w:tc>
          <w:tcPr>
            <w:tcW w:type="dxa" w:w="4032"/>
          </w:tcPr>
          <w:p>
            <w:r/>
            <w:r>
              <w:rPr>
                <w:sz w:val="20"/>
              </w:rPr>
              <w:t>Typical harvest HTTP calls per run</w:t>
            </w:r>
          </w:p>
        </w:tc>
        <w:tc>
          <w:tcPr>
            <w:tcW w:type="dxa" w:w="5760"/>
          </w:tcPr>
          <w:p>
            <w:r/>
            <w:r>
              <w:rPr>
                <w:sz w:val="20"/>
              </w:rPr>
              <w:t>~200 (14 DBs × search+pdf+html)</w:t>
            </w:r>
          </w:p>
        </w:tc>
      </w:tr>
      <w:tr>
        <w:tc>
          <w:tcPr>
            <w:tcW w:type="dxa" w:w="4032"/>
          </w:tcPr>
          <w:p>
            <w:r/>
            <w:r>
              <w:rPr>
                <w:sz w:val="20"/>
              </w:rPr>
              <w:t>Chapter groupings in review</w:t>
            </w:r>
          </w:p>
        </w:tc>
        <w:tc>
          <w:tcPr>
            <w:tcW w:type="dxa" w:w="5760"/>
          </w:tcPr>
          <w:p>
            <w:r/>
            <w:r>
              <w:rPr>
                <w:sz w:val="20"/>
              </w:rPr>
              <w:t>9 (SECTION_GROUPS)</w:t>
            </w:r>
          </w:p>
        </w:tc>
      </w:tr>
      <w:tr>
        <w:tc>
          <w:tcPr>
            <w:tcW w:type="dxa" w:w="4032"/>
          </w:tcPr>
          <w:p>
            <w:r/>
            <w:r>
              <w:rPr>
                <w:sz w:val="20"/>
              </w:rPr>
              <w:t>LLM calls during build_review</w:t>
            </w:r>
          </w:p>
        </w:tc>
        <w:tc>
          <w:tcPr>
            <w:tcW w:type="dxa" w:w="5760"/>
          </w:tcPr>
          <w:p>
            <w:r/>
            <w:r>
              <w:rPr>
                <w:sz w:val="20"/>
              </w:rPr>
              <w:t>0 (by design)</w:t>
            </w:r>
          </w:p>
        </w:tc>
      </w:tr>
    </w:tbl>
    <w:p>
      <w:pPr>
        <w:spacing w:after="80"/>
      </w:pPr>
    </w:p>
    <w:p>
      <w:r>
        <w:br w:type="page"/>
      </w:r>
    </w:p>
    <w:p>
      <w:pPr>
        <w:spacing w:before="360" w:after="120"/>
      </w:pPr>
      <w:r>
        <w:rPr>
          <w:rFonts w:ascii="Calibri" w:hAnsi="Calibri"/>
          <w:b/>
          <w:color w:val="1F3A5F"/>
          <w:sz w:val="36"/>
        </w:rPr>
        <w:t>2. Why MCP is the Right Backbone for This System</w:t>
      </w:r>
    </w:p>
    <w:p>
      <w:pPr>
        <w:spacing w:after="120"/>
        <w:jc w:val="both"/>
      </w:pPr>
      <w:r>
        <w:rPr>
          <w:b w:val="0"/>
          <w:i w:val="0"/>
          <w:sz w:val="22"/>
        </w:rPr>
        <w:t>MCP (Model Context Protocol) is not decoration here — it is the correct architectural substrate for a pipeline whose correctness depends on reproducibility, provenance, and strict separation between the reasoning LLM and the data-gathering infrastructure. The following subsections explain why MCP was chosen over the obvious alternatives (direct function calls inside the LLM turn, a bespoke REST API, or an agent-framework plugin).</w:t>
      </w:r>
    </w:p>
    <w:p>
      <w:pPr>
        <w:spacing w:before="240" w:after="120"/>
      </w:pPr>
      <w:r>
        <w:rPr>
          <w:rFonts w:ascii="Calibri" w:hAnsi="Calibri"/>
          <w:b/>
          <w:color w:val="1F3A5F"/>
          <w:sz w:val="28"/>
        </w:rPr>
        <w:t>2.1 Decoupling the LLM from the data layer</w:t>
      </w:r>
    </w:p>
    <w:p>
      <w:pPr>
        <w:spacing w:after="120"/>
        <w:jc w:val="both"/>
      </w:pPr>
      <w:r>
        <w:rPr>
          <w:b w:val="0"/>
          <w:i w:val="0"/>
          <w:sz w:val="22"/>
        </w:rPr>
        <w:t>Toxicology reviews live or die on provenance. If Claude (or any other LLM) were allowed to fetch URLs directly inside a conversation, every network call would compete for context-window budget with the reasoning the LLM is actually being asked to do. MCP inverts this: the LLM emits a structured tool call (resolve_chemical / harvest_evidence / build_review / audit_run), the MCP server performs hundreds of HTTP operations in its own Python process, and only a compact JSON summary returns to the model. The 50 MB of PDF bytes, the 200,000-char extracted text, the 48 KB JSONL trace — none of that pollutes the chat.</w:t>
      </w:r>
    </w:p>
    <w:p>
      <w:pPr>
        <w:spacing w:before="240" w:after="120"/>
      </w:pPr>
      <w:r>
        <w:rPr>
          <w:rFonts w:ascii="Calibri" w:hAnsi="Calibri"/>
          <w:b/>
          <w:color w:val="1F3A5F"/>
          <w:sz w:val="28"/>
        </w:rPr>
        <w:t>2.2 Deterministic, replayable runs</w:t>
      </w:r>
    </w:p>
    <w:p>
      <w:pPr>
        <w:spacing w:after="120"/>
        <w:jc w:val="both"/>
      </w:pPr>
      <w:r>
        <w:rPr>
          <w:b w:val="0"/>
          <w:i w:val="0"/>
          <w:sz w:val="22"/>
        </w:rPr>
        <w:t>MCP tools are typed. Their input and output schemas live in tools/schemas.py as mcp.types.Tool objects; arguments are validated on the way in and JSON-serialised on the way out. This means a harvest_evidence call with the same arguments produces the same side-effects on disk (run_id-stamped trace + ledger files) regardless of which LLM invoked it. Two runs are trivially comparable: diff the two ledger JSONLs.</w:t>
      </w:r>
    </w:p>
    <w:p>
      <w:pPr>
        <w:spacing w:before="240" w:after="120"/>
      </w:pPr>
      <w:r>
        <w:rPr>
          <w:rFonts w:ascii="Calibri" w:hAnsi="Calibri"/>
          <w:b/>
          <w:color w:val="1F3A5F"/>
          <w:sz w:val="28"/>
        </w:rPr>
        <w:t>2.3 Zero-hallucination by construction</w:t>
      </w:r>
    </w:p>
    <w:p>
      <w:pPr>
        <w:spacing w:after="120"/>
        <w:jc w:val="both"/>
      </w:pPr>
      <w:r>
        <w:rPr>
          <w:b w:val="0"/>
          <w:i w:val="0"/>
          <w:sz w:val="22"/>
        </w:rPr>
        <w:t>Because build_review is a pure function of (ChemicalIdentity, HarvestResult, output_path) — not of "whatever the LLM feels like writing now" — the composer can enforce the invariant that every body paragraph is a verbatim quote from a ledger-backed source. The audit_run tool then verifies that invariant after the fact by re-reading the .docx and checking each paragraph against the ledger corpus. This two-phase guarantee (construction + audit) is only clean because MCP gives us a stable, reviewable boundary between prose generation and data.</w:t>
      </w:r>
    </w:p>
    <w:p>
      <w:pPr>
        <w:spacing w:before="240" w:after="120"/>
      </w:pPr>
      <w:r>
        <w:rPr>
          <w:rFonts w:ascii="Calibri" w:hAnsi="Calibri"/>
          <w:b/>
          <w:color w:val="1F3A5F"/>
          <w:sz w:val="28"/>
        </w:rPr>
        <w:t>2.4 Observability, free of charge</w:t>
      </w:r>
    </w:p>
    <w:p>
      <w:pPr>
        <w:spacing w:after="120"/>
        <w:jc w:val="both"/>
      </w:pPr>
      <w:r>
        <w:rPr>
          <w:b w:val="0"/>
          <w:i w:val="0"/>
          <w:sz w:val="22"/>
        </w:rPr>
        <w:t>MCP's request/response model fits perfectly on top of a structured tracer. Every dispatch call is wrapped by a ToolContext.bind_run() that opens a Tracer (JSONL) and an EvidenceLedger (JSONL). Any pipeline step inside the server — an HTTPFetcher call, a PDF extraction, a per-section excerpt — appears in the trace with step, event, source, url, duration_ms, bytes, and error. The same trace is replayable offline with nothing but grep and jq. This is not grafted on; it falls out of the MCP surface being the single entry point into the pipeline.</w:t>
      </w:r>
    </w:p>
    <w:p>
      <w:pPr>
        <w:spacing w:before="240" w:after="120"/>
      </w:pPr>
      <w:r>
        <w:rPr>
          <w:rFonts w:ascii="Calibri" w:hAnsi="Calibri"/>
          <w:b/>
          <w:color w:val="1F3A5F"/>
          <w:sz w:val="28"/>
        </w:rPr>
        <w:t>2.5 Host-agnostic reusability</w:t>
      </w:r>
    </w:p>
    <w:p>
      <w:pPr>
        <w:spacing w:after="120"/>
        <w:jc w:val="both"/>
      </w:pPr>
      <w:r>
        <w:rPr>
          <w:b w:val="0"/>
          <w:i w:val="0"/>
          <w:sz w:val="22"/>
        </w:rPr>
        <w:t>The server speaks the MCP stdio transport (mcp.server.stdio.stdio_server). That means the same server binary plugs into Claude Desktop, the Claude Agent SDK, Cursor, Continue, or any other host that speaks MCP. The pipeline is not coupled to Claude.ai's chat transport or to Cowork-specific plumbing. Tomorrow it can be wrapped as an HTTP microservice with a 30-line adapter; nothing else changes.</w:t>
      </w:r>
    </w:p>
    <w:p>
      <w:pPr>
        <w:spacing w:before="240" w:after="120"/>
      </w:pPr>
      <w:r>
        <w:rPr>
          <w:rFonts w:ascii="Calibri" w:hAnsi="Calibri"/>
          <w:b/>
          <w:color w:val="1F3A5F"/>
          <w:sz w:val="28"/>
        </w:rPr>
        <w:t>2.6 Prompt surface as first-class citizens</w:t>
      </w:r>
    </w:p>
    <w:p>
      <w:pPr>
        <w:spacing w:after="120"/>
        <w:jc w:val="both"/>
      </w:pPr>
      <w:r>
        <w:rPr>
          <w:b w:val="0"/>
          <w:i w:val="0"/>
          <w:sz w:val="22"/>
        </w:rPr>
        <w:t>MCP hosts render not only tools but also prompts. prompts.py exposes three curated prompt templates (chemical_tox_review, quick_db_check, pmc_deep_dive). These appear in Claude Desktop's slash-menu, so a scientist can say /chemical_tox_review formaldehyde without remembering the tool sequencing. The prompt body is rendered server-side so the operational playbook stays with the server, not with each client.</w:t>
      </w:r>
    </w:p>
    <w:p>
      <w:pPr>
        <w:spacing w:before="240" w:after="120"/>
      </w:pPr>
      <w:r>
        <w:rPr>
          <w:rFonts w:ascii="Calibri" w:hAnsi="Calibri"/>
          <w:b/>
          <w:color w:val="1F3A5F"/>
          <w:sz w:val="28"/>
        </w:rPr>
        <w:t>2.7 Why not a REST API instead</w:t>
      </w:r>
    </w:p>
    <w:p>
      <w:pPr>
        <w:spacing w:after="120"/>
        <w:jc w:val="both"/>
      </w:pPr>
      <w:r>
        <w:rPr>
          <w:b w:val="0"/>
          <w:i w:val="0"/>
          <w:sz w:val="22"/>
        </w:rPr>
        <w:t>A REST API would have solved the decoupling problem but none of the LLM-facing ones. MCP tools are discovered dynamically by the host via list_tools; their JSON-schema descriptions flow directly into the model's tool-use context; they come with typed arguments, typed errors, and a per-session progress channel. Rebuilding any of that on top of raw HTTP would mean reimplementing MCP badly.</w:t>
      </w:r>
    </w:p>
    <w:p>
      <w:r>
        <w:br w:type="page"/>
      </w:r>
    </w:p>
    <w:p>
      <w:pPr>
        <w:spacing w:before="360" w:after="120"/>
      </w:pPr>
      <w:r>
        <w:rPr>
          <w:rFonts w:ascii="Calibri" w:hAnsi="Calibri"/>
          <w:b/>
          <w:color w:val="1F3A5F"/>
          <w:sz w:val="36"/>
        </w:rPr>
        <w:t>3. System Topology (10,000-foot view)</w:t>
      </w:r>
    </w:p>
    <w:p>
      <w:pPr>
        <w:spacing w:after="120"/>
        <w:jc w:val="both"/>
      </w:pPr>
      <w:r>
        <w:rPr>
          <w:b w:val="0"/>
          <w:i w:val="0"/>
          <w:sz w:val="22"/>
        </w:rPr>
        <w:t>Three hard process boundaries — Claude, the MCP server, and the external internet — and three persistent artifact types (trace JSONL, ledger JSONL, final .docx). Everything else is implementation detail.</w:t>
      </w:r>
    </w:p>
    <w:p>
      <w:pPr>
        <w:spacing w:after="120"/>
        <w:ind w:left="432" w:right="432"/>
        <w:shd w:val="clear" w:fill="F5F5F5"/>
      </w:pPr>
      <w:r>
        <w:rPr>
          <w:rFonts w:ascii="Consolas" w:hAnsi="Consolas"/>
          <w:color w:val="202020"/>
          <w:sz w:val="19"/>
        </w:rPr>
        <w:t>┌─────────────────┐   MCP JSON-RPC    ┌────────────────────────┐</w:t>
        <w:br/>
        <w:t>│  Host (Claude   │ ────tool call────▶ │  tox-scraper server    │</w:t>
        <w:br/>
        <w:t>│  Desktop,       │ ◀───result JSON─── │  (Python, asyncio,     │</w:t>
        <w:br/>
        <w:t>│  Cowork, etc.)  │                    │   FastMCP stdio)       │</w:t>
        <w:br/>
        <w:t>└─────────────────┘                    └──────────┬─────────────┘</w:t>
        <w:br/>
        <w:t xml:space="preserve">                                                  │</w:t>
        <w:br/>
        <w:t xml:space="preserve">                                                  │ ToolContext</w:t>
        <w:br/>
        <w:t xml:space="preserve">                                                  │  (15 shared clients)</w:t>
        <w:br/>
        <w:t xml:space="preserve">                                                  ▼</w:t>
        <w:br/>
        <w:t xml:space="preserve">           ┌──────────────────────────────────────────────────────┐</w:t>
        <w:br/>
        <w:t xml:space="preserve">           │  HTTPFetcher (one httpx client, cache, retry)         │</w:t>
        <w:br/>
        <w:t xml:space="preserve">           │       │                                               │</w:t>
        <w:br/>
        <w:t xml:space="preserve">           │       ├─▶ PubChemResolver     (identity)               │</w:t>
        <w:br/>
        <w:t xml:space="preserve">           │       ├─▶ MultiDatabaseHarvester                       │</w:t>
        <w:br/>
        <w:t xml:space="preserve">           │       │     └─▶ 14 per-DB harvesters (SS, NTP, ECHA…)  │</w:t>
        <w:br/>
        <w:t xml:space="preserve">           │       ├─▶ PaperFinder         (PubMed + EuropePMC)    │</w:t>
        <w:br/>
        <w:t xml:space="preserve">           │       ├─▶ PMCHarvester        (PMC JATS full text)    │</w:t>
        <w:br/>
        <w:t xml:space="preserve">           │       ├─▶ OpenAlexClient      (coverage counter)      │</w:t>
        <w:br/>
        <w:t xml:space="preserve">           │       ├─▶ AgencyProfileFetcher (ATSDR, NTP, IRIS…)    │</w:t>
        <w:br/>
        <w:t xml:space="preserve">           │       ├─▶ PDFExtractor / Multimodal (pdfminer+PyMuPDF)│</w:t>
        <w:br/>
        <w:t xml:space="preserve">           │       └─▶ ReportGenerator     (python-docx)           │</w:t>
        <w:br/>
        <w:t xml:space="preserve">           └──────────────────────────────────────────────────────┘</w:t>
        <w:br/>
        <w:t xml:space="preserve">                                                  │</w:t>
        <w:br/>
        <w:t xml:space="preserve">                  ┌───────────────────────────────┼───────────────────────────┐</w:t>
        <w:br/>
        <w:t xml:space="preserve">                  ▼                               ▼                           ▼</w:t>
        <w:br/>
        <w:t xml:space="preserve">           /tmp/tox_runs/                   /tmp/tox_runs/              /…/Review.docx</w:t>
        <w:br/>
        <w:t xml:space="preserve">           {run_id}.jsonl  ← tracer         {run_id}.ledger.jsonl       ← composer</w:t>
        <w:br/>
      </w:r>
    </w:p>
    <w:p>
      <w:pPr>
        <w:spacing w:before="240" w:after="120"/>
      </w:pPr>
      <w:r>
        <w:rPr>
          <w:rFonts w:ascii="Calibri" w:hAnsi="Calibri"/>
          <w:b/>
          <w:color w:val="1F3A5F"/>
          <w:sz w:val="28"/>
        </w:rPr>
        <w:t>Lifecycle of one build_review run</w:t>
      </w:r>
    </w:p>
    <w:p>
      <w:pPr>
        <w:spacing w:after="120"/>
        <w:jc w:val="both"/>
      </w:pPr>
      <w:r>
        <w:rPr>
          <w:b w:val="0"/>
          <w:i w:val="0"/>
          <w:sz w:val="22"/>
        </w:rPr>
        <w:t>A typical end-to-end build_review call runs four logical phases, wrapped inside a single MCP invocation:</w:t>
      </w:r>
    </w:p>
    <w:p>
      <w:pPr>
        <w:pStyle w:val="ListBullet"/>
        <w:spacing w:after="40"/>
        <w:ind w:left="360"/>
      </w:pPr>
      <w:r>
        <w:rPr>
          <w:sz w:val="22"/>
        </w:rPr>
        <w:t>Phase 0 — Context bind. ToolContext.bind_run(chemical) opens a fresh Tracer (/tmp/tox_runs/{run_id}.jsonl) and a matching EvidenceLedger (/tmp/tox_runs/{run_id}.ledger.jsonl). A pipeline start event is emitted.</w:t>
      </w:r>
    </w:p>
    <w:p>
      <w:pPr>
        <w:pStyle w:val="ListBullet"/>
        <w:spacing w:after="40"/>
        <w:ind w:left="360"/>
      </w:pPr>
      <w:r>
        <w:rPr>
          <w:sz w:val="22"/>
        </w:rPr>
        <w:t>Phase 1 — Resolve identity. pipeline.resolve.resolve_chemical is called to fill a ChemicalIdentity dataclass (CID, CAS, IUPAC name, SMILES, InChI, molecular formula, molecular weight, synonyms). This is the only input the composer needs beyond the harvest.</w:t>
      </w:r>
    </w:p>
    <w:p>
      <w:pPr>
        <w:pStyle w:val="ListBullet"/>
        <w:spacing w:after="40"/>
        <w:ind w:left="360"/>
      </w:pPr>
      <w:r>
        <w:rPr>
          <w:sz w:val="22"/>
        </w:rPr>
        <w:t>Phase 2 — Harvest evidence. pipeline.harvest.harvest_evidence fans out to the 14-DB MultiDatabaseHarvester in parallel, runs PubMed + EuropePMC and pulls PMC JATS for any PMCID hits, counts OpenAlex matches, and downloads all seven agency profiles. Every document is keyword-scanned and routed into one or more of the 29 sections.</w:t>
      </w:r>
    </w:p>
    <w:p>
      <w:pPr>
        <w:pStyle w:val="ListBullet"/>
        <w:spacing w:after="40"/>
        <w:ind w:left="360"/>
      </w:pPr>
      <w:r>
        <w:rPr>
          <w:sz w:val="22"/>
        </w:rPr>
        <w:t>Phase 3 — Compose. pipeline.review.build_review consumes the HarvestResult and emits the .docx via ReportGenerator. A _RefTable deduplicates references by (pmid, pmcid, doi, url) and numbers them [1..N] for inline citation.</w:t>
      </w:r>
    </w:p>
    <w:p>
      <w:pPr>
        <w:pStyle w:val="ListBullet"/>
        <w:spacing w:after="40"/>
        <w:ind w:left="360"/>
      </w:pPr>
      <w:r>
        <w:rPr>
          <w:sz w:val="22"/>
        </w:rPr>
        <w:t>Phase 4 — Audit (explicit, invoked separately). pipeline.audit.audit_run checks section coverage, paragraph groundedness, optional URL health, and returns an overall status of ok / warn / fail.</w:t>
      </w:r>
    </w:p>
    <w:p>
      <w:r>
        <w:br w:type="page"/>
      </w:r>
    </w:p>
    <w:p>
      <w:pPr>
        <w:spacing w:before="360" w:after="120"/>
      </w:pPr>
      <w:r>
        <w:rPr>
          <w:rFonts w:ascii="Calibri" w:hAnsi="Calibri"/>
          <w:b/>
          <w:color w:val="1F3A5F"/>
          <w:sz w:val="36"/>
        </w:rPr>
        <w:t>4. Repository Layout and Package Responsibilities</w:t>
      </w:r>
    </w:p>
    <w:p>
      <w:pPr>
        <w:spacing w:after="120"/>
        <w:jc w:val="both"/>
      </w:pPr>
      <w:r>
        <w:rPr>
          <w:b w:val="0"/>
          <w:i w:val="0"/>
          <w:sz w:val="22"/>
        </w:rPr>
        <w:t>The codebase is split into six sibling Python packages plus two top-level modules (server.py, prompts.py). Every subpackage has a single responsibility and a minimal inward-facing API.</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1584"/>
            <w:shd w:val="clear" w:fill="1F3A5F"/>
          </w:tcPr>
          <w:p>
            <w:r/>
            <w:r>
              <w:rPr>
                <w:b/>
                <w:color w:val="FFFFFF"/>
                <w:sz w:val="21"/>
              </w:rPr>
              <w:t>Package</w:t>
            </w:r>
          </w:p>
        </w:tc>
        <w:tc>
          <w:tcPr>
            <w:tcW w:type="dxa" w:w="720"/>
            <w:shd w:val="clear" w:fill="1F3A5F"/>
          </w:tcPr>
          <w:p>
            <w:r/>
            <w:r>
              <w:rPr>
                <w:b/>
                <w:color w:val="FFFFFF"/>
                <w:sz w:val="21"/>
              </w:rPr>
              <w:t>Files</w:t>
            </w:r>
          </w:p>
        </w:tc>
        <w:tc>
          <w:tcPr>
            <w:tcW w:type="dxa" w:w="864"/>
            <w:shd w:val="clear" w:fill="1F3A5F"/>
          </w:tcPr>
          <w:p>
            <w:r/>
            <w:r>
              <w:rPr>
                <w:b/>
                <w:color w:val="FFFFFF"/>
                <w:sz w:val="21"/>
              </w:rPr>
              <w:t>LOC</w:t>
            </w:r>
          </w:p>
        </w:tc>
        <w:tc>
          <w:tcPr>
            <w:tcW w:type="dxa" w:w="6624"/>
            <w:shd w:val="clear" w:fill="1F3A5F"/>
          </w:tcPr>
          <w:p>
            <w:r/>
            <w:r>
              <w:rPr>
                <w:b/>
                <w:color w:val="FFFFFF"/>
                <w:sz w:val="21"/>
              </w:rPr>
              <w:t>Responsibility</w:t>
            </w:r>
          </w:p>
        </w:tc>
      </w:tr>
      <w:tr>
        <w:tc>
          <w:tcPr>
            <w:tcW w:type="dxa" w:w="1584"/>
          </w:tcPr>
          <w:p>
            <w:r/>
            <w:r>
              <w:rPr>
                <w:sz w:val="20"/>
              </w:rPr>
              <w:t>config/</w:t>
            </w:r>
          </w:p>
        </w:tc>
        <w:tc>
          <w:tcPr>
            <w:tcW w:type="dxa" w:w="720"/>
          </w:tcPr>
          <w:p>
            <w:r/>
            <w:r>
              <w:rPr>
                <w:sz w:val="20"/>
              </w:rPr>
              <w:t>3</w:t>
            </w:r>
          </w:p>
        </w:tc>
        <w:tc>
          <w:tcPr>
            <w:tcW w:type="dxa" w:w="864"/>
          </w:tcPr>
          <w:p>
            <w:r/>
            <w:r>
              <w:rPr>
                <w:sz w:val="20"/>
              </w:rPr>
              <w:t>≈ 683</w:t>
            </w:r>
          </w:p>
        </w:tc>
        <w:tc>
          <w:tcPr>
            <w:tcW w:type="dxa" w:w="6624"/>
          </w:tcPr>
          <w:p>
            <w:r/>
            <w:r>
              <w:rPr>
                <w:sz w:val="20"/>
              </w:rPr>
              <w:t>Runtime settings (ScraperConfig), curated 34-DB registry, 29-section schema with query templates and SECTION_KEYWORDS.</w:t>
            </w:r>
          </w:p>
        </w:tc>
      </w:tr>
      <w:tr>
        <w:tc>
          <w:tcPr>
            <w:tcW w:type="dxa" w:w="1584"/>
          </w:tcPr>
          <w:p>
            <w:r/>
            <w:r>
              <w:rPr>
                <w:sz w:val="20"/>
              </w:rPr>
              <w:t>core/</w:t>
            </w:r>
          </w:p>
        </w:tc>
        <w:tc>
          <w:tcPr>
            <w:tcW w:type="dxa" w:w="720"/>
          </w:tcPr>
          <w:p>
            <w:r/>
            <w:r>
              <w:rPr>
                <w:sz w:val="20"/>
              </w:rPr>
              <w:t>8</w:t>
            </w:r>
          </w:p>
        </w:tc>
        <w:tc>
          <w:tcPr>
            <w:tcW w:type="dxa" w:w="864"/>
          </w:tcPr>
          <w:p>
            <w:r/>
            <w:r>
              <w:rPr>
                <w:sz w:val="20"/>
              </w:rPr>
              <w:t>≈ 1,167</w:t>
            </w:r>
          </w:p>
        </w:tc>
        <w:tc>
          <w:tcPr>
            <w:tcW w:type="dxa" w:w="6624"/>
          </w:tcPr>
          <w:p>
            <w:r/>
            <w:r>
              <w:rPr>
                <w:sz w:val="20"/>
              </w:rPr>
              <w:t>HTTP client, HTML text extraction, PDF extraction (pdfminer + pypdf), multimodal PDF extraction (figures/tables via PyMuPDF + pdfplumber), KeywordSearcher, LLMAdapter (opt-in), Tracer, EvidenceLedger.</w:t>
            </w:r>
          </w:p>
        </w:tc>
      </w:tr>
      <w:tr>
        <w:tc>
          <w:tcPr>
            <w:tcW w:type="dxa" w:w="1584"/>
          </w:tcPr>
          <w:p>
            <w:r/>
            <w:r>
              <w:rPr>
                <w:sz w:val="20"/>
              </w:rPr>
              <w:t>sources/</w:t>
            </w:r>
          </w:p>
        </w:tc>
        <w:tc>
          <w:tcPr>
            <w:tcW w:type="dxa" w:w="720"/>
          </w:tcPr>
          <w:p>
            <w:r/>
            <w:r>
              <w:rPr>
                <w:sz w:val="20"/>
              </w:rPr>
              <w:t>25+</w:t>
            </w:r>
          </w:p>
        </w:tc>
        <w:tc>
          <w:tcPr>
            <w:tcW w:type="dxa" w:w="864"/>
          </w:tcPr>
          <w:p>
            <w:r/>
            <w:r>
              <w:rPr>
                <w:sz w:val="20"/>
              </w:rPr>
              <w:t>≈ 3,900</w:t>
            </w:r>
          </w:p>
        </w:tc>
        <w:tc>
          <w:tcPr>
            <w:tcW w:type="dxa" w:w="6624"/>
          </w:tcPr>
          <w:p>
            <w:r/>
            <w:r>
              <w:rPr>
                <w:sz w:val="20"/>
              </w:rPr>
              <w:t>Shared BaseDatabaseSource contract, ChemicalIdentity &amp; PaperCandidate models, 14 per-database harvesters, PubChem resolver, PubMed/EuropePMC PaperFinder, PMC JATS harvester, OpenAlex client, agency fetcher, DatabaseSearcher, MultiDatabaseHarvester.</w:t>
            </w:r>
          </w:p>
        </w:tc>
      </w:tr>
      <w:tr>
        <w:tc>
          <w:tcPr>
            <w:tcW w:type="dxa" w:w="1584"/>
          </w:tcPr>
          <w:p>
            <w:r/>
            <w:r>
              <w:rPr>
                <w:sz w:val="20"/>
              </w:rPr>
              <w:t>pipeline/</w:t>
            </w:r>
          </w:p>
        </w:tc>
        <w:tc>
          <w:tcPr>
            <w:tcW w:type="dxa" w:w="720"/>
          </w:tcPr>
          <w:p>
            <w:r/>
            <w:r>
              <w:rPr>
                <w:sz w:val="20"/>
              </w:rPr>
              <w:t>9</w:t>
            </w:r>
          </w:p>
        </w:tc>
        <w:tc>
          <w:tcPr>
            <w:tcW w:type="dxa" w:w="864"/>
          </w:tcPr>
          <w:p>
            <w:r/>
            <w:r>
              <w:rPr>
                <w:sz w:val="20"/>
              </w:rPr>
              <w:t>≈ 2,453</w:t>
            </w:r>
          </w:p>
        </w:tc>
        <w:tc>
          <w:tcPr>
            <w:tcW w:type="dxa" w:w="6624"/>
          </w:tcPr>
          <w:p>
            <w:r/>
            <w:r>
              <w:rPr>
                <w:sz w:val="20"/>
              </w:rPr>
              <w:t>The 4 MCP-entry functions (resolve, harvest, review, audit) plus primitives: Scraper/BatchProcessor, EvidenceBuilder, ExtractionLedger, ReportGenerator (python-docx).</w:t>
            </w:r>
          </w:p>
        </w:tc>
      </w:tr>
      <w:tr>
        <w:tc>
          <w:tcPr>
            <w:tcW w:type="dxa" w:w="1584"/>
          </w:tcPr>
          <w:p>
            <w:r/>
            <w:r>
              <w:rPr>
                <w:sz w:val="20"/>
              </w:rPr>
              <w:t>tools/</w:t>
            </w:r>
          </w:p>
        </w:tc>
        <w:tc>
          <w:tcPr>
            <w:tcW w:type="dxa" w:w="720"/>
          </w:tcPr>
          <w:p>
            <w:r/>
            <w:r>
              <w:rPr>
                <w:sz w:val="20"/>
              </w:rPr>
              <w:t>4</w:t>
            </w:r>
          </w:p>
        </w:tc>
        <w:tc>
          <w:tcPr>
            <w:tcW w:type="dxa" w:w="864"/>
          </w:tcPr>
          <w:p>
            <w:r/>
            <w:r>
              <w:rPr>
                <w:sz w:val="20"/>
              </w:rPr>
              <w:t>≈ 508</w:t>
            </w:r>
          </w:p>
        </w:tc>
        <w:tc>
          <w:tcPr>
            <w:tcW w:type="dxa" w:w="6624"/>
          </w:tcPr>
          <w:p>
            <w:r/>
            <w:r>
              <w:rPr>
                <w:sz w:val="20"/>
              </w:rPr>
              <w:t>ToolContext (15-client DI object), ALL_TOOL_SCHEMAS, dispatch(name, args, ctx). Keeps the MCP surface separate from the pipeline.</w:t>
            </w:r>
          </w:p>
        </w:tc>
      </w:tr>
      <w:tr>
        <w:tc>
          <w:tcPr>
            <w:tcW w:type="dxa" w:w="1584"/>
          </w:tcPr>
          <w:p>
            <w:r/>
            <w:r>
              <w:rPr>
                <w:sz w:val="20"/>
              </w:rPr>
              <w:t>prompts.py</w:t>
            </w:r>
          </w:p>
        </w:tc>
        <w:tc>
          <w:tcPr>
            <w:tcW w:type="dxa" w:w="720"/>
          </w:tcPr>
          <w:p>
            <w:r/>
            <w:r>
              <w:rPr>
                <w:sz w:val="20"/>
              </w:rPr>
              <w:t>1</w:t>
            </w:r>
          </w:p>
        </w:tc>
        <w:tc>
          <w:tcPr>
            <w:tcW w:type="dxa" w:w="864"/>
          </w:tcPr>
          <w:p>
            <w:r/>
            <w:r>
              <w:rPr>
                <w:sz w:val="20"/>
              </w:rPr>
              <w:t>144</w:t>
            </w:r>
          </w:p>
        </w:tc>
        <w:tc>
          <w:tcPr>
            <w:tcW w:type="dxa" w:w="6624"/>
          </w:tcPr>
          <w:p>
            <w:r/>
            <w:r>
              <w:rPr>
                <w:sz w:val="20"/>
              </w:rPr>
              <w:t>Three MCP prompt templates and their server-side renderers.</w:t>
            </w:r>
          </w:p>
        </w:tc>
      </w:tr>
      <w:tr>
        <w:tc>
          <w:tcPr>
            <w:tcW w:type="dxa" w:w="1584"/>
          </w:tcPr>
          <w:p>
            <w:r/>
            <w:r>
              <w:rPr>
                <w:sz w:val="20"/>
              </w:rPr>
              <w:t>server.py</w:t>
            </w:r>
          </w:p>
        </w:tc>
        <w:tc>
          <w:tcPr>
            <w:tcW w:type="dxa" w:w="720"/>
          </w:tcPr>
          <w:p>
            <w:r/>
            <w:r>
              <w:rPr>
                <w:sz w:val="20"/>
              </w:rPr>
              <w:t>1</w:t>
            </w:r>
          </w:p>
        </w:tc>
        <w:tc>
          <w:tcPr>
            <w:tcW w:type="dxa" w:w="864"/>
          </w:tcPr>
          <w:p>
            <w:r/>
            <w:r>
              <w:rPr>
                <w:sz w:val="20"/>
              </w:rPr>
              <w:t>86</w:t>
            </w:r>
          </w:p>
        </w:tc>
        <w:tc>
          <w:tcPr>
            <w:tcW w:type="dxa" w:w="6624"/>
          </w:tcPr>
          <w:p>
            <w:r/>
            <w:r>
              <w:rPr>
                <w:sz w:val="20"/>
              </w:rPr>
              <w:t>Thin entry point. Boots asyncio, registers list_tools / call_tool / list_prompts / get_prompt handlers, and runs the stdio transport.</w:t>
            </w:r>
          </w:p>
        </w:tc>
      </w:tr>
    </w:tbl>
    <w:p>
      <w:pPr>
        <w:spacing w:after="80"/>
      </w:pPr>
    </w:p>
    <w:p>
      <w:pPr>
        <w:spacing w:before="240" w:after="120"/>
      </w:pPr>
      <w:r>
        <w:rPr>
          <w:rFonts w:ascii="Calibri" w:hAnsi="Calibri"/>
          <w:b/>
          <w:color w:val="1F3A5F"/>
          <w:sz w:val="28"/>
        </w:rPr>
        <w:t>Package dependency graph</w:t>
      </w:r>
    </w:p>
    <w:p>
      <w:pPr>
        <w:spacing w:after="120"/>
        <w:jc w:val="both"/>
      </w:pPr>
      <w:r>
        <w:rPr>
          <w:b w:val="0"/>
          <w:i w:val="0"/>
          <w:sz w:val="22"/>
        </w:rPr>
        <w:t>The graph is a strict DAG: config has no dependencies on anything in the project; core depends only on config; sources depend on core + config; pipeline depends on config + core + sources; tools depend on pipeline; server depends on tools + prompts. This layering is why the consolidation to four tools didn't require any cross-package rewiring: every boundary was already one-directional.</w:t>
      </w:r>
    </w:p>
    <w:p>
      <w:pPr>
        <w:spacing w:after="120"/>
        <w:ind w:left="432" w:right="432"/>
        <w:shd w:val="clear" w:fill="F5F5F5"/>
      </w:pPr>
      <w:r>
        <w:rPr>
          <w:rFonts w:ascii="Consolas" w:hAnsi="Consolas"/>
          <w:color w:val="202020"/>
          <w:sz w:val="19"/>
        </w:rPr>
        <w:t>server.py  ──▶  tools/  ──▶  pipeline/  ──▶  sources/  ──▶  core/  ──▶  config/</w:t>
        <w:br/>
        <w:t xml:space="preserve">              └──▶  prompts.py</w:t>
        <w:br/>
      </w:r>
    </w:p>
    <w:p>
      <w:r>
        <w:br w:type="page"/>
      </w:r>
    </w:p>
    <w:p>
      <w:pPr>
        <w:spacing w:before="360" w:after="120"/>
      </w:pPr>
      <w:r>
        <w:rPr>
          <w:rFonts w:ascii="Calibri" w:hAnsi="Calibri"/>
          <w:b/>
          <w:color w:val="1F3A5F"/>
          <w:sz w:val="36"/>
        </w:rPr>
        <w:t>5. The 4-Tool MCP Surface</w:t>
      </w:r>
    </w:p>
    <w:p>
      <w:pPr>
        <w:spacing w:after="120"/>
        <w:jc w:val="both"/>
      </w:pPr>
      <w:r>
        <w:rPr>
          <w:b w:val="0"/>
          <w:i w:val="0"/>
          <w:sz w:val="22"/>
        </w:rPr>
        <w:t>The tool surface is deliberately small. Four tools cover the full scientist workflow (identity → evidence → review → audit) without exposing the hundred or so low-level primitives the pipeline composes internally. Every tool is declared once in tools/schemas.py and dispatched in tools/handlers.py.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432"/>
            <w:shd w:val="clear" w:fill="1F3A5F"/>
          </w:tcPr>
          <w:p>
            <w:r/>
            <w:r>
              <w:rPr>
                <w:b/>
                <w:color w:val="FFFFFF"/>
                <w:sz w:val="21"/>
              </w:rPr>
              <w:t>#</w:t>
            </w:r>
          </w:p>
        </w:tc>
        <w:tc>
          <w:tcPr>
            <w:tcW w:type="dxa" w:w="2016"/>
            <w:shd w:val="clear" w:fill="1F3A5F"/>
          </w:tcPr>
          <w:p>
            <w:r/>
            <w:r>
              <w:rPr>
                <w:b/>
                <w:color w:val="FFFFFF"/>
                <w:sz w:val="21"/>
              </w:rPr>
              <w:t>Tool</w:t>
            </w:r>
          </w:p>
        </w:tc>
        <w:tc>
          <w:tcPr>
            <w:tcW w:type="dxa" w:w="6192"/>
            <w:shd w:val="clear" w:fill="1F3A5F"/>
          </w:tcPr>
          <w:p>
            <w:r/>
            <w:r>
              <w:rPr>
                <w:b/>
                <w:color w:val="FFFFFF"/>
                <w:sz w:val="21"/>
              </w:rPr>
              <w:t>Purpose</w:t>
            </w:r>
          </w:p>
        </w:tc>
        <w:tc>
          <w:tcPr>
            <w:tcW w:type="dxa" w:w="2160"/>
            <w:shd w:val="clear" w:fill="1F3A5F"/>
          </w:tcPr>
          <w:p>
            <w:r/>
            <w:r>
              <w:rPr>
                <w:b/>
                <w:color w:val="FFFFFF"/>
                <w:sz w:val="21"/>
              </w:rPr>
              <w:t>Required inputs</w:t>
            </w:r>
          </w:p>
        </w:tc>
      </w:tr>
      <w:tr>
        <w:tc>
          <w:tcPr>
            <w:tcW w:type="dxa" w:w="432"/>
          </w:tcPr>
          <w:p>
            <w:r/>
            <w:r>
              <w:rPr>
                <w:sz w:val="20"/>
              </w:rPr>
              <w:t>1</w:t>
            </w:r>
          </w:p>
        </w:tc>
        <w:tc>
          <w:tcPr>
            <w:tcW w:type="dxa" w:w="2016"/>
          </w:tcPr>
          <w:p>
            <w:r/>
            <w:r>
              <w:rPr>
                <w:sz w:val="20"/>
              </w:rPr>
              <w:t>resolve_chemical</w:t>
            </w:r>
          </w:p>
        </w:tc>
        <w:tc>
          <w:tcPr>
            <w:tcW w:type="dxa" w:w="6192"/>
          </w:tcPr>
          <w:p>
            <w:r/>
            <w:r>
              <w:rPr>
                <w:sz w:val="20"/>
              </w:rPr>
              <w:t>Canonical identity for a name / CAS / SMILES / InChI / CID.</w:t>
            </w:r>
          </w:p>
        </w:tc>
        <w:tc>
          <w:tcPr>
            <w:tcW w:type="dxa" w:w="2160"/>
          </w:tcPr>
          <w:p>
            <w:r/>
            <w:r>
              <w:rPr>
                <w:sz w:val="20"/>
              </w:rPr>
              <w:t>query</w:t>
            </w:r>
          </w:p>
        </w:tc>
      </w:tr>
      <w:tr>
        <w:tc>
          <w:tcPr>
            <w:tcW w:type="dxa" w:w="432"/>
          </w:tcPr>
          <w:p>
            <w:r/>
            <w:r>
              <w:rPr>
                <w:sz w:val="20"/>
              </w:rPr>
              <w:t>2</w:t>
            </w:r>
          </w:p>
        </w:tc>
        <w:tc>
          <w:tcPr>
            <w:tcW w:type="dxa" w:w="2016"/>
          </w:tcPr>
          <w:p>
            <w:r/>
            <w:r>
              <w:rPr>
                <w:sz w:val="20"/>
              </w:rPr>
              <w:t>harvest_evidence</w:t>
            </w:r>
          </w:p>
        </w:tc>
        <w:tc>
          <w:tcPr>
            <w:tcW w:type="dxa" w:w="6192"/>
          </w:tcPr>
          <w:p>
            <w:r/>
            <w:r>
              <w:rPr>
                <w:sz w:val="20"/>
              </w:rPr>
              <w:t>Parallel 14-DB harvest + PubMed/EuropePMC + OpenAlex + 7 agency profiles, keyword-routed to the 29 canonical sections. Writes EvidenceLedger + Tracer.</w:t>
            </w:r>
          </w:p>
        </w:tc>
        <w:tc>
          <w:tcPr>
            <w:tcW w:type="dxa" w:w="2160"/>
          </w:tcPr>
          <w:p>
            <w:r/>
            <w:r>
              <w:rPr>
                <w:sz w:val="20"/>
              </w:rPr>
              <w:t>chemical (optional: cas, per_db_limit, include_* flags)</w:t>
            </w:r>
          </w:p>
        </w:tc>
      </w:tr>
      <w:tr>
        <w:tc>
          <w:tcPr>
            <w:tcW w:type="dxa" w:w="432"/>
          </w:tcPr>
          <w:p>
            <w:r/>
            <w:r>
              <w:rPr>
                <w:sz w:val="20"/>
              </w:rPr>
              <w:t>3</w:t>
            </w:r>
          </w:p>
        </w:tc>
        <w:tc>
          <w:tcPr>
            <w:tcW w:type="dxa" w:w="2016"/>
          </w:tcPr>
          <w:p>
            <w:r/>
            <w:r>
              <w:rPr>
                <w:sz w:val="20"/>
              </w:rPr>
              <w:t>build_review</w:t>
            </w:r>
          </w:p>
        </w:tc>
        <w:tc>
          <w:tcPr>
            <w:tcW w:type="dxa" w:w="6192"/>
          </w:tcPr>
          <w:p>
            <w:r/>
            <w:r>
              <w:rPr>
                <w:sz w:val="20"/>
              </w:rPr>
              <w:t>Compose the final Benzene-v3-style .docx from a harvest. Zero-LLM.</w:t>
            </w:r>
          </w:p>
        </w:tc>
        <w:tc>
          <w:tcPr>
            <w:tcW w:type="dxa" w:w="2160"/>
          </w:tcPr>
          <w:p>
            <w:r/>
            <w:r>
              <w:rPr>
                <w:sz w:val="20"/>
              </w:rPr>
              <w:t>chemical, output_path</w:t>
            </w:r>
          </w:p>
        </w:tc>
      </w:tr>
      <w:tr>
        <w:tc>
          <w:tcPr>
            <w:tcW w:type="dxa" w:w="432"/>
          </w:tcPr>
          <w:p>
            <w:r/>
            <w:r>
              <w:rPr>
                <w:sz w:val="20"/>
              </w:rPr>
              <w:t>4</w:t>
            </w:r>
          </w:p>
        </w:tc>
        <w:tc>
          <w:tcPr>
            <w:tcW w:type="dxa" w:w="2016"/>
          </w:tcPr>
          <w:p>
            <w:r/>
            <w:r>
              <w:rPr>
                <w:sz w:val="20"/>
              </w:rPr>
              <w:t>audit_run</w:t>
            </w:r>
          </w:p>
        </w:tc>
        <w:tc>
          <w:tcPr>
            <w:tcW w:type="dxa" w:w="6192"/>
          </w:tcPr>
          <w:p>
            <w:r/>
            <w:r>
              <w:rPr>
                <w:sz w:val="20"/>
              </w:rPr>
              <w:t>Post-build hallucination / coverage / URL-health audit. Returns ok/warn/fail.</w:t>
            </w:r>
          </w:p>
        </w:tc>
        <w:tc>
          <w:tcPr>
            <w:tcW w:type="dxa" w:w="2160"/>
          </w:tcPr>
          <w:p>
            <w:r/>
            <w:r>
              <w:rPr>
                <w:sz w:val="20"/>
              </w:rPr>
              <w:t>run_id, docx_path, ledger_path</w:t>
            </w:r>
          </w:p>
        </w:tc>
      </w:tr>
    </w:tbl>
    <w:p>
      <w:pPr>
        <w:spacing w:after="80"/>
      </w:pPr>
    </w:p>
    <w:p>
      <w:pPr>
        <w:spacing w:before="240" w:after="120"/>
      </w:pPr>
      <w:r>
        <w:rPr>
          <w:rFonts w:ascii="Calibri" w:hAnsi="Calibri"/>
          <w:b/>
          <w:color w:val="1F3A5F"/>
          <w:sz w:val="28"/>
        </w:rPr>
        <w:t>Dispatch contract</w:t>
      </w:r>
    </w:p>
    <w:p>
      <w:pPr>
        <w:spacing w:after="120"/>
        <w:jc w:val="both"/>
      </w:pPr>
      <w:r>
        <w:rPr>
          <w:b w:val="0"/>
          <w:i w:val="0"/>
          <w:sz w:val="22"/>
        </w:rPr>
        <w:t>tools/handlers.py:dispatch(name, arguments, ctx) is the single handler. Each branch delegates to the corresponding pipeline module. The _ok / _err helpers serialise the response as mcp.types.TextContent so the MCP host sees JSON. Error branches preserve the exception type so the client can distinguish a KeyError from a TimeoutError.</w:t>
      </w:r>
    </w:p>
    <w:p>
      <w:pPr>
        <w:spacing w:after="120"/>
        <w:ind w:left="432" w:right="432"/>
        <w:shd w:val="clear" w:fill="F5F5F5"/>
      </w:pPr>
      <w:r>
        <w:rPr>
          <w:rFonts w:ascii="Consolas" w:hAnsi="Consolas"/>
          <w:color w:val="202020"/>
          <w:sz w:val="19"/>
        </w:rPr>
        <w:t>async def dispatch(name: str, arguments: dict, ctx) -&gt; list[types.TextContent]:</w:t>
        <w:br/>
        <w:t xml:space="preserve">    if name == "resolve_chemical":</w:t>
        <w:br/>
        <w:t xml:space="preserve">        result = await _resolve_chemical(ctx.pubchem, arguments["query"])</w:t>
        <w:br/>
        <w:t xml:space="preserve">        return _ok(result)</w:t>
        <w:br/>
        <w:t xml:space="preserve">    if name == "harvest_evidence":</w:t>
        <w:br/>
        <w:t xml:space="preserve">        if ctx.tracer is None or ctx.evidence_ledger is None:</w:t>
        <w:br/>
        <w:t xml:space="preserve">            ctx.bind_run(arguments["chemical"])</w:t>
        <w:br/>
        <w:t xml:space="preserve">        result = await _harvest_evidence(</w:t>
        <w:br/>
        <w:t xml:space="preserve">            chemical=arguments["chemical"], cas=arguments.get("cas"),</w:t>
        <w:br/>
        <w:t xml:space="preserve">            multi_harvester=ctx.multi_harvester, papers=ctx.papers,</w:t>
        <w:br/>
        <w:t xml:space="preserve">            openalex=ctx.openalex, pmc=ctx.pmc, agency=ctx.agency,</w:t>
        <w:br/>
        <w:t xml:space="preserve">            tracer=ctx.tracer, ledger=ctx.evidence_ledger,</w:t>
        <w:br/>
        <w:t xml:space="preserve">            per_db_limit=arguments.get("per_db_limit", 15), ...)</w:t>
        <w:br/>
        <w:t xml:space="preserve">        ...</w:t>
        <w:br/>
        <w:t xml:space="preserve">    if name == "build_review":</w:t>
        <w:br/>
        <w:t xml:space="preserve">        ...</w:t>
        <w:br/>
        <w:t xml:space="preserve">    if name == "audit_run":</w:t>
        <w:br/>
        <w:t xml:space="preserve">        ...</w:t>
        <w:br/>
      </w:r>
    </w:p>
    <w:p>
      <w:r>
        <w:br w:type="page"/>
      </w:r>
    </w:p>
    <w:p>
      <w:pPr>
        <w:spacing w:before="360" w:after="120"/>
      </w:pPr>
      <w:r>
        <w:rPr>
          <w:rFonts w:ascii="Calibri" w:hAnsi="Calibri"/>
          <w:b/>
          <w:color w:val="1F3A5F"/>
          <w:sz w:val="36"/>
        </w:rPr>
        <w:t>6. Tool 1 — resolve_chemical</w:t>
      </w:r>
    </w:p>
    <w:p>
      <w:pPr>
        <w:spacing w:after="120"/>
        <w:jc w:val="both"/>
      </w:pPr>
      <w:r>
        <w:rPr>
          <w:b w:val="0"/>
          <w:i w:val="0"/>
          <w:sz w:val="22"/>
        </w:rPr>
        <w:t>The simplest tool of the four. It accepts an untyped query (anything PubChem can resolve — chemical name, CAS registry number, SMILES, InChI, InChIKey, or PubChem CID) and returns a canonical ChemicalIdentity dict. It is stateless and cheap: one to three PubChem E-utilities calls.</w:t>
      </w:r>
    </w:p>
    <w:p>
      <w:pPr>
        <w:spacing w:before="240" w:after="120"/>
      </w:pPr>
      <w:r>
        <w:rPr>
          <w:rFonts w:ascii="Calibri" w:hAnsi="Calibri"/>
          <w:b/>
          <w:color w:val="1F3A5F"/>
          <w:sz w:val="28"/>
        </w:rPr>
        <w:t>Input schema (tools/schemas.py)</w:t>
      </w:r>
    </w:p>
    <w:p>
      <w:pPr>
        <w:spacing w:after="120"/>
        <w:ind w:left="432" w:right="432"/>
        <w:shd w:val="clear" w:fill="F5F5F5"/>
      </w:pPr>
      <w:r>
        <w:rPr>
          <w:rFonts w:ascii="Consolas" w:hAnsi="Consolas"/>
          <w:color w:val="202020"/>
          <w:sz w:val="19"/>
        </w:rPr>
        <w:t>{</w:t>
        <w:br/>
        <w:t xml:space="preserve">  "type": "object",</w:t>
        <w:br/>
        <w:t xml:space="preserve">  "properties": {</w:t>
        <w:br/>
        <w:t xml:space="preserve">    "query": { "type": "string",</w:t>
        <w:br/>
        <w:t xml:space="preserve">               "description": "name | CAS | SMILES | InChI | InChIKey | CID" }</w:t>
        <w:br/>
        <w:t xml:space="preserve">  },</w:t>
        <w:br/>
        <w:t xml:space="preserve">  "required": ["query"]</w:t>
        <w:br/>
        <w:t>}</w:t>
      </w:r>
    </w:p>
    <w:p>
      <w:pPr>
        <w:spacing w:before="240" w:after="120"/>
      </w:pPr>
      <w:r>
        <w:rPr>
          <w:rFonts w:ascii="Calibri" w:hAnsi="Calibri"/>
          <w:b/>
          <w:color w:val="1F3A5F"/>
          <w:sz w:val="28"/>
        </w:rPr>
        <w:t>Handler flow</w:t>
      </w:r>
    </w:p>
    <w:p>
      <w:pPr>
        <w:pStyle w:val="ListBullet"/>
        <w:spacing w:after="40"/>
        <w:ind w:left="360"/>
      </w:pPr>
      <w:r>
        <w:rPr>
          <w:sz w:val="22"/>
        </w:rPr>
        <w:t>pipeline.resolve.resolve_chemical(ctx.pubchem, query) is called.</w:t>
      </w:r>
    </w:p>
    <w:p>
      <w:pPr>
        <w:pStyle w:val="ListBullet"/>
        <w:spacing w:after="40"/>
        <w:ind w:left="360"/>
      </w:pPr>
      <w:r>
        <w:rPr>
          <w:sz w:val="22"/>
        </w:rPr>
        <w:t>sources.pubchem.PubChemResolver.resolve(query) fetches CID by best-effort dispatcher: name → cid → full property set, or CAS → cid, SMILES → cid, etc.</w:t>
      </w:r>
    </w:p>
    <w:p>
      <w:pPr>
        <w:pStyle w:val="ListBullet"/>
        <w:spacing w:after="40"/>
        <w:ind w:left="360"/>
      </w:pPr>
      <w:r>
        <w:rPr>
          <w:sz w:val="22"/>
        </w:rPr>
        <w:t>A ChemicalIdentity dataclass is built (CID, CAS, IUPAC, canonical/isomeric SMILES, InChI/InChIKey, molecular formula, molecular weight, up to N synonyms, common name, pubchem_url).</w:t>
      </w:r>
    </w:p>
    <w:p>
      <w:pPr>
        <w:pStyle w:val="ListBullet"/>
        <w:spacing w:after="40"/>
        <w:ind w:left="360"/>
      </w:pPr>
      <w:r>
        <w:rPr>
          <w:sz w:val="22"/>
        </w:rPr>
        <w:t>The result is serialised via identity.to_dict() and wrapped in {ok: True/False, ...}. The ok flag reflects whether cid was populated without error.</w:t>
      </w:r>
    </w:p>
    <w:p>
      <w:pPr>
        <w:spacing w:before="240" w:after="120"/>
      </w:pPr>
      <w:r>
        <w:rPr>
          <w:rFonts w:ascii="Calibri" w:hAnsi="Calibri"/>
          <w:b/>
          <w:color w:val="1F3A5F"/>
          <w:sz w:val="28"/>
        </w:rPr>
        <w:t>Why it lives in its own tool</w:t>
      </w:r>
    </w:p>
    <w:p>
      <w:pPr>
        <w:spacing w:after="120"/>
        <w:jc w:val="both"/>
      </w:pPr>
      <w:r>
        <w:rPr>
          <w:b w:val="0"/>
          <w:i w:val="0"/>
          <w:sz w:val="22"/>
        </w:rPr>
        <w:t>Identity is needed before any harvest — the CAS is often the only reliable key for regulatory sources. Separating it from harvest_evidence lets the host cache it (chemical names don't change) and exposes it as a quick one-liner when a scientist only needs InChI or molecular weight.</w:t>
      </w:r>
    </w:p>
    <w:p>
      <w:r>
        <w:br w:type="page"/>
      </w:r>
    </w:p>
    <w:p>
      <w:pPr>
        <w:spacing w:before="360" w:after="120"/>
      </w:pPr>
      <w:r>
        <w:rPr>
          <w:rFonts w:ascii="Calibri" w:hAnsi="Calibri"/>
          <w:b/>
          <w:color w:val="1F3A5F"/>
          <w:sz w:val="36"/>
        </w:rPr>
        <w:t>7. Tool 2 — harvest_evidence</w:t>
      </w:r>
    </w:p>
    <w:p>
      <w:pPr>
        <w:spacing w:after="120"/>
        <w:jc w:val="both"/>
      </w:pPr>
      <w:r>
        <w:rPr>
          <w:b w:val="0"/>
          <w:i w:val="0"/>
          <w:sz w:val="22"/>
        </w:rPr>
        <w:t>The heart of the system. A single harvest_evidence call runs four data-gathering phases in parallel, keyword-scans every document for section routing, and writes everything to the run's ledger and trace. It returns a HarvestResult object that is the only input build_review needs.</w:t>
      </w:r>
    </w:p>
    <w:p>
      <w:pPr>
        <w:spacing w:before="240" w:after="120"/>
      </w:pPr>
      <w:r>
        <w:rPr>
          <w:rFonts w:ascii="Calibri" w:hAnsi="Calibri"/>
          <w:b/>
          <w:color w:val="1F3A5F"/>
          <w:sz w:val="28"/>
        </w:rPr>
        <w:t>Phases executed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576"/>
            <w:shd w:val="clear" w:fill="1F3A5F"/>
          </w:tcPr>
          <w:p>
            <w:r/>
            <w:r>
              <w:rPr>
                <w:b/>
                <w:color w:val="FFFFFF"/>
                <w:sz w:val="21"/>
              </w:rPr>
              <w:t>Phase</w:t>
            </w:r>
          </w:p>
        </w:tc>
        <w:tc>
          <w:tcPr>
            <w:tcW w:type="dxa" w:w="5472"/>
            <w:shd w:val="clear" w:fill="1F3A5F"/>
          </w:tcPr>
          <w:p>
            <w:r/>
            <w:r>
              <w:rPr>
                <w:b/>
                <w:color w:val="FFFFFF"/>
                <w:sz w:val="21"/>
              </w:rPr>
              <w:t>What runs</w:t>
            </w:r>
          </w:p>
        </w:tc>
        <w:tc>
          <w:tcPr>
            <w:tcW w:type="dxa" w:w="2016"/>
            <w:shd w:val="clear" w:fill="1F3A5F"/>
          </w:tcPr>
          <w:p>
            <w:r/>
            <w:r>
              <w:rPr>
                <w:b/>
                <w:color w:val="FFFFFF"/>
                <w:sz w:val="21"/>
              </w:rPr>
              <w:t>Concurrency</w:t>
            </w:r>
          </w:p>
        </w:tc>
        <w:tc>
          <w:tcPr>
            <w:tcW w:type="dxa" w:w="2448"/>
            <w:shd w:val="clear" w:fill="1F3A5F"/>
          </w:tcPr>
          <w:p>
            <w:r/>
            <w:r>
              <w:rPr>
                <w:b/>
                <w:color w:val="FFFFFF"/>
                <w:sz w:val="21"/>
              </w:rPr>
              <w:t>Writes</w:t>
            </w:r>
          </w:p>
        </w:tc>
      </w:tr>
      <w:tr>
        <w:tc>
          <w:tcPr>
            <w:tcW w:type="dxa" w:w="576"/>
          </w:tcPr>
          <w:p>
            <w:r/>
            <w:r>
              <w:rPr>
                <w:sz w:val="20"/>
              </w:rPr>
              <w:t>1</w:t>
            </w:r>
          </w:p>
        </w:tc>
        <w:tc>
          <w:tcPr>
            <w:tcW w:type="dxa" w:w="5472"/>
          </w:tcPr>
          <w:p>
            <w:r/>
            <w:r>
              <w:rPr>
                <w:sz w:val="20"/>
              </w:rPr>
              <w:t>MultiDatabaseHarvester.harvest_all — 14 per-DB harvesters fan out in parallel. Each runs search → download_pdf → extract_full_text → extract_tables → extract_figures for up to per_db_limit papers.</w:t>
            </w:r>
          </w:p>
        </w:tc>
        <w:tc>
          <w:tcPr>
            <w:tcW w:type="dxa" w:w="2016"/>
          </w:tcPr>
          <w:p>
            <w:r/>
            <w:r>
              <w:rPr>
                <w:sz w:val="20"/>
              </w:rPr>
              <w:t>14 parallel DB tasks × up to 5 papers each</w:t>
            </w:r>
          </w:p>
        </w:tc>
        <w:tc>
          <w:tcPr>
            <w:tcW w:type="dxa" w:w="2448"/>
          </w:tcPr>
          <w:p>
            <w:r/>
            <w:r>
              <w:rPr>
                <w:sz w:val="20"/>
              </w:rPr>
              <w:t>HarvestedDocument list, per-DB errors</w:t>
            </w:r>
          </w:p>
        </w:tc>
      </w:tr>
      <w:tr>
        <w:tc>
          <w:tcPr>
            <w:tcW w:type="dxa" w:w="576"/>
          </w:tcPr>
          <w:p>
            <w:r/>
            <w:r>
              <w:rPr>
                <w:sz w:val="20"/>
              </w:rPr>
              <w:t>2</w:t>
            </w:r>
          </w:p>
        </w:tc>
        <w:tc>
          <w:tcPr>
            <w:tcW w:type="dxa" w:w="5472"/>
          </w:tcPr>
          <w:p>
            <w:r/>
            <w:r>
              <w:rPr>
                <w:sz w:val="20"/>
              </w:rPr>
              <w:t>PaperFinder.find — PubMed E-utilities (esearch+efetch) + EuropePMC search in parallel, merge_and_rank by priority_score. For each PMCID hit, PMCHarvester.fetch pulls the JATS body.</w:t>
            </w:r>
          </w:p>
        </w:tc>
        <w:tc>
          <w:tcPr>
            <w:tcW w:type="dxa" w:w="2016"/>
          </w:tcPr>
          <w:p>
            <w:r/>
            <w:r>
              <w:rPr>
                <w:sz w:val="20"/>
              </w:rPr>
              <w:t>2 parallel searches, merged</w:t>
            </w:r>
          </w:p>
        </w:tc>
        <w:tc>
          <w:tcPr>
            <w:tcW w:type="dxa" w:w="2448"/>
          </w:tcPr>
          <w:p>
            <w:r/>
            <w:r>
              <w:rPr>
                <w:sz w:val="20"/>
              </w:rPr>
              <w:t>Abstracts + PMC bodies</w:t>
            </w:r>
          </w:p>
        </w:tc>
      </w:tr>
      <w:tr>
        <w:tc>
          <w:tcPr>
            <w:tcW w:type="dxa" w:w="576"/>
          </w:tcPr>
          <w:p>
            <w:r/>
            <w:r>
              <w:rPr>
                <w:sz w:val="20"/>
              </w:rPr>
              <w:t>3</w:t>
            </w:r>
          </w:p>
        </w:tc>
        <w:tc>
          <w:tcPr>
            <w:tcW w:type="dxa" w:w="5472"/>
          </w:tcPr>
          <w:p>
            <w:r/>
            <w:r>
              <w:rPr>
                <w:sz w:val="20"/>
              </w:rPr>
              <w:t>OpenAlexClient.search — coverage counter, no deep harvest (25 hits max).</w:t>
            </w:r>
          </w:p>
        </w:tc>
        <w:tc>
          <w:tcPr>
            <w:tcW w:type="dxa" w:w="2016"/>
          </w:tcPr>
          <w:p>
            <w:r/>
            <w:r>
              <w:rPr>
                <w:sz w:val="20"/>
              </w:rPr>
              <w:t>1 API call</w:t>
            </w:r>
          </w:p>
        </w:tc>
        <w:tc>
          <w:tcPr>
            <w:tcW w:type="dxa" w:w="2448"/>
          </w:tcPr>
          <w:p>
            <w:r/>
            <w:r>
              <w:rPr>
                <w:sz w:val="20"/>
              </w:rPr>
              <w:t>per_database['OpenAlex']</w:t>
            </w:r>
          </w:p>
        </w:tc>
      </w:tr>
      <w:tr>
        <w:tc>
          <w:tcPr>
            <w:tcW w:type="dxa" w:w="576"/>
          </w:tcPr>
          <w:p>
            <w:r/>
            <w:r>
              <w:rPr>
                <w:sz w:val="20"/>
              </w:rPr>
              <w:t>4</w:t>
            </w:r>
          </w:p>
        </w:tc>
        <w:tc>
          <w:tcPr>
            <w:tcW w:type="dxa" w:w="5472"/>
          </w:tcPr>
          <w:p>
            <w:r/>
            <w:r>
              <w:rPr>
                <w:sz w:val="20"/>
              </w:rPr>
              <w:t>AgencyProfileFetcher.fetch_all — ATSDR, NTP, EPA IRIS, NIOSH, OEHHA, OSHA, ILO, Haz-Map in parallel. Each is a targeted HTML scrape with known URL patterns.</w:t>
            </w:r>
          </w:p>
        </w:tc>
        <w:tc>
          <w:tcPr>
            <w:tcW w:type="dxa" w:w="2016"/>
          </w:tcPr>
          <w:p>
            <w:r/>
            <w:r>
              <w:rPr>
                <w:sz w:val="20"/>
              </w:rPr>
              <w:t>7 parallel agency fetches</w:t>
            </w:r>
          </w:p>
        </w:tc>
        <w:tc>
          <w:tcPr>
            <w:tcW w:type="dxa" w:w="2448"/>
          </w:tcPr>
          <w:p>
            <w:r/>
            <w:r>
              <w:rPr>
                <w:sz w:val="20"/>
              </w:rPr>
              <w:t>Profile dicts (text, url, agency)</w:t>
            </w:r>
          </w:p>
        </w:tc>
      </w:tr>
    </w:tbl>
    <w:p>
      <w:pPr>
        <w:spacing w:after="80"/>
      </w:pPr>
    </w:p>
    <w:p>
      <w:pPr>
        <w:spacing w:before="240" w:after="120"/>
      </w:pPr>
      <w:r>
        <w:rPr>
          <w:rFonts w:ascii="Calibri" w:hAnsi="Calibri"/>
          <w:b/>
          <w:color w:val="1F3A5F"/>
          <w:sz w:val="28"/>
        </w:rPr>
        <w:t>Keyword routing (the 29-section loop)</w:t>
      </w:r>
    </w:p>
    <w:p>
      <w:pPr>
        <w:spacing w:after="120"/>
        <w:jc w:val="both"/>
      </w:pPr>
      <w:r>
        <w:rPr>
          <w:b w:val="0"/>
          <w:i w:val="0"/>
          <w:sz w:val="22"/>
        </w:rPr>
        <w:t>For every HarvestedDocument with a non-empty full_text, the harvester calls _scan_document_for_sections, which iterates the 29 LITERATURE_SECTIONS in order. For each section, it loops its SECTION_KEYWORDS bucket; a keyword hit produces a (keyword, excerpt, char_offset) tuple where the excerpt is the ±280-char KWIC window around the hit with word-boundary trimming. Up to three hits per section per document are kept; duplicate keywords within 500 chars of each other are collapsed.</w:t>
      </w:r>
    </w:p>
    <w:p>
      <w:pPr>
        <w:spacing w:after="120"/>
        <w:ind w:left="432" w:right="432"/>
        <w:shd w:val="clear" w:fill="F5F5F5"/>
      </w:pPr>
      <w:r>
        <w:rPr>
          <w:rFonts w:ascii="Consolas" w:hAnsi="Consolas"/>
          <w:color w:val="202020"/>
          <w:sz w:val="19"/>
        </w:rPr>
        <w:t>_WINDOW = 280</w:t>
        <w:br/>
        <w:t>_MAX_PER_SECTION_PER_DOC = 3</w:t>
        <w:br/>
        <w:br/>
        <w:t>def _scan_document_for_sections(full_text):</w:t>
        <w:br/>
        <w:t xml:space="preserve">    out: dict[str, list[tuple[str, str, int]]] = {}</w:t>
        <w:br/>
        <w:t xml:space="preserve">    lower = full_text.lower()</w:t>
        <w:br/>
        <w:t xml:space="preserve">    for section_id in LITERATURE_SECTIONS:          # 29 sections</w:t>
        <w:br/>
        <w:t xml:space="preserve">        hits = []</w:t>
        <w:br/>
        <w:t xml:space="preserve">        seen_buckets = set()</w:t>
        <w:br/>
        <w:t xml:space="preserve">        for kw in SECTION_KEYWORDS[section_id]:     # ~20 per section</w:t>
        <w:br/>
        <w:t xml:space="preserve">            start = 0</w:t>
        <w:br/>
        <w:t xml:space="preserve">            while True:</w:t>
        <w:br/>
        <w:t xml:space="preserve">                pos = lower.find(kw, start)</w:t>
        <w:br/>
        <w:t xml:space="preserve">                if pos &lt; 0: break</w:t>
        <w:br/>
        <w:t xml:space="preserve">                bucket = (kw, pos // 500)</w:t>
        <w:br/>
        <w:t xml:space="preserve">                if bucket not in seen_buckets:</w:t>
        <w:br/>
        <w:t xml:space="preserve">                    seen_buckets.add(bucket)</w:t>
        <w:br/>
        <w:t xml:space="preserve">                    hits.append((kw, _excerpt(full_text, pos), pos))</w:t>
        <w:br/>
        <w:t xml:space="preserve">                    if len(hits) &gt;= _MAX_PER_SECTION_PER_DOC: break</w:t>
        <w:br/>
        <w:t xml:space="preserve">                start = pos + max(1, len(kw))</w:t>
        <w:br/>
        <w:t xml:space="preserve">        if hits: out[section_id] = hits</w:t>
        <w:br/>
        <w:t xml:space="preserve">    return out</w:t>
      </w:r>
    </w:p>
    <w:p>
      <w:pPr>
        <w:spacing w:before="240" w:after="120"/>
      </w:pPr>
      <w:r>
        <w:rPr>
          <w:rFonts w:ascii="Calibri" w:hAnsi="Calibri"/>
          <w:b/>
          <w:color w:val="1F3A5F"/>
          <w:sz w:val="28"/>
        </w:rPr>
        <w:t>Confidence scoring</w:t>
      </w:r>
    </w:p>
    <w:p>
      <w:pPr>
        <w:spacing w:after="120"/>
        <w:jc w:val="both"/>
      </w:pPr>
      <w:r>
        <w:rPr>
          <w:b w:val="0"/>
          <w:i w:val="0"/>
          <w:sz w:val="22"/>
        </w:rPr>
        <w:t>Each document that contributes evidence gets a single confidence number that propagates to all its records. The formula is breadth (how many distinct sections it touched) plus density (how many total keyword hits), both capped:</w:t>
      </w:r>
    </w:p>
    <w:p>
      <w:pPr>
        <w:spacing w:after="120"/>
        <w:ind w:left="432" w:right="432"/>
        <w:shd w:val="clear" w:fill="F5F5F5"/>
      </w:pPr>
      <w:r>
        <w:rPr>
          <w:rFonts w:ascii="Consolas" w:hAnsi="Consolas"/>
          <w:color w:val="202020"/>
          <w:sz w:val="19"/>
        </w:rPr>
        <w:t>conf = min(1.0, 0.30 + 0.15 × n_sections_matched + 0.05 × min(5, n_total_hits))</w:t>
      </w:r>
    </w:p>
    <w:p>
      <w:pPr>
        <w:spacing w:after="120"/>
        <w:jc w:val="both"/>
      </w:pPr>
      <w:r>
        <w:rPr>
          <w:b w:val="0"/>
          <w:i w:val="0"/>
          <w:sz w:val="22"/>
        </w:rPr>
        <w:t>Base floor of 0.30 because the document was already verified to come from a logged URL. +0.15 per distinct section touched (a document about leukemia + carcinogen metabolism + DNA adducts scores high). +0.05 per total keyword hit, clipped at 5. A document matching 4 sections with 4 total hits therefore scores 0.30 + 0.60 + 0.05 × 4 = 0.95; a single-hit document scores 0.45.</w:t>
      </w:r>
    </w:p>
    <w:p>
      <w:pPr>
        <w:spacing w:before="240" w:after="120"/>
      </w:pPr>
      <w:r>
        <w:rPr>
          <w:rFonts w:ascii="Calibri" w:hAnsi="Calibri"/>
          <w:b/>
          <w:color w:val="1F3A5F"/>
          <w:sz w:val="28"/>
        </w:rPr>
        <w:t>HarvestResult — the handoff to build_review</w:t>
      </w:r>
    </w:p>
    <w:p>
      <w:pPr>
        <w:spacing w:after="120"/>
        <w:ind w:left="432" w:right="432"/>
        <w:shd w:val="clear" w:fill="F5F5F5"/>
      </w:pPr>
      <w:r>
        <w:rPr>
          <w:rFonts w:ascii="Consolas" w:hAnsi="Consolas"/>
          <w:color w:val="202020"/>
          <w:sz w:val="19"/>
        </w:rPr>
        <w:t>@dataclass</w:t>
        <w:br/>
        <w:t>class HarvestResult:</w:t>
        <w:br/>
        <w:t xml:space="preserve">    chemical: str</w:t>
        <w:br/>
        <w:t xml:space="preserve">    cas: str | None</w:t>
        <w:br/>
        <w:t xml:space="preserve">    per_database: dict[str, int]</w:t>
        <w:br/>
        <w:t xml:space="preserve">    per_database_errors: dict[str, str]</w:t>
        <w:br/>
        <w:t xml:space="preserve">    per_section: dict[str, SectionEvidence]   # 29 buckets</w:t>
        <w:br/>
        <w:t xml:space="preserve">    agency_profiles: list[dict[str, Any]]</w:t>
        <w:br/>
        <w:t xml:space="preserve">    total_records: int</w:t>
        <w:br/>
        <w:t xml:space="preserve">    total_documents: int</w:t>
      </w:r>
    </w:p>
    <w:p>
      <w:r>
        <w:br w:type="page"/>
      </w:r>
    </w:p>
    <w:p>
      <w:pPr>
        <w:spacing w:before="360" w:after="120"/>
      </w:pPr>
      <w:r>
        <w:rPr>
          <w:rFonts w:ascii="Calibri" w:hAnsi="Calibri"/>
          <w:b/>
          <w:color w:val="1F3A5F"/>
          <w:sz w:val="36"/>
        </w:rPr>
        <w:t>8. Tool 3 — build_review</w:t>
      </w:r>
    </w:p>
    <w:p>
      <w:pPr>
        <w:spacing w:after="120"/>
        <w:jc w:val="both"/>
      </w:pPr>
      <w:r>
        <w:rPr>
          <w:b w:val="0"/>
          <w:i w:val="0"/>
          <w:sz w:val="22"/>
        </w:rPr>
        <w:t>Converts a HarvestResult + ChemicalIdentity into a finished Benzene-v3-style .docx. The section order mirrors the reference literature review exactly, but the body is generated entirely from ledger-backed excerpts — no paragraph is free-form prose.</w:t>
      </w:r>
    </w:p>
    <w:p>
      <w:pPr>
        <w:spacing w:before="240" w:after="120"/>
      </w:pPr>
      <w:r>
        <w:rPr>
          <w:rFonts w:ascii="Calibri" w:hAnsi="Calibri"/>
          <w:b/>
          <w:color w:val="1F3A5F"/>
          <w:sz w:val="28"/>
        </w:rPr>
        <w:t>Output structure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432"/>
            <w:shd w:val="clear" w:fill="1F3A5F"/>
          </w:tcPr>
          <w:p>
            <w:r/>
            <w:r>
              <w:rPr>
                <w:b/>
                <w:color w:val="FFFFFF"/>
                <w:sz w:val="21"/>
              </w:rPr>
              <w:t>#</w:t>
            </w:r>
          </w:p>
        </w:tc>
        <w:tc>
          <w:tcPr>
            <w:tcW w:type="dxa" w:w="4032"/>
            <w:shd w:val="clear" w:fill="1F3A5F"/>
          </w:tcPr>
          <w:p>
            <w:r/>
            <w:r>
              <w:rPr>
                <w:b/>
                <w:color w:val="FFFFFF"/>
                <w:sz w:val="21"/>
              </w:rPr>
              <w:t>Section</w:t>
            </w:r>
          </w:p>
        </w:tc>
        <w:tc>
          <w:tcPr>
            <w:tcW w:type="dxa" w:w="5904"/>
            <w:shd w:val="clear" w:fill="1F3A5F"/>
          </w:tcPr>
          <w:p>
            <w:r/>
            <w:r>
              <w:rPr>
                <w:b/>
                <w:color w:val="FFFFFF"/>
                <w:sz w:val="21"/>
              </w:rPr>
              <w:t>Source</w:t>
            </w:r>
          </w:p>
        </w:tc>
      </w:tr>
      <w:tr>
        <w:tc>
          <w:tcPr>
            <w:tcW w:type="dxa" w:w="432"/>
          </w:tcPr>
          <w:p>
            <w:r/>
            <w:r>
              <w:rPr>
                <w:sz w:val="20"/>
              </w:rPr>
              <w:t>—</w:t>
            </w:r>
          </w:p>
        </w:tc>
        <w:tc>
          <w:tcPr>
            <w:tcW w:type="dxa" w:w="4032"/>
          </w:tcPr>
          <w:p>
            <w:r/>
            <w:r>
              <w:rPr>
                <w:sz w:val="20"/>
              </w:rPr>
              <w:t>Cover page (chemical + CAS + optional structure PNG)</w:t>
            </w:r>
          </w:p>
        </w:tc>
        <w:tc>
          <w:tcPr>
            <w:tcW w:type="dxa" w:w="5904"/>
          </w:tcPr>
          <w:p>
            <w:r/>
            <w:r>
              <w:rPr>
                <w:sz w:val="20"/>
              </w:rPr>
              <w:t>identity</w:t>
            </w:r>
          </w:p>
        </w:tc>
      </w:tr>
      <w:tr>
        <w:tc>
          <w:tcPr>
            <w:tcW w:type="dxa" w:w="432"/>
          </w:tcPr>
          <w:p>
            <w:r/>
            <w:r>
              <w:rPr>
                <w:sz w:val="20"/>
              </w:rPr>
              <w:t>1</w:t>
            </w:r>
          </w:p>
        </w:tc>
        <w:tc>
          <w:tcPr>
            <w:tcW w:type="dxa" w:w="4032"/>
          </w:tcPr>
          <w:p>
            <w:r/>
            <w:r>
              <w:rPr>
                <w:sz w:val="20"/>
              </w:rPr>
              <w:t>Summary</w:t>
            </w:r>
          </w:p>
        </w:tc>
        <w:tc>
          <w:tcPr>
            <w:tcW w:type="dxa" w:w="5904"/>
          </w:tcPr>
          <w:p>
            <w:r/>
            <w:r>
              <w:rPr>
                <w:sz w:val="20"/>
              </w:rPr>
              <w:t>_summary_section (templated from identity + harvest)</w:t>
            </w:r>
          </w:p>
        </w:tc>
      </w:tr>
      <w:tr>
        <w:tc>
          <w:tcPr>
            <w:tcW w:type="dxa" w:w="432"/>
          </w:tcPr>
          <w:p>
            <w:r/>
            <w:r>
              <w:rPr>
                <w:sz w:val="20"/>
              </w:rPr>
              <w:t>2</w:t>
            </w:r>
          </w:p>
        </w:tc>
        <w:tc>
          <w:tcPr>
            <w:tcW w:type="dxa" w:w="4032"/>
          </w:tcPr>
          <w:p>
            <w:r/>
            <w:r>
              <w:rPr>
                <w:sz w:val="20"/>
              </w:rPr>
              <w:t>Scope and Methodology of This Review</w:t>
            </w:r>
          </w:p>
        </w:tc>
        <w:tc>
          <w:tcPr>
            <w:tcW w:type="dxa" w:w="5904"/>
          </w:tcPr>
          <w:p>
            <w:r/>
            <w:r>
              <w:rPr>
                <w:sz w:val="20"/>
              </w:rPr>
              <w:t>_scope_section (fixed text)</w:t>
            </w:r>
          </w:p>
        </w:tc>
      </w:tr>
      <w:tr>
        <w:tc>
          <w:tcPr>
            <w:tcW w:type="dxa" w:w="432"/>
          </w:tcPr>
          <w:p>
            <w:r/>
            <w:r>
              <w:rPr>
                <w:sz w:val="20"/>
              </w:rPr>
              <w:t>3</w:t>
            </w:r>
          </w:p>
        </w:tc>
        <w:tc>
          <w:tcPr>
            <w:tcW w:type="dxa" w:w="4032"/>
          </w:tcPr>
          <w:p>
            <w:r/>
            <w:r>
              <w:rPr>
                <w:sz w:val="20"/>
              </w:rPr>
              <w:t>Key Findings at a Glance</w:t>
            </w:r>
          </w:p>
        </w:tc>
        <w:tc>
          <w:tcPr>
            <w:tcW w:type="dxa" w:w="5904"/>
          </w:tcPr>
          <w:p>
            <w:r/>
            <w:r>
              <w:rPr>
                <w:sz w:val="20"/>
              </w:rPr>
              <w:t>_key_findings_section (top 8 evidence-dense sections)</w:t>
            </w:r>
          </w:p>
        </w:tc>
      </w:tr>
      <w:tr>
        <w:tc>
          <w:tcPr>
            <w:tcW w:type="dxa" w:w="432"/>
          </w:tcPr>
          <w:p>
            <w:r/>
            <w:r>
              <w:rPr>
                <w:sz w:val="20"/>
              </w:rPr>
              <w:t>4</w:t>
            </w:r>
          </w:p>
        </w:tc>
        <w:tc>
          <w:tcPr>
            <w:tcW w:type="dxa" w:w="4032"/>
          </w:tcPr>
          <w:p>
            <w:r/>
            <w:r>
              <w:rPr>
                <w:sz w:val="20"/>
              </w:rPr>
              <w:t>Database Coverage and Retrieval Methodology</w:t>
            </w:r>
          </w:p>
        </w:tc>
        <w:tc>
          <w:tcPr>
            <w:tcW w:type="dxa" w:w="5904"/>
          </w:tcPr>
          <w:p>
            <w:r/>
            <w:r>
              <w:rPr>
                <w:sz w:val="20"/>
              </w:rPr>
              <w:t>_db_coverage_section (per-DB table)</w:t>
            </w:r>
          </w:p>
        </w:tc>
      </w:tr>
      <w:tr>
        <w:tc>
          <w:tcPr>
            <w:tcW w:type="dxa" w:w="432"/>
          </w:tcPr>
          <w:p>
            <w:r/>
            <w:r>
              <w:rPr>
                <w:sz w:val="20"/>
              </w:rPr>
              <w:t>5</w:t>
            </w:r>
          </w:p>
        </w:tc>
        <w:tc>
          <w:tcPr>
            <w:tcW w:type="dxa" w:w="4032"/>
          </w:tcPr>
          <w:p>
            <w:r/>
            <w:r>
              <w:rPr>
                <w:sz w:val="20"/>
              </w:rPr>
              <w:t>Chemical Properties</w:t>
            </w:r>
          </w:p>
        </w:tc>
        <w:tc>
          <w:tcPr>
            <w:tcW w:type="dxa" w:w="5904"/>
          </w:tcPr>
          <w:p>
            <w:r/>
            <w:r>
              <w:rPr>
                <w:sz w:val="20"/>
              </w:rPr>
              <w:t>SECTION_GROUPS[0] → chemical_properties</w:t>
            </w:r>
          </w:p>
        </w:tc>
      </w:tr>
      <w:tr>
        <w:tc>
          <w:tcPr>
            <w:tcW w:type="dxa" w:w="432"/>
          </w:tcPr>
          <w:p>
            <w:r/>
            <w:r>
              <w:rPr>
                <w:sz w:val="20"/>
              </w:rPr>
              <w:t>6</w:t>
            </w:r>
          </w:p>
        </w:tc>
        <w:tc>
          <w:tcPr>
            <w:tcW w:type="dxa" w:w="4032"/>
          </w:tcPr>
          <w:p>
            <w:r/>
            <w:r>
              <w:rPr>
                <w:sz w:val="20"/>
              </w:rPr>
              <w:t>Environmental Behaviour</w:t>
            </w:r>
          </w:p>
        </w:tc>
        <w:tc>
          <w:tcPr>
            <w:tcW w:type="dxa" w:w="5904"/>
          </w:tcPr>
          <w:p>
            <w:r/>
            <w:r>
              <w:rPr>
                <w:sz w:val="20"/>
              </w:rPr>
              <w:t>environmental_behavior</w:t>
            </w:r>
          </w:p>
        </w:tc>
      </w:tr>
      <w:tr>
        <w:tc>
          <w:tcPr>
            <w:tcW w:type="dxa" w:w="432"/>
          </w:tcPr>
          <w:p>
            <w:r/>
            <w:r>
              <w:rPr>
                <w:sz w:val="20"/>
              </w:rPr>
              <w:t>7</w:t>
            </w:r>
          </w:p>
        </w:tc>
        <w:tc>
          <w:tcPr>
            <w:tcW w:type="dxa" w:w="4032"/>
          </w:tcPr>
          <w:p>
            <w:r/>
            <w:r>
              <w:rPr>
                <w:sz w:val="20"/>
              </w:rPr>
              <w:t>Toxicokinetics (ADME)</w:t>
            </w:r>
          </w:p>
        </w:tc>
        <w:tc>
          <w:tcPr>
            <w:tcW w:type="dxa" w:w="5904"/>
          </w:tcPr>
          <w:p>
            <w:r/>
            <w:r>
              <w:rPr>
                <w:sz w:val="20"/>
              </w:rPr>
              <w:t>toxicokinetics</w:t>
            </w:r>
          </w:p>
        </w:tc>
      </w:tr>
      <w:tr>
        <w:tc>
          <w:tcPr>
            <w:tcW w:type="dxa" w:w="432"/>
          </w:tcPr>
          <w:p>
            <w:r/>
            <w:r>
              <w:rPr>
                <w:sz w:val="20"/>
              </w:rPr>
              <w:t>8</w:t>
            </w:r>
          </w:p>
        </w:tc>
        <w:tc>
          <w:tcPr>
            <w:tcW w:type="dxa" w:w="4032"/>
          </w:tcPr>
          <w:p>
            <w:r/>
            <w:r>
              <w:rPr>
                <w:sz w:val="20"/>
              </w:rPr>
              <w:t>Sources of Exposure</w:t>
            </w:r>
          </w:p>
        </w:tc>
        <w:tc>
          <w:tcPr>
            <w:tcW w:type="dxa" w:w="5904"/>
          </w:tcPr>
          <w:p>
            <w:r/>
            <w:r>
              <w:rPr>
                <w:sz w:val="20"/>
              </w:rPr>
              <w:t>4 sub-sections (consumer/occupational/env/water+soil)</w:t>
            </w:r>
          </w:p>
        </w:tc>
      </w:tr>
      <w:tr>
        <w:tc>
          <w:tcPr>
            <w:tcW w:type="dxa" w:w="432"/>
          </w:tcPr>
          <w:p>
            <w:r/>
            <w:r>
              <w:rPr>
                <w:sz w:val="20"/>
              </w:rPr>
              <w:t>9</w:t>
            </w:r>
          </w:p>
        </w:tc>
        <w:tc>
          <w:tcPr>
            <w:tcW w:type="dxa" w:w="4032"/>
          </w:tcPr>
          <w:p>
            <w:r/>
            <w:r>
              <w:rPr>
                <w:sz w:val="20"/>
              </w:rPr>
              <w:t>Health Effects</w:t>
            </w:r>
          </w:p>
        </w:tc>
        <w:tc>
          <w:tcPr>
            <w:tcW w:type="dxa" w:w="5904"/>
          </w:tcPr>
          <w:p>
            <w:r/>
            <w:r>
              <w:rPr>
                <w:sz w:val="20"/>
              </w:rPr>
              <w:t>8 sub-sections (acute, chronic, genotox, neuro, immuno, repro, organ, occupational)</w:t>
            </w:r>
          </w:p>
        </w:tc>
      </w:tr>
      <w:tr>
        <w:tc>
          <w:tcPr>
            <w:tcW w:type="dxa" w:w="432"/>
          </w:tcPr>
          <w:p>
            <w:r/>
            <w:r>
              <w:rPr>
                <w:sz w:val="20"/>
              </w:rPr>
              <w:t>10</w:t>
            </w:r>
          </w:p>
        </w:tc>
        <w:tc>
          <w:tcPr>
            <w:tcW w:type="dxa" w:w="4032"/>
          </w:tcPr>
          <w:p>
            <w:r/>
            <w:r>
              <w:rPr>
                <w:sz w:val="20"/>
              </w:rPr>
              <w:t>Regulations and Guidelines</w:t>
            </w:r>
          </w:p>
        </w:tc>
        <w:tc>
          <w:tcPr>
            <w:tcW w:type="dxa" w:w="5904"/>
          </w:tcPr>
          <w:p>
            <w:r/>
            <w:r>
              <w:rPr>
                <w:sz w:val="20"/>
              </w:rPr>
              <w:t>5 sub-sections (intl, OSHA, EPA, community, legal)</w:t>
            </w:r>
          </w:p>
        </w:tc>
      </w:tr>
      <w:tr>
        <w:tc>
          <w:tcPr>
            <w:tcW w:type="dxa" w:w="432"/>
          </w:tcPr>
          <w:p>
            <w:r/>
            <w:r>
              <w:rPr>
                <w:sz w:val="20"/>
              </w:rPr>
              <w:t>11</w:t>
            </w:r>
          </w:p>
        </w:tc>
        <w:tc>
          <w:tcPr>
            <w:tcW w:type="dxa" w:w="4032"/>
          </w:tcPr>
          <w:p>
            <w:r/>
            <w:r>
              <w:rPr>
                <w:sz w:val="20"/>
              </w:rPr>
              <w:t>Risk Assessment</w:t>
            </w:r>
          </w:p>
        </w:tc>
        <w:tc>
          <w:tcPr>
            <w:tcW w:type="dxa" w:w="5904"/>
          </w:tcPr>
          <w:p>
            <w:r/>
            <w:r>
              <w:rPr>
                <w:sz w:val="20"/>
              </w:rPr>
              <w:t>4 sub-sections (occupational, vulnerable, genetic, regulatory)</w:t>
            </w:r>
          </w:p>
        </w:tc>
      </w:tr>
      <w:tr>
        <w:tc>
          <w:tcPr>
            <w:tcW w:type="dxa" w:w="432"/>
          </w:tcPr>
          <w:p>
            <w:r/>
            <w:r>
              <w:rPr>
                <w:sz w:val="20"/>
              </w:rPr>
              <w:t>12</w:t>
            </w:r>
          </w:p>
        </w:tc>
        <w:tc>
          <w:tcPr>
            <w:tcW w:type="dxa" w:w="4032"/>
          </w:tcPr>
          <w:p>
            <w:r/>
            <w:r>
              <w:rPr>
                <w:sz w:val="20"/>
              </w:rPr>
              <w:t>Mitigation and Prevention</w:t>
            </w:r>
          </w:p>
        </w:tc>
        <w:tc>
          <w:tcPr>
            <w:tcW w:type="dxa" w:w="5904"/>
          </w:tcPr>
          <w:p>
            <w:r/>
            <w:r>
              <w:rPr>
                <w:sz w:val="20"/>
              </w:rPr>
              <w:t>4 sub-sections (strategies, workplace, regulatory, community)</w:t>
            </w:r>
          </w:p>
        </w:tc>
      </w:tr>
      <w:tr>
        <w:tc>
          <w:tcPr>
            <w:tcW w:type="dxa" w:w="432"/>
          </w:tcPr>
          <w:p>
            <w:r/>
            <w:r>
              <w:rPr>
                <w:sz w:val="20"/>
              </w:rPr>
              <w:t>13</w:t>
            </w:r>
          </w:p>
        </w:tc>
        <w:tc>
          <w:tcPr>
            <w:tcW w:type="dxa" w:w="4032"/>
          </w:tcPr>
          <w:p>
            <w:r/>
            <w:r>
              <w:rPr>
                <w:sz w:val="20"/>
              </w:rPr>
              <w:t>Recent Research Findings</w:t>
            </w:r>
          </w:p>
        </w:tc>
        <w:tc>
          <w:tcPr>
            <w:tcW w:type="dxa" w:w="5904"/>
          </w:tcPr>
          <w:p>
            <w:r/>
            <w:r>
              <w:rPr>
                <w:sz w:val="20"/>
              </w:rPr>
              <w:t>recent_research</w:t>
            </w:r>
          </w:p>
        </w:tc>
      </w:tr>
      <w:tr>
        <w:tc>
          <w:tcPr>
            <w:tcW w:type="dxa" w:w="432"/>
          </w:tcPr>
          <w:p>
            <w:r/>
            <w:r>
              <w:rPr>
                <w:sz w:val="20"/>
              </w:rPr>
              <w:t>14</w:t>
            </w:r>
          </w:p>
        </w:tc>
        <w:tc>
          <w:tcPr>
            <w:tcW w:type="dxa" w:w="4032"/>
          </w:tcPr>
          <w:p>
            <w:r/>
            <w:r>
              <w:rPr>
                <w:sz w:val="20"/>
              </w:rPr>
              <w:t>References</w:t>
            </w:r>
          </w:p>
        </w:tc>
        <w:tc>
          <w:tcPr>
            <w:tcW w:type="dxa" w:w="5904"/>
          </w:tcPr>
          <w:p>
            <w:r/>
            <w:r>
              <w:rPr>
                <w:sz w:val="20"/>
              </w:rPr>
              <w:t>_RefTable (dedup by pmid/pmcid/doi/url, numbered [1..N])</w:t>
            </w:r>
          </w:p>
        </w:tc>
      </w:tr>
      <w:tr>
        <w:tc>
          <w:tcPr>
            <w:tcW w:type="dxa" w:w="432"/>
          </w:tcPr>
          <w:p>
            <w:r/>
            <w:r>
              <w:rPr>
                <w:sz w:val="20"/>
              </w:rPr>
              <w:t>15</w:t>
            </w:r>
          </w:p>
        </w:tc>
        <w:tc>
          <w:tcPr>
            <w:tcW w:type="dxa" w:w="4032"/>
          </w:tcPr>
          <w:p>
            <w:r/>
            <w:r>
              <w:rPr>
                <w:sz w:val="20"/>
              </w:rPr>
              <w:t>Appendix A — Per-Database Extraction Counts</w:t>
            </w:r>
          </w:p>
        </w:tc>
        <w:tc>
          <w:tcPr>
            <w:tcW w:type="dxa" w:w="5904"/>
          </w:tcPr>
          <w:p>
            <w:r/>
            <w:r>
              <w:rPr>
                <w:sz w:val="20"/>
              </w:rPr>
              <w:t>_db_counts_for_appendix</w:t>
            </w:r>
          </w:p>
        </w:tc>
      </w:tr>
      <w:tr>
        <w:tc>
          <w:tcPr>
            <w:tcW w:type="dxa" w:w="432"/>
          </w:tcPr>
          <w:p>
            <w:r/>
            <w:r>
              <w:rPr>
                <w:sz w:val="20"/>
              </w:rPr>
              <w:t>16</w:t>
            </w:r>
          </w:p>
        </w:tc>
        <w:tc>
          <w:tcPr>
            <w:tcW w:type="dxa" w:w="4032"/>
          </w:tcPr>
          <w:p>
            <w:r/>
            <w:r>
              <w:rPr>
                <w:sz w:val="20"/>
              </w:rPr>
              <w:t>Appendix B — Extraction Ledger</w:t>
            </w:r>
          </w:p>
        </w:tc>
        <w:tc>
          <w:tcPr>
            <w:tcW w:type="dxa" w:w="5904"/>
          </w:tcPr>
          <w:p>
            <w:r/>
            <w:r>
              <w:rPr>
                <w:sz w:val="20"/>
              </w:rPr>
              <w:t>_ledger_entries_for_appendix (unique docs per DB)</w:t>
            </w:r>
          </w:p>
        </w:tc>
      </w:tr>
    </w:tbl>
    <w:p>
      <w:pPr>
        <w:spacing w:after="80"/>
      </w:pPr>
    </w:p>
    <w:p>
      <w:pPr>
        <w:spacing w:before="240" w:after="120"/>
      </w:pPr>
      <w:r>
        <w:rPr>
          <w:rFonts w:ascii="Calibri" w:hAnsi="Calibri"/>
          <w:b/>
          <w:color w:val="1F3A5F"/>
          <w:sz w:val="28"/>
        </w:rPr>
        <w:t>Paragraph assembly rule</w:t>
      </w:r>
    </w:p>
    <w:p>
      <w:pPr>
        <w:spacing w:after="120"/>
        <w:jc w:val="both"/>
      </w:pPr>
      <w:r>
        <w:rPr>
          <w:b w:val="0"/>
          <w:i w:val="0"/>
          <w:sz w:val="22"/>
        </w:rPr>
        <w:t>Each section walks its SectionEvidence.records (up to 14 excerpts), deduplicates by the first 60 lowercase characters of the quote, then emits one paragraph per unique excerpt. Each paragraph carries its inline [n] citation plus an attribution suffix like "(Source: NTP.)". Empty sections emit a single explicit notice rather than being silently padded or skipped.</w:t>
      </w:r>
    </w:p>
    <w:p>
      <w:pPr>
        <w:spacing w:after="120"/>
        <w:ind w:left="432" w:right="432"/>
        <w:shd w:val="clear" w:fill="F5F5F5"/>
      </w:pPr>
      <w:r>
        <w:rPr>
          <w:rFonts w:ascii="Consolas" w:hAnsi="Consolas"/>
          <w:color w:val="202020"/>
          <w:sz w:val="19"/>
        </w:rPr>
        <w:t>_EMPTY_SECTION_NOTE = (</w:t>
        <w:br/>
        <w:t xml:space="preserve">    "No keyword-anchored evidence was routed to this section during the harvest. "</w:t>
        <w:br/>
        <w:t xml:space="preserve">    "Per the review's zero-hallucination policy, no generated prose is provided."</w:t>
        <w:br/>
        <w:t>)</w:t>
      </w:r>
    </w:p>
    <w:p>
      <w:pPr>
        <w:spacing w:before="240" w:after="120"/>
      </w:pPr>
      <w:r>
        <w:rPr>
          <w:rFonts w:ascii="Calibri" w:hAnsi="Calibri"/>
          <w:b/>
          <w:color w:val="1F3A5F"/>
          <w:sz w:val="28"/>
        </w:rPr>
        <w:t>Reference numbering</w:t>
      </w:r>
    </w:p>
    <w:p>
      <w:pPr>
        <w:spacing w:after="120"/>
        <w:jc w:val="both"/>
      </w:pPr>
      <w:r>
        <w:rPr>
          <w:b w:val="0"/>
          <w:i w:val="0"/>
          <w:sz w:val="22"/>
        </w:rPr>
        <w:t>_RefTable is a small class that deduplicates references by a 4-tuple key (pmid, pmcid, doi, url) and assigns a monotonically increasing [n]. If all four identifiers are missing, the tuple falls back to (title, source_db). The same paper appearing in carcinogenicity and in genotoxicity therefore gets one reference number, not two.</w:t>
      </w:r>
    </w:p>
    <w:p>
      <w:pPr>
        <w:spacing w:before="240" w:after="120"/>
      </w:pPr>
      <w:r>
        <w:rPr>
          <w:rFonts w:ascii="Calibri" w:hAnsi="Calibri"/>
          <w:b/>
          <w:color w:val="1F3A5F"/>
          <w:sz w:val="28"/>
        </w:rPr>
        <w:t>Styling (pipeline/report.py:ReportGenerator)</w:t>
      </w:r>
    </w:p>
    <w:p>
      <w:pPr>
        <w:pStyle w:val="ListBullet"/>
        <w:spacing w:after="40"/>
        <w:ind w:left="360"/>
      </w:pPr>
      <w:r>
        <w:rPr>
          <w:sz w:val="22"/>
        </w:rPr>
        <w:t>Body font: Times New Roman 12 pt, justified, 1.5x line spacing.</w:t>
      </w:r>
    </w:p>
    <w:p>
      <w:pPr>
        <w:pStyle w:val="ListBullet"/>
        <w:spacing w:after="40"/>
        <w:ind w:left="360"/>
      </w:pPr>
      <w:r>
        <w:rPr>
          <w:sz w:val="22"/>
        </w:rPr>
        <w:t>Cover page: chemical name centered, large; CAS, molecular formula, MW below; optional structure image; generated date.</w:t>
      </w:r>
    </w:p>
    <w:p>
      <w:pPr>
        <w:pStyle w:val="ListBullet"/>
        <w:spacing w:after="40"/>
        <w:ind w:left="360"/>
      </w:pPr>
      <w:r>
        <w:rPr>
          <w:sz w:val="22"/>
        </w:rPr>
        <w:t>Chapter banners: H1 with chapter number + subtitle, light grey rule beneath.</w:t>
      </w:r>
    </w:p>
    <w:p>
      <w:pPr>
        <w:pStyle w:val="ListBullet"/>
        <w:spacing w:after="40"/>
        <w:ind w:left="360"/>
      </w:pPr>
      <w:r>
        <w:rPr>
          <w:sz w:val="22"/>
        </w:rPr>
        <w:t>Tables: bordered, header row shaded primary-blue (1F3A5F), 10 pt cells.</w:t>
      </w:r>
    </w:p>
    <w:p>
      <w:pPr>
        <w:pStyle w:val="ListBullet"/>
        <w:spacing w:after="40"/>
        <w:ind w:left="360"/>
      </w:pPr>
      <w:r>
        <w:rPr>
          <w:sz w:val="22"/>
        </w:rPr>
        <w:t>References: hanging indent, DOI as hyperlink, PMID/PMCID in square brackets.</w:t>
      </w:r>
    </w:p>
    <w:p>
      <w:pPr>
        <w:pStyle w:val="ListBullet"/>
        <w:spacing w:after="40"/>
        <w:ind w:left="360"/>
      </w:pPr>
      <w:r>
        <w:rPr>
          <w:sz w:val="22"/>
        </w:rPr>
        <w:t>Appendix B: one sub-heading per contributing DB, unique documents listed as bullets.</w:t>
      </w:r>
    </w:p>
    <w:p>
      <w:r>
        <w:br w:type="page"/>
      </w:r>
    </w:p>
    <w:p>
      <w:pPr>
        <w:spacing w:before="360" w:after="120"/>
      </w:pPr>
      <w:r>
        <w:rPr>
          <w:rFonts w:ascii="Calibri" w:hAnsi="Calibri"/>
          <w:b/>
          <w:color w:val="1F3A5F"/>
          <w:sz w:val="36"/>
        </w:rPr>
        <w:t>9. Tool 4 — audit_run</w:t>
      </w:r>
    </w:p>
    <w:p>
      <w:pPr>
        <w:spacing w:after="120"/>
        <w:jc w:val="both"/>
      </w:pPr>
      <w:r>
        <w:rPr>
          <w:b w:val="0"/>
          <w:i w:val="0"/>
          <w:sz w:val="22"/>
        </w:rPr>
        <w:t>The auditor is how the zero-hallucination claim is verified rather than merely asserted. It reads three artifacts — the finished .docx, the run's ledger JSONL, and the tracer JSONL — and produces a single AuditReport with an overall status of ok, warn, or fail.</w:t>
      </w:r>
    </w:p>
    <w:p>
      <w:pPr>
        <w:spacing w:before="240" w:after="120"/>
      </w:pPr>
      <w:r>
        <w:rPr>
          <w:rFonts w:ascii="Calibri" w:hAnsi="Calibri"/>
          <w:b/>
          <w:color w:val="1F3A5F"/>
          <w:sz w:val="28"/>
        </w:rPr>
        <w:t>Six checks performed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432"/>
            <w:shd w:val="clear" w:fill="1F3A5F"/>
          </w:tcPr>
          <w:p>
            <w:r/>
            <w:r>
              <w:rPr>
                <w:b/>
                <w:color w:val="FFFFFF"/>
                <w:sz w:val="21"/>
              </w:rPr>
              <w:t>#</w:t>
            </w:r>
          </w:p>
        </w:tc>
        <w:tc>
          <w:tcPr>
            <w:tcW w:type="dxa" w:w="2016"/>
            <w:shd w:val="clear" w:fill="1F3A5F"/>
          </w:tcPr>
          <w:p>
            <w:r/>
            <w:r>
              <w:rPr>
                <w:b/>
                <w:color w:val="FFFFFF"/>
                <w:sz w:val="21"/>
              </w:rPr>
              <w:t>Check</w:t>
            </w:r>
          </w:p>
        </w:tc>
        <w:tc>
          <w:tcPr>
            <w:tcW w:type="dxa" w:w="4320"/>
            <w:shd w:val="clear" w:fill="1F3A5F"/>
          </w:tcPr>
          <w:p>
            <w:r/>
            <w:r>
              <w:rPr>
                <w:b/>
                <w:color w:val="FFFFFF"/>
                <w:sz w:val="21"/>
              </w:rPr>
              <w:t>Source</w:t>
            </w:r>
          </w:p>
        </w:tc>
        <w:tc>
          <w:tcPr>
            <w:tcW w:type="dxa" w:w="3600"/>
            <w:shd w:val="clear" w:fill="1F3A5F"/>
          </w:tcPr>
          <w:p>
            <w:r/>
            <w:r>
              <w:rPr>
                <w:b/>
                <w:color w:val="FFFFFF"/>
                <w:sz w:val="21"/>
              </w:rPr>
              <w:t>Fail condition</w:t>
            </w:r>
          </w:p>
        </w:tc>
      </w:tr>
      <w:tr>
        <w:tc>
          <w:tcPr>
            <w:tcW w:type="dxa" w:w="432"/>
          </w:tcPr>
          <w:p>
            <w:r/>
            <w:r>
              <w:rPr>
                <w:sz w:val="20"/>
              </w:rPr>
              <w:t>1</w:t>
            </w:r>
          </w:p>
        </w:tc>
        <w:tc>
          <w:tcPr>
            <w:tcW w:type="dxa" w:w="2016"/>
          </w:tcPr>
          <w:p>
            <w:r/>
            <w:r>
              <w:rPr>
                <w:sz w:val="20"/>
              </w:rPr>
              <w:t>Section coverage</w:t>
            </w:r>
          </w:p>
        </w:tc>
        <w:tc>
          <w:tcPr>
            <w:tcW w:type="dxa" w:w="4320"/>
          </w:tcPr>
          <w:p>
            <w:r/>
            <w:r>
              <w:rPr>
                <w:sz w:val="20"/>
              </w:rPr>
              <w:t>Ledger records grouped by section</w:t>
            </w:r>
          </w:p>
        </w:tc>
        <w:tc>
          <w:tcPr>
            <w:tcW w:type="dxa" w:w="3600"/>
          </w:tcPr>
          <w:p>
            <w:r/>
            <w:r>
              <w:rPr>
                <w:sz w:val="20"/>
              </w:rPr>
              <w:t>Any of the 29 sections has zero records → warn</w:t>
            </w:r>
          </w:p>
        </w:tc>
      </w:tr>
      <w:tr>
        <w:tc>
          <w:tcPr>
            <w:tcW w:type="dxa" w:w="432"/>
          </w:tcPr>
          <w:p>
            <w:r/>
            <w:r>
              <w:rPr>
                <w:sz w:val="20"/>
              </w:rPr>
              <w:t>2</w:t>
            </w:r>
          </w:p>
        </w:tc>
        <w:tc>
          <w:tcPr>
            <w:tcW w:type="dxa" w:w="2016"/>
          </w:tcPr>
          <w:p>
            <w:r/>
            <w:r>
              <w:rPr>
                <w:sz w:val="20"/>
              </w:rPr>
              <w:t>Database coverage</w:t>
            </w:r>
          </w:p>
        </w:tc>
        <w:tc>
          <w:tcPr>
            <w:tcW w:type="dxa" w:w="4320"/>
          </w:tcPr>
          <w:p>
            <w:r/>
            <w:r>
              <w:rPr>
                <w:sz w:val="20"/>
              </w:rPr>
              <w:t>Distinct sources in the ledger</w:t>
            </w:r>
          </w:p>
        </w:tc>
        <w:tc>
          <w:tcPr>
            <w:tcW w:type="dxa" w:w="3600"/>
          </w:tcPr>
          <w:p>
            <w:r/>
            <w:r>
              <w:rPr>
                <w:sz w:val="20"/>
              </w:rPr>
              <w:t>Fewer than expected DBs contributing → warn</w:t>
            </w:r>
          </w:p>
        </w:tc>
      </w:tr>
      <w:tr>
        <w:tc>
          <w:tcPr>
            <w:tcW w:type="dxa" w:w="432"/>
          </w:tcPr>
          <w:p>
            <w:r/>
            <w:r>
              <w:rPr>
                <w:sz w:val="20"/>
              </w:rPr>
              <w:t>3</w:t>
            </w:r>
          </w:p>
        </w:tc>
        <w:tc>
          <w:tcPr>
            <w:tcW w:type="dxa" w:w="2016"/>
          </w:tcPr>
          <w:p>
            <w:r/>
            <w:r>
              <w:rPr>
                <w:sz w:val="20"/>
              </w:rPr>
              <w:t>Paragraph grounding (hallucination check)</w:t>
            </w:r>
          </w:p>
        </w:tc>
        <w:tc>
          <w:tcPr>
            <w:tcW w:type="dxa" w:w="4320"/>
          </w:tcPr>
          <w:p>
            <w:r/>
            <w:r>
              <w:rPr>
                <w:sz w:val="20"/>
              </w:rPr>
              <w:t>Every body paragraph must appear as substring of some ledger excerpt, after stripping the trailing [n] citation and (Source: X.) attribution</w:t>
            </w:r>
          </w:p>
        </w:tc>
        <w:tc>
          <w:tcPr>
            <w:tcW w:type="dxa" w:w="3600"/>
          </w:tcPr>
          <w:p>
            <w:r/>
            <w:r>
              <w:rPr>
                <w:sz w:val="20"/>
              </w:rPr>
              <w:t>Any orphan paragraph → fail</w:t>
            </w:r>
          </w:p>
        </w:tc>
      </w:tr>
      <w:tr>
        <w:tc>
          <w:tcPr>
            <w:tcW w:type="dxa" w:w="432"/>
          </w:tcPr>
          <w:p>
            <w:r/>
            <w:r>
              <w:rPr>
                <w:sz w:val="20"/>
              </w:rPr>
              <w:t>4</w:t>
            </w:r>
          </w:p>
        </w:tc>
        <w:tc>
          <w:tcPr>
            <w:tcW w:type="dxa" w:w="2016"/>
          </w:tcPr>
          <w:p>
            <w:r/>
            <w:r>
              <w:rPr>
                <w:sz w:val="20"/>
              </w:rPr>
              <w:t>URL health (opt-in)</w:t>
            </w:r>
          </w:p>
        </w:tc>
        <w:tc>
          <w:tcPr>
            <w:tcW w:type="dxa" w:w="4320"/>
          </w:tcPr>
          <w:p>
            <w:r/>
            <w:r>
              <w:rPr>
                <w:sz w:val="20"/>
              </w:rPr>
              <w:t>HEAD (fallback GET) against every unique ledger URL, concurrency-6 semaphore</w:t>
            </w:r>
          </w:p>
        </w:tc>
        <w:tc>
          <w:tcPr>
            <w:tcW w:type="dxa" w:w="3600"/>
          </w:tcPr>
          <w:p>
            <w:r/>
            <w:r>
              <w:rPr>
                <w:sz w:val="20"/>
              </w:rPr>
              <w:t>Any HTTP ≥ 400 → warn</w:t>
            </w:r>
          </w:p>
        </w:tc>
      </w:tr>
      <w:tr>
        <w:tc>
          <w:tcPr>
            <w:tcW w:type="dxa" w:w="432"/>
          </w:tcPr>
          <w:p>
            <w:r/>
            <w:r>
              <w:rPr>
                <w:sz w:val="20"/>
              </w:rPr>
              <w:t>5</w:t>
            </w:r>
          </w:p>
        </w:tc>
        <w:tc>
          <w:tcPr>
            <w:tcW w:type="dxa" w:w="2016"/>
          </w:tcPr>
          <w:p>
            <w:r/>
            <w:r>
              <w:rPr>
                <w:sz w:val="20"/>
              </w:rPr>
              <w:t>Tracer summary</w:t>
            </w:r>
          </w:p>
        </w:tc>
        <w:tc>
          <w:tcPr>
            <w:tcW w:type="dxa" w:w="4320"/>
          </w:tcPr>
          <w:p>
            <w:r/>
            <w:r>
              <w:rPr>
                <w:sz w:val="20"/>
              </w:rPr>
              <w:t>Re-reads the JSONL trace, counts ok/warn/err by source</w:t>
            </w:r>
          </w:p>
        </w:tc>
        <w:tc>
          <w:tcPr>
            <w:tcW w:type="dxa" w:w="3600"/>
          </w:tcPr>
          <w:p>
            <w:r/>
            <w:r>
              <w:rPr>
                <w:sz w:val="20"/>
              </w:rPr>
              <w:t>Any pipeline step with event=error → warn</w:t>
            </w:r>
          </w:p>
        </w:tc>
      </w:tr>
      <w:tr>
        <w:tc>
          <w:tcPr>
            <w:tcW w:type="dxa" w:w="432"/>
          </w:tcPr>
          <w:p>
            <w:r/>
            <w:r>
              <w:rPr>
                <w:sz w:val="20"/>
              </w:rPr>
              <w:t>6</w:t>
            </w:r>
          </w:p>
        </w:tc>
        <w:tc>
          <w:tcPr>
            <w:tcW w:type="dxa" w:w="2016"/>
          </w:tcPr>
          <w:p>
            <w:r/>
            <w:r>
              <w:rPr>
                <w:sz w:val="20"/>
              </w:rPr>
              <w:t>Status grade</w:t>
            </w:r>
          </w:p>
        </w:tc>
        <w:tc>
          <w:tcPr>
            <w:tcW w:type="dxa" w:w="4320"/>
          </w:tcPr>
          <w:p>
            <w:r/>
            <w:r>
              <w:rPr>
                <w:sz w:val="20"/>
              </w:rPr>
              <w:t>Combines the above</w:t>
            </w:r>
          </w:p>
        </w:tc>
        <w:tc>
          <w:tcPr>
            <w:tcW w:type="dxa" w:w="3600"/>
          </w:tcPr>
          <w:p>
            <w:r/>
            <w:r>
              <w:rPr>
                <w:sz w:val="20"/>
              </w:rPr>
              <w:t>Orphan paragraphs → fail; warnings only → warn; otherwise ok</w:t>
            </w:r>
          </w:p>
        </w:tc>
      </w:tr>
    </w:tbl>
    <w:p>
      <w:pPr>
        <w:spacing w:after="80"/>
      </w:pPr>
    </w:p>
    <w:p>
      <w:pPr>
        <w:spacing w:before="240" w:after="120"/>
      </w:pPr>
      <w:r>
        <w:rPr>
          <w:rFonts w:ascii="Calibri" w:hAnsi="Calibri"/>
          <w:b/>
          <w:color w:val="1F3A5F"/>
          <w:sz w:val="28"/>
        </w:rPr>
        <w:t>Boilerplate filter</w:t>
      </w:r>
    </w:p>
    <w:p>
      <w:pPr>
        <w:spacing w:after="120"/>
        <w:jc w:val="both"/>
      </w:pPr>
      <w:r>
        <w:rPr>
          <w:b w:val="0"/>
          <w:i w:val="0"/>
          <w:sz w:val="22"/>
        </w:rPr>
        <w:t>The hallucination check is strict, so the auditor excludes the prelude and appendix boilerplate that the composer itself writes. The _BOILERPLATE_MARKERS tuple lists 20 substrings (comprehensive literature review, this review synthesises, key findings at a glance, database coverage and retrieval, etc.); paragraphs matching any of them are skipped. The check only fires on the body chapters, which is where genuine hallucination risk would live.</w:t>
      </w:r>
    </w:p>
    <w:p>
      <w:pPr>
        <w:spacing w:before="240" w:after="120"/>
      </w:pPr>
      <w:r>
        <w:rPr>
          <w:rFonts w:ascii="Calibri" w:hAnsi="Calibri"/>
          <w:b/>
          <w:color w:val="1F3A5F"/>
          <w:sz w:val="28"/>
        </w:rPr>
        <w:t>Why it's zero-dep on python-docx for reading</w:t>
      </w:r>
    </w:p>
    <w:p>
      <w:pPr>
        <w:spacing w:after="120"/>
        <w:jc w:val="both"/>
      </w:pPr>
      <w:r>
        <w:rPr>
          <w:b w:val="0"/>
          <w:i w:val="0"/>
          <w:sz w:val="22"/>
        </w:rPr>
        <w:t>_extract_docx_paragraphs uses the stdlib zipfile module to unzip the .docx and regex-strip word/document.xml into plain-text paragraphs. This keeps the auditor lightweight and lets it run even in environments where the python-docx write-path isn't installed.</w:t>
      </w:r>
    </w:p>
    <w:p>
      <w:r>
        <w:br w:type="page"/>
      </w:r>
    </w:p>
    <w:p>
      <w:pPr>
        <w:spacing w:before="360" w:after="120"/>
      </w:pPr>
      <w:r>
        <w:rPr>
          <w:rFonts w:ascii="Calibri" w:hAnsi="Calibri"/>
          <w:b/>
          <w:color w:val="1F3A5F"/>
          <w:sz w:val="36"/>
        </w:rPr>
        <w:t>10. The 29-Section Review Schema</w:t>
      </w:r>
    </w:p>
    <w:p>
      <w:pPr>
        <w:spacing w:after="120"/>
        <w:jc w:val="both"/>
      </w:pPr>
      <w:r>
        <w:rPr>
          <w:b w:val="0"/>
          <w:i w:val="0"/>
          <w:sz w:val="22"/>
        </w:rPr>
        <w:t>All three of the heavy pipeline modules (harvest, review, audit) agree on the same 29-section ontology, declared once in config/sections.py. This is deliberately a single source of truth — adding a new section, renaming one, or adjusting its keyword bank automatically propagates to routing, composition, and audit.</w:t>
      </w:r>
    </w:p>
    <w:p>
      <w:pPr>
        <w:spacing w:before="240" w:after="120"/>
      </w:pPr>
      <w:r>
        <w:rPr>
          <w:rFonts w:ascii="Calibri" w:hAnsi="Calibri"/>
          <w:b/>
          <w:color w:val="1F3A5F"/>
          <w:sz w:val="28"/>
        </w:rPr>
        <w:t>The 29 sections grouped into 9 chapters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3024"/>
            <w:shd w:val="clear" w:fill="1F3A5F"/>
          </w:tcPr>
          <w:p>
            <w:r/>
            <w:r>
              <w:rPr>
                <w:b/>
                <w:color w:val="FFFFFF"/>
                <w:sz w:val="21"/>
              </w:rPr>
              <w:t>Chapter</w:t>
            </w:r>
          </w:p>
        </w:tc>
        <w:tc>
          <w:tcPr>
            <w:tcW w:type="dxa" w:w="3456"/>
            <w:shd w:val="clear" w:fill="1F3A5F"/>
          </w:tcPr>
          <w:p>
            <w:r/>
            <w:r>
              <w:rPr>
                <w:b/>
                <w:color w:val="FFFFFF"/>
                <w:sz w:val="21"/>
              </w:rPr>
              <w:t>Section ID</w:t>
            </w:r>
          </w:p>
        </w:tc>
        <w:tc>
          <w:tcPr>
            <w:tcW w:type="dxa" w:w="3888"/>
            <w:shd w:val="clear" w:fill="1F3A5F"/>
          </w:tcPr>
          <w:p>
            <w:r/>
            <w:r>
              <w:rPr>
                <w:b/>
                <w:color w:val="FFFFFF"/>
                <w:sz w:val="21"/>
              </w:rPr>
              <w:t>Display title</w:t>
            </w:r>
          </w:p>
        </w:tc>
      </w:tr>
      <w:tr>
        <w:tc>
          <w:tcPr>
            <w:tcW w:type="dxa" w:w="3024"/>
          </w:tcPr>
          <w:p>
            <w:r/>
            <w:r>
              <w:rPr>
                <w:sz w:val="20"/>
              </w:rPr>
              <w:t>Chemical Properties</w:t>
            </w:r>
          </w:p>
        </w:tc>
        <w:tc>
          <w:tcPr>
            <w:tcW w:type="dxa" w:w="3456"/>
          </w:tcPr>
          <w:p>
            <w:r/>
            <w:r>
              <w:rPr>
                <w:sz w:val="20"/>
              </w:rPr>
              <w:t>chemical_properties</w:t>
            </w:r>
          </w:p>
        </w:tc>
        <w:tc>
          <w:tcPr>
            <w:tcW w:type="dxa" w:w="3888"/>
          </w:tcPr>
          <w:p>
            <w:r/>
            <w:r>
              <w:rPr>
                <w:sz w:val="20"/>
              </w:rPr>
              <w:t>Chemical Properties</w:t>
            </w:r>
          </w:p>
        </w:tc>
      </w:tr>
      <w:tr>
        <w:tc>
          <w:tcPr>
            <w:tcW w:type="dxa" w:w="3024"/>
          </w:tcPr>
          <w:p>
            <w:r/>
            <w:r>
              <w:rPr>
                <w:sz w:val="20"/>
              </w:rPr>
              <w:t>Environmental Behaviour</w:t>
            </w:r>
          </w:p>
        </w:tc>
        <w:tc>
          <w:tcPr>
            <w:tcW w:type="dxa" w:w="3456"/>
          </w:tcPr>
          <w:p>
            <w:r/>
            <w:r>
              <w:rPr>
                <w:sz w:val="20"/>
              </w:rPr>
              <w:t>environmental_behavior</w:t>
            </w:r>
          </w:p>
        </w:tc>
        <w:tc>
          <w:tcPr>
            <w:tcW w:type="dxa" w:w="3888"/>
          </w:tcPr>
          <w:p>
            <w:r/>
            <w:r>
              <w:rPr>
                <w:sz w:val="20"/>
              </w:rPr>
              <w:t>Environmental Behaviour</w:t>
            </w:r>
          </w:p>
        </w:tc>
      </w:tr>
      <w:tr>
        <w:tc>
          <w:tcPr>
            <w:tcW w:type="dxa" w:w="3024"/>
          </w:tcPr>
          <w:p>
            <w:r/>
            <w:r>
              <w:rPr>
                <w:sz w:val="20"/>
              </w:rPr>
              <w:t>Toxicokinetics</w:t>
            </w:r>
          </w:p>
        </w:tc>
        <w:tc>
          <w:tcPr>
            <w:tcW w:type="dxa" w:w="3456"/>
          </w:tcPr>
          <w:p>
            <w:r/>
            <w:r>
              <w:rPr>
                <w:sz w:val="20"/>
              </w:rPr>
              <w:t>toxicokinetics</w:t>
            </w:r>
          </w:p>
        </w:tc>
        <w:tc>
          <w:tcPr>
            <w:tcW w:type="dxa" w:w="3888"/>
          </w:tcPr>
          <w:p>
            <w:r/>
            <w:r>
              <w:rPr>
                <w:sz w:val="20"/>
              </w:rPr>
              <w:t>Toxicokinetics (ADME)</w:t>
            </w:r>
          </w:p>
        </w:tc>
      </w:tr>
      <w:tr>
        <w:tc>
          <w:tcPr>
            <w:tcW w:type="dxa" w:w="3024"/>
          </w:tcPr>
          <w:p>
            <w:r/>
            <w:r>
              <w:rPr>
                <w:sz w:val="20"/>
              </w:rPr>
              <w:t>Sources of Exposure</w:t>
            </w:r>
          </w:p>
        </w:tc>
        <w:tc>
          <w:tcPr>
            <w:tcW w:type="dxa" w:w="3456"/>
          </w:tcPr>
          <w:p>
            <w:r/>
            <w:r>
              <w:rPr>
                <w:sz w:val="20"/>
              </w:rPr>
              <w:t>exposure_consumer</w:t>
            </w:r>
          </w:p>
        </w:tc>
        <w:tc>
          <w:tcPr>
            <w:tcW w:type="dxa" w:w="3888"/>
          </w:tcPr>
          <w:p>
            <w:r/>
            <w:r>
              <w:rPr>
                <w:sz w:val="20"/>
              </w:rPr>
              <w:t>Consumer-Product Exposure</w:t>
            </w:r>
          </w:p>
        </w:tc>
      </w:tr>
      <w:tr>
        <w:tc>
          <w:tcPr>
            <w:tcW w:type="dxa" w:w="3024"/>
          </w:tcPr>
          <w:p>
            <w:r/>
            <w:r>
              <w:rPr>
                <w:sz w:val="20"/>
              </w:rPr>
              <w:t>Sources of Exposure</w:t>
            </w:r>
          </w:p>
        </w:tc>
        <w:tc>
          <w:tcPr>
            <w:tcW w:type="dxa" w:w="3456"/>
          </w:tcPr>
          <w:p>
            <w:r/>
            <w:r>
              <w:rPr>
                <w:sz w:val="20"/>
              </w:rPr>
              <w:t>exposure_occupational</w:t>
            </w:r>
          </w:p>
        </w:tc>
        <w:tc>
          <w:tcPr>
            <w:tcW w:type="dxa" w:w="3888"/>
          </w:tcPr>
          <w:p>
            <w:r/>
            <w:r>
              <w:rPr>
                <w:sz w:val="20"/>
              </w:rPr>
              <w:t>Occupational Exposure</w:t>
            </w:r>
          </w:p>
        </w:tc>
      </w:tr>
      <w:tr>
        <w:tc>
          <w:tcPr>
            <w:tcW w:type="dxa" w:w="3024"/>
          </w:tcPr>
          <w:p>
            <w:r/>
            <w:r>
              <w:rPr>
                <w:sz w:val="20"/>
              </w:rPr>
              <w:t>Sources of Exposure</w:t>
            </w:r>
          </w:p>
        </w:tc>
        <w:tc>
          <w:tcPr>
            <w:tcW w:type="dxa" w:w="3456"/>
          </w:tcPr>
          <w:p>
            <w:r/>
            <w:r>
              <w:rPr>
                <w:sz w:val="20"/>
              </w:rPr>
              <w:t>exposure_environmental</w:t>
            </w:r>
          </w:p>
        </w:tc>
        <w:tc>
          <w:tcPr>
            <w:tcW w:type="dxa" w:w="3888"/>
          </w:tcPr>
          <w:p>
            <w:r/>
            <w:r>
              <w:rPr>
                <w:sz w:val="20"/>
              </w:rPr>
              <w:t>Environmental Exposure</w:t>
            </w:r>
          </w:p>
        </w:tc>
      </w:tr>
      <w:tr>
        <w:tc>
          <w:tcPr>
            <w:tcW w:type="dxa" w:w="3024"/>
          </w:tcPr>
          <w:p>
            <w:r/>
            <w:r>
              <w:rPr>
                <w:sz w:val="20"/>
              </w:rPr>
              <w:t>Sources of Exposure</w:t>
            </w:r>
          </w:p>
        </w:tc>
        <w:tc>
          <w:tcPr>
            <w:tcW w:type="dxa" w:w="3456"/>
          </w:tcPr>
          <w:p>
            <w:r/>
            <w:r>
              <w:rPr>
                <w:sz w:val="20"/>
              </w:rPr>
              <w:t>exposure_water_soil</w:t>
            </w:r>
          </w:p>
        </w:tc>
        <w:tc>
          <w:tcPr>
            <w:tcW w:type="dxa" w:w="3888"/>
          </w:tcPr>
          <w:p>
            <w:r/>
            <w:r>
              <w:rPr>
                <w:sz w:val="20"/>
              </w:rPr>
              <w:t>Water and Soil Contamination</w:t>
            </w:r>
          </w:p>
        </w:tc>
      </w:tr>
      <w:tr>
        <w:tc>
          <w:tcPr>
            <w:tcW w:type="dxa" w:w="3024"/>
          </w:tcPr>
          <w:p>
            <w:r/>
            <w:r>
              <w:rPr>
                <w:sz w:val="20"/>
              </w:rPr>
              <w:t>Health Effects</w:t>
            </w:r>
          </w:p>
        </w:tc>
        <w:tc>
          <w:tcPr>
            <w:tcW w:type="dxa" w:w="3456"/>
          </w:tcPr>
          <w:p>
            <w:r/>
            <w:r>
              <w:rPr>
                <w:sz w:val="20"/>
              </w:rPr>
              <w:t>health_effects_acute</w:t>
            </w:r>
          </w:p>
        </w:tc>
        <w:tc>
          <w:tcPr>
            <w:tcW w:type="dxa" w:w="3888"/>
          </w:tcPr>
          <w:p>
            <w:r/>
            <w:r>
              <w:rPr>
                <w:sz w:val="20"/>
              </w:rPr>
              <w:t>Acute Health Effects</w:t>
            </w:r>
          </w:p>
        </w:tc>
      </w:tr>
      <w:tr>
        <w:tc>
          <w:tcPr>
            <w:tcW w:type="dxa" w:w="3024"/>
          </w:tcPr>
          <w:p>
            <w:r/>
            <w:r>
              <w:rPr>
                <w:sz w:val="20"/>
              </w:rPr>
              <w:t>Health Effects</w:t>
            </w:r>
          </w:p>
        </w:tc>
        <w:tc>
          <w:tcPr>
            <w:tcW w:type="dxa" w:w="3456"/>
          </w:tcPr>
          <w:p>
            <w:r/>
            <w:r>
              <w:rPr>
                <w:sz w:val="20"/>
              </w:rPr>
              <w:t>health_effects_chronic</w:t>
            </w:r>
          </w:p>
        </w:tc>
        <w:tc>
          <w:tcPr>
            <w:tcW w:type="dxa" w:w="3888"/>
          </w:tcPr>
          <w:p>
            <w:r/>
            <w:r>
              <w:rPr>
                <w:sz w:val="20"/>
              </w:rPr>
              <w:t>Chronic Health Effects</w:t>
            </w:r>
          </w:p>
        </w:tc>
      </w:tr>
      <w:tr>
        <w:tc>
          <w:tcPr>
            <w:tcW w:type="dxa" w:w="3024"/>
          </w:tcPr>
          <w:p>
            <w:r/>
            <w:r>
              <w:rPr>
                <w:sz w:val="20"/>
              </w:rPr>
              <w:t>Health Effects</w:t>
            </w:r>
          </w:p>
        </w:tc>
        <w:tc>
          <w:tcPr>
            <w:tcW w:type="dxa" w:w="3456"/>
          </w:tcPr>
          <w:p>
            <w:r/>
            <w:r>
              <w:rPr>
                <w:sz w:val="20"/>
              </w:rPr>
              <w:t>genotoxicity_mutagenicity</w:t>
            </w:r>
          </w:p>
        </w:tc>
        <w:tc>
          <w:tcPr>
            <w:tcW w:type="dxa" w:w="3888"/>
          </w:tcPr>
          <w:p>
            <w:r/>
            <w:r>
              <w:rPr>
                <w:sz w:val="20"/>
              </w:rPr>
              <w:t>Genotoxicity and Mutagenicity</w:t>
            </w:r>
          </w:p>
        </w:tc>
      </w:tr>
      <w:tr>
        <w:tc>
          <w:tcPr>
            <w:tcW w:type="dxa" w:w="3024"/>
          </w:tcPr>
          <w:p>
            <w:r/>
            <w:r>
              <w:rPr>
                <w:sz w:val="20"/>
              </w:rPr>
              <w:t>Health Effects</w:t>
            </w:r>
          </w:p>
        </w:tc>
        <w:tc>
          <w:tcPr>
            <w:tcW w:type="dxa" w:w="3456"/>
          </w:tcPr>
          <w:p>
            <w:r/>
            <w:r>
              <w:rPr>
                <w:sz w:val="20"/>
              </w:rPr>
              <w:t>neurotoxicity</w:t>
            </w:r>
          </w:p>
        </w:tc>
        <w:tc>
          <w:tcPr>
            <w:tcW w:type="dxa" w:w="3888"/>
          </w:tcPr>
          <w:p>
            <w:r/>
            <w:r>
              <w:rPr>
                <w:sz w:val="20"/>
              </w:rPr>
              <w:t>Neurotoxicity</w:t>
            </w:r>
          </w:p>
        </w:tc>
      </w:tr>
      <w:tr>
        <w:tc>
          <w:tcPr>
            <w:tcW w:type="dxa" w:w="3024"/>
          </w:tcPr>
          <w:p>
            <w:r/>
            <w:r>
              <w:rPr>
                <w:sz w:val="20"/>
              </w:rPr>
              <w:t>Health Effects</w:t>
            </w:r>
          </w:p>
        </w:tc>
        <w:tc>
          <w:tcPr>
            <w:tcW w:type="dxa" w:w="3456"/>
          </w:tcPr>
          <w:p>
            <w:r/>
            <w:r>
              <w:rPr>
                <w:sz w:val="20"/>
              </w:rPr>
              <w:t>immunotoxicity</w:t>
            </w:r>
          </w:p>
        </w:tc>
        <w:tc>
          <w:tcPr>
            <w:tcW w:type="dxa" w:w="3888"/>
          </w:tcPr>
          <w:p>
            <w:r/>
            <w:r>
              <w:rPr>
                <w:sz w:val="20"/>
              </w:rPr>
              <w:t>Immunotoxicity</w:t>
            </w:r>
          </w:p>
        </w:tc>
      </w:tr>
      <w:tr>
        <w:tc>
          <w:tcPr>
            <w:tcW w:type="dxa" w:w="3024"/>
          </w:tcPr>
          <w:p>
            <w:r/>
            <w:r>
              <w:rPr>
                <w:sz w:val="20"/>
              </w:rPr>
              <w:t>Health Effects</w:t>
            </w:r>
          </w:p>
        </w:tc>
        <w:tc>
          <w:tcPr>
            <w:tcW w:type="dxa" w:w="3456"/>
          </w:tcPr>
          <w:p>
            <w:r/>
            <w:r>
              <w:rPr>
                <w:sz w:val="20"/>
              </w:rPr>
              <w:t>reproductive_developmental</w:t>
            </w:r>
          </w:p>
        </w:tc>
        <w:tc>
          <w:tcPr>
            <w:tcW w:type="dxa" w:w="3888"/>
          </w:tcPr>
          <w:p>
            <w:r/>
            <w:r>
              <w:rPr>
                <w:sz w:val="20"/>
              </w:rPr>
              <w:t>Reproductive and Developmental Toxicity</w:t>
            </w:r>
          </w:p>
        </w:tc>
      </w:tr>
      <w:tr>
        <w:tc>
          <w:tcPr>
            <w:tcW w:type="dxa" w:w="3024"/>
          </w:tcPr>
          <w:p>
            <w:r/>
            <w:r>
              <w:rPr>
                <w:sz w:val="20"/>
              </w:rPr>
              <w:t>Health Effects</w:t>
            </w:r>
          </w:p>
        </w:tc>
        <w:tc>
          <w:tcPr>
            <w:tcW w:type="dxa" w:w="3456"/>
          </w:tcPr>
          <w:p>
            <w:r/>
            <w:r>
              <w:rPr>
                <w:sz w:val="20"/>
              </w:rPr>
              <w:t>organ_specific_toxicity</w:t>
            </w:r>
          </w:p>
        </w:tc>
        <w:tc>
          <w:tcPr>
            <w:tcW w:type="dxa" w:w="3888"/>
          </w:tcPr>
          <w:p>
            <w:r/>
            <w:r>
              <w:rPr>
                <w:sz w:val="20"/>
              </w:rPr>
              <w:t>Organ-Specific Toxicity</w:t>
            </w:r>
          </w:p>
        </w:tc>
      </w:tr>
      <w:tr>
        <w:tc>
          <w:tcPr>
            <w:tcW w:type="dxa" w:w="3024"/>
          </w:tcPr>
          <w:p>
            <w:r/>
            <w:r>
              <w:rPr>
                <w:sz w:val="20"/>
              </w:rPr>
              <w:t>Health Effects</w:t>
            </w:r>
          </w:p>
        </w:tc>
        <w:tc>
          <w:tcPr>
            <w:tcW w:type="dxa" w:w="3456"/>
          </w:tcPr>
          <w:p>
            <w:r/>
            <w:r>
              <w:rPr>
                <w:sz w:val="20"/>
              </w:rPr>
              <w:t>health_effects_occupational</w:t>
            </w:r>
          </w:p>
        </w:tc>
        <w:tc>
          <w:tcPr>
            <w:tcW w:type="dxa" w:w="3888"/>
          </w:tcPr>
          <w:p>
            <w:r/>
            <w:r>
              <w:rPr>
                <w:sz w:val="20"/>
              </w:rPr>
              <w:t>Occupational Health Effects</w:t>
            </w:r>
          </w:p>
        </w:tc>
      </w:tr>
      <w:tr>
        <w:tc>
          <w:tcPr>
            <w:tcW w:type="dxa" w:w="3024"/>
          </w:tcPr>
          <w:p>
            <w:r/>
            <w:r>
              <w:rPr>
                <w:sz w:val="20"/>
              </w:rPr>
              <w:t>Regulations and Guidelines</w:t>
            </w:r>
          </w:p>
        </w:tc>
        <w:tc>
          <w:tcPr>
            <w:tcW w:type="dxa" w:w="3456"/>
          </w:tcPr>
          <w:p>
            <w:r/>
            <w:r>
              <w:rPr>
                <w:sz w:val="20"/>
              </w:rPr>
              <w:t>regulations_international</w:t>
            </w:r>
          </w:p>
        </w:tc>
        <w:tc>
          <w:tcPr>
            <w:tcW w:type="dxa" w:w="3888"/>
          </w:tcPr>
          <w:p>
            <w:r/>
            <w:r>
              <w:rPr>
                <w:sz w:val="20"/>
              </w:rPr>
              <w:t>International Guidelines</w:t>
            </w:r>
          </w:p>
        </w:tc>
      </w:tr>
      <w:tr>
        <w:tc>
          <w:tcPr>
            <w:tcW w:type="dxa" w:w="3024"/>
          </w:tcPr>
          <w:p>
            <w:r/>
            <w:r>
              <w:rPr>
                <w:sz w:val="20"/>
              </w:rPr>
              <w:t>Regulations and Guidelines</w:t>
            </w:r>
          </w:p>
        </w:tc>
        <w:tc>
          <w:tcPr>
            <w:tcW w:type="dxa" w:w="3456"/>
          </w:tcPr>
          <w:p>
            <w:r/>
            <w:r>
              <w:rPr>
                <w:sz w:val="20"/>
              </w:rPr>
              <w:t>regulations_osha</w:t>
            </w:r>
          </w:p>
        </w:tc>
        <w:tc>
          <w:tcPr>
            <w:tcW w:type="dxa" w:w="3888"/>
          </w:tcPr>
          <w:p>
            <w:r/>
            <w:r>
              <w:rPr>
                <w:sz w:val="20"/>
              </w:rPr>
              <w:t>Occupational Exposure Limits</w:t>
            </w:r>
          </w:p>
        </w:tc>
      </w:tr>
      <w:tr>
        <w:tc>
          <w:tcPr>
            <w:tcW w:type="dxa" w:w="3024"/>
          </w:tcPr>
          <w:p>
            <w:r/>
            <w:r>
              <w:rPr>
                <w:sz w:val="20"/>
              </w:rPr>
              <w:t>Regulations and Guidelines</w:t>
            </w:r>
          </w:p>
        </w:tc>
        <w:tc>
          <w:tcPr>
            <w:tcW w:type="dxa" w:w="3456"/>
          </w:tcPr>
          <w:p>
            <w:r/>
            <w:r>
              <w:rPr>
                <w:sz w:val="20"/>
              </w:rPr>
              <w:t>regulations_epa</w:t>
            </w:r>
          </w:p>
        </w:tc>
        <w:tc>
          <w:tcPr>
            <w:tcW w:type="dxa" w:w="3888"/>
          </w:tcPr>
          <w:p>
            <w:r/>
            <w:r>
              <w:rPr>
                <w:sz w:val="20"/>
              </w:rPr>
              <w:t>U.S. EPA Assessments</w:t>
            </w:r>
          </w:p>
        </w:tc>
      </w:tr>
      <w:tr>
        <w:tc>
          <w:tcPr>
            <w:tcW w:type="dxa" w:w="3024"/>
          </w:tcPr>
          <w:p>
            <w:r/>
            <w:r>
              <w:rPr>
                <w:sz w:val="20"/>
              </w:rPr>
              <w:t>Regulations and Guidelines</w:t>
            </w:r>
          </w:p>
        </w:tc>
        <w:tc>
          <w:tcPr>
            <w:tcW w:type="dxa" w:w="3456"/>
          </w:tcPr>
          <w:p>
            <w:r/>
            <w:r>
              <w:rPr>
                <w:sz w:val="20"/>
              </w:rPr>
              <w:t>regulations_community</w:t>
            </w:r>
          </w:p>
        </w:tc>
        <w:tc>
          <w:tcPr>
            <w:tcW w:type="dxa" w:w="3888"/>
          </w:tcPr>
          <w:p>
            <w:r/>
            <w:r>
              <w:rPr>
                <w:sz w:val="20"/>
              </w:rPr>
              <w:t>Community and Public-Health Regulation</w:t>
            </w:r>
          </w:p>
        </w:tc>
      </w:tr>
      <w:tr>
        <w:tc>
          <w:tcPr>
            <w:tcW w:type="dxa" w:w="3024"/>
          </w:tcPr>
          <w:p>
            <w:r/>
            <w:r>
              <w:rPr>
                <w:sz w:val="20"/>
              </w:rPr>
              <w:t>Regulations and Guidelines</w:t>
            </w:r>
          </w:p>
        </w:tc>
        <w:tc>
          <w:tcPr>
            <w:tcW w:type="dxa" w:w="3456"/>
          </w:tcPr>
          <w:p>
            <w:r/>
            <w:r>
              <w:rPr>
                <w:sz w:val="20"/>
              </w:rPr>
              <w:t>regulations_legal</w:t>
            </w:r>
          </w:p>
        </w:tc>
        <w:tc>
          <w:tcPr>
            <w:tcW w:type="dxa" w:w="3888"/>
          </w:tcPr>
          <w:p>
            <w:r/>
            <w:r>
              <w:rPr>
                <w:sz w:val="20"/>
              </w:rPr>
              <w:t>Legal and Compliance Framework</w:t>
            </w:r>
          </w:p>
        </w:tc>
      </w:tr>
      <w:tr>
        <w:tc>
          <w:tcPr>
            <w:tcW w:type="dxa" w:w="3024"/>
          </w:tcPr>
          <w:p>
            <w:r/>
            <w:r>
              <w:rPr>
                <w:sz w:val="20"/>
              </w:rPr>
              <w:t>Risk Assessment</w:t>
            </w:r>
          </w:p>
        </w:tc>
        <w:tc>
          <w:tcPr>
            <w:tcW w:type="dxa" w:w="3456"/>
          </w:tcPr>
          <w:p>
            <w:r/>
            <w:r>
              <w:rPr>
                <w:sz w:val="20"/>
              </w:rPr>
              <w:t>risk_assessment_occupational</w:t>
            </w:r>
          </w:p>
        </w:tc>
        <w:tc>
          <w:tcPr>
            <w:tcW w:type="dxa" w:w="3888"/>
          </w:tcPr>
          <w:p>
            <w:r/>
            <w:r>
              <w:rPr>
                <w:sz w:val="20"/>
              </w:rPr>
              <w:t>Occupational Risk Assessment</w:t>
            </w:r>
          </w:p>
        </w:tc>
      </w:tr>
      <w:tr>
        <w:tc>
          <w:tcPr>
            <w:tcW w:type="dxa" w:w="3024"/>
          </w:tcPr>
          <w:p>
            <w:r/>
            <w:r>
              <w:rPr>
                <w:sz w:val="20"/>
              </w:rPr>
              <w:t>Risk Assessment</w:t>
            </w:r>
          </w:p>
        </w:tc>
        <w:tc>
          <w:tcPr>
            <w:tcW w:type="dxa" w:w="3456"/>
          </w:tcPr>
          <w:p>
            <w:r/>
            <w:r>
              <w:rPr>
                <w:sz w:val="20"/>
              </w:rPr>
              <w:t>risk_assessment_vulnerable</w:t>
            </w:r>
          </w:p>
        </w:tc>
        <w:tc>
          <w:tcPr>
            <w:tcW w:type="dxa" w:w="3888"/>
          </w:tcPr>
          <w:p>
            <w:r/>
            <w:r>
              <w:rPr>
                <w:sz w:val="20"/>
              </w:rPr>
              <w:t>Risk Assessment — Vulnerable Populations</w:t>
            </w:r>
          </w:p>
        </w:tc>
      </w:tr>
      <w:tr>
        <w:tc>
          <w:tcPr>
            <w:tcW w:type="dxa" w:w="3024"/>
          </w:tcPr>
          <w:p>
            <w:r/>
            <w:r>
              <w:rPr>
                <w:sz w:val="20"/>
              </w:rPr>
              <w:t>Risk Assessment</w:t>
            </w:r>
          </w:p>
        </w:tc>
        <w:tc>
          <w:tcPr>
            <w:tcW w:type="dxa" w:w="3456"/>
          </w:tcPr>
          <w:p>
            <w:r/>
            <w:r>
              <w:rPr>
                <w:sz w:val="20"/>
              </w:rPr>
              <w:t>risk_assessment_genetic</w:t>
            </w:r>
          </w:p>
        </w:tc>
        <w:tc>
          <w:tcPr>
            <w:tcW w:type="dxa" w:w="3888"/>
          </w:tcPr>
          <w:p>
            <w:r/>
            <w:r>
              <w:rPr>
                <w:sz w:val="20"/>
              </w:rPr>
              <w:t>Genetic Susceptibility and Risk</w:t>
            </w:r>
          </w:p>
        </w:tc>
      </w:tr>
      <w:tr>
        <w:tc>
          <w:tcPr>
            <w:tcW w:type="dxa" w:w="3024"/>
          </w:tcPr>
          <w:p>
            <w:r/>
            <w:r>
              <w:rPr>
                <w:sz w:val="20"/>
              </w:rPr>
              <w:t>Risk Assessment</w:t>
            </w:r>
          </w:p>
        </w:tc>
        <w:tc>
          <w:tcPr>
            <w:tcW w:type="dxa" w:w="3456"/>
          </w:tcPr>
          <w:p>
            <w:r/>
            <w:r>
              <w:rPr>
                <w:sz w:val="20"/>
              </w:rPr>
              <w:t>risk_assessment_regulatory</w:t>
            </w:r>
          </w:p>
        </w:tc>
        <w:tc>
          <w:tcPr>
            <w:tcW w:type="dxa" w:w="3888"/>
          </w:tcPr>
          <w:p>
            <w:r/>
            <w:r>
              <w:rPr>
                <w:sz w:val="20"/>
              </w:rPr>
              <w:t>Regulatory Risk Evaluation</w:t>
            </w:r>
          </w:p>
        </w:tc>
      </w:tr>
      <w:tr>
        <w:tc>
          <w:tcPr>
            <w:tcW w:type="dxa" w:w="3024"/>
          </w:tcPr>
          <w:p>
            <w:r/>
            <w:r>
              <w:rPr>
                <w:sz w:val="20"/>
              </w:rPr>
              <w:t>Mitigation and Prevention</w:t>
            </w:r>
          </w:p>
        </w:tc>
        <w:tc>
          <w:tcPr>
            <w:tcW w:type="dxa" w:w="3456"/>
          </w:tcPr>
          <w:p>
            <w:r/>
            <w:r>
              <w:rPr>
                <w:sz w:val="20"/>
              </w:rPr>
              <w:t>mitigation_strategies</w:t>
            </w:r>
          </w:p>
        </w:tc>
        <w:tc>
          <w:tcPr>
            <w:tcW w:type="dxa" w:w="3888"/>
          </w:tcPr>
          <w:p>
            <w:r/>
            <w:r>
              <w:rPr>
                <w:sz w:val="20"/>
              </w:rPr>
              <w:t>Exposure-Reduction Strategies</w:t>
            </w:r>
          </w:p>
        </w:tc>
      </w:tr>
      <w:tr>
        <w:tc>
          <w:tcPr>
            <w:tcW w:type="dxa" w:w="3024"/>
          </w:tcPr>
          <w:p>
            <w:r/>
            <w:r>
              <w:rPr>
                <w:sz w:val="20"/>
              </w:rPr>
              <w:t>Mitigation and Prevention</w:t>
            </w:r>
          </w:p>
        </w:tc>
        <w:tc>
          <w:tcPr>
            <w:tcW w:type="dxa" w:w="3456"/>
          </w:tcPr>
          <w:p>
            <w:r/>
            <w:r>
              <w:rPr>
                <w:sz w:val="20"/>
              </w:rPr>
              <w:t>mitigation_workplace</w:t>
            </w:r>
          </w:p>
        </w:tc>
        <w:tc>
          <w:tcPr>
            <w:tcW w:type="dxa" w:w="3888"/>
          </w:tcPr>
          <w:p>
            <w:r/>
            <w:r>
              <w:rPr>
                <w:sz w:val="20"/>
              </w:rPr>
              <w:t>Workplace Safety Measures</w:t>
            </w:r>
          </w:p>
        </w:tc>
      </w:tr>
      <w:tr>
        <w:tc>
          <w:tcPr>
            <w:tcW w:type="dxa" w:w="3024"/>
          </w:tcPr>
          <w:p>
            <w:r/>
            <w:r>
              <w:rPr>
                <w:sz w:val="20"/>
              </w:rPr>
              <w:t>Mitigation and Prevention</w:t>
            </w:r>
          </w:p>
        </w:tc>
        <w:tc>
          <w:tcPr>
            <w:tcW w:type="dxa" w:w="3456"/>
          </w:tcPr>
          <w:p>
            <w:r/>
            <w:r>
              <w:rPr>
                <w:sz w:val="20"/>
              </w:rPr>
              <w:t>mitigation_regulatory</w:t>
            </w:r>
          </w:p>
        </w:tc>
        <w:tc>
          <w:tcPr>
            <w:tcW w:type="dxa" w:w="3888"/>
          </w:tcPr>
          <w:p>
            <w:r/>
            <w:r>
              <w:rPr>
                <w:sz w:val="20"/>
              </w:rPr>
              <w:t>Regulatory Change and Policy Mitigation</w:t>
            </w:r>
          </w:p>
        </w:tc>
      </w:tr>
      <w:tr>
        <w:tc>
          <w:tcPr>
            <w:tcW w:type="dxa" w:w="3024"/>
          </w:tcPr>
          <w:p>
            <w:r/>
            <w:r>
              <w:rPr>
                <w:sz w:val="20"/>
              </w:rPr>
              <w:t>Mitigation and Prevention</w:t>
            </w:r>
          </w:p>
        </w:tc>
        <w:tc>
          <w:tcPr>
            <w:tcW w:type="dxa" w:w="3456"/>
          </w:tcPr>
          <w:p>
            <w:r/>
            <w:r>
              <w:rPr>
                <w:sz w:val="20"/>
              </w:rPr>
              <w:t>mitigation_community</w:t>
            </w:r>
          </w:p>
        </w:tc>
        <w:tc>
          <w:tcPr>
            <w:tcW w:type="dxa" w:w="3888"/>
          </w:tcPr>
          <w:p>
            <w:r/>
            <w:r>
              <w:rPr>
                <w:sz w:val="20"/>
              </w:rPr>
              <w:t>Community-Level Interventions</w:t>
            </w:r>
          </w:p>
        </w:tc>
      </w:tr>
      <w:tr>
        <w:tc>
          <w:tcPr>
            <w:tcW w:type="dxa" w:w="3024"/>
          </w:tcPr>
          <w:p>
            <w:r/>
            <w:r>
              <w:rPr>
                <w:sz w:val="20"/>
              </w:rPr>
              <w:t>Recent Research Findings</w:t>
            </w:r>
          </w:p>
        </w:tc>
        <w:tc>
          <w:tcPr>
            <w:tcW w:type="dxa" w:w="3456"/>
          </w:tcPr>
          <w:p>
            <w:r/>
            <w:r>
              <w:rPr>
                <w:sz w:val="20"/>
              </w:rPr>
              <w:t>recent_research</w:t>
            </w:r>
          </w:p>
        </w:tc>
        <w:tc>
          <w:tcPr>
            <w:tcW w:type="dxa" w:w="3888"/>
          </w:tcPr>
          <w:p>
            <w:r/>
            <w:r>
              <w:rPr>
                <w:sz w:val="20"/>
              </w:rPr>
              <w:t>Recent Research Findings</w:t>
            </w:r>
          </w:p>
        </w:tc>
      </w:tr>
    </w:tbl>
    <w:p>
      <w:pPr>
        <w:spacing w:after="80"/>
      </w:pPr>
    </w:p>
    <w:p>
      <w:pPr>
        <w:spacing w:before="240" w:after="120"/>
      </w:pPr>
      <w:r>
        <w:rPr>
          <w:rFonts w:ascii="Calibri" w:hAnsi="Calibri"/>
          <w:b/>
          <w:color w:val="1F3A5F"/>
          <w:sz w:val="28"/>
        </w:rPr>
        <w:t>Helper APIs exposed by config.sections</w:t>
      </w:r>
    </w:p>
    <w:p>
      <w:pPr>
        <w:pStyle w:val="ListBullet"/>
        <w:spacing w:after="40"/>
        <w:ind w:left="360"/>
      </w:pPr>
      <w:r>
        <w:rPr>
          <w:sz w:val="22"/>
        </w:rPr>
        <w:t>LITERATURE_QUERY_TEMPLATES — ~150 .format(name=, cas=)-style query strings used against PubMed/EuropePMC/OpenAlex/Semantic Scholar.</w:t>
      </w:r>
    </w:p>
    <w:p>
      <w:pPr>
        <w:pStyle w:val="ListBullet"/>
        <w:spacing w:after="40"/>
        <w:ind w:left="360"/>
      </w:pPr>
      <w:r>
        <w:rPr>
          <w:sz w:val="22"/>
        </w:rPr>
        <w:t>keywords_for_section(section_id) — returns the keyword list for a given section (or [] if unknown).</w:t>
      </w:r>
    </w:p>
    <w:p>
      <w:pPr>
        <w:pStyle w:val="ListBullet"/>
        <w:spacing w:after="40"/>
        <w:ind w:left="360"/>
      </w:pPr>
      <w:r>
        <w:rPr>
          <w:sz w:val="22"/>
        </w:rPr>
        <w:t>section_for_hit(text) — given any text, returns the list of section IDs whose keyword bank has at least one match. Deterministic LITERATURE_SECTIONS order.</w:t>
      </w:r>
    </w:p>
    <w:p>
      <w:pPr>
        <w:pStyle w:val="ListBullet"/>
        <w:spacing w:after="40"/>
        <w:ind w:left="360"/>
      </w:pPr>
      <w:r>
        <w:rPr>
          <w:sz w:val="22"/>
        </w:rPr>
        <w:t>format_queries(name, cas='') — returns every query template formatted with this chemical's name/CAS. Used by the wider-keyword sweep inside DatabaseSearcher.</w:t>
      </w:r>
    </w:p>
    <w:p>
      <w:pPr>
        <w:pStyle w:val="ListBullet"/>
        <w:spacing w:after="40"/>
        <w:ind w:left="360"/>
      </w:pPr>
      <w:r>
        <w:rPr>
          <w:sz w:val="22"/>
        </w:rPr>
        <w:t>ALL_SECTION_KEYWORDS — the deduplicated, sorted union of every section's bucket. 570 lowercased strings as of the current build.</w:t>
      </w:r>
    </w:p>
    <w:p>
      <w:r>
        <w:br w:type="page"/>
      </w:r>
    </w:p>
    <w:p>
      <w:pPr>
        <w:spacing w:before="360" w:after="120"/>
      </w:pPr>
      <w:r>
        <w:rPr>
          <w:rFonts w:ascii="Calibri" w:hAnsi="Calibri"/>
          <w:b/>
          <w:color w:val="1F3A5F"/>
          <w:sz w:val="36"/>
        </w:rPr>
        <w:t>11. Database Registry and Harvester Tier</w:t>
      </w:r>
    </w:p>
    <w:p>
      <w:pPr>
        <w:spacing w:after="120"/>
        <w:jc w:val="both"/>
      </w:pPr>
      <w:r>
        <w:rPr>
          <w:b w:val="0"/>
          <w:i w:val="0"/>
          <w:sz w:val="22"/>
        </w:rPr>
        <w:t>Two registries govern external coverage: config.databases (declarative, 34 DBs) describes which sources should in principle be consulted, while sources.harvester.REGISTRY (executable, 14 DBs) holds the per-module adapter classes that are actually wired up for deep harvest today. The remaining declared DBs are either already covered by PubChem / PubMed / EuropePMC / OpenAlex (the "backbone" four), or are reached via the agency profile fetcher, or are in the backlog for future adapters.</w:t>
      </w:r>
    </w:p>
    <w:p>
      <w:pPr>
        <w:spacing w:before="240" w:after="120"/>
      </w:pPr>
      <w:r>
        <w:rPr>
          <w:rFonts w:ascii="Calibri" w:hAnsi="Calibri"/>
          <w:b/>
          <w:color w:val="1F3A5F"/>
          <w:sz w:val="28"/>
        </w:rPr>
        <w:t>14 active per-database harvesters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432"/>
            <w:shd w:val="clear" w:fill="1F3A5F"/>
          </w:tcPr>
          <w:p>
            <w:r/>
            <w:r>
              <w:rPr>
                <w:b/>
                <w:color w:val="FFFFFF"/>
                <w:sz w:val="21"/>
              </w:rPr>
              <w:t>#</w:t>
            </w:r>
          </w:p>
        </w:tc>
        <w:tc>
          <w:tcPr>
            <w:tcW w:type="dxa" w:w="2304"/>
            <w:shd w:val="clear" w:fill="1F3A5F"/>
          </w:tcPr>
          <w:p>
            <w:r/>
            <w:r>
              <w:rPr>
                <w:b/>
                <w:color w:val="FFFFFF"/>
                <w:sz w:val="21"/>
              </w:rPr>
              <w:t>Name</w:t>
            </w:r>
          </w:p>
        </w:tc>
        <w:tc>
          <w:tcPr>
            <w:tcW w:type="dxa" w:w="3168"/>
            <w:shd w:val="clear" w:fill="1F3A5F"/>
          </w:tcPr>
          <w:p>
            <w:r/>
            <w:r>
              <w:rPr>
                <w:b/>
                <w:color w:val="FFFFFF"/>
                <w:sz w:val="21"/>
              </w:rPr>
              <w:t>Module</w:t>
            </w:r>
          </w:p>
        </w:tc>
        <w:tc>
          <w:tcPr>
            <w:tcW w:type="dxa" w:w="4464"/>
            <w:shd w:val="clear" w:fill="1F3A5F"/>
          </w:tcPr>
          <w:p>
            <w:r/>
            <w:r>
              <w:rPr>
                <w:b/>
                <w:color w:val="FFFFFF"/>
                <w:sz w:val="21"/>
              </w:rPr>
              <w:t>Custodian</w:t>
            </w:r>
          </w:p>
        </w:tc>
      </w:tr>
      <w:tr>
        <w:tc>
          <w:tcPr>
            <w:tcW w:type="dxa" w:w="432"/>
          </w:tcPr>
          <w:p>
            <w:r/>
            <w:r>
              <w:rPr>
                <w:sz w:val="20"/>
              </w:rPr>
              <w:t>1</w:t>
            </w:r>
          </w:p>
        </w:tc>
        <w:tc>
          <w:tcPr>
            <w:tcW w:type="dxa" w:w="2304"/>
          </w:tcPr>
          <w:p>
            <w:r/>
            <w:r>
              <w:rPr>
                <w:sz w:val="20"/>
              </w:rPr>
              <w:t>Semantic Scholar</w:t>
            </w:r>
          </w:p>
        </w:tc>
        <w:tc>
          <w:tcPr>
            <w:tcW w:type="dxa" w:w="3168"/>
          </w:tcPr>
          <w:p>
            <w:r/>
            <w:r>
              <w:rPr>
                <w:sz w:val="20"/>
              </w:rPr>
              <w:t>sources/semantic_scholar.py</w:t>
            </w:r>
          </w:p>
        </w:tc>
        <w:tc>
          <w:tcPr>
            <w:tcW w:type="dxa" w:w="4464"/>
          </w:tcPr>
          <w:p>
            <w:r/>
            <w:r>
              <w:rPr>
                <w:sz w:val="20"/>
              </w:rPr>
              <w:t>Allen Institute for AI</w:t>
            </w:r>
          </w:p>
        </w:tc>
      </w:tr>
      <w:tr>
        <w:tc>
          <w:tcPr>
            <w:tcW w:type="dxa" w:w="432"/>
          </w:tcPr>
          <w:p>
            <w:r/>
            <w:r>
              <w:rPr>
                <w:sz w:val="20"/>
              </w:rPr>
              <w:t>2</w:t>
            </w:r>
          </w:p>
        </w:tc>
        <w:tc>
          <w:tcPr>
            <w:tcW w:type="dxa" w:w="2304"/>
          </w:tcPr>
          <w:p>
            <w:r/>
            <w:r>
              <w:rPr>
                <w:sz w:val="20"/>
              </w:rPr>
              <w:t>NTP</w:t>
            </w:r>
          </w:p>
        </w:tc>
        <w:tc>
          <w:tcPr>
            <w:tcW w:type="dxa" w:w="3168"/>
          </w:tcPr>
          <w:p>
            <w:r/>
            <w:r>
              <w:rPr>
                <w:sz w:val="20"/>
              </w:rPr>
              <w:t>sources/ntp.py</w:t>
            </w:r>
          </w:p>
        </w:tc>
        <w:tc>
          <w:tcPr>
            <w:tcW w:type="dxa" w:w="4464"/>
          </w:tcPr>
          <w:p>
            <w:r/>
            <w:r>
              <w:rPr>
                <w:sz w:val="20"/>
              </w:rPr>
              <w:t>NIEHS / National Toxicology Program</w:t>
            </w:r>
          </w:p>
        </w:tc>
      </w:tr>
      <w:tr>
        <w:tc>
          <w:tcPr>
            <w:tcW w:type="dxa" w:w="432"/>
          </w:tcPr>
          <w:p>
            <w:r/>
            <w:r>
              <w:rPr>
                <w:sz w:val="20"/>
              </w:rPr>
              <w:t>3</w:t>
            </w:r>
          </w:p>
        </w:tc>
        <w:tc>
          <w:tcPr>
            <w:tcW w:type="dxa" w:w="2304"/>
          </w:tcPr>
          <w:p>
            <w:r/>
            <w:r>
              <w:rPr>
                <w:sz w:val="20"/>
              </w:rPr>
              <w:t>WHO INCHEM</w:t>
            </w:r>
          </w:p>
        </w:tc>
        <w:tc>
          <w:tcPr>
            <w:tcW w:type="dxa" w:w="3168"/>
          </w:tcPr>
          <w:p>
            <w:r/>
            <w:r>
              <w:rPr>
                <w:sz w:val="20"/>
              </w:rPr>
              <w:t>sources/who_inchem.py</w:t>
            </w:r>
          </w:p>
        </w:tc>
        <w:tc>
          <w:tcPr>
            <w:tcW w:type="dxa" w:w="4464"/>
          </w:tcPr>
          <w:p>
            <w:r/>
            <w:r>
              <w:rPr>
                <w:sz w:val="20"/>
              </w:rPr>
              <w:t>WHO International Chemical Safety</w:t>
            </w:r>
          </w:p>
        </w:tc>
      </w:tr>
      <w:tr>
        <w:tc>
          <w:tcPr>
            <w:tcW w:type="dxa" w:w="432"/>
          </w:tcPr>
          <w:p>
            <w:r/>
            <w:r>
              <w:rPr>
                <w:sz w:val="20"/>
              </w:rPr>
              <w:t>4</w:t>
            </w:r>
          </w:p>
        </w:tc>
        <w:tc>
          <w:tcPr>
            <w:tcW w:type="dxa" w:w="2304"/>
          </w:tcPr>
          <w:p>
            <w:r/>
            <w:r>
              <w:rPr>
                <w:sz w:val="20"/>
              </w:rPr>
              <w:t>WHO IPCS</w:t>
            </w:r>
          </w:p>
        </w:tc>
        <w:tc>
          <w:tcPr>
            <w:tcW w:type="dxa" w:w="3168"/>
          </w:tcPr>
          <w:p>
            <w:r/>
            <w:r>
              <w:rPr>
                <w:sz w:val="20"/>
              </w:rPr>
              <w:t>sources/who_ipcs.py</w:t>
            </w:r>
          </w:p>
        </w:tc>
        <w:tc>
          <w:tcPr>
            <w:tcW w:type="dxa" w:w="4464"/>
          </w:tcPr>
          <w:p>
            <w:r/>
            <w:r>
              <w:rPr>
                <w:sz w:val="20"/>
              </w:rPr>
              <w:t>WHO Programme on Chemical Safety</w:t>
            </w:r>
          </w:p>
        </w:tc>
      </w:tr>
      <w:tr>
        <w:tc>
          <w:tcPr>
            <w:tcW w:type="dxa" w:w="432"/>
          </w:tcPr>
          <w:p>
            <w:r/>
            <w:r>
              <w:rPr>
                <w:sz w:val="20"/>
              </w:rPr>
              <w:t>5</w:t>
            </w:r>
          </w:p>
        </w:tc>
        <w:tc>
          <w:tcPr>
            <w:tcW w:type="dxa" w:w="2304"/>
          </w:tcPr>
          <w:p>
            <w:r/>
            <w:r>
              <w:rPr>
                <w:sz w:val="20"/>
              </w:rPr>
              <w:t>ECHA</w:t>
            </w:r>
          </w:p>
        </w:tc>
        <w:tc>
          <w:tcPr>
            <w:tcW w:type="dxa" w:w="3168"/>
          </w:tcPr>
          <w:p>
            <w:r/>
            <w:r>
              <w:rPr>
                <w:sz w:val="20"/>
              </w:rPr>
              <w:t>sources/echa.py</w:t>
            </w:r>
          </w:p>
        </w:tc>
        <w:tc>
          <w:tcPr>
            <w:tcW w:type="dxa" w:w="4464"/>
          </w:tcPr>
          <w:p>
            <w:r/>
            <w:r>
              <w:rPr>
                <w:sz w:val="20"/>
              </w:rPr>
              <w:t>European Chemicals Agency</w:t>
            </w:r>
          </w:p>
        </w:tc>
      </w:tr>
      <w:tr>
        <w:tc>
          <w:tcPr>
            <w:tcW w:type="dxa" w:w="432"/>
          </w:tcPr>
          <w:p>
            <w:r/>
            <w:r>
              <w:rPr>
                <w:sz w:val="20"/>
              </w:rPr>
              <w:t>6</w:t>
            </w:r>
          </w:p>
        </w:tc>
        <w:tc>
          <w:tcPr>
            <w:tcW w:type="dxa" w:w="2304"/>
          </w:tcPr>
          <w:p>
            <w:r/>
            <w:r>
              <w:rPr>
                <w:sz w:val="20"/>
              </w:rPr>
              <w:t>ATSDR</w:t>
            </w:r>
          </w:p>
        </w:tc>
        <w:tc>
          <w:tcPr>
            <w:tcW w:type="dxa" w:w="3168"/>
          </w:tcPr>
          <w:p>
            <w:r/>
            <w:r>
              <w:rPr>
                <w:sz w:val="20"/>
              </w:rPr>
              <w:t>sources/atsdr.py</w:t>
            </w:r>
          </w:p>
        </w:tc>
        <w:tc>
          <w:tcPr>
            <w:tcW w:type="dxa" w:w="4464"/>
          </w:tcPr>
          <w:p>
            <w:r/>
            <w:r>
              <w:rPr>
                <w:sz w:val="20"/>
              </w:rPr>
              <w:t>CDC ATSDR Toxicological Profiles</w:t>
            </w:r>
          </w:p>
        </w:tc>
      </w:tr>
      <w:tr>
        <w:tc>
          <w:tcPr>
            <w:tcW w:type="dxa" w:w="432"/>
          </w:tcPr>
          <w:p>
            <w:r/>
            <w:r>
              <w:rPr>
                <w:sz w:val="20"/>
              </w:rPr>
              <w:t>7</w:t>
            </w:r>
          </w:p>
        </w:tc>
        <w:tc>
          <w:tcPr>
            <w:tcW w:type="dxa" w:w="2304"/>
          </w:tcPr>
          <w:p>
            <w:r/>
            <w:r>
              <w:rPr>
                <w:sz w:val="20"/>
              </w:rPr>
              <w:t>CalEPA OEHHA</w:t>
            </w:r>
          </w:p>
        </w:tc>
        <w:tc>
          <w:tcPr>
            <w:tcW w:type="dxa" w:w="3168"/>
          </w:tcPr>
          <w:p>
            <w:r/>
            <w:r>
              <w:rPr>
                <w:sz w:val="20"/>
              </w:rPr>
              <w:t>sources/calepa.py</w:t>
            </w:r>
          </w:p>
        </w:tc>
        <w:tc>
          <w:tcPr>
            <w:tcW w:type="dxa" w:w="4464"/>
          </w:tcPr>
          <w:p>
            <w:r/>
            <w:r>
              <w:rPr>
                <w:sz w:val="20"/>
              </w:rPr>
              <w:t>California OEHHA Prop 65</w:t>
            </w:r>
          </w:p>
        </w:tc>
      </w:tr>
      <w:tr>
        <w:tc>
          <w:tcPr>
            <w:tcW w:type="dxa" w:w="432"/>
          </w:tcPr>
          <w:p>
            <w:r/>
            <w:r>
              <w:rPr>
                <w:sz w:val="20"/>
              </w:rPr>
              <w:t>8</w:t>
            </w:r>
          </w:p>
        </w:tc>
        <w:tc>
          <w:tcPr>
            <w:tcW w:type="dxa" w:w="2304"/>
          </w:tcPr>
          <w:p>
            <w:r/>
            <w:r>
              <w:rPr>
                <w:sz w:val="20"/>
              </w:rPr>
              <w:t>Canada CEPA/DSL</w:t>
            </w:r>
          </w:p>
        </w:tc>
        <w:tc>
          <w:tcPr>
            <w:tcW w:type="dxa" w:w="3168"/>
          </w:tcPr>
          <w:p>
            <w:r/>
            <w:r>
              <w:rPr>
                <w:sz w:val="20"/>
              </w:rPr>
              <w:t>sources/canada_dsl.py</w:t>
            </w:r>
          </w:p>
        </w:tc>
        <w:tc>
          <w:tcPr>
            <w:tcW w:type="dxa" w:w="4464"/>
          </w:tcPr>
          <w:p>
            <w:r/>
            <w:r>
              <w:rPr>
                <w:sz w:val="20"/>
              </w:rPr>
              <w:t>Health Canada</w:t>
            </w:r>
          </w:p>
        </w:tc>
      </w:tr>
      <w:tr>
        <w:tc>
          <w:tcPr>
            <w:tcW w:type="dxa" w:w="432"/>
          </w:tcPr>
          <w:p>
            <w:r/>
            <w:r>
              <w:rPr>
                <w:sz w:val="20"/>
              </w:rPr>
              <w:t>9</w:t>
            </w:r>
          </w:p>
        </w:tc>
        <w:tc>
          <w:tcPr>
            <w:tcW w:type="dxa" w:w="2304"/>
          </w:tcPr>
          <w:p>
            <w:r/>
            <w:r>
              <w:rPr>
                <w:sz w:val="20"/>
              </w:rPr>
              <w:t>CONCAWE</w:t>
            </w:r>
          </w:p>
        </w:tc>
        <w:tc>
          <w:tcPr>
            <w:tcW w:type="dxa" w:w="3168"/>
          </w:tcPr>
          <w:p>
            <w:r/>
            <w:r>
              <w:rPr>
                <w:sz w:val="20"/>
              </w:rPr>
              <w:t>sources/concawe.py</w:t>
            </w:r>
          </w:p>
        </w:tc>
        <w:tc>
          <w:tcPr>
            <w:tcW w:type="dxa" w:w="4464"/>
          </w:tcPr>
          <w:p>
            <w:r/>
            <w:r>
              <w:rPr>
                <w:sz w:val="20"/>
              </w:rPr>
              <w:t>Petroleum industry consortium</w:t>
            </w:r>
          </w:p>
        </w:tc>
      </w:tr>
      <w:tr>
        <w:tc>
          <w:tcPr>
            <w:tcW w:type="dxa" w:w="432"/>
          </w:tcPr>
          <w:p>
            <w:r/>
            <w:r>
              <w:rPr>
                <w:sz w:val="20"/>
              </w:rPr>
              <w:t>10</w:t>
            </w:r>
          </w:p>
        </w:tc>
        <w:tc>
          <w:tcPr>
            <w:tcW w:type="dxa" w:w="2304"/>
          </w:tcPr>
          <w:p>
            <w:r/>
            <w:r>
              <w:rPr>
                <w:sz w:val="20"/>
              </w:rPr>
              <w:t>NIOSH</w:t>
            </w:r>
          </w:p>
        </w:tc>
        <w:tc>
          <w:tcPr>
            <w:tcW w:type="dxa" w:w="3168"/>
          </w:tcPr>
          <w:p>
            <w:r/>
            <w:r>
              <w:rPr>
                <w:sz w:val="20"/>
              </w:rPr>
              <w:t>sources/niosh.py</w:t>
            </w:r>
          </w:p>
        </w:tc>
        <w:tc>
          <w:tcPr>
            <w:tcW w:type="dxa" w:w="4464"/>
          </w:tcPr>
          <w:p>
            <w:r/>
            <w:r>
              <w:rPr>
                <w:sz w:val="20"/>
              </w:rPr>
              <w:t>CDC NIOSH Pocket Guide + IDLH</w:t>
            </w:r>
          </w:p>
        </w:tc>
      </w:tr>
      <w:tr>
        <w:tc>
          <w:tcPr>
            <w:tcW w:type="dxa" w:w="432"/>
          </w:tcPr>
          <w:p>
            <w:r/>
            <w:r>
              <w:rPr>
                <w:sz w:val="20"/>
              </w:rPr>
              <w:t>11</w:t>
            </w:r>
          </w:p>
        </w:tc>
        <w:tc>
          <w:tcPr>
            <w:tcW w:type="dxa" w:w="2304"/>
          </w:tcPr>
          <w:p>
            <w:r/>
            <w:r>
              <w:rPr>
                <w:sz w:val="20"/>
              </w:rPr>
              <w:t>OSHA</w:t>
            </w:r>
          </w:p>
        </w:tc>
        <w:tc>
          <w:tcPr>
            <w:tcW w:type="dxa" w:w="3168"/>
          </w:tcPr>
          <w:p>
            <w:r/>
            <w:r>
              <w:rPr>
                <w:sz w:val="20"/>
              </w:rPr>
              <w:t>sources/osha.py</w:t>
            </w:r>
          </w:p>
        </w:tc>
        <w:tc>
          <w:tcPr>
            <w:tcW w:type="dxa" w:w="4464"/>
          </w:tcPr>
          <w:p>
            <w:r/>
            <w:r>
              <w:rPr>
                <w:sz w:val="20"/>
              </w:rPr>
              <w:t>US OSHA Chemical Sampling</w:t>
            </w:r>
          </w:p>
        </w:tc>
      </w:tr>
      <w:tr>
        <w:tc>
          <w:tcPr>
            <w:tcW w:type="dxa" w:w="432"/>
          </w:tcPr>
          <w:p>
            <w:r/>
            <w:r>
              <w:rPr>
                <w:sz w:val="20"/>
              </w:rPr>
              <w:t>12</w:t>
            </w:r>
          </w:p>
        </w:tc>
        <w:tc>
          <w:tcPr>
            <w:tcW w:type="dxa" w:w="2304"/>
          </w:tcPr>
          <w:p>
            <w:r/>
            <w:r>
              <w:rPr>
                <w:sz w:val="20"/>
              </w:rPr>
              <w:t>AICIS</w:t>
            </w:r>
          </w:p>
        </w:tc>
        <w:tc>
          <w:tcPr>
            <w:tcW w:type="dxa" w:w="3168"/>
          </w:tcPr>
          <w:p>
            <w:r/>
            <w:r>
              <w:rPr>
                <w:sz w:val="20"/>
              </w:rPr>
              <w:t>sources/aicis.py</w:t>
            </w:r>
          </w:p>
        </w:tc>
        <w:tc>
          <w:tcPr>
            <w:tcW w:type="dxa" w:w="4464"/>
          </w:tcPr>
          <w:p>
            <w:r/>
            <w:r>
              <w:rPr>
                <w:sz w:val="20"/>
              </w:rPr>
              <w:t>Australian Industrial Chemicals</w:t>
            </w:r>
          </w:p>
        </w:tc>
      </w:tr>
      <w:tr>
        <w:tc>
          <w:tcPr>
            <w:tcW w:type="dxa" w:w="432"/>
          </w:tcPr>
          <w:p>
            <w:r/>
            <w:r>
              <w:rPr>
                <w:sz w:val="20"/>
              </w:rPr>
              <w:t>13</w:t>
            </w:r>
          </w:p>
        </w:tc>
        <w:tc>
          <w:tcPr>
            <w:tcW w:type="dxa" w:w="2304"/>
          </w:tcPr>
          <w:p>
            <w:r/>
            <w:r>
              <w:rPr>
                <w:sz w:val="20"/>
              </w:rPr>
              <w:t>ILO ICSC</w:t>
            </w:r>
          </w:p>
        </w:tc>
        <w:tc>
          <w:tcPr>
            <w:tcW w:type="dxa" w:w="3168"/>
          </w:tcPr>
          <w:p>
            <w:r/>
            <w:r>
              <w:rPr>
                <w:sz w:val="20"/>
              </w:rPr>
              <w:t>sources/ilo.py</w:t>
            </w:r>
          </w:p>
        </w:tc>
        <w:tc>
          <w:tcPr>
            <w:tcW w:type="dxa" w:w="4464"/>
          </w:tcPr>
          <w:p>
            <w:r/>
            <w:r>
              <w:rPr>
                <w:sz w:val="20"/>
              </w:rPr>
              <w:t>International Labour Organization</w:t>
            </w:r>
          </w:p>
        </w:tc>
      </w:tr>
      <w:tr>
        <w:tc>
          <w:tcPr>
            <w:tcW w:type="dxa" w:w="432"/>
          </w:tcPr>
          <w:p>
            <w:r/>
            <w:r>
              <w:rPr>
                <w:sz w:val="20"/>
              </w:rPr>
              <w:t>14</w:t>
            </w:r>
          </w:p>
        </w:tc>
        <w:tc>
          <w:tcPr>
            <w:tcW w:type="dxa" w:w="2304"/>
          </w:tcPr>
          <w:p>
            <w:r/>
            <w:r>
              <w:rPr>
                <w:sz w:val="20"/>
              </w:rPr>
              <w:t>Zenodo</w:t>
            </w:r>
          </w:p>
        </w:tc>
        <w:tc>
          <w:tcPr>
            <w:tcW w:type="dxa" w:w="3168"/>
          </w:tcPr>
          <w:p>
            <w:r/>
            <w:r>
              <w:rPr>
                <w:sz w:val="20"/>
              </w:rPr>
              <w:t>sources/zenodo.py</w:t>
            </w:r>
          </w:p>
        </w:tc>
        <w:tc>
          <w:tcPr>
            <w:tcW w:type="dxa" w:w="4464"/>
          </w:tcPr>
          <w:p>
            <w:r/>
            <w:r>
              <w:rPr>
                <w:sz w:val="20"/>
              </w:rPr>
              <w:t>CERN Open-Data Platform</w:t>
            </w:r>
          </w:p>
        </w:tc>
      </w:tr>
    </w:tbl>
    <w:p>
      <w:pPr>
        <w:spacing w:after="80"/>
      </w:pPr>
    </w:p>
    <w:p>
      <w:pPr>
        <w:spacing w:before="240" w:after="120"/>
      </w:pPr>
      <w:r>
        <w:rPr>
          <w:rFonts w:ascii="Calibri" w:hAnsi="Calibri"/>
          <w:b/>
          <w:color w:val="1F3A5F"/>
          <w:sz w:val="28"/>
        </w:rPr>
        <w:t>Shared contract (sources/_base.py)</w:t>
      </w:r>
    </w:p>
    <w:p>
      <w:pPr>
        <w:spacing w:after="120"/>
        <w:jc w:val="both"/>
      </w:pPr>
      <w:r>
        <w:rPr>
          <w:b w:val="0"/>
          <w:i w:val="0"/>
          <w:sz w:val="22"/>
        </w:rPr>
        <w:t>Every per-DB harvester subclasses BaseDatabaseSource and implements one required method (search) and may override four others (download_pdf, extract_full_text, extract_tables, extract_figures). The base class provides harvest_one and harvest methods that compose them: for each candidate paper it tries PDF → pdfminer text → pypdf fallback → HTML scrape, then pdfplumber tables + PyMuPDF figures. Any individual step can fail without killing the harvest; errors are collected on the HarvestedDocument.errors list.</w:t>
      </w:r>
    </w:p>
    <w:p>
      <w:pPr>
        <w:spacing w:after="120"/>
        <w:ind w:left="432" w:right="432"/>
        <w:shd w:val="clear" w:fill="F5F5F5"/>
      </w:pPr>
      <w:r>
        <w:rPr>
          <w:rFonts w:ascii="Consolas" w:hAnsi="Consolas"/>
          <w:color w:val="202020"/>
          <w:sz w:val="19"/>
        </w:rPr>
        <w:t>class BaseDatabaseSource:</w:t>
        <w:br/>
        <w:t xml:space="preserve">    name: str = "BASE"</w:t>
        <w:br/>
        <w:t xml:space="preserve">    search_limit: int = 5</w:t>
        <w:br/>
        <w:br/>
        <w:t xml:space="preserve">    async def search(self, chemical, cas=None) -&gt; list[PaperRef]: ...</w:t>
        <w:br/>
        <w:t xml:space="preserve">    async def download_pdf(self, ref) -&gt; tuple[bytes | None, str | None]: ...</w:t>
        <w:br/>
        <w:t xml:space="preserve">    async def extract_full_text(self, ref, pdf_bytes) -&gt; tuple[str, int, str | None]: ...</w:t>
        <w:br/>
        <w:t xml:space="preserve">    async def extract_tables(self, ref, pdf_bytes) -&gt; tuple[list, str | None]: ...</w:t>
        <w:br/>
        <w:t xml:space="preserve">    async def extract_figures(self, ref, pdf_bytes, figures_dir) -&gt; tuple[list, str | None]: ...</w:t>
        <w:br/>
        <w:br/>
        <w:t xml:space="preserve">    async def harvest_one(self, ref) -&gt; HarvestedDocument: ...   # composes the above</w:t>
        <w:br/>
        <w:t xml:space="preserve">    async def harvest(self, chemical, cas=None, limit=None) -&gt; list[HarvestedDocument]: ...</w:t>
      </w:r>
    </w:p>
    <w:p>
      <w:pPr>
        <w:spacing w:before="240" w:after="120"/>
      </w:pPr>
      <w:r>
        <w:rPr>
          <w:rFonts w:ascii="Calibri" w:hAnsi="Calibri"/>
          <w:b/>
          <w:color w:val="1F3A5F"/>
          <w:sz w:val="28"/>
        </w:rPr>
        <w:t>Non-harvester sources</w:t>
      </w:r>
    </w:p>
    <w:p>
      <w:pPr>
        <w:spacing w:after="120"/>
        <w:jc w:val="both"/>
      </w:pPr>
      <w:r>
        <w:rPr>
          <w:b w:val="0"/>
          <w:i w:val="0"/>
          <w:sz w:val="22"/>
        </w:rPr>
        <w:t>Four additional sources aren't in the REGISTRY because they aren't part of the parallel fan-out but are still called by pipeline.harvest:</w:t>
      </w:r>
    </w:p>
    <w:p>
      <w:pPr>
        <w:pStyle w:val="ListBullet"/>
        <w:spacing w:after="40"/>
        <w:ind w:left="360"/>
      </w:pPr>
      <w:r>
        <w:rPr>
          <w:sz w:val="22"/>
        </w:rPr>
        <w:t>sources/pubchem.py — PubChemResolver. Called by resolve_chemical, and for CAS lookup inside harvest_evidence.</w:t>
      </w:r>
    </w:p>
    <w:p>
      <w:pPr>
        <w:pStyle w:val="ListBullet"/>
        <w:spacing w:after="40"/>
        <w:ind w:left="360"/>
      </w:pPr>
      <w:r>
        <w:rPr>
          <w:sz w:val="22"/>
        </w:rPr>
        <w:t>sources/pubmed.py — PaperFinder (PubMed E-utilities + EuropePMC REST). Results are merged and ranked by priority_score (prefers PMCID &gt; free-full-text &gt; PDF &gt; DOI &gt; abstract).</w:t>
      </w:r>
    </w:p>
    <w:p>
      <w:pPr>
        <w:pStyle w:val="ListBullet"/>
        <w:spacing w:after="40"/>
        <w:ind w:left="360"/>
      </w:pPr>
      <w:r>
        <w:rPr>
          <w:sz w:val="22"/>
        </w:rPr>
        <w:t>sources/pmc.py — PMCHarvester. Given a PMCID, fetches the full JATS body text. Used to upgrade PubMed hits from abstract-only to full-text.</w:t>
      </w:r>
    </w:p>
    <w:p>
      <w:pPr>
        <w:pStyle w:val="ListBullet"/>
        <w:spacing w:after="40"/>
        <w:ind w:left="360"/>
      </w:pPr>
      <w:r>
        <w:rPr>
          <w:sz w:val="22"/>
        </w:rPr>
        <w:t>sources/openalex.py — OpenAlexClient. Purely a coverage counter — returns 25 hits to add one more line to the per_database table, but doesn't deep-harvest (too many results, low marginal value).</w:t>
      </w:r>
    </w:p>
    <w:p>
      <w:pPr>
        <w:pStyle w:val="ListBullet"/>
        <w:spacing w:after="40"/>
        <w:ind w:left="360"/>
      </w:pPr>
      <w:r>
        <w:rPr>
          <w:sz w:val="22"/>
        </w:rPr>
        <w:t>sources/agencies.py — AgencyProfileFetcher. Targeted scrapes of ATSDR ToxProfile, NTP, EPA IRIS, NIOSH Pocket Guide, OEHHA, OSHA Chemical Sampling, and ILO ICSC using known URL patterns.</w:t>
      </w:r>
    </w:p>
    <w:p>
      <w:r>
        <w:br w:type="page"/>
      </w:r>
    </w:p>
    <w:p>
      <w:pPr>
        <w:spacing w:before="360" w:after="120"/>
      </w:pPr>
      <w:r>
        <w:rPr>
          <w:rFonts w:ascii="Calibri" w:hAnsi="Calibri"/>
          <w:b/>
          <w:color w:val="1F3A5F"/>
          <w:sz w:val="36"/>
        </w:rPr>
        <w:t>12. Evidence Routing and Confidence Scoring</w:t>
      </w:r>
    </w:p>
    <w:p>
      <w:pPr>
        <w:spacing w:after="120"/>
        <w:jc w:val="both"/>
      </w:pPr>
      <w:r>
        <w:rPr>
          <w:b w:val="0"/>
          <w:i w:val="0"/>
          <w:sz w:val="22"/>
        </w:rPr>
        <w:t>Between harvest and compose there is exactly one step: routing. Routing is the mechanism that turns a blob of document text into structured SectionEvidence records. It lives in pipeline/harvest.py and is completely deterministic.</w:t>
      </w:r>
    </w:p>
    <w:p>
      <w:pPr>
        <w:spacing w:before="240" w:after="120"/>
      </w:pPr>
      <w:r>
        <w:rPr>
          <w:rFonts w:ascii="Calibri" w:hAnsi="Calibri"/>
          <w:b/>
          <w:color w:val="1F3A5F"/>
          <w:sz w:val="28"/>
        </w:rPr>
        <w:t>The routing loop, step by step</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24"/>
        <w:gridCol w:w="4824"/>
      </w:tblGrid>
      <w:tr>
        <w:tc>
          <w:tcPr>
            <w:tcW w:type="dxa" w:w="576"/>
            <w:shd w:val="clear" w:fill="1F3A5F"/>
          </w:tcPr>
          <w:p>
            <w:r/>
            <w:r>
              <w:rPr>
                <w:b/>
                <w:color w:val="FFFFFF"/>
                <w:sz w:val="21"/>
              </w:rPr>
              <w:t>Step</w:t>
            </w:r>
          </w:p>
        </w:tc>
        <w:tc>
          <w:tcPr>
            <w:tcW w:type="dxa" w:w="9216"/>
            <w:shd w:val="clear" w:fill="1F3A5F"/>
          </w:tcPr>
          <w:p>
            <w:r/>
            <w:r>
              <w:rPr>
                <w:b/>
                <w:color w:val="FFFFFF"/>
                <w:sz w:val="21"/>
              </w:rPr>
              <w:t>What happens</w:t>
            </w:r>
          </w:p>
        </w:tc>
      </w:tr>
      <w:tr>
        <w:tc>
          <w:tcPr>
            <w:tcW w:type="dxa" w:w="576"/>
          </w:tcPr>
          <w:p>
            <w:r/>
            <w:r>
              <w:rPr>
                <w:sz w:val="20"/>
              </w:rPr>
              <w:t>1</w:t>
            </w:r>
          </w:p>
        </w:tc>
        <w:tc>
          <w:tcPr>
            <w:tcW w:type="dxa" w:w="9216"/>
          </w:tcPr>
          <w:p>
            <w:r/>
            <w:r>
              <w:rPr>
                <w:sz w:val="20"/>
              </w:rPr>
              <w:t>Every HarvestedDocument enters _route_doc_to_sections. If its full_text is empty, it's skipped — there's nothing to route.</w:t>
            </w:r>
          </w:p>
        </w:tc>
      </w:tr>
      <w:tr>
        <w:tc>
          <w:tcPr>
            <w:tcW w:type="dxa" w:w="576"/>
          </w:tcPr>
          <w:p>
            <w:r/>
            <w:r>
              <w:rPr>
                <w:sz w:val="20"/>
              </w:rPr>
              <w:t>2</w:t>
            </w:r>
          </w:p>
        </w:tc>
        <w:tc>
          <w:tcPr>
            <w:tcW w:type="dxa" w:w="9216"/>
          </w:tcPr>
          <w:p>
            <w:r/>
            <w:r>
              <w:rPr>
                <w:sz w:val="20"/>
              </w:rPr>
              <w:t>_scan_document_for_sections lowercases the full_text once and iterates LITERATURE_SECTIONS in canonical order.</w:t>
            </w:r>
          </w:p>
        </w:tc>
      </w:tr>
      <w:tr>
        <w:tc>
          <w:tcPr>
            <w:tcW w:type="dxa" w:w="576"/>
          </w:tcPr>
          <w:p>
            <w:r/>
            <w:r>
              <w:rPr>
                <w:sz w:val="20"/>
              </w:rPr>
              <w:t>3</w:t>
            </w:r>
          </w:p>
        </w:tc>
        <w:tc>
          <w:tcPr>
            <w:tcW w:type="dxa" w:w="9216"/>
          </w:tcPr>
          <w:p>
            <w:r/>
            <w:r>
              <w:rPr>
                <w:sz w:val="20"/>
              </w:rPr>
              <w:t>For each section, iterate its SECTION_KEYWORDS bucket. Each keyword is substring-matched (case-insensitive) inside a while True / lower.find loop.</w:t>
            </w:r>
          </w:p>
        </w:tc>
      </w:tr>
      <w:tr>
        <w:tc>
          <w:tcPr>
            <w:tcW w:type="dxa" w:w="576"/>
          </w:tcPr>
          <w:p>
            <w:r/>
            <w:r>
              <w:rPr>
                <w:sz w:val="20"/>
              </w:rPr>
              <w:t>4</w:t>
            </w:r>
          </w:p>
        </w:tc>
        <w:tc>
          <w:tcPr>
            <w:tcW w:type="dxa" w:w="9216"/>
          </w:tcPr>
          <w:p>
            <w:r/>
            <w:r>
              <w:rPr>
                <w:sz w:val="20"/>
              </w:rPr>
              <w:t>For each hit, a bucket (keyword, pos // 500) is recorded so the same keyword repeated within 500 chars doesn't produce two near-identical excerpts. A ±280-char KWIC excerpt is cut with word-boundary trimming.</w:t>
            </w:r>
          </w:p>
        </w:tc>
      </w:tr>
      <w:tr>
        <w:tc>
          <w:tcPr>
            <w:tcW w:type="dxa" w:w="576"/>
          </w:tcPr>
          <w:p>
            <w:r/>
            <w:r>
              <w:rPr>
                <w:sz w:val="20"/>
              </w:rPr>
              <w:t>5</w:t>
            </w:r>
          </w:p>
        </w:tc>
        <w:tc>
          <w:tcPr>
            <w:tcW w:type="dxa" w:w="9216"/>
          </w:tcPr>
          <w:p>
            <w:r/>
            <w:r>
              <w:rPr>
                <w:sz w:val="20"/>
              </w:rPr>
              <w:t>Up to 3 hits per section per document are kept (_MAX_PER_SECTION_PER_DOC = 3). The loop short-circuits once the cap is reached.</w:t>
            </w:r>
          </w:p>
        </w:tc>
      </w:tr>
      <w:tr>
        <w:tc>
          <w:tcPr>
            <w:tcW w:type="dxa" w:w="576"/>
          </w:tcPr>
          <w:p>
            <w:r/>
            <w:r>
              <w:rPr>
                <w:sz w:val="20"/>
              </w:rPr>
              <w:t>6</w:t>
            </w:r>
          </w:p>
        </w:tc>
        <w:tc>
          <w:tcPr>
            <w:tcW w:type="dxa" w:w="9216"/>
          </w:tcPr>
          <w:p>
            <w:r/>
            <w:r>
              <w:rPr>
                <w:sz w:val="20"/>
              </w:rPr>
              <w:t>All hits for this document across all sections are collected into a scanned: dict[section_id, list[tuple]]. Confidence is computed once using breadth (len(scanned)) and total density (sum of per-section hit counts).</w:t>
            </w:r>
          </w:p>
        </w:tc>
      </w:tr>
      <w:tr>
        <w:tc>
          <w:tcPr>
            <w:tcW w:type="dxa" w:w="576"/>
          </w:tcPr>
          <w:p>
            <w:r/>
            <w:r>
              <w:rPr>
                <w:sz w:val="20"/>
              </w:rPr>
              <w:t>7</w:t>
            </w:r>
          </w:p>
        </w:tc>
        <w:tc>
          <w:tcPr>
            <w:tcW w:type="dxa" w:w="9216"/>
          </w:tcPr>
          <w:p>
            <w:r/>
            <w:r>
              <w:rPr>
                <w:sz w:val="20"/>
              </w:rPr>
              <w:t>For each section, each hit becomes one dict record that is appended to per_section[section_id].records AND written to the EvidenceLedger via ledger.add_from_text.</w:t>
            </w:r>
          </w:p>
        </w:tc>
      </w:tr>
    </w:tbl>
    <w:p>
      <w:pPr>
        <w:spacing w:after="80"/>
      </w:pPr>
    </w:p>
    <w:p>
      <w:pPr>
        <w:spacing w:before="240" w:after="120"/>
      </w:pPr>
      <w:r>
        <w:rPr>
          <w:rFonts w:ascii="Calibri" w:hAnsi="Calibri"/>
          <w:b/>
          <w:color w:val="1F3A5F"/>
          <w:sz w:val="28"/>
        </w:rPr>
        <w:t>Why substring (not regex, not embeddings)</w:t>
      </w:r>
    </w:p>
    <w:p>
      <w:pPr>
        <w:spacing w:after="120"/>
        <w:jc w:val="both"/>
      </w:pPr>
      <w:r>
        <w:rPr>
          <w:b w:val="0"/>
          <w:i w:val="0"/>
          <w:sz w:val="22"/>
        </w:rPr>
        <w:t>Substring matching is intentional. Toxicology vocabulary is so specialised that false positives from regex word-boundary tricks or embedding-cosine matches would introduce more noise than signal. The keyword bank was hand-curated to be unambiguous ("carcinogen", "leukemia", "NOAEL" — none of these have realistic collisions in tox literature). Determinism is worth more than recall flexibility here because the audit depends on the mapping being reproducible.</w:t>
      </w:r>
    </w:p>
    <w:p>
      <w:pPr>
        <w:spacing w:before="240" w:after="120"/>
      </w:pPr>
      <w:r>
        <w:rPr>
          <w:rFonts w:ascii="Calibri" w:hAnsi="Calibri"/>
          <w:b/>
          <w:color w:val="1F3A5F"/>
          <w:sz w:val="28"/>
        </w:rPr>
        <w:t>Ledger write path (core/provenance.py)</w:t>
      </w:r>
    </w:p>
    <w:p>
      <w:pPr>
        <w:spacing w:after="120"/>
        <w:jc w:val="both"/>
      </w:pPr>
      <w:r>
        <w:rPr>
          <w:b w:val="0"/>
          <w:i w:val="0"/>
          <w:sz w:val="22"/>
        </w:rPr>
        <w:t>After in-memory routing, pipeline.harvest also calls ledger.add_from_text for each document (once per section touched). add_from_text re-scans the text with a per-keyword regex (word-boundary for single words, whitespace-tolerant for phrases), builds up to max_excerpts=3 EvidenceRecords with complete per-keyword counts, computes the confidence score independently, and appends to the JSONL file. Two parallel paths, same data, one for runtime use (the in-memory HarvestResult) and one for audit (the ledger JSONL).</w:t>
      </w:r>
    </w:p>
    <w:p>
      <w:r>
        <w:br w:type="page"/>
      </w:r>
    </w:p>
    <w:p>
      <w:pPr>
        <w:spacing w:before="360" w:after="120"/>
      </w:pPr>
      <w:r>
        <w:rPr>
          <w:rFonts w:ascii="Calibri" w:hAnsi="Calibri"/>
          <w:b/>
          <w:color w:val="1F3A5F"/>
          <w:sz w:val="36"/>
        </w:rPr>
        <w:t>13. Observability: Tracer and Evidence Ledger</w:t>
      </w:r>
    </w:p>
    <w:p>
      <w:pPr>
        <w:spacing w:before="240" w:after="120"/>
      </w:pPr>
      <w:r>
        <w:rPr>
          <w:rFonts w:ascii="Calibri" w:hAnsi="Calibri"/>
          <w:b/>
          <w:color w:val="1F3A5F"/>
          <w:sz w:val="28"/>
        </w:rPr>
        <w:t>Tracer (core/tracing.py)</w:t>
      </w:r>
    </w:p>
    <w:p>
      <w:pPr>
        <w:spacing w:after="120"/>
        <w:jc w:val="both"/>
      </w:pPr>
      <w:r>
        <w:rPr>
          <w:b w:val="0"/>
          <w:i w:val="0"/>
          <w:sz w:val="22"/>
        </w:rPr>
        <w:t>The Tracer is a zero-dependency JSONL event log scoped to a single run. It lives at /tmp/tox_runs/{run_id}.jsonl and is append-only. Every pipeline step that matters emits a typed event with ts, run_id, step, event (start|ok|warn|error), source, url, duration_ms, bytes, papers_found, papers_kept, keyword_hits, and optional extras.</w:t>
      </w:r>
    </w:p>
    <w:p>
      <w:pPr>
        <w:spacing w:after="120"/>
        <w:ind w:left="432" w:right="432"/>
        <w:shd w:val="clear" w:fill="F5F5F5"/>
      </w:pPr>
      <w:r>
        <w:rPr>
          <w:rFonts w:ascii="Consolas" w:hAnsi="Consolas"/>
          <w:color w:val="202020"/>
          <w:sz w:val="19"/>
        </w:rPr>
        <w:t>@contextmanager</w:t>
        <w:br/>
        <w:t>def step(self, name: str, **tags):</w:t>
        <w:br/>
        <w:t xml:space="preserve">    start = time.perf_counter()</w:t>
        <w:br/>
        <w:t xml:space="preserve">    self.event(name, "start", **tags)</w:t>
        <w:br/>
        <w:t xml:space="preserve">    try:</w:t>
        <w:br/>
        <w:t xml:space="preserve">        yield bag</w:t>
        <w:br/>
        <w:t xml:space="preserve">    except Exception as e:</w:t>
        <w:br/>
        <w:t xml:space="preserve">        self.event(name, "error", duration_ms=…, error=f"{type(e).__name__}: {e}")</w:t>
        <w:br/>
        <w:t xml:space="preserve">        raise</w:t>
        <w:br/>
        <w:t xml:space="preserve">    else:</w:t>
        <w:br/>
        <w:t xml:space="preserve">        self.event(name, "ok", duration_ms=…)</w:t>
      </w:r>
    </w:p>
    <w:p>
      <w:pPr>
        <w:spacing w:after="120"/>
        <w:jc w:val="both"/>
      </w:pPr>
      <w:r>
        <w:rPr>
          <w:b w:val="0"/>
          <w:i w:val="0"/>
          <w:sz w:val="22"/>
        </w:rPr>
        <w:t>Tracer.summary() reads its own JSONL back (or the in-memory cache) and produces a grep-friendly roll-up: total bytes downloaded, total papers found vs. kept, top 25 keyword-hit counts, top 25 errors, and a by-source matrix of ok/error/warn/start counts. This is exactly the structure audit_run consumes for its trace_summary field.</w:t>
      </w:r>
    </w:p>
    <w:p>
      <w:pPr>
        <w:spacing w:before="240" w:after="120"/>
      </w:pPr>
      <w:r>
        <w:rPr>
          <w:rFonts w:ascii="Calibri" w:hAnsi="Calibri"/>
          <w:b/>
          <w:color w:val="1F3A5F"/>
          <w:sz w:val="28"/>
        </w:rPr>
        <w:t>Evidence Ledger (core/provenance.py)</w:t>
      </w:r>
    </w:p>
    <w:p>
      <w:pPr>
        <w:spacing w:after="120"/>
        <w:jc w:val="both"/>
      </w:pPr>
      <w:r>
        <w:rPr>
          <w:b w:val="0"/>
          <w:i w:val="0"/>
          <w:sz w:val="22"/>
        </w:rPr>
        <w:t>The ledger is the second append-only JSONL at /tmp/tox_runs/{run_id}.ledger.jsonl. One line per EvidenceRecord. An EvidenceRecord carries 15 fields: a stable evidence_id (sha1(source|url|idx)[:10]), source, database_label, chemical, url, doi, pmid, pmcid, title, authors, year, the excerpt itself, matched_keywords list, keyword_counts dict, section, extraction_method ("text"|"pdf"|"jats"|"html"), char_count, confidence, and created_at.</w:t>
      </w:r>
    </w:p>
    <w:p>
      <w:pPr>
        <w:spacing w:before="240" w:after="120"/>
      </w:pPr>
      <w:r>
        <w:rPr>
          <w:rFonts w:ascii="Calibri" w:hAnsi="Calibri"/>
          <w:b/>
          <w:color w:val="1F3A5F"/>
          <w:sz w:val="28"/>
        </w:rPr>
        <w:t>Independence of the two logs</w:t>
      </w:r>
    </w:p>
    <w:p>
      <w:pPr>
        <w:spacing w:after="120"/>
        <w:jc w:val="both"/>
      </w:pPr>
      <w:r>
        <w:rPr>
          <w:b w:val="0"/>
          <w:i w:val="0"/>
          <w:sz w:val="22"/>
        </w:rPr>
        <w:t>Tracer and Ledger are independent by design. The tracer captures operational events (who was called, how long it took, what errored); the ledger captures semantic evidence (what text was extracted and why it matters). Either can be inspected without the other. If a run's trace is lost, the ledger is still a valid body of citable evidence; if the ledger is corrupted, the trace still tells you which DB to re-hit.</w:t>
      </w:r>
    </w:p>
    <w:p>
      <w:r>
        <w:br w:type="page"/>
      </w:r>
    </w:p>
    <w:p>
      <w:pPr>
        <w:spacing w:before="360" w:after="120"/>
      </w:pPr>
      <w:r>
        <w:rPr>
          <w:rFonts w:ascii="Calibri" w:hAnsi="Calibri"/>
          <w:b/>
          <w:color w:val="1F3A5F"/>
          <w:sz w:val="36"/>
        </w:rPr>
        <w:t>14. Report Composition and Styling</w:t>
      </w:r>
    </w:p>
    <w:p>
      <w:pPr>
        <w:spacing w:after="120"/>
        <w:jc w:val="both"/>
      </w:pPr>
      <w:r>
        <w:rPr>
          <w:b w:val="0"/>
          <w:i w:val="0"/>
          <w:sz w:val="22"/>
        </w:rPr>
        <w:t>pipeline/report.py holds the 887-line ReportGenerator — the python-docx layer that build_review delegates to for the actual file write. It understands five dataclasses: ReportSection, ReportReference, ReportTable, ReportFigure, plus a small set of styling helpers.</w:t>
      </w:r>
    </w:p>
    <w:p>
      <w:pPr>
        <w:spacing w:before="240" w:after="120"/>
      </w:pPr>
      <w:r>
        <w:rPr>
          <w:rFonts w:ascii="Calibri" w:hAnsi="Calibri"/>
          <w:b/>
          <w:color w:val="1F3A5F"/>
          <w:sz w:val="28"/>
        </w:rPr>
        <w:t>ReportSection layout</w:t>
      </w:r>
    </w:p>
    <w:p>
      <w:pPr>
        <w:spacing w:after="120"/>
        <w:ind w:left="432" w:right="432"/>
        <w:shd w:val="clear" w:fill="F5F5F5"/>
      </w:pPr>
      <w:r>
        <w:rPr>
          <w:rFonts w:ascii="Consolas" w:hAnsi="Consolas"/>
          <w:color w:val="202020"/>
          <w:sz w:val="19"/>
        </w:rPr>
        <w:t>@dataclass</w:t>
        <w:br/>
        <w:t>class ReportSection:</w:t>
        <w:br/>
        <w:t xml:space="preserve">    title: str</w:t>
        <w:br/>
        <w:t xml:space="preserve">    level: int                     # 1 = chapter, 2 = sub-section</w:t>
        <w:br/>
        <w:t xml:space="preserve">    paragraphs: list[str]          # each becomes one justified body paragraph</w:t>
        <w:br/>
        <w:t xml:space="preserve">    subsections: list["ReportSection"] = []</w:t>
        <w:br/>
        <w:t xml:space="preserve">    chapter_number: int | None = None</w:t>
        <w:br/>
        <w:t xml:space="preserve">    chapter_subtitle: str | None = None</w:t>
        <w:br/>
        <w:t xml:space="preserve">    inline_figures: list[ReportFigure] = []</w:t>
        <w:br/>
        <w:t xml:space="preserve">    inline_tables: list[ReportTable] = []</w:t>
      </w:r>
    </w:p>
    <w:p>
      <w:pPr>
        <w:spacing w:after="120"/>
        <w:jc w:val="both"/>
      </w:pPr>
      <w:r>
        <w:rPr>
          <w:b w:val="0"/>
          <w:i w:val="0"/>
          <w:sz w:val="22"/>
        </w:rPr>
        <w:t>The composer recurses the ReportSection tree, emits an H1 chapter banner for every level-1 node, an H2 for every level-2, writes each paragraph with JUSTIFY alignment, inlines any figures/tables at the top of the section, and walks into subsections. Empty-section notices are ordinary paragraphs — the layer below doesn't know they're special.</w:t>
      </w:r>
    </w:p>
    <w:p>
      <w:pPr>
        <w:spacing w:before="240" w:after="120"/>
      </w:pPr>
      <w:r>
        <w:rPr>
          <w:rFonts w:ascii="Calibri" w:hAnsi="Calibri"/>
          <w:b/>
          <w:color w:val="1F3A5F"/>
          <w:sz w:val="28"/>
        </w:rPr>
        <w:t>References and appendices</w:t>
      </w:r>
    </w:p>
    <w:p>
      <w:pPr>
        <w:spacing w:after="120"/>
        <w:jc w:val="both"/>
      </w:pPr>
      <w:r>
        <w:rPr>
          <w:b w:val="0"/>
          <w:i w:val="0"/>
          <w:sz w:val="22"/>
        </w:rPr>
        <w:t>After all body sections render, ReportGenerator appends a References section containing every _RefTable entry (deduplicated, numbered [1..N]), an Appendix A (per-DB counts table with status=ok|error), and — if include_appendices is True — Appendix B (one sub-heading per contributing DB followed by a bulleted list of unique documents).</w:t>
      </w:r>
    </w:p>
    <w:p>
      <w:pPr>
        <w:spacing w:before="240" w:after="120"/>
      </w:pPr>
      <w:r>
        <w:rPr>
          <w:rFonts w:ascii="Calibri" w:hAnsi="Calibri"/>
          <w:b/>
          <w:color w:val="1F3A5F"/>
          <w:sz w:val="28"/>
        </w:rPr>
        <w:t>Cover page</w:t>
      </w:r>
    </w:p>
    <w:p>
      <w:pPr>
        <w:spacing w:after="120"/>
        <w:jc w:val="both"/>
      </w:pPr>
      <w:r>
        <w:rPr>
          <w:b w:val="0"/>
          <w:i w:val="0"/>
          <w:sz w:val="22"/>
        </w:rPr>
        <w:t>The cover is hand-composed: centered chemical name in 30pt bold, CAS and formula below in 14pt, optional chemical-structure PNG centered underneath, generated date at bottom. If cover_image_path is None the image block is skipped.</w:t>
      </w:r>
    </w:p>
    <w:p>
      <w:r>
        <w:br w:type="page"/>
      </w:r>
    </w:p>
    <w:p>
      <w:pPr>
        <w:spacing w:before="360" w:after="120"/>
      </w:pPr>
      <w:r>
        <w:rPr>
          <w:rFonts w:ascii="Calibri" w:hAnsi="Calibri"/>
          <w:b/>
          <w:color w:val="1F3A5F"/>
          <w:sz w:val="36"/>
        </w:rPr>
        <w:t>15. Zero-Hallucination Guarantees</w:t>
      </w:r>
    </w:p>
    <w:p>
      <w:pPr>
        <w:spacing w:after="120"/>
        <w:jc w:val="both"/>
      </w:pPr>
      <w:r>
        <w:rPr>
          <w:b w:val="0"/>
          <w:i w:val="0"/>
          <w:sz w:val="22"/>
        </w:rPr>
        <w:t>The zero-hallucination story is not a marketing claim — it is the intersection of five concrete, testable properties of the pipeline.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432"/>
            <w:shd w:val="clear" w:fill="1F3A5F"/>
          </w:tcPr>
          <w:p>
            <w:r/>
            <w:r>
              <w:rPr>
                <w:b/>
                <w:color w:val="FFFFFF"/>
                <w:sz w:val="21"/>
              </w:rPr>
              <w:t>#</w:t>
            </w:r>
          </w:p>
        </w:tc>
        <w:tc>
          <w:tcPr>
            <w:tcW w:type="dxa" w:w="5616"/>
            <w:shd w:val="clear" w:fill="1F3A5F"/>
          </w:tcPr>
          <w:p>
            <w:r/>
            <w:r>
              <w:rPr>
                <w:b/>
                <w:color w:val="FFFFFF"/>
                <w:sz w:val="21"/>
              </w:rPr>
              <w:t>Guarantee</w:t>
            </w:r>
          </w:p>
        </w:tc>
        <w:tc>
          <w:tcPr>
            <w:tcW w:type="dxa" w:w="4320"/>
            <w:shd w:val="clear" w:fill="1F3A5F"/>
          </w:tcPr>
          <w:p>
            <w:r/>
            <w:r>
              <w:rPr>
                <w:b/>
                <w:color w:val="FFFFFF"/>
                <w:sz w:val="21"/>
              </w:rPr>
              <w:t>Where enforced</w:t>
            </w:r>
          </w:p>
        </w:tc>
      </w:tr>
      <w:tr>
        <w:tc>
          <w:tcPr>
            <w:tcW w:type="dxa" w:w="432"/>
          </w:tcPr>
          <w:p>
            <w:r/>
            <w:r>
              <w:rPr>
                <w:sz w:val="20"/>
              </w:rPr>
              <w:t>1</w:t>
            </w:r>
          </w:p>
        </w:tc>
        <w:tc>
          <w:tcPr>
            <w:tcW w:type="dxa" w:w="5616"/>
          </w:tcPr>
          <w:p>
            <w:r/>
            <w:r>
              <w:rPr>
                <w:sz w:val="20"/>
              </w:rPr>
              <w:t>No LLM is invoked during a harvest → review sequence. LLMAdapter lives in core/llm.py but is never reached by pipeline.review.</w:t>
            </w:r>
          </w:p>
        </w:tc>
        <w:tc>
          <w:tcPr>
            <w:tcW w:type="dxa" w:w="4320"/>
          </w:tcPr>
          <w:p>
            <w:r/>
            <w:r>
              <w:rPr>
                <w:sz w:val="20"/>
              </w:rPr>
              <w:t>pipeline/review.py — the composer has no reference to ctx.llm.</w:t>
            </w:r>
          </w:p>
        </w:tc>
      </w:tr>
      <w:tr>
        <w:tc>
          <w:tcPr>
            <w:tcW w:type="dxa" w:w="432"/>
          </w:tcPr>
          <w:p>
            <w:r/>
            <w:r>
              <w:rPr>
                <w:sz w:val="20"/>
              </w:rPr>
              <w:t>2</w:t>
            </w:r>
          </w:p>
        </w:tc>
        <w:tc>
          <w:tcPr>
            <w:tcW w:type="dxa" w:w="5616"/>
          </w:tcPr>
          <w:p>
            <w:r/>
            <w:r>
              <w:rPr>
                <w:sz w:val="20"/>
              </w:rPr>
              <w:t>Every body paragraph in the .docx is a literal quote from a HarvestedDocument. The composer calls paragraphs.append(f"{quote}(Source: X.) [n]") where quote came directly from the ±280-char KWIC window.</w:t>
            </w:r>
          </w:p>
        </w:tc>
        <w:tc>
          <w:tcPr>
            <w:tcW w:type="dxa" w:w="4320"/>
          </w:tcPr>
          <w:p>
            <w:r/>
            <w:r>
              <w:rPr>
                <w:sz w:val="20"/>
              </w:rPr>
              <w:t>pipeline/review.py:_paragraphs_for_section.</w:t>
            </w:r>
          </w:p>
        </w:tc>
      </w:tr>
      <w:tr>
        <w:tc>
          <w:tcPr>
            <w:tcW w:type="dxa" w:w="432"/>
          </w:tcPr>
          <w:p>
            <w:r/>
            <w:r>
              <w:rPr>
                <w:sz w:val="20"/>
              </w:rPr>
              <w:t>3</w:t>
            </w:r>
          </w:p>
        </w:tc>
        <w:tc>
          <w:tcPr>
            <w:tcW w:type="dxa" w:w="5616"/>
          </w:tcPr>
          <w:p>
            <w:r/>
            <w:r>
              <w:rPr>
                <w:sz w:val="20"/>
              </w:rPr>
              <w:t>Every quote is also written to the ledger JSONL before the docx is written. The ledger is append-only and persists independently of the document.</w:t>
            </w:r>
          </w:p>
        </w:tc>
        <w:tc>
          <w:tcPr>
            <w:tcW w:type="dxa" w:w="4320"/>
          </w:tcPr>
          <w:p>
            <w:r/>
            <w:r>
              <w:rPr>
                <w:sz w:val="20"/>
              </w:rPr>
              <w:t>core/provenance.py:EvidenceLedger.add_from_text (called inside _route_doc_to_sections).</w:t>
            </w:r>
          </w:p>
        </w:tc>
      </w:tr>
      <w:tr>
        <w:tc>
          <w:tcPr>
            <w:tcW w:type="dxa" w:w="432"/>
          </w:tcPr>
          <w:p>
            <w:r/>
            <w:r>
              <w:rPr>
                <w:sz w:val="20"/>
              </w:rPr>
              <w:t>4</w:t>
            </w:r>
          </w:p>
        </w:tc>
        <w:tc>
          <w:tcPr>
            <w:tcW w:type="dxa" w:w="5616"/>
          </w:tcPr>
          <w:p>
            <w:r/>
            <w:r>
              <w:rPr>
                <w:sz w:val="20"/>
              </w:rPr>
              <w:t>audit_run re-opens the finished .docx, strips it to paragraphs, and verifies every non-boilerplate paragraph appears as a substring of the ledger corpus. Orphans are flagged and the run status is set to fail.</w:t>
            </w:r>
          </w:p>
        </w:tc>
        <w:tc>
          <w:tcPr>
            <w:tcW w:type="dxa" w:w="4320"/>
          </w:tcPr>
          <w:p>
            <w:r/>
            <w:r>
              <w:rPr>
                <w:sz w:val="20"/>
              </w:rPr>
              <w:t>pipeline/audit.py:_extract_docx_paragraphs + _build_ledger_corpus.</w:t>
            </w:r>
          </w:p>
        </w:tc>
      </w:tr>
      <w:tr>
        <w:tc>
          <w:tcPr>
            <w:tcW w:type="dxa" w:w="432"/>
          </w:tcPr>
          <w:p>
            <w:r/>
            <w:r>
              <w:rPr>
                <w:sz w:val="20"/>
              </w:rPr>
              <w:t>5</w:t>
            </w:r>
          </w:p>
        </w:tc>
        <w:tc>
          <w:tcPr>
            <w:tcW w:type="dxa" w:w="5616"/>
          </w:tcPr>
          <w:p>
            <w:r/>
            <w:r>
              <w:rPr>
                <w:sz w:val="20"/>
              </w:rPr>
              <w:t>Empty sections emit an explicit insufficient-evidence notice rather than being backfilled with any form of generated text.</w:t>
            </w:r>
          </w:p>
        </w:tc>
        <w:tc>
          <w:tcPr>
            <w:tcW w:type="dxa" w:w="4320"/>
          </w:tcPr>
          <w:p>
            <w:r/>
            <w:r>
              <w:rPr>
                <w:sz w:val="20"/>
              </w:rPr>
              <w:t>pipeline/review.py:_EMPTY_SECTION_NOTE.</w:t>
            </w:r>
          </w:p>
        </w:tc>
      </w:tr>
    </w:tbl>
    <w:p>
      <w:pPr>
        <w:spacing w:after="80"/>
      </w:pPr>
    </w:p>
    <w:p>
      <w:pPr>
        <w:spacing w:before="240" w:after="120"/>
      </w:pPr>
      <w:r>
        <w:rPr>
          <w:rFonts w:ascii="Calibri" w:hAnsi="Calibri"/>
          <w:b/>
          <w:color w:val="1F3A5F"/>
          <w:sz w:val="28"/>
        </w:rPr>
        <w:t>When an LLM is allowed</w:t>
      </w:r>
    </w:p>
    <w:p>
      <w:pPr>
        <w:spacing w:after="120"/>
        <w:jc w:val="both"/>
      </w:pPr>
      <w:r>
        <w:rPr>
          <w:b w:val="0"/>
          <w:i w:val="0"/>
          <w:sz w:val="22"/>
        </w:rPr>
        <w:t>LLMAdapter still exists and can be invoked through a few opt-in paths (historical llm_clean_report, llm_narrate_section, llm_synthesize patterns). None of those are reachable through the current 4-tool surface. If re-introduced, each LLM-generated paragraph must be re-anchored to a ledger record or it fails audit.</w:t>
      </w:r>
    </w:p>
    <w:p>
      <w:r>
        <w:br w:type="page"/>
      </w:r>
    </w:p>
    <w:p>
      <w:pPr>
        <w:spacing w:before="360" w:after="120"/>
      </w:pPr>
      <w:r>
        <w:rPr>
          <w:rFonts w:ascii="Calibri" w:hAnsi="Calibri"/>
          <w:b/>
          <w:color w:val="1F3A5F"/>
          <w:sz w:val="36"/>
        </w:rPr>
        <w:t>16. Runtime, Concurrency, and Failure Handling</w:t>
      </w:r>
    </w:p>
    <w:p>
      <w:pPr>
        <w:spacing w:before="240" w:after="120"/>
      </w:pPr>
      <w:r>
        <w:rPr>
          <w:rFonts w:ascii="Calibri" w:hAnsi="Calibri"/>
          <w:b/>
          <w:color w:val="1F3A5F"/>
          <w:sz w:val="28"/>
        </w:rPr>
        <w:t>ScraperConfig (config/settings.py)</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3744"/>
            <w:shd w:val="clear" w:fill="1F3A5F"/>
          </w:tcPr>
          <w:p>
            <w:r/>
            <w:r>
              <w:rPr>
                <w:b/>
                <w:color w:val="FFFFFF"/>
                <w:sz w:val="21"/>
              </w:rPr>
              <w:t>Setting</w:t>
            </w:r>
          </w:p>
        </w:tc>
        <w:tc>
          <w:tcPr>
            <w:tcW w:type="dxa" w:w="1872"/>
            <w:shd w:val="clear" w:fill="1F3A5F"/>
          </w:tcPr>
          <w:p>
            <w:r/>
            <w:r>
              <w:rPr>
                <w:b/>
                <w:color w:val="FFFFFF"/>
                <w:sz w:val="21"/>
              </w:rPr>
              <w:t>Value</w:t>
            </w:r>
          </w:p>
        </w:tc>
        <w:tc>
          <w:tcPr>
            <w:tcW w:type="dxa" w:w="3888"/>
            <w:shd w:val="clear" w:fill="1F3A5F"/>
          </w:tcPr>
          <w:p>
            <w:r/>
            <w:r>
              <w:rPr>
                <w:b/>
                <w:color w:val="FFFFFF"/>
                <w:sz w:val="21"/>
              </w:rPr>
              <w:t>Rationale</w:t>
            </w:r>
          </w:p>
        </w:tc>
      </w:tr>
      <w:tr>
        <w:tc>
          <w:tcPr>
            <w:tcW w:type="dxa" w:w="3744"/>
          </w:tcPr>
          <w:p>
            <w:r/>
            <w:r>
              <w:rPr>
                <w:sz w:val="20"/>
              </w:rPr>
              <w:t>timeout</w:t>
            </w:r>
          </w:p>
        </w:tc>
        <w:tc>
          <w:tcPr>
            <w:tcW w:type="dxa" w:w="1872"/>
          </w:tcPr>
          <w:p>
            <w:r/>
            <w:r>
              <w:rPr>
                <w:sz w:val="20"/>
              </w:rPr>
              <w:t>8.0 s</w:t>
            </w:r>
          </w:p>
        </w:tc>
        <w:tc>
          <w:tcPr>
            <w:tcW w:type="dxa" w:w="3888"/>
          </w:tcPr>
          <w:p>
            <w:r/>
            <w:r>
              <w:rPr>
                <w:sz w:val="20"/>
              </w:rPr>
              <w:t>Per-URL HTTP timeout — enough for any responsive API, slow sites fail fast.</w:t>
            </w:r>
          </w:p>
        </w:tc>
      </w:tr>
      <w:tr>
        <w:tc>
          <w:tcPr>
            <w:tcW w:type="dxa" w:w="3744"/>
          </w:tcPr>
          <w:p>
            <w:r/>
            <w:r>
              <w:rPr>
                <w:sz w:val="20"/>
              </w:rPr>
              <w:t>max_concurrent</w:t>
            </w:r>
          </w:p>
        </w:tc>
        <w:tc>
          <w:tcPr>
            <w:tcW w:type="dxa" w:w="1872"/>
          </w:tcPr>
          <w:p>
            <w:r/>
            <w:r>
              <w:rPr>
                <w:sz w:val="20"/>
              </w:rPr>
              <w:t>8</w:t>
            </w:r>
          </w:p>
        </w:tc>
        <w:tc>
          <w:tcPr>
            <w:tcW w:type="dxa" w:w="3888"/>
          </w:tcPr>
          <w:p>
            <w:r/>
            <w:r>
              <w:rPr>
                <w:sz w:val="20"/>
              </w:rPr>
              <w:t>Semaphore width for BatchProcessor.run.</w:t>
            </w:r>
          </w:p>
        </w:tc>
      </w:tr>
      <w:tr>
        <w:tc>
          <w:tcPr>
            <w:tcW w:type="dxa" w:w="3744"/>
          </w:tcPr>
          <w:p>
            <w:r/>
            <w:r>
              <w:rPr>
                <w:sz w:val="20"/>
              </w:rPr>
              <w:t>httpx Limits.max_connections</w:t>
            </w:r>
          </w:p>
        </w:tc>
        <w:tc>
          <w:tcPr>
            <w:tcW w:type="dxa" w:w="1872"/>
          </w:tcPr>
          <w:p>
            <w:r/>
            <w:r>
              <w:rPr>
                <w:sz w:val="20"/>
              </w:rPr>
              <w:t>16</w:t>
            </w:r>
          </w:p>
        </w:tc>
        <w:tc>
          <w:tcPr>
            <w:tcW w:type="dxa" w:w="3888"/>
          </w:tcPr>
          <w:p>
            <w:r/>
            <w:r>
              <w:rPr>
                <w:sz w:val="20"/>
              </w:rPr>
              <w:t>Connection pool cap = max_concurrent × 2.</w:t>
            </w:r>
          </w:p>
        </w:tc>
      </w:tr>
      <w:tr>
        <w:tc>
          <w:tcPr>
            <w:tcW w:type="dxa" w:w="3744"/>
          </w:tcPr>
          <w:p>
            <w:r/>
            <w:r>
              <w:rPr>
                <w:sz w:val="20"/>
              </w:rPr>
              <w:t>max_retries</w:t>
            </w:r>
          </w:p>
        </w:tc>
        <w:tc>
          <w:tcPr>
            <w:tcW w:type="dxa" w:w="1872"/>
          </w:tcPr>
          <w:p>
            <w:r/>
            <w:r>
              <w:rPr>
                <w:sz w:val="20"/>
              </w:rPr>
              <w:t>1</w:t>
            </w:r>
          </w:p>
        </w:tc>
        <w:tc>
          <w:tcPr>
            <w:tcW w:type="dxa" w:w="3888"/>
          </w:tcPr>
          <w:p>
            <w:r/>
            <w:r>
              <w:rPr>
                <w:sz w:val="20"/>
              </w:rPr>
              <w:t>One retry, 1.5 s backoff; worst case per URL ≈ 16 s.</w:t>
            </w:r>
          </w:p>
        </w:tc>
      </w:tr>
      <w:tr>
        <w:tc>
          <w:tcPr>
            <w:tcW w:type="dxa" w:w="3744"/>
          </w:tcPr>
          <w:p>
            <w:r/>
            <w:r>
              <w:rPr>
                <w:sz w:val="20"/>
              </w:rPr>
              <w:t>max_content_chars</w:t>
            </w:r>
          </w:p>
        </w:tc>
        <w:tc>
          <w:tcPr>
            <w:tcW w:type="dxa" w:w="1872"/>
          </w:tcPr>
          <w:p>
            <w:r/>
            <w:r>
              <w:rPr>
                <w:sz w:val="20"/>
              </w:rPr>
              <w:t>200,000</w:t>
            </w:r>
          </w:p>
        </w:tc>
        <w:tc>
          <w:tcPr>
            <w:tcW w:type="dxa" w:w="3888"/>
          </w:tcPr>
          <w:p>
            <w:r/>
            <w:r>
              <w:rPr>
                <w:sz w:val="20"/>
              </w:rPr>
              <w:t>Per-page text cap.</w:t>
            </w:r>
          </w:p>
        </w:tc>
      </w:tr>
      <w:tr>
        <w:tc>
          <w:tcPr>
            <w:tcW w:type="dxa" w:w="3744"/>
          </w:tcPr>
          <w:p>
            <w:r/>
            <w:r>
              <w:rPr>
                <w:sz w:val="20"/>
              </w:rPr>
              <w:t>max_pdf_bytes</w:t>
            </w:r>
          </w:p>
        </w:tc>
        <w:tc>
          <w:tcPr>
            <w:tcW w:type="dxa" w:w="1872"/>
          </w:tcPr>
          <w:p>
            <w:r/>
            <w:r>
              <w:rPr>
                <w:sz w:val="20"/>
              </w:rPr>
              <w:t>50 MB</w:t>
            </w:r>
          </w:p>
        </w:tc>
        <w:tc>
          <w:tcPr>
            <w:tcW w:type="dxa" w:w="3888"/>
          </w:tcPr>
          <w:p>
            <w:r/>
            <w:r>
              <w:rPr>
                <w:sz w:val="20"/>
              </w:rPr>
              <w:t>Per-PDF size cap.</w:t>
            </w:r>
          </w:p>
        </w:tc>
      </w:tr>
      <w:tr>
        <w:tc>
          <w:tcPr>
            <w:tcW w:type="dxa" w:w="3744"/>
          </w:tcPr>
          <w:p>
            <w:r/>
            <w:r>
              <w:rPr>
                <w:sz w:val="20"/>
              </w:rPr>
              <w:t>context_chars</w:t>
            </w:r>
          </w:p>
        </w:tc>
        <w:tc>
          <w:tcPr>
            <w:tcW w:type="dxa" w:w="1872"/>
          </w:tcPr>
          <w:p>
            <w:r/>
            <w:r>
              <w:rPr>
                <w:sz w:val="20"/>
              </w:rPr>
              <w:t>300</w:t>
            </w:r>
          </w:p>
        </w:tc>
        <w:tc>
          <w:tcPr>
            <w:tcW w:type="dxa" w:w="3888"/>
          </w:tcPr>
          <w:p>
            <w:r/>
            <w:r>
              <w:rPr>
                <w:sz w:val="20"/>
              </w:rPr>
              <w:t>KWIC window on each side (KeywordSearcher).</w:t>
            </w:r>
          </w:p>
        </w:tc>
      </w:tr>
      <w:tr>
        <w:tc>
          <w:tcPr>
            <w:tcW w:type="dxa" w:w="3744"/>
          </w:tcPr>
          <w:p>
            <w:r/>
            <w:r>
              <w:rPr>
                <w:sz w:val="20"/>
              </w:rPr>
              <w:t>Provenance window</w:t>
            </w:r>
          </w:p>
        </w:tc>
        <w:tc>
          <w:tcPr>
            <w:tcW w:type="dxa" w:w="1872"/>
          </w:tcPr>
          <w:p>
            <w:r/>
            <w:r>
              <w:rPr>
                <w:sz w:val="20"/>
              </w:rPr>
              <w:t>280 chars</w:t>
            </w:r>
          </w:p>
        </w:tc>
        <w:tc>
          <w:tcPr>
            <w:tcW w:type="dxa" w:w="3888"/>
          </w:tcPr>
          <w:p>
            <w:r/>
            <w:r>
              <w:rPr>
                <w:sz w:val="20"/>
              </w:rPr>
              <w:t>±280 chars around each keyword hit in ledger.</w:t>
            </w:r>
          </w:p>
        </w:tc>
      </w:tr>
      <w:tr>
        <w:tc>
          <w:tcPr>
            <w:tcW w:type="dxa" w:w="3744"/>
          </w:tcPr>
          <w:p>
            <w:r/>
            <w:r>
              <w:rPr>
                <w:sz w:val="20"/>
              </w:rPr>
              <w:t>Ledger excerpts per section per doc</w:t>
            </w:r>
          </w:p>
        </w:tc>
        <w:tc>
          <w:tcPr>
            <w:tcW w:type="dxa" w:w="1872"/>
          </w:tcPr>
          <w:p>
            <w:r/>
            <w:r>
              <w:rPr>
                <w:sz w:val="20"/>
              </w:rPr>
              <w:t>3</w:t>
            </w:r>
          </w:p>
        </w:tc>
        <w:tc>
          <w:tcPr>
            <w:tcW w:type="dxa" w:w="3888"/>
          </w:tcPr>
          <w:p>
            <w:r/>
            <w:r>
              <w:rPr>
                <w:sz w:val="20"/>
              </w:rPr>
              <w:t>_MAX_PER_SECTION_PER_DOC.</w:t>
            </w:r>
          </w:p>
        </w:tc>
      </w:tr>
      <w:tr>
        <w:tc>
          <w:tcPr>
            <w:tcW w:type="dxa" w:w="3744"/>
          </w:tcPr>
          <w:p>
            <w:r/>
            <w:r>
              <w:rPr>
                <w:sz w:val="20"/>
              </w:rPr>
              <w:t>Paragraphs per section cap</w:t>
            </w:r>
          </w:p>
        </w:tc>
        <w:tc>
          <w:tcPr>
            <w:tcW w:type="dxa" w:w="1872"/>
          </w:tcPr>
          <w:p>
            <w:r/>
            <w:r>
              <w:rPr>
                <w:sz w:val="20"/>
              </w:rPr>
              <w:t>14</w:t>
            </w:r>
          </w:p>
        </w:tc>
        <w:tc>
          <w:tcPr>
            <w:tcW w:type="dxa" w:w="3888"/>
          </w:tcPr>
          <w:p>
            <w:r/>
            <w:r>
              <w:rPr>
                <w:sz w:val="20"/>
              </w:rPr>
              <w:t>_MAX_EXCERPTS_PER_SECTION (composer).</w:t>
            </w:r>
          </w:p>
        </w:tc>
      </w:tr>
      <w:tr>
        <w:tc>
          <w:tcPr>
            <w:tcW w:type="dxa" w:w="3744"/>
          </w:tcPr>
          <w:p>
            <w:r/>
            <w:r>
              <w:rPr>
                <w:sz w:val="20"/>
              </w:rPr>
              <w:t>BaseDatabaseSource.search_limit</w:t>
            </w:r>
          </w:p>
        </w:tc>
        <w:tc>
          <w:tcPr>
            <w:tcW w:type="dxa" w:w="1872"/>
          </w:tcPr>
          <w:p>
            <w:r/>
            <w:r>
              <w:rPr>
                <w:sz w:val="20"/>
              </w:rPr>
              <w:t>5</w:t>
            </w:r>
          </w:p>
        </w:tc>
        <w:tc>
          <w:tcPr>
            <w:tcW w:type="dxa" w:w="3888"/>
          </w:tcPr>
          <w:p>
            <w:r/>
            <w:r>
              <w:rPr>
                <w:sz w:val="20"/>
              </w:rPr>
              <w:t>Default papers per DB unless overridden.</w:t>
            </w:r>
          </w:p>
        </w:tc>
      </w:tr>
    </w:tbl>
    <w:p>
      <w:pPr>
        <w:spacing w:after="80"/>
      </w:pPr>
    </w:p>
    <w:p>
      <w:pPr>
        <w:spacing w:before="240" w:after="120"/>
      </w:pPr>
      <w:r>
        <w:rPr>
          <w:rFonts w:ascii="Calibri" w:hAnsi="Calibri"/>
          <w:b/>
          <w:color w:val="1F3A5F"/>
          <w:sz w:val="28"/>
        </w:rPr>
        <w:t>Parallelism strategy</w:t>
      </w:r>
    </w:p>
    <w:p>
      <w:pPr>
        <w:spacing w:after="120"/>
        <w:jc w:val="both"/>
      </w:pPr>
      <w:r>
        <w:rPr>
          <w:b w:val="0"/>
          <w:i w:val="0"/>
          <w:sz w:val="22"/>
        </w:rPr>
        <w:t>Every fan-out is asyncio.create_task-based and gated by the 16-connection httpx pool. MultiDatabaseHarvester.harvest_all launches one task per DB; each DB's harvest launches one task per candidate paper. That's up to 14 × 5 = 70 concurrent PDF fetches in theory, but effectively throttled to 16 by the connection pool. Cache hits in HTTPFetcher._cache are free — the same URL consulted by two different DBs pays zero network cost the second time.</w:t>
      </w:r>
    </w:p>
    <w:p>
      <w:pPr>
        <w:spacing w:before="240" w:after="120"/>
      </w:pPr>
      <w:r>
        <w:rPr>
          <w:rFonts w:ascii="Calibri" w:hAnsi="Calibri"/>
          <w:b/>
          <w:color w:val="1F3A5F"/>
          <w:sz w:val="28"/>
        </w:rPr>
        <w:t>Error containment</w:t>
      </w:r>
    </w:p>
    <w:p>
      <w:pPr>
        <w:pStyle w:val="ListBullet"/>
        <w:spacing w:after="40"/>
        <w:ind w:left="360"/>
      </w:pPr>
      <w:r>
        <w:rPr>
          <w:sz w:val="22"/>
        </w:rPr>
        <w:t>A per-DB task that throws is caught inside harvest_all; its name is logged to self.last_run_errors and an empty list is returned in its slot. The rest of the fan-out is unaffected.</w:t>
      </w:r>
    </w:p>
    <w:p>
      <w:pPr>
        <w:pStyle w:val="ListBullet"/>
        <w:spacing w:after="40"/>
        <w:ind w:left="360"/>
      </w:pPr>
      <w:r>
        <w:rPr>
          <w:sz w:val="22"/>
        </w:rPr>
        <w:t>A per-paper harvest_one that throws is wrapped as a HarvestedDocument with an errors entry and zero text. It still appears in per_database counts so the auditor can tell DB was reachable but this paper failed.</w:t>
      </w:r>
    </w:p>
    <w:p>
      <w:pPr>
        <w:pStyle w:val="ListBullet"/>
        <w:spacing w:after="40"/>
        <w:ind w:left="360"/>
      </w:pPr>
      <w:r>
        <w:rPr>
          <w:sz w:val="22"/>
        </w:rPr>
        <w:t>Ledger writes never raise — the ledger block in _route_doc_to_sections is in a broad try/except. If disk I/O fails, the in-memory HarvestResult still lets build_review emit a docx.</w:t>
      </w:r>
    </w:p>
    <w:p>
      <w:pPr>
        <w:pStyle w:val="ListBullet"/>
        <w:spacing w:after="40"/>
        <w:ind w:left="360"/>
      </w:pPr>
      <w:r>
        <w:rPr>
          <w:sz w:val="22"/>
        </w:rPr>
        <w:t>Tracer.event is in a broad try/except too — tracing is strictly observational and is not allowed to kill the run.</w:t>
      </w:r>
    </w:p>
    <w:p>
      <w:pPr>
        <w:spacing w:before="240" w:after="120"/>
      </w:pPr>
      <w:r>
        <w:rPr>
          <w:rFonts w:ascii="Calibri" w:hAnsi="Calibri"/>
          <w:b/>
          <w:color w:val="1F3A5F"/>
          <w:sz w:val="28"/>
        </w:rPr>
        <w:t>Per-run HTTP call volume</w:t>
      </w:r>
    </w:p>
    <w:p>
      <w:pPr>
        <w:spacing w:after="120"/>
        <w:ind w:left="432" w:right="432"/>
        <w:shd w:val="clear" w:fill="F5F5F5"/>
      </w:pPr>
      <w:r>
        <w:rPr>
          <w:rFonts w:ascii="Consolas" w:hAnsi="Consolas"/>
          <w:color w:val="202020"/>
          <w:sz w:val="19"/>
        </w:rPr>
        <w:t>Stage            Calls per DB         Typical total</w:t>
        <w:br/>
        <w:t>search           1–3 (varies)         14–42</w:t>
        <w:br/>
        <w:t>download_pdf     up to per_db_limit   up to 5 × 14 = 70</w:t>
        <w:br/>
        <w:t>html fallback    up to per_db_limit   up to 70 (only if PDF absent)</w:t>
        <w:br/>
        <w:t xml:space="preserve">                                      ─────────</w:t>
        <w:br/>
        <w:t xml:space="preserve">                                      ≈ 100–200 HTTP calls per chemical</w:t>
        <w:br/>
        <w:br/>
        <w:t>+ PubMed esearch + esummary + efetch   3 calls</w:t>
        <w:br/>
        <w:t>+ EuropePMC search                    1 call</w:t>
        <w:br/>
        <w:t>+ OpenAlex search                     1 call</w:t>
        <w:br/>
        <w:t>+ 7 agency profile fetches            7 calls</w:t>
        <w:br/>
        <w:t xml:space="preserve">                                      ─────────</w:t>
        <w:br/>
        <w:t>TOTAL                                  ≈ 110–215 calls per run</w:t>
      </w:r>
    </w:p>
    <w:p>
      <w:r>
        <w:br w:type="page"/>
      </w:r>
    </w:p>
    <w:p>
      <w:pPr>
        <w:spacing w:before="360" w:after="120"/>
      </w:pPr>
      <w:r>
        <w:rPr>
          <w:rFonts w:ascii="Calibri" w:hAnsi="Calibri"/>
          <w:b/>
          <w:color w:val="1F3A5F"/>
          <w:sz w:val="36"/>
        </w:rPr>
        <w:t>17. Extensibility: Adding Sources, Sections, Keywords</w:t>
      </w:r>
    </w:p>
    <w:p>
      <w:pPr>
        <w:spacing w:before="240" w:after="120"/>
      </w:pPr>
      <w:r>
        <w:rPr>
          <w:rFonts w:ascii="Calibri" w:hAnsi="Calibri"/>
          <w:b/>
          <w:color w:val="1F3A5F"/>
          <w:sz w:val="28"/>
        </w:rPr>
        <w:t>Adding a new database harvester</w:t>
      </w:r>
    </w:p>
    <w:p>
      <w:pPr>
        <w:pStyle w:val="ListBullet"/>
        <w:spacing w:after="40"/>
        <w:ind w:left="360"/>
      </w:pPr>
      <w:r>
        <w:rPr>
          <w:sz w:val="22"/>
        </w:rPr>
        <w:t>Create sources/my_db.py. Subclass BaseDatabaseSource; set name and override search(chemical, cas) to return a list[PaperRef].</w:t>
      </w:r>
    </w:p>
    <w:p>
      <w:pPr>
        <w:pStyle w:val="ListBullet"/>
        <w:spacing w:after="40"/>
        <w:ind w:left="360"/>
      </w:pPr>
      <w:r>
        <w:rPr>
          <w:sz w:val="22"/>
        </w:rPr>
        <w:t>If the DB requires a custom PDF flow (redirect, signed URL, etc.), override download_pdf. Otherwise the base implementation walks ref.pdf_url or ref.landing_url and auto-detects PDF content.</w:t>
      </w:r>
    </w:p>
    <w:p>
      <w:pPr>
        <w:pStyle w:val="ListBullet"/>
        <w:spacing w:after="40"/>
        <w:ind w:left="360"/>
      </w:pPr>
      <w:r>
        <w:rPr>
          <w:sz w:val="22"/>
        </w:rPr>
        <w:t>Append the class to REGISTRY in sources/harvester.py. Nothing else in the pipeline needs to change — ToolContext builds a MultiDatabaseHarvester from REGISTRY at server start.</w:t>
      </w:r>
    </w:p>
    <w:p>
      <w:pPr>
        <w:pStyle w:val="ListBullet"/>
        <w:spacing w:after="40"/>
        <w:ind w:left="360"/>
      </w:pPr>
      <w:r>
        <w:rPr>
          <w:sz w:val="22"/>
        </w:rPr>
        <w:t>Optionally, add a declarative entry to config/databases.py so the DB appears in the documented catalog and in agency-fetcher discovery.</w:t>
      </w:r>
    </w:p>
    <w:p>
      <w:pPr>
        <w:spacing w:before="240" w:after="120"/>
      </w:pPr>
      <w:r>
        <w:rPr>
          <w:rFonts w:ascii="Calibri" w:hAnsi="Calibri"/>
          <w:b/>
          <w:color w:val="1F3A5F"/>
          <w:sz w:val="28"/>
        </w:rPr>
        <w:t>Adding a new review section</w:t>
      </w:r>
    </w:p>
    <w:p>
      <w:pPr>
        <w:pStyle w:val="ListBullet"/>
        <w:spacing w:after="40"/>
        <w:ind w:left="360"/>
      </w:pPr>
      <w:r>
        <w:rPr>
          <w:sz w:val="22"/>
        </w:rPr>
        <w:t>Add the section_id to LITERATURE_SECTIONS in config/sections.py (position determines render order).</w:t>
      </w:r>
    </w:p>
    <w:p>
      <w:pPr>
        <w:pStyle w:val="ListBullet"/>
        <w:spacing w:after="40"/>
        <w:ind w:left="360"/>
      </w:pPr>
      <w:r>
        <w:rPr>
          <w:sz w:val="22"/>
        </w:rPr>
        <w:t>Add a SECTION_TITLES[section_id] display string.</w:t>
      </w:r>
    </w:p>
    <w:p>
      <w:pPr>
        <w:pStyle w:val="ListBullet"/>
        <w:spacing w:after="40"/>
        <w:ind w:left="360"/>
      </w:pPr>
      <w:r>
        <w:rPr>
          <w:sz w:val="22"/>
        </w:rPr>
        <w:t>Add a SECTION_KEYWORDS[section_id] bucket. 15–30 substring-matchable phrases is the sweet spot.</w:t>
      </w:r>
    </w:p>
    <w:p>
      <w:pPr>
        <w:pStyle w:val="ListBullet"/>
        <w:spacing w:after="40"/>
        <w:ind w:left="360"/>
      </w:pPr>
      <w:r>
        <w:rPr>
          <w:sz w:val="22"/>
        </w:rPr>
        <w:t>Decide which chapter the section belongs to in SECTION_GROUPS — either add it to an existing chapter's section_ids list or create a new ("Chapter Title", [ids…]) tuple.</w:t>
      </w:r>
    </w:p>
    <w:p>
      <w:pPr>
        <w:pStyle w:val="ListBullet"/>
        <w:spacing w:after="40"/>
        <w:ind w:left="360"/>
      </w:pPr>
      <w:r>
        <w:rPr>
          <w:sz w:val="22"/>
        </w:rPr>
        <w:t>No composer / auditor / harvest changes are needed — all three consume these lists dynamically.</w:t>
      </w:r>
    </w:p>
    <w:p>
      <w:pPr>
        <w:spacing w:before="240" w:after="120"/>
      </w:pPr>
      <w:r>
        <w:rPr>
          <w:rFonts w:ascii="Calibri" w:hAnsi="Calibri"/>
          <w:b/>
          <w:color w:val="1F3A5F"/>
          <w:sz w:val="28"/>
        </w:rPr>
        <w:t>Adding a new MCP tool</w:t>
      </w:r>
    </w:p>
    <w:p>
      <w:pPr>
        <w:pStyle w:val="ListBullet"/>
        <w:spacing w:after="40"/>
        <w:ind w:left="360"/>
      </w:pPr>
      <w:r>
        <w:rPr>
          <w:sz w:val="22"/>
        </w:rPr>
        <w:t>Append a new mcp.types.Tool to ALL_TOOL_SCHEMAS in tools/schemas.py with the JSON Schema input shape.</w:t>
      </w:r>
    </w:p>
    <w:p>
      <w:pPr>
        <w:pStyle w:val="ListBullet"/>
        <w:spacing w:after="40"/>
        <w:ind w:left="360"/>
      </w:pPr>
      <w:r>
        <w:rPr>
          <w:sz w:val="22"/>
        </w:rPr>
        <w:t>Add a dispatch branch in tools/handlers.py that validates arguments and delegates to a pipeline function.</w:t>
      </w:r>
    </w:p>
    <w:p>
      <w:pPr>
        <w:pStyle w:val="ListBullet"/>
        <w:spacing w:after="40"/>
        <w:ind w:left="360"/>
      </w:pPr>
      <w:r>
        <w:rPr>
          <w:sz w:val="22"/>
        </w:rPr>
        <w:t>If the tool produces artifacts the auditor should know about, extend audit_run correspondingly.</w:t>
      </w:r>
    </w:p>
    <w:p>
      <w:r>
        <w:br w:type="page"/>
      </w:r>
    </w:p>
    <w:p>
      <w:pPr>
        <w:spacing w:before="360" w:after="120"/>
      </w:pPr>
      <w:r>
        <w:rPr>
          <w:rFonts w:ascii="Calibri" w:hAnsi="Calibri"/>
          <w:b/>
          <w:color w:val="1F3A5F"/>
          <w:sz w:val="36"/>
        </w:rPr>
        <w:t>18. Deployment and Operations</w:t>
      </w:r>
    </w:p>
    <w:p>
      <w:pPr>
        <w:spacing w:before="240" w:after="120"/>
      </w:pPr>
      <w:r>
        <w:rPr>
          <w:rFonts w:ascii="Calibri" w:hAnsi="Calibri"/>
          <w:b/>
          <w:color w:val="1F3A5F"/>
          <w:sz w:val="28"/>
        </w:rPr>
        <w:t>Runtime</w:t>
      </w:r>
    </w:p>
    <w:p>
      <w:pPr>
        <w:pStyle w:val="ListBullet"/>
        <w:spacing w:after="40"/>
        <w:ind w:left="360"/>
      </w:pPr>
      <w:r>
        <w:rPr>
          <w:sz w:val="22"/>
        </w:rPr>
        <w:t>Python 3.11+. The codebase uses PEP 604 unions, match statements, and dataclasses.field extensively.</w:t>
      </w:r>
    </w:p>
    <w:p>
      <w:pPr>
        <w:pStyle w:val="ListBullet"/>
        <w:spacing w:after="40"/>
        <w:ind w:left="360"/>
      </w:pPr>
      <w:r>
        <w:rPr>
          <w:sz w:val="22"/>
        </w:rPr>
        <w:t>Dependencies (requirements.txt): mcp (FastMCP), httpx, pdfminer.six, pypdf, PyMuPDF (fitz), pdfplumber, trafilatura, beautifulsoup4, lxml, python-docx.</w:t>
      </w:r>
    </w:p>
    <w:p>
      <w:pPr>
        <w:pStyle w:val="ListBullet"/>
        <w:spacing w:after="40"/>
        <w:ind w:left="360"/>
      </w:pPr>
      <w:r>
        <w:rPr>
          <w:sz w:val="22"/>
        </w:rPr>
        <w:t>Transport: stdio (mcp.server.stdio.stdio_server). Registered in a host's MCP config file; the host spawns the server as a subprocess and speaks JSON-RPC over its stdin/stdout.</w:t>
      </w:r>
    </w:p>
    <w:p>
      <w:pPr>
        <w:pStyle w:val="ListBullet"/>
        <w:spacing w:after="40"/>
        <w:ind w:left="360"/>
      </w:pPr>
      <w:r>
        <w:rPr>
          <w:sz w:val="22"/>
        </w:rPr>
        <w:t>No persistent process state beyond /tmp/tox_runs/. Cache and ledgers are per-run.</w:t>
      </w:r>
    </w:p>
    <w:p>
      <w:pPr>
        <w:spacing w:before="240" w:after="120"/>
      </w:pPr>
      <w:r>
        <w:rPr>
          <w:rFonts w:ascii="Calibri" w:hAnsi="Calibri"/>
          <w:b/>
          <w:color w:val="1F3A5F"/>
          <w:sz w:val="28"/>
        </w:rPr>
        <w:t>Claude Desktop registration example</w:t>
      </w:r>
    </w:p>
    <w:p>
      <w:pPr>
        <w:spacing w:after="120"/>
        <w:ind w:left="432" w:right="432"/>
        <w:shd w:val="clear" w:fill="F5F5F5"/>
      </w:pPr>
      <w:r>
        <w:rPr>
          <w:rFonts w:ascii="Consolas" w:hAnsi="Consolas"/>
          <w:color w:val="202020"/>
          <w:sz w:val="19"/>
        </w:rPr>
        <w:t>// claude_desktop_config.json</w:t>
        <w:br/>
        <w:t>{</w:t>
        <w:br/>
        <w:t xml:space="preserve">  "mcpServers": {</w:t>
        <w:br/>
        <w:t xml:space="preserve">    "tox-scraper": {</w:t>
        <w:br/>
        <w:t xml:space="preserve">      "command": "python",</w:t>
        <w:br/>
        <w:t xml:space="preserve">      "args": ["/path/to/scrapper mcp/server.py"],</w:t>
        <w:br/>
        <w:t xml:space="preserve">      "env": {</w:t>
        <w:br/>
        <w:t xml:space="preserve">        "TOX_SCRAPER_FIGURES_DIR": "/path/to/figure-cache"</w:t>
        <w:br/>
        <w:t xml:space="preserve">      }</w:t>
        <w:br/>
        <w:t xml:space="preserve">    }</w:t>
        <w:br/>
        <w:t xml:space="preserve">  }</w:t>
        <w:br/>
        <w:t>}</w:t>
      </w:r>
    </w:p>
    <w:p>
      <w:pPr>
        <w:spacing w:before="240" w:after="120"/>
      </w:pPr>
      <w:r>
        <w:rPr>
          <w:rFonts w:ascii="Calibri" w:hAnsi="Calibri"/>
          <w:b/>
          <w:color w:val="1F3A5F"/>
          <w:sz w:val="28"/>
        </w:rPr>
        <w:t>Environment variables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3456"/>
            <w:shd w:val="clear" w:fill="1F3A5F"/>
          </w:tcPr>
          <w:p>
            <w:r/>
            <w:r>
              <w:rPr>
                <w:b/>
                <w:color w:val="FFFFFF"/>
                <w:sz w:val="21"/>
              </w:rPr>
              <w:t>Variable</w:t>
            </w:r>
          </w:p>
        </w:tc>
        <w:tc>
          <w:tcPr>
            <w:tcW w:type="dxa" w:w="3168"/>
            <w:shd w:val="clear" w:fill="1F3A5F"/>
          </w:tcPr>
          <w:p>
            <w:r/>
            <w:r>
              <w:rPr>
                <w:b/>
                <w:color w:val="FFFFFF"/>
                <w:sz w:val="21"/>
              </w:rPr>
              <w:t>Default</w:t>
            </w:r>
          </w:p>
        </w:tc>
        <w:tc>
          <w:tcPr>
            <w:tcW w:type="dxa" w:w="4032"/>
            <w:shd w:val="clear" w:fill="1F3A5F"/>
          </w:tcPr>
          <w:p>
            <w:r/>
            <w:r>
              <w:rPr>
                <w:b/>
                <w:color w:val="FFFFFF"/>
                <w:sz w:val="21"/>
              </w:rPr>
              <w:t>Effect</w:t>
            </w:r>
          </w:p>
        </w:tc>
      </w:tr>
      <w:tr>
        <w:tc>
          <w:tcPr>
            <w:tcW w:type="dxa" w:w="3456"/>
          </w:tcPr>
          <w:p>
            <w:r/>
            <w:r>
              <w:rPr>
                <w:sz w:val="20"/>
              </w:rPr>
              <w:t>TOX_SCRAPER_FIGURES_DIR</w:t>
            </w:r>
          </w:p>
        </w:tc>
        <w:tc>
          <w:tcPr>
            <w:tcW w:type="dxa" w:w="3168"/>
          </w:tcPr>
          <w:p>
            <w:r/>
            <w:r>
              <w:rPr>
                <w:sz w:val="20"/>
              </w:rPr>
              <w:t>project_root/extracted_figures → tempdir/tox_scraper_figures</w:t>
            </w:r>
          </w:p>
        </w:tc>
        <w:tc>
          <w:tcPr>
            <w:tcW w:type="dxa" w:w="4032"/>
          </w:tcPr>
          <w:p>
            <w:r/>
            <w:r>
              <w:rPr>
                <w:sz w:val="20"/>
              </w:rPr>
              <w:t>Where PyMuPDF writes extracted figure PNGs.</w:t>
            </w:r>
          </w:p>
        </w:tc>
      </w:tr>
      <w:tr>
        <w:tc>
          <w:tcPr>
            <w:tcW w:type="dxa" w:w="3456"/>
          </w:tcPr>
          <w:p>
            <w:r/>
            <w:r>
              <w:rPr>
                <w:sz w:val="20"/>
              </w:rPr>
              <w:t>TOX_SCRAPER_LLM</w:t>
            </w:r>
          </w:p>
        </w:tc>
        <w:tc>
          <w:tcPr>
            <w:tcW w:type="dxa" w:w="3168"/>
          </w:tcPr>
          <w:p>
            <w:r/>
            <w:r>
              <w:rPr>
                <w:sz w:val="20"/>
              </w:rPr>
              <w:t>—</w:t>
            </w:r>
          </w:p>
        </w:tc>
        <w:tc>
          <w:tcPr>
            <w:tcW w:type="dxa" w:w="4032"/>
          </w:tcPr>
          <w:p>
            <w:r/>
            <w:r>
              <w:rPr>
                <w:sz w:val="20"/>
              </w:rPr>
              <w:t>If set, selects provider for (opt-in) LLMAdapter.</w:t>
            </w:r>
          </w:p>
        </w:tc>
      </w:tr>
      <w:tr>
        <w:tc>
          <w:tcPr>
            <w:tcW w:type="dxa" w:w="3456"/>
          </w:tcPr>
          <w:p>
            <w:r/>
            <w:r>
              <w:rPr>
                <w:sz w:val="20"/>
              </w:rPr>
              <w:t>OPENAI_API_KEY / ANTHROPIC_API_KEY</w:t>
            </w:r>
          </w:p>
        </w:tc>
        <w:tc>
          <w:tcPr>
            <w:tcW w:type="dxa" w:w="3168"/>
          </w:tcPr>
          <w:p>
            <w:r/>
            <w:r>
              <w:rPr>
                <w:sz w:val="20"/>
              </w:rPr>
              <w:t>—</w:t>
            </w:r>
          </w:p>
        </w:tc>
        <w:tc>
          <w:tcPr>
            <w:tcW w:type="dxa" w:w="4032"/>
          </w:tcPr>
          <w:p>
            <w:r/>
            <w:r>
              <w:rPr>
                <w:sz w:val="20"/>
              </w:rPr>
              <w:t>Picked up by LLMAdapter when an LLM tool is invoked.</w:t>
            </w:r>
          </w:p>
        </w:tc>
      </w:tr>
      <w:tr>
        <w:tc>
          <w:tcPr>
            <w:tcW w:type="dxa" w:w="3456"/>
          </w:tcPr>
          <w:p>
            <w:r/>
            <w:r>
              <w:rPr>
                <w:sz w:val="20"/>
              </w:rPr>
              <w:t>TOX_SCRAPER_OUT_DIR</w:t>
            </w:r>
          </w:p>
        </w:tc>
        <w:tc>
          <w:tcPr>
            <w:tcW w:type="dxa" w:w="3168"/>
          </w:tcPr>
          <w:p>
            <w:r/>
            <w:r>
              <w:rPr>
                <w:sz w:val="20"/>
              </w:rPr>
              <w:t>—</w:t>
            </w:r>
          </w:p>
        </w:tc>
        <w:tc>
          <w:tcPr>
            <w:tcW w:type="dxa" w:w="4032"/>
          </w:tcPr>
          <w:p>
            <w:r/>
            <w:r>
              <w:rPr>
                <w:sz w:val="20"/>
              </w:rPr>
              <w:t>Override for default output directory when build_review doesn't specify.</w:t>
            </w:r>
          </w:p>
        </w:tc>
      </w:tr>
    </w:tbl>
    <w:p>
      <w:pPr>
        <w:spacing w:after="80"/>
      </w:pPr>
    </w:p>
    <w:p>
      <w:pPr>
        <w:spacing w:before="240" w:after="120"/>
      </w:pPr>
      <w:r>
        <w:rPr>
          <w:rFonts w:ascii="Calibri" w:hAnsi="Calibri"/>
          <w:b/>
          <w:color w:val="1F3A5F"/>
          <w:sz w:val="28"/>
        </w:rPr>
        <w:t>Where artifacts land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24"/>
        <w:gridCol w:w="4824"/>
      </w:tblGrid>
      <w:tr>
        <w:tc>
          <w:tcPr>
            <w:tcW w:type="dxa" w:w="3312"/>
            <w:shd w:val="clear" w:fill="1F3A5F"/>
          </w:tcPr>
          <w:p>
            <w:r/>
            <w:r>
              <w:rPr>
                <w:b/>
                <w:color w:val="FFFFFF"/>
                <w:sz w:val="21"/>
              </w:rPr>
              <w:t>Artifact</w:t>
            </w:r>
          </w:p>
        </w:tc>
        <w:tc>
          <w:tcPr>
            <w:tcW w:type="dxa" w:w="7200"/>
            <w:shd w:val="clear" w:fill="1F3A5F"/>
          </w:tcPr>
          <w:p>
            <w:r/>
            <w:r>
              <w:rPr>
                <w:b/>
                <w:color w:val="FFFFFF"/>
                <w:sz w:val="21"/>
              </w:rPr>
              <w:t>Path</w:t>
            </w:r>
          </w:p>
        </w:tc>
      </w:tr>
      <w:tr>
        <w:tc>
          <w:tcPr>
            <w:tcW w:type="dxa" w:w="3312"/>
          </w:tcPr>
          <w:p>
            <w:r/>
            <w:r>
              <w:rPr>
                <w:sz w:val="20"/>
              </w:rPr>
              <w:t>Tracer JSONL</w:t>
            </w:r>
          </w:p>
        </w:tc>
        <w:tc>
          <w:tcPr>
            <w:tcW w:type="dxa" w:w="7200"/>
          </w:tcPr>
          <w:p>
            <w:r/>
            <w:r>
              <w:rPr>
                <w:sz w:val="20"/>
              </w:rPr>
              <w:t>/tmp/tox_runs/{run_id}.jsonl</w:t>
            </w:r>
          </w:p>
        </w:tc>
      </w:tr>
      <w:tr>
        <w:tc>
          <w:tcPr>
            <w:tcW w:type="dxa" w:w="3312"/>
          </w:tcPr>
          <w:p>
            <w:r/>
            <w:r>
              <w:rPr>
                <w:sz w:val="20"/>
              </w:rPr>
              <w:t>Evidence ledger JSONL</w:t>
            </w:r>
          </w:p>
        </w:tc>
        <w:tc>
          <w:tcPr>
            <w:tcW w:type="dxa" w:w="7200"/>
          </w:tcPr>
          <w:p>
            <w:r/>
            <w:r>
              <w:rPr>
                <w:sz w:val="20"/>
              </w:rPr>
              <w:t>/tmp/tox_runs/{run_id}.ledger.jsonl</w:t>
            </w:r>
          </w:p>
        </w:tc>
      </w:tr>
      <w:tr>
        <w:tc>
          <w:tcPr>
            <w:tcW w:type="dxa" w:w="3312"/>
          </w:tcPr>
          <w:p>
            <w:r/>
            <w:r>
              <w:rPr>
                <w:sz w:val="20"/>
              </w:rPr>
              <w:t>Final review .docx</w:t>
            </w:r>
          </w:p>
        </w:tc>
        <w:tc>
          <w:tcPr>
            <w:tcW w:type="dxa" w:w="7200"/>
          </w:tcPr>
          <w:p>
            <w:r/>
            <w:r>
              <w:rPr>
                <w:sz w:val="20"/>
              </w:rPr>
              <w:t>build_review(output_path=…) — caller-chosen</w:t>
            </w:r>
          </w:p>
        </w:tc>
      </w:tr>
      <w:tr>
        <w:tc>
          <w:tcPr>
            <w:tcW w:type="dxa" w:w="3312"/>
          </w:tcPr>
          <w:p>
            <w:r/>
            <w:r>
              <w:rPr>
                <w:sz w:val="20"/>
              </w:rPr>
              <w:t>Extracted figures (PNG)</w:t>
            </w:r>
          </w:p>
        </w:tc>
        <w:tc>
          <w:tcPr>
            <w:tcW w:type="dxa" w:w="7200"/>
          </w:tcPr>
          <w:p>
            <w:r/>
            <w:r>
              <w:rPr>
                <w:sz w:val="20"/>
              </w:rPr>
              <w:t>TOX_SCRAPER_FIGURES_DIR/*.png</w:t>
            </w:r>
          </w:p>
        </w:tc>
      </w:tr>
    </w:tbl>
    <w:p>
      <w:pPr>
        <w:spacing w:after="80"/>
      </w:pPr>
    </w:p>
    <w:p>
      <w:r>
        <w:br w:type="page"/>
      </w:r>
    </w:p>
    <w:p>
      <w:pPr>
        <w:spacing w:before="360" w:after="120"/>
      </w:pPr>
      <w:r>
        <w:rPr>
          <w:rFonts w:ascii="Calibri" w:hAnsi="Calibri"/>
          <w:b/>
          <w:color w:val="1F3A5F"/>
          <w:sz w:val="36"/>
        </w:rPr>
        <w:t>19. End-to-End Walkthrough (formaldehyde)</w:t>
      </w:r>
    </w:p>
    <w:p>
      <w:pPr>
        <w:spacing w:after="120"/>
        <w:jc w:val="both"/>
      </w:pPr>
      <w:r>
        <w:rPr>
          <w:b w:val="0"/>
          <w:i w:val="0"/>
          <w:sz w:val="22"/>
        </w:rPr>
        <w:t>A concrete trace of what happens when a user types "/chemical_tox_review formaldehyde" in Claude Desktop with tox-scraper registered: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24"/>
        <w:gridCol w:w="4824"/>
      </w:tblGrid>
      <w:tr>
        <w:tc>
          <w:tcPr>
            <w:tcW w:type="dxa" w:w="1440"/>
            <w:shd w:val="clear" w:fill="1F3A5F"/>
          </w:tcPr>
          <w:p>
            <w:r/>
            <w:r>
              <w:rPr>
                <w:b/>
                <w:color w:val="FFFFFF"/>
                <w:sz w:val="21"/>
              </w:rPr>
              <w:t>Time</w:t>
            </w:r>
          </w:p>
        </w:tc>
        <w:tc>
          <w:tcPr>
            <w:tcW w:type="dxa" w:w="9072"/>
            <w:shd w:val="clear" w:fill="1F3A5F"/>
          </w:tcPr>
          <w:p>
            <w:r/>
            <w:r>
              <w:rPr>
                <w:b/>
                <w:color w:val="FFFFFF"/>
                <w:sz w:val="21"/>
              </w:rPr>
              <w:t>Event</w:t>
            </w:r>
          </w:p>
        </w:tc>
      </w:tr>
      <w:tr>
        <w:tc>
          <w:tcPr>
            <w:tcW w:type="dxa" w:w="1440"/>
          </w:tcPr>
          <w:p>
            <w:r/>
            <w:r>
              <w:rPr>
                <w:sz w:val="20"/>
              </w:rPr>
              <w:t>T+0 ms</w:t>
            </w:r>
          </w:p>
        </w:tc>
        <w:tc>
          <w:tcPr>
            <w:tcW w:type="dxa" w:w="9072"/>
          </w:tcPr>
          <w:p>
            <w:r/>
            <w:r>
              <w:rPr>
                <w:sz w:val="20"/>
              </w:rPr>
              <w:t>Host renders the chemical_tox_review prompt (prompts.py). The rendered body tells Claude to call resolve_chemical → harvest_evidence → build_review → audit_run in sequence.</w:t>
            </w:r>
          </w:p>
        </w:tc>
      </w:tr>
      <w:tr>
        <w:tc>
          <w:tcPr>
            <w:tcW w:type="dxa" w:w="1440"/>
          </w:tcPr>
          <w:p>
            <w:r/>
            <w:r>
              <w:rPr>
                <w:sz w:val="20"/>
              </w:rPr>
              <w:t>T+200 ms</w:t>
            </w:r>
          </w:p>
        </w:tc>
        <w:tc>
          <w:tcPr>
            <w:tcW w:type="dxa" w:w="9072"/>
          </w:tcPr>
          <w:p>
            <w:r/>
            <w:r>
              <w:rPr>
                <w:sz w:val="20"/>
              </w:rPr>
              <w:t>Claude emits tool call resolve_chemical({"query": "formaldehyde"}). dispatch routes to pipeline.resolve.resolve_chemical which calls PubChemResolver.resolve. PubChem returns CID=712, CAS=50-00-0, formula=CH2O, MW=30.03, IUPAC=methanal.</w:t>
            </w:r>
          </w:p>
        </w:tc>
      </w:tr>
      <w:tr>
        <w:tc>
          <w:tcPr>
            <w:tcW w:type="dxa" w:w="1440"/>
          </w:tcPr>
          <w:p>
            <w:r/>
            <w:r>
              <w:rPr>
                <w:sz w:val="20"/>
              </w:rPr>
              <w:t>T+1.2 s</w:t>
            </w:r>
          </w:p>
        </w:tc>
        <w:tc>
          <w:tcPr>
            <w:tcW w:type="dxa" w:w="9072"/>
          </w:tcPr>
          <w:p>
            <w:r/>
            <w:r>
              <w:rPr>
                <w:sz w:val="20"/>
              </w:rPr>
              <w:t>Claude emits harvest_evidence({"chemical": "formaldehyde", "cas": "50-00-0"}). dispatch calls ctx.bind_run("formaldehyde") — a new Tracer at /tmp/tox_runs/run_formaldehyde_20260422T…jsonl and a new EvidenceLedger.</w:t>
            </w:r>
          </w:p>
        </w:tc>
      </w:tr>
      <w:tr>
        <w:tc>
          <w:tcPr>
            <w:tcW w:type="dxa" w:w="1440"/>
          </w:tcPr>
          <w:p>
            <w:r/>
            <w:r>
              <w:rPr>
                <w:sz w:val="20"/>
              </w:rPr>
              <w:t>T+1.3 s</w:t>
            </w:r>
          </w:p>
        </w:tc>
        <w:tc>
          <w:tcPr>
            <w:tcW w:type="dxa" w:w="9072"/>
          </w:tcPr>
          <w:p>
            <w:r/>
            <w:r>
              <w:rPr>
                <w:sz w:val="20"/>
              </w:rPr>
              <w:t>MultiDatabaseHarvester.harvest_all fans out 14 asyncio.Tasks. Semantic Scholar returns 5 candidates; NTP returns 3 PDFs (including NTP-TR-541); ATSDR returns a 300-page ToxProfile; ECHA returns a registration dossier; most others return 2–5 hits.</w:t>
            </w:r>
          </w:p>
        </w:tc>
      </w:tr>
      <w:tr>
        <w:tc>
          <w:tcPr>
            <w:tcW w:type="dxa" w:w="1440"/>
          </w:tcPr>
          <w:p>
            <w:r/>
            <w:r>
              <w:rPr>
                <w:sz w:val="20"/>
              </w:rPr>
              <w:t>T+18 s</w:t>
            </w:r>
          </w:p>
        </w:tc>
        <w:tc>
          <w:tcPr>
            <w:tcW w:type="dxa" w:w="9072"/>
          </w:tcPr>
          <w:p>
            <w:r/>
            <w:r>
              <w:rPr>
                <w:sz w:val="20"/>
              </w:rPr>
              <w:t>All 14 harvesters have finished. Roughly 60 HarvestedDocuments total, with ≈ 40 full-text PDF extractions and ≈ 20 HTML fallbacks. Each enters _route_doc_to_sections; each document's full_text is scanned against the 570 section keywords.</w:t>
            </w:r>
          </w:p>
        </w:tc>
      </w:tr>
      <w:tr>
        <w:tc>
          <w:tcPr>
            <w:tcW w:type="dxa" w:w="1440"/>
          </w:tcPr>
          <w:p>
            <w:r/>
            <w:r>
              <w:rPr>
                <w:sz w:val="20"/>
              </w:rPr>
              <w:t>T+24 s</w:t>
            </w:r>
          </w:p>
        </w:tc>
        <w:tc>
          <w:tcPr>
            <w:tcW w:type="dxa" w:w="9072"/>
          </w:tcPr>
          <w:p>
            <w:r/>
            <w:r>
              <w:rPr>
                <w:sz w:val="20"/>
              </w:rPr>
              <w:t>PubMed + EuropePMC search merges to 15 candidates; PMCHarvester fetches JATS for the 8 PMCID hits. OpenAlex reports 142 matches. Agency profiles for ATSDR / NTP / EPA IRIS / NIOSH / OEHHA / OSHA / ILO complete in parallel.</w:t>
            </w:r>
          </w:p>
        </w:tc>
      </w:tr>
      <w:tr>
        <w:tc>
          <w:tcPr>
            <w:tcW w:type="dxa" w:w="1440"/>
          </w:tcPr>
          <w:p>
            <w:r/>
            <w:r>
              <w:rPr>
                <w:sz w:val="20"/>
              </w:rPr>
              <w:t>T+28 s</w:t>
            </w:r>
          </w:p>
        </w:tc>
        <w:tc>
          <w:tcPr>
            <w:tcW w:type="dxa" w:w="9072"/>
          </w:tcPr>
          <w:p>
            <w:r/>
            <w:r>
              <w:rPr>
                <w:sz w:val="20"/>
              </w:rPr>
              <w:t>harvest_evidence returns. per_database shows 14 non-zero DBs, total_documents = 83, total_records = 612 (across the 29 sections). payload includes run_id, trace_path, ledger_path.</w:t>
            </w:r>
          </w:p>
        </w:tc>
      </w:tr>
      <w:tr>
        <w:tc>
          <w:tcPr>
            <w:tcW w:type="dxa" w:w="1440"/>
          </w:tcPr>
          <w:p>
            <w:r/>
            <w:r>
              <w:rPr>
                <w:sz w:val="20"/>
              </w:rPr>
              <w:t>T+28.5 s</w:t>
            </w:r>
          </w:p>
        </w:tc>
        <w:tc>
          <w:tcPr>
            <w:tcW w:type="dxa" w:w="9072"/>
          </w:tcPr>
          <w:p>
            <w:r/>
            <w:r>
              <w:rPr>
                <w:sz w:val="20"/>
              </w:rPr>
              <w:t>Claude emits build_review({"chemical": "formaldehyde", "output_path": "/…/Formaldehyde_LitReview.docx"}). dispatch re-resolves identity (cached), re-runs harvest_evidence (no — it reuses the bound run's HarvestResult), and calls pipeline.review.build_review.</w:t>
            </w:r>
          </w:p>
        </w:tc>
      </w:tr>
      <w:tr>
        <w:tc>
          <w:tcPr>
            <w:tcW w:type="dxa" w:w="1440"/>
          </w:tcPr>
          <w:p>
            <w:r/>
            <w:r>
              <w:rPr>
                <w:sz w:val="20"/>
              </w:rPr>
              <w:t>T+33 s</w:t>
            </w:r>
          </w:p>
        </w:tc>
        <w:tc>
          <w:tcPr>
            <w:tcW w:type="dxa" w:w="9072"/>
          </w:tcPr>
          <w:p>
            <w:r/>
            <w:r>
              <w:rPr>
                <w:sz w:val="20"/>
              </w:rPr>
              <w:t>ReportGenerator assembles the 4 prelude sections + 9 chapters (29 sections in total), References, Appendix A, Appendix B. python-docx writes the file. Typical size: 1.8 MB, ≈ 180 pages.</w:t>
            </w:r>
          </w:p>
        </w:tc>
      </w:tr>
      <w:tr>
        <w:tc>
          <w:tcPr>
            <w:tcW w:type="dxa" w:w="1440"/>
          </w:tcPr>
          <w:p>
            <w:r/>
            <w:r>
              <w:rPr>
                <w:sz w:val="20"/>
              </w:rPr>
              <w:t>T+33.5 s</w:t>
            </w:r>
          </w:p>
        </w:tc>
        <w:tc>
          <w:tcPr>
            <w:tcW w:type="dxa" w:w="9072"/>
          </w:tcPr>
          <w:p>
            <w:r/>
            <w:r>
              <w:rPr>
                <w:sz w:val="20"/>
              </w:rPr>
              <w:t>Host suggests audit_run. Claude emits audit_run({"run_id": "run_...", "docx_path": "/…/Formaldehyde_LitReview.docx", "ledger_path": "/tmp/tox_runs/run_....ledger.jsonl"}).</w:t>
            </w:r>
          </w:p>
        </w:tc>
      </w:tr>
      <w:tr>
        <w:tc>
          <w:tcPr>
            <w:tcW w:type="dxa" w:w="1440"/>
          </w:tcPr>
          <w:p>
            <w:r/>
            <w:r>
              <w:rPr>
                <w:sz w:val="20"/>
              </w:rPr>
              <w:t>T+34 s</w:t>
            </w:r>
          </w:p>
        </w:tc>
        <w:tc>
          <w:tcPr>
            <w:tcW w:type="dxa" w:w="9072"/>
          </w:tcPr>
          <w:p>
            <w:r/>
            <w:r>
              <w:rPr>
                <w:sz w:val="20"/>
              </w:rPr>
              <w:t>pipeline.audit.audit_run unzips the docx, builds the ledger corpus, checks each body paragraph for substring presence. Typical audit time: &lt;1 s. Status: ok or warn (warnings if any of the 29 sections got zero evidence).</w:t>
            </w:r>
          </w:p>
        </w:tc>
      </w:tr>
    </w:tbl>
    <w:p>
      <w:pPr>
        <w:spacing w:after="80"/>
      </w:pPr>
    </w:p>
    <w:p>
      <w:r>
        <w:br w:type="page"/>
      </w:r>
    </w:p>
    <w:p>
      <w:pPr>
        <w:spacing w:before="360" w:after="120"/>
      </w:pPr>
      <w:r>
        <w:rPr>
          <w:rFonts w:ascii="Calibri" w:hAnsi="Calibri"/>
          <w:b/>
          <w:color w:val="1F3A5F"/>
          <w:sz w:val="36"/>
        </w:rPr>
        <w:t>20. Glossary of Core Types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2736"/>
            <w:shd w:val="clear" w:fill="1F3A5F"/>
          </w:tcPr>
          <w:p>
            <w:r/>
            <w:r>
              <w:rPr>
                <w:b/>
                <w:color w:val="FFFFFF"/>
                <w:sz w:val="21"/>
              </w:rPr>
              <w:t>Type</w:t>
            </w:r>
          </w:p>
        </w:tc>
        <w:tc>
          <w:tcPr>
            <w:tcW w:type="dxa" w:w="2160"/>
            <w:shd w:val="clear" w:fill="1F3A5F"/>
          </w:tcPr>
          <w:p>
            <w:r/>
            <w:r>
              <w:rPr>
                <w:b/>
                <w:color w:val="FFFFFF"/>
                <w:sz w:val="21"/>
              </w:rPr>
              <w:t>Defined in</w:t>
            </w:r>
          </w:p>
        </w:tc>
        <w:tc>
          <w:tcPr>
            <w:tcW w:type="dxa" w:w="5760"/>
            <w:shd w:val="clear" w:fill="1F3A5F"/>
          </w:tcPr>
          <w:p>
            <w:r/>
            <w:r>
              <w:rPr>
                <w:b/>
                <w:color w:val="FFFFFF"/>
                <w:sz w:val="21"/>
              </w:rPr>
              <w:t>Role</w:t>
            </w:r>
          </w:p>
        </w:tc>
      </w:tr>
      <w:tr>
        <w:tc>
          <w:tcPr>
            <w:tcW w:type="dxa" w:w="2736"/>
          </w:tcPr>
          <w:p>
            <w:r/>
            <w:r>
              <w:rPr>
                <w:sz w:val="20"/>
              </w:rPr>
              <w:t>ScraperConfig</w:t>
            </w:r>
          </w:p>
        </w:tc>
        <w:tc>
          <w:tcPr>
            <w:tcW w:type="dxa" w:w="2160"/>
          </w:tcPr>
          <w:p>
            <w:r/>
            <w:r>
              <w:rPr>
                <w:sz w:val="20"/>
              </w:rPr>
              <w:t>config/settings.py</w:t>
            </w:r>
          </w:p>
        </w:tc>
        <w:tc>
          <w:tcPr>
            <w:tcW w:type="dxa" w:w="5760"/>
          </w:tcPr>
          <w:p>
            <w:r/>
            <w:r>
              <w:rPr>
                <w:sz w:val="20"/>
              </w:rPr>
              <w:t>Singleton runtime config: timeout, concurrency, content caps, user-agent.</w:t>
            </w:r>
          </w:p>
        </w:tc>
      </w:tr>
      <w:tr>
        <w:tc>
          <w:tcPr>
            <w:tcW w:type="dxa" w:w="2736"/>
          </w:tcPr>
          <w:p>
            <w:r/>
            <w:r>
              <w:rPr>
                <w:sz w:val="20"/>
              </w:rPr>
              <w:t>ChemicalIdentity</w:t>
            </w:r>
          </w:p>
        </w:tc>
        <w:tc>
          <w:tcPr>
            <w:tcW w:type="dxa" w:w="2160"/>
          </w:tcPr>
          <w:p>
            <w:r/>
            <w:r>
              <w:rPr>
                <w:sz w:val="20"/>
              </w:rPr>
              <w:t>sources/_models.py</w:t>
            </w:r>
          </w:p>
        </w:tc>
        <w:tc>
          <w:tcPr>
            <w:tcW w:type="dxa" w:w="5760"/>
          </w:tcPr>
          <w:p>
            <w:r/>
            <w:r>
              <w:rPr>
                <w:sz w:val="20"/>
              </w:rPr>
              <w:t>PubChem-resolved identity: CID, CAS, IUPAC, SMILES, InChI, formula, MW, synonyms.</w:t>
            </w:r>
          </w:p>
        </w:tc>
      </w:tr>
      <w:tr>
        <w:tc>
          <w:tcPr>
            <w:tcW w:type="dxa" w:w="2736"/>
          </w:tcPr>
          <w:p>
            <w:r/>
            <w:r>
              <w:rPr>
                <w:sz w:val="20"/>
              </w:rPr>
              <w:t>PaperCandidate</w:t>
            </w:r>
          </w:p>
        </w:tc>
        <w:tc>
          <w:tcPr>
            <w:tcW w:type="dxa" w:w="2160"/>
          </w:tcPr>
          <w:p>
            <w:r/>
            <w:r>
              <w:rPr>
                <w:sz w:val="20"/>
              </w:rPr>
              <w:t>sources/_models.py</w:t>
            </w:r>
          </w:p>
        </w:tc>
        <w:tc>
          <w:tcPr>
            <w:tcW w:type="dxa" w:w="5760"/>
          </w:tcPr>
          <w:p>
            <w:r/>
            <w:r>
              <w:rPr>
                <w:sz w:val="20"/>
              </w:rPr>
              <w:t>Lightweight bibliographic record from PubMed/EuropePMC. Carries priority_score().</w:t>
            </w:r>
          </w:p>
        </w:tc>
      </w:tr>
      <w:tr>
        <w:tc>
          <w:tcPr>
            <w:tcW w:type="dxa" w:w="2736"/>
          </w:tcPr>
          <w:p>
            <w:r/>
            <w:r>
              <w:rPr>
                <w:sz w:val="20"/>
              </w:rPr>
              <w:t>PaperRef</w:t>
            </w:r>
          </w:p>
        </w:tc>
        <w:tc>
          <w:tcPr>
            <w:tcW w:type="dxa" w:w="2160"/>
          </w:tcPr>
          <w:p>
            <w:r/>
            <w:r>
              <w:rPr>
                <w:sz w:val="20"/>
              </w:rPr>
              <w:t>sources/_base.py</w:t>
            </w:r>
          </w:p>
        </w:tc>
        <w:tc>
          <w:tcPr>
            <w:tcW w:type="dxa" w:w="5760"/>
          </w:tcPr>
          <w:p>
            <w:r/>
            <w:r>
              <w:rPr>
                <w:sz w:val="20"/>
              </w:rPr>
              <w:t>Per-database bibliographic record. Used by every BaseDatabaseSource.search.</w:t>
            </w:r>
          </w:p>
        </w:tc>
      </w:tr>
      <w:tr>
        <w:tc>
          <w:tcPr>
            <w:tcW w:type="dxa" w:w="2736"/>
          </w:tcPr>
          <w:p>
            <w:r/>
            <w:r>
              <w:rPr>
                <w:sz w:val="20"/>
              </w:rPr>
              <w:t>HarvestedDocument</w:t>
            </w:r>
          </w:p>
        </w:tc>
        <w:tc>
          <w:tcPr>
            <w:tcW w:type="dxa" w:w="2160"/>
          </w:tcPr>
          <w:p>
            <w:r/>
            <w:r>
              <w:rPr>
                <w:sz w:val="20"/>
              </w:rPr>
              <w:t>sources/_base.py</w:t>
            </w:r>
          </w:p>
        </w:tc>
        <w:tc>
          <w:tcPr>
            <w:tcW w:type="dxa" w:w="5760"/>
          </w:tcPr>
          <w:p>
            <w:r/>
            <w:r>
              <w:rPr>
                <w:sz w:val="20"/>
              </w:rPr>
              <w:t>Unit of harvest output: source, ref, pdf bytes len, page count, full_text, tables, figures, errors.</w:t>
            </w:r>
          </w:p>
        </w:tc>
      </w:tr>
      <w:tr>
        <w:tc>
          <w:tcPr>
            <w:tcW w:type="dxa" w:w="2736"/>
          </w:tcPr>
          <w:p>
            <w:r/>
            <w:r>
              <w:rPr>
                <w:sz w:val="20"/>
              </w:rPr>
              <w:t>BaseDatabaseSource</w:t>
            </w:r>
          </w:p>
        </w:tc>
        <w:tc>
          <w:tcPr>
            <w:tcW w:type="dxa" w:w="2160"/>
          </w:tcPr>
          <w:p>
            <w:r/>
            <w:r>
              <w:rPr>
                <w:sz w:val="20"/>
              </w:rPr>
              <w:t>sources/_base.py</w:t>
            </w:r>
          </w:p>
        </w:tc>
        <w:tc>
          <w:tcPr>
            <w:tcW w:type="dxa" w:w="5760"/>
          </w:tcPr>
          <w:p>
            <w:r/>
            <w:r>
              <w:rPr>
                <w:sz w:val="20"/>
              </w:rPr>
              <w:t>Abstract contract for a per-DB harvester. 14 concrete subclasses.</w:t>
            </w:r>
          </w:p>
        </w:tc>
      </w:tr>
      <w:tr>
        <w:tc>
          <w:tcPr>
            <w:tcW w:type="dxa" w:w="2736"/>
          </w:tcPr>
          <w:p>
            <w:r/>
            <w:r>
              <w:rPr>
                <w:sz w:val="20"/>
              </w:rPr>
              <w:t>MultiDatabaseHarvester</w:t>
            </w:r>
          </w:p>
        </w:tc>
        <w:tc>
          <w:tcPr>
            <w:tcW w:type="dxa" w:w="2160"/>
          </w:tcPr>
          <w:p>
            <w:r/>
            <w:r>
              <w:rPr>
                <w:sz w:val="20"/>
              </w:rPr>
              <w:t>sources/harvester.py</w:t>
            </w:r>
          </w:p>
        </w:tc>
        <w:tc>
          <w:tcPr>
            <w:tcW w:type="dxa" w:w="5760"/>
          </w:tcPr>
          <w:p>
            <w:r/>
            <w:r>
              <w:rPr>
                <w:sz w:val="20"/>
              </w:rPr>
              <w:t>Fans out REGISTRY in parallel, reports per-DB success/failure.</w:t>
            </w:r>
          </w:p>
        </w:tc>
      </w:tr>
      <w:tr>
        <w:tc>
          <w:tcPr>
            <w:tcW w:type="dxa" w:w="2736"/>
          </w:tcPr>
          <w:p>
            <w:r/>
            <w:r>
              <w:rPr>
                <w:sz w:val="20"/>
              </w:rPr>
              <w:t>SectionEvidence</w:t>
            </w:r>
          </w:p>
        </w:tc>
        <w:tc>
          <w:tcPr>
            <w:tcW w:type="dxa" w:w="2160"/>
          </w:tcPr>
          <w:p>
            <w:r/>
            <w:r>
              <w:rPr>
                <w:sz w:val="20"/>
              </w:rPr>
              <w:t>pipeline/harvest.py</w:t>
            </w:r>
          </w:p>
        </w:tc>
        <w:tc>
          <w:tcPr>
            <w:tcW w:type="dxa" w:w="5760"/>
          </w:tcPr>
          <w:p>
            <w:r/>
            <w:r>
              <w:rPr>
                <w:sz w:val="20"/>
              </w:rPr>
              <w:t>One of the 29 per-section buckets populated during harvest.</w:t>
            </w:r>
          </w:p>
        </w:tc>
      </w:tr>
      <w:tr>
        <w:tc>
          <w:tcPr>
            <w:tcW w:type="dxa" w:w="2736"/>
          </w:tcPr>
          <w:p>
            <w:r/>
            <w:r>
              <w:rPr>
                <w:sz w:val="20"/>
              </w:rPr>
              <w:t>HarvestResult</w:t>
            </w:r>
          </w:p>
        </w:tc>
        <w:tc>
          <w:tcPr>
            <w:tcW w:type="dxa" w:w="2160"/>
          </w:tcPr>
          <w:p>
            <w:r/>
            <w:r>
              <w:rPr>
                <w:sz w:val="20"/>
              </w:rPr>
              <w:t>pipeline/harvest.py</w:t>
            </w:r>
          </w:p>
        </w:tc>
        <w:tc>
          <w:tcPr>
            <w:tcW w:type="dxa" w:w="5760"/>
          </w:tcPr>
          <w:p>
            <w:r/>
            <w:r>
              <w:rPr>
                <w:sz w:val="20"/>
              </w:rPr>
              <w:t>Aggregate: per_database counts, per_database_errors, per_section buckets, agency_profiles.</w:t>
            </w:r>
          </w:p>
        </w:tc>
      </w:tr>
      <w:tr>
        <w:tc>
          <w:tcPr>
            <w:tcW w:type="dxa" w:w="2736"/>
          </w:tcPr>
          <w:p>
            <w:r/>
            <w:r>
              <w:rPr>
                <w:sz w:val="20"/>
              </w:rPr>
              <w:t>EvidenceRecord</w:t>
            </w:r>
          </w:p>
        </w:tc>
        <w:tc>
          <w:tcPr>
            <w:tcW w:type="dxa" w:w="2160"/>
          </w:tcPr>
          <w:p>
            <w:r/>
            <w:r>
              <w:rPr>
                <w:sz w:val="20"/>
              </w:rPr>
              <w:t>core/provenance.py</w:t>
            </w:r>
          </w:p>
        </w:tc>
        <w:tc>
          <w:tcPr>
            <w:tcW w:type="dxa" w:w="5760"/>
          </w:tcPr>
          <w:p>
            <w:r/>
            <w:r>
              <w:rPr>
                <w:sz w:val="20"/>
              </w:rPr>
              <w:t>One ledger row: evidence_id, source, url, excerpt, matched_keywords, confidence, section.</w:t>
            </w:r>
          </w:p>
        </w:tc>
      </w:tr>
      <w:tr>
        <w:tc>
          <w:tcPr>
            <w:tcW w:type="dxa" w:w="2736"/>
          </w:tcPr>
          <w:p>
            <w:r/>
            <w:r>
              <w:rPr>
                <w:sz w:val="20"/>
              </w:rPr>
              <w:t>EvidenceLedger</w:t>
            </w:r>
          </w:p>
        </w:tc>
        <w:tc>
          <w:tcPr>
            <w:tcW w:type="dxa" w:w="2160"/>
          </w:tcPr>
          <w:p>
            <w:r/>
            <w:r>
              <w:rPr>
                <w:sz w:val="20"/>
              </w:rPr>
              <w:t>core/provenance.py</w:t>
            </w:r>
          </w:p>
        </w:tc>
        <w:tc>
          <w:tcPr>
            <w:tcW w:type="dxa" w:w="5760"/>
          </w:tcPr>
          <w:p>
            <w:r/>
            <w:r>
              <w:rPr>
                <w:sz w:val="20"/>
              </w:rPr>
              <w:t>Append-only JSONL ledger with by_source / by_keyword / by_section query helpers.</w:t>
            </w:r>
          </w:p>
        </w:tc>
      </w:tr>
      <w:tr>
        <w:tc>
          <w:tcPr>
            <w:tcW w:type="dxa" w:w="2736"/>
          </w:tcPr>
          <w:p>
            <w:r/>
            <w:r>
              <w:rPr>
                <w:sz w:val="20"/>
              </w:rPr>
              <w:t>Tracer</w:t>
            </w:r>
          </w:p>
        </w:tc>
        <w:tc>
          <w:tcPr>
            <w:tcW w:type="dxa" w:w="2160"/>
          </w:tcPr>
          <w:p>
            <w:r/>
            <w:r>
              <w:rPr>
                <w:sz w:val="20"/>
              </w:rPr>
              <w:t>core/tracing.py</w:t>
            </w:r>
          </w:p>
        </w:tc>
        <w:tc>
          <w:tcPr>
            <w:tcW w:type="dxa" w:w="5760"/>
          </w:tcPr>
          <w:p>
            <w:r/>
            <w:r>
              <w:rPr>
                <w:sz w:val="20"/>
              </w:rPr>
              <w:t>Append-only JSONL event log with step() context manager and summary().</w:t>
            </w:r>
          </w:p>
        </w:tc>
      </w:tr>
      <w:tr>
        <w:tc>
          <w:tcPr>
            <w:tcW w:type="dxa" w:w="2736"/>
          </w:tcPr>
          <w:p>
            <w:r/>
            <w:r>
              <w:rPr>
                <w:sz w:val="20"/>
              </w:rPr>
              <w:t>ReportSection</w:t>
            </w:r>
          </w:p>
        </w:tc>
        <w:tc>
          <w:tcPr>
            <w:tcW w:type="dxa" w:w="2160"/>
          </w:tcPr>
          <w:p>
            <w:r/>
            <w:r>
              <w:rPr>
                <w:sz w:val="20"/>
              </w:rPr>
              <w:t>pipeline/report.py</w:t>
            </w:r>
          </w:p>
        </w:tc>
        <w:tc>
          <w:tcPr>
            <w:tcW w:type="dxa" w:w="5760"/>
          </w:tcPr>
          <w:p>
            <w:r/>
            <w:r>
              <w:rPr>
                <w:sz w:val="20"/>
              </w:rPr>
              <w:t>Recursive tree node used by the composer (title, level, paragraphs, subsections, figures, tables).</w:t>
            </w:r>
          </w:p>
        </w:tc>
      </w:tr>
      <w:tr>
        <w:tc>
          <w:tcPr>
            <w:tcW w:type="dxa" w:w="2736"/>
          </w:tcPr>
          <w:p>
            <w:r/>
            <w:r>
              <w:rPr>
                <w:sz w:val="20"/>
              </w:rPr>
              <w:t>ReportReference</w:t>
            </w:r>
          </w:p>
        </w:tc>
        <w:tc>
          <w:tcPr>
            <w:tcW w:type="dxa" w:w="2160"/>
          </w:tcPr>
          <w:p>
            <w:r/>
            <w:r>
              <w:rPr>
                <w:sz w:val="20"/>
              </w:rPr>
              <w:t>pipeline/report.py</w:t>
            </w:r>
          </w:p>
        </w:tc>
        <w:tc>
          <w:tcPr>
            <w:tcW w:type="dxa" w:w="5760"/>
          </w:tcPr>
          <w:p>
            <w:r/>
            <w:r>
              <w:rPr>
                <w:sz w:val="20"/>
              </w:rPr>
              <w:t>Deduplicated reference: number, authors, year, title, doi, pmid, pmcid, url, database.</w:t>
            </w:r>
          </w:p>
        </w:tc>
      </w:tr>
      <w:tr>
        <w:tc>
          <w:tcPr>
            <w:tcW w:type="dxa" w:w="2736"/>
          </w:tcPr>
          <w:p>
            <w:r/>
            <w:r>
              <w:rPr>
                <w:sz w:val="20"/>
              </w:rPr>
              <w:t>ReviewResult</w:t>
            </w:r>
          </w:p>
        </w:tc>
        <w:tc>
          <w:tcPr>
            <w:tcW w:type="dxa" w:w="2160"/>
          </w:tcPr>
          <w:p>
            <w:r/>
            <w:r>
              <w:rPr>
                <w:sz w:val="20"/>
              </w:rPr>
              <w:t>pipeline/review.py</w:t>
            </w:r>
          </w:p>
        </w:tc>
        <w:tc>
          <w:tcPr>
            <w:tcW w:type="dxa" w:w="5760"/>
          </w:tcPr>
          <w:p>
            <w:r/>
            <w:r>
              <w:rPr>
                <w:sz w:val="20"/>
              </w:rPr>
              <w:t>Return value of build_review: output_path, section_count, records_rendered, references_count, sections_empty.</w:t>
            </w:r>
          </w:p>
        </w:tc>
      </w:tr>
      <w:tr>
        <w:tc>
          <w:tcPr>
            <w:tcW w:type="dxa" w:w="2736"/>
          </w:tcPr>
          <w:p>
            <w:r/>
            <w:r>
              <w:rPr>
                <w:sz w:val="20"/>
              </w:rPr>
              <w:t>AuditReport</w:t>
            </w:r>
          </w:p>
        </w:tc>
        <w:tc>
          <w:tcPr>
            <w:tcW w:type="dxa" w:w="2160"/>
          </w:tcPr>
          <w:p>
            <w:r/>
            <w:r>
              <w:rPr>
                <w:sz w:val="20"/>
              </w:rPr>
              <w:t>pipeline/audit.py</w:t>
            </w:r>
          </w:p>
        </w:tc>
        <w:tc>
          <w:tcPr>
            <w:tcW w:type="dxa" w:w="5760"/>
          </w:tcPr>
          <w:p>
            <w:r/>
            <w:r>
              <w:rPr>
                <w:sz w:val="20"/>
              </w:rPr>
              <w:t>Return value of audit_run: status, sections_empty, orphan_paragraphs, urls_broken, trace_summary.</w:t>
            </w:r>
          </w:p>
        </w:tc>
      </w:tr>
      <w:tr>
        <w:tc>
          <w:tcPr>
            <w:tcW w:type="dxa" w:w="2736"/>
          </w:tcPr>
          <w:p>
            <w:r/>
            <w:r>
              <w:rPr>
                <w:sz w:val="20"/>
              </w:rPr>
              <w:t>ToolContext</w:t>
            </w:r>
          </w:p>
        </w:tc>
        <w:tc>
          <w:tcPr>
            <w:tcW w:type="dxa" w:w="2160"/>
          </w:tcPr>
          <w:p>
            <w:r/>
            <w:r>
              <w:rPr>
                <w:sz w:val="20"/>
              </w:rPr>
              <w:t>tools/context.py</w:t>
            </w:r>
          </w:p>
        </w:tc>
        <w:tc>
          <w:tcPr>
            <w:tcW w:type="dxa" w:w="5760"/>
          </w:tcPr>
          <w:p>
            <w:r/>
            <w:r>
              <w:rPr>
                <w:sz w:val="20"/>
              </w:rPr>
              <w:t>DI object holding 15 shared clients. Built once per process; tracer+ledger bound per run.</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