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Tox-Scraper MCP — System Design Blueprint v2</w:t>
      </w:r>
    </w:p>
    <w:p>
      <w:pPr>
        <w:jc w:val="center"/>
      </w:pPr>
      <w:r>
        <w:rPr>
          <w:i/>
          <w:color w:val="555555"/>
          <w:sz w:val="22"/>
        </w:rPr>
        <w:t>Two hosts · Six-layer verification · Evaluation framework · April 2026</w:t>
      </w:r>
    </w:p>
    <w:p/>
    <w:p>
      <w:pPr>
        <w:spacing w:before="160" w:after="120"/>
      </w:pPr>
      <w:r>
        <w:rPr>
          <w:b/>
          <w:color w:val="1F3A5F"/>
          <w:sz w:val="36"/>
        </w:rPr>
        <w:t>1. Purpose</w:t>
      </w:r>
    </w:p>
    <w:p>
      <w:pPr>
        <w:spacing w:after="120"/>
        <w:jc w:val="both"/>
      </w:pPr>
      <w:r>
        <w:t>Version 1 answered a narrow question — who stands in front of the MCP server. This version answers the harder question: how do we know the report is right, and how do we measure that over time. v2 keeps the two deployment cases from v1 and adds two new pillars: a six-layer verification loop that cross-checks every paragraph in the report against a JSON ledger of extracted data, and an evaluation framework that grades each run with automated metrics, an LLM-as-judge pass, and a human rubric. The shared Python server is unchanged.</w:t>
      </w:r>
    </w:p>
    <w:p>
      <w:pPr>
        <w:spacing w:before="160" w:after="120"/>
      </w:pPr>
      <w:r>
        <w:rPr>
          <w:b/>
          <w:color w:val="1F3A5F"/>
          <w:sz w:val="36"/>
        </w:rPr>
        <w:t>2. The Shared Core</w:t>
      </w:r>
    </w:p>
    <w:p>
      <w:pPr>
        <w:spacing w:after="120"/>
        <w:jc w:val="both"/>
      </w:pPr>
      <w:r>
        <w:t>Four MCP tools. Fourteen database harvesters. Twenty-nine review sections. Five hundred and seventy routing keywords. Every run persists three artifacts to disk: evidence.jsonl (the extracted-data JSON the user asked about), trace.jsonl (step-by-step observability), and report.docx (the deliverable). v2 introduces a fourth artifact — paragraph_citations.jsonl — that maps each paragraph in the report back to the exact ledger records it cited, with span hashes. This is the new linkage layer that makes real cross-verification possible.</w:t>
      </w:r>
    </w:p>
    <w:p>
      <w:r>
        <w:br w:type="page"/>
      </w:r>
    </w:p>
    <w:p>
      <w:pPr>
        <w:spacing w:before="160" w:after="120"/>
      </w:pPr>
      <w:r>
        <w:rPr>
          <w:b/>
          <w:color w:val="1F3A5F"/>
          <w:sz w:val="36"/>
        </w:rPr>
        <w:t>3. Case 1 — Claude as Host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4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lueprint_cas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4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t>Conversational front door. Claude picks tools, handles dialogue, explains results. Adaptive but non-deterministic in the orchestration layer. Best for interactive analyst workflows and exploration.</w:t>
      </w:r>
    </w:p>
    <w:p>
      <w:r>
        <w:br w:type="page"/>
      </w:r>
    </w:p>
    <w:p>
      <w:pPr>
        <w:spacing w:before="160" w:after="120"/>
      </w:pPr>
      <w:r>
        <w:rPr>
          <w:b/>
          <w:color w:val="1F3A5F"/>
          <w:sz w:val="36"/>
        </w:rPr>
        <w:t>4. Case 2 — Node.js Backend as Host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49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lueprint_cas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4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t>Headless front door. A Node.js service spawns the same Python MCP server and runs a fixed four-tool DAG per request. No LLM, no tokens, no adaptive behaviour. Best for production batch jobs, landing pages, and compliance-sensitive rollouts.</w:t>
      </w:r>
    </w:p>
    <w:p>
      <w:r>
        <w:br w:type="page"/>
      </w:r>
    </w:p>
    <w:p>
      <w:pPr>
        <w:spacing w:before="160" w:after="120"/>
      </w:pPr>
      <w:r>
        <w:rPr>
          <w:b/>
          <w:color w:val="1F3A5F"/>
          <w:sz w:val="36"/>
        </w:rPr>
        <w:t>5. Observability &amp; Cross-Verification (NEW)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93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lueprint_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9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t>Today audit_run does one check — substring match between report paragraphs and the ledger. That catches gross hallucination but misses subtler failures: a citation that points to the wrong record, a claim backed by exactly one paper, a source URL that quietly rotted, or a paragraph whose keyword was technically present but negated in context. v2 hardens the loop into six explicit layers, all running against the JSON-serialised ledger.</w:t>
      </w:r>
    </w:p>
    <w:p>
      <w:pPr>
        <w:spacing w:before="200" w:after="80"/>
      </w:pPr>
      <w:r>
        <w:rPr>
          <w:b/>
          <w:color w:val="1F3A5F"/>
          <w:sz w:val="28"/>
        </w:rPr>
        <w:t>The Artifacts (v2 adds paragraph_citations.jsonl)</w:t>
      </w:r>
    </w:p>
    <w:p>
      <w:pPr>
        <w:pStyle w:val="ListBullet"/>
        <w:spacing w:after="40"/>
      </w:pPr>
      <w:r>
        <w:t>evidence.jsonl — one JSON line per extracted record (title, url, excerpt, keywords, section, confidence, source, hashes)</w:t>
      </w:r>
    </w:p>
    <w:p>
      <w:pPr>
        <w:pStyle w:val="ListBullet"/>
        <w:spacing w:after="40"/>
      </w:pPr>
      <w:r>
        <w:t>paragraph_citations.jsonl (NEW) — one line per report paragraph: {para_id, section, text, cited_record_ids, span_hash, page_number}</w:t>
      </w:r>
    </w:p>
    <w:p>
      <w:pPr>
        <w:pStyle w:val="ListBullet"/>
        <w:spacing w:after="40"/>
      </w:pPr>
      <w:r>
        <w:t>trace.jsonl — step-by-step observability JSONL (already shipped)</w:t>
      </w:r>
    </w:p>
    <w:p>
      <w:pPr>
        <w:pStyle w:val="ListBullet"/>
        <w:spacing w:after="40"/>
      </w:pPr>
      <w:r>
        <w:t>report.docx — the deliverable (already shipped)</w:t>
      </w:r>
    </w:p>
    <w:p>
      <w:pPr>
        <w:spacing w:before="200" w:after="80"/>
      </w:pPr>
      <w:r>
        <w:rPr>
          <w:b/>
          <w:color w:val="1F3A5F"/>
          <w:sz w:val="28"/>
        </w:rPr>
        <w:t>The Six Verification Layers</w:t>
      </w:r>
    </w:p>
    <w:p>
      <w:pPr>
        <w:spacing w:before="120" w:after="40"/>
      </w:pPr>
      <w:r>
        <w:rPr>
          <w:b/>
          <w:color w:val="E65100"/>
          <w:sz w:val="24"/>
        </w:rPr>
        <w:t>Layer A — Structural</w:t>
      </w:r>
    </w:p>
    <w:p>
      <w:pPr>
        <w:spacing w:after="120"/>
        <w:jc w:val="both"/>
      </w:pPr>
      <w:r>
        <w:t>Every record in evidence.jsonl is validated against the EvidenceRecord dataclass schema. Missing or mistyped fields fail at write time — nothing bad reaches disk.</w:t>
      </w:r>
    </w:p>
    <w:p>
      <w:pPr>
        <w:spacing w:before="120" w:after="40"/>
      </w:pPr>
      <w:r>
        <w:rPr>
          <w:b/>
          <w:color w:val="E65100"/>
          <w:sz w:val="24"/>
        </w:rPr>
        <w:t>Layer B — Anchor</w:t>
      </w:r>
    </w:p>
    <w:p>
      <w:pPr>
        <w:spacing w:after="120"/>
        <w:jc w:val="both"/>
      </w:pPr>
      <w:r>
        <w:t>A record exists only if a section keyword regex-matched inside the source text. The keywords_matched field names which keywords hit. Trivially auditable.</w:t>
      </w:r>
    </w:p>
    <w:p>
      <w:pPr>
        <w:spacing w:before="120" w:after="40"/>
      </w:pPr>
      <w:r>
        <w:rPr>
          <w:b/>
          <w:color w:val="E65100"/>
          <w:sz w:val="24"/>
        </w:rPr>
        <w:t>Layer C — Substring (already shipped)</w:t>
      </w:r>
    </w:p>
    <w:p>
      <w:pPr>
        <w:spacing w:after="120"/>
        <w:jc w:val="both"/>
      </w:pPr>
      <w:r>
        <w:t>Every report paragraph must appear as a substring in the ledger corpus. Orphans get flagged. This is the current audit_run behaviour, preserved.</w:t>
      </w:r>
    </w:p>
    <w:p>
      <w:pPr>
        <w:spacing w:before="120" w:after="40"/>
      </w:pPr>
      <w:r>
        <w:rPr>
          <w:b/>
          <w:color w:val="E65100"/>
          <w:sz w:val="24"/>
        </w:rPr>
        <w:t>Layer D — Citation Integrity (NEW)</w:t>
      </w:r>
    </w:p>
    <w:p>
      <w:pPr>
        <w:spacing w:after="120"/>
        <w:jc w:val="both"/>
      </w:pPr>
      <w:r>
        <w:t>Each paragraph ends with [n] citations. paragraph_citations.jsonl records which ledger record IDs those [n] values refer to. The verifier checks that record n's excerpt actually overlaps the paragraph text — not just any record somewhere in the ledger. Catches mis-numbered references that Layer C silently lets through.</w:t>
      </w:r>
    </w:p>
    <w:p>
      <w:pPr>
        <w:spacing w:before="120" w:after="40"/>
      </w:pPr>
      <w:r>
        <w:rPr>
          <w:b/>
          <w:color w:val="E65100"/>
          <w:sz w:val="24"/>
        </w:rPr>
        <w:t>Layer E — URL Liveness + Content Hash (NEW)</w:t>
      </w:r>
    </w:p>
    <w:p>
      <w:pPr>
        <w:spacing w:after="120"/>
        <w:jc w:val="both"/>
      </w:pPr>
      <w:r>
        <w:t>At harvest time we store a SHA-256 of the fetched excerpt text. audit_run probes each unique URL (with a semaphore of 6) and — for a sampled subset — re-fetches and re-hashes to detect silent content drift. Broken or rotted sources surface as warnings with their HTTP status or hash mismatch.</w:t>
      </w:r>
    </w:p>
    <w:p>
      <w:pPr>
        <w:spacing w:before="120" w:after="40"/>
      </w:pPr>
      <w:r>
        <w:rPr>
          <w:b/>
          <w:color w:val="E65100"/>
          <w:sz w:val="24"/>
        </w:rPr>
        <w:t>Layer F — Corroboration (NEW)</w:t>
      </w:r>
    </w:p>
    <w:p>
      <w:pPr>
        <w:spacing w:after="120"/>
        <w:jc w:val="both"/>
      </w:pPr>
      <w:r>
        <w:t>A claim backed by a single source is weaker than one backed by three independent sources. For each paragraph we count the number of distinct source databases in its cited records. If a high-stakes section (e.g. carcinogenicity) has paragraphs backed by only one source, the audit emits a warn — not a fail — so reviewers know where to look.</w:t>
      </w:r>
    </w:p>
    <w:p>
      <w:pPr>
        <w:spacing w:before="200" w:after="80"/>
      </w:pPr>
      <w:r>
        <w:rPr>
          <w:b/>
          <w:color w:val="1F3A5F"/>
          <w:sz w:val="28"/>
        </w:rPr>
        <w:t>Sample paragraph_citations.jsonl</w:t>
      </w:r>
    </w:p>
    <w:p>
      <w:pPr>
        <w:ind w:left="288"/>
      </w:pPr>
      <w:r>
        <w:rPr>
          <w:rFonts w:ascii="Consolas" w:hAnsi="Consolas"/>
          <w:color w:val="2C3E50"/>
          <w:sz w:val="18"/>
        </w:rPr>
        <w:t>{"para_id": "ch5.carcinogenicity.p3",</w:t>
        <w:br/>
      </w:r>
      <w:r>
        <w:rPr>
          <w:rFonts w:ascii="Consolas" w:hAnsi="Consolas"/>
          <w:color w:val="2C3E50"/>
          <w:sz w:val="18"/>
        </w:rPr>
        <w:t xml:space="preserve"> "section": "carcinogenicity",</w:t>
        <w:br/>
      </w:r>
      <w:r>
        <w:rPr>
          <w:rFonts w:ascii="Consolas" w:hAnsi="Consolas"/>
          <w:color w:val="2C3E50"/>
          <w:sz w:val="18"/>
        </w:rPr>
        <w:t xml:space="preserve"> "text_preview": "Formaldehyde has been classified as carcinogenic to humans...",</w:t>
        <w:br/>
      </w:r>
      <w:r>
        <w:rPr>
          <w:rFonts w:ascii="Consolas" w:hAnsi="Consolas"/>
          <w:color w:val="2C3E50"/>
          <w:sz w:val="18"/>
        </w:rPr>
        <w:t xml:space="preserve"> "cited_record_ids": ["rec_0142", "rec_0517"],</w:t>
        <w:br/>
      </w:r>
      <w:r>
        <w:rPr>
          <w:rFonts w:ascii="Consolas" w:hAnsi="Consolas"/>
          <w:color w:val="2C3E50"/>
          <w:sz w:val="18"/>
        </w:rPr>
        <w:t xml:space="preserve"> "sources":           ["WHO_INCHEM", "ECHA"],</w:t>
        <w:br/>
      </w:r>
      <w:r>
        <w:rPr>
          <w:rFonts w:ascii="Consolas" w:hAnsi="Consolas"/>
          <w:color w:val="2C3E50"/>
          <w:sz w:val="18"/>
        </w:rPr>
        <w:t xml:space="preserve"> "span_hash":         "sha256:8e1a...9c",</w:t>
        <w:br/>
      </w:r>
      <w:r>
        <w:rPr>
          <w:rFonts w:ascii="Consolas" w:hAnsi="Consolas"/>
          <w:color w:val="2C3E50"/>
          <w:sz w:val="18"/>
        </w:rPr>
        <w:t xml:space="preserve"> "para_word_count":   48 }</w:t>
        <w:br/>
      </w:r>
    </w:p>
    <w:p>
      <w:pPr>
        <w:spacing w:before="200" w:after="80"/>
      </w:pPr>
      <w:r>
        <w:rPr>
          <w:b/>
          <w:color w:val="1F3A5F"/>
          <w:sz w:val="28"/>
        </w:rPr>
        <w:t>What This Buys You</w:t>
      </w:r>
    </w:p>
    <w:p>
      <w:pPr>
        <w:pStyle w:val="ListBullet"/>
        <w:spacing w:after="40"/>
      </w:pPr>
      <w:r>
        <w:t>Orphan paragraphs caught at substring level (Layer C — already shipped)</w:t>
      </w:r>
    </w:p>
    <w:p>
      <w:pPr>
        <w:pStyle w:val="ListBullet"/>
        <w:spacing w:after="40"/>
      </w:pPr>
      <w:r>
        <w:t>Swapped or off-by-one citation numbers caught at citation level (Layer D)</w:t>
      </w:r>
    </w:p>
    <w:p>
      <w:pPr>
        <w:pStyle w:val="ListBullet"/>
        <w:spacing w:after="40"/>
      </w:pPr>
      <w:r>
        <w:t>Link rot and silent source edits surfaced (Layer E)</w:t>
      </w:r>
    </w:p>
    <w:p>
      <w:pPr>
        <w:pStyle w:val="ListBullet"/>
        <w:spacing w:after="40"/>
      </w:pPr>
      <w:r>
        <w:t>Thin-evidence sections highlighted before a human is misled (Layer F)</w:t>
      </w:r>
    </w:p>
    <w:p>
      <w:pPr>
        <w:pStyle w:val="ListBullet"/>
        <w:spacing w:after="40"/>
      </w:pPr>
      <w:r>
        <w:t>Every check is deterministic, logged to audit_report.json, replayable</w:t>
      </w:r>
    </w:p>
    <w:p>
      <w:r>
        <w:br w:type="page"/>
      </w:r>
    </w:p>
    <w:p>
      <w:pPr>
        <w:spacing w:before="160" w:after="120"/>
      </w:pPr>
      <w:r>
        <w:rPr>
          <w:b/>
          <w:color w:val="1F3A5F"/>
          <w:sz w:val="36"/>
        </w:rPr>
        <w:t>6. Evaluation Framework (NEW)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70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lueprint_ev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t>Verification tells you the report is internally consistent. Evaluation tells you the report is actually good. These are different questions. A report can be internally faithful and still miss the most important paper on a chemical. The eval framework is a nightly harness that runs the pipeline over a curated gold set, scores it three ways, and diffs against a trusted baseline.</w:t>
      </w:r>
    </w:p>
    <w:p>
      <w:pPr>
        <w:spacing w:before="200" w:after="80"/>
      </w:pPr>
      <w:r>
        <w:rPr>
          <w:b/>
          <w:color w:val="1F3A5F"/>
          <w:sz w:val="28"/>
        </w:rPr>
        <w:t>Inputs</w:t>
      </w:r>
    </w:p>
    <w:p>
      <w:pPr>
        <w:pStyle w:val="ListBullet"/>
        <w:spacing w:after="40"/>
      </w:pPr>
      <w:r>
        <w:t>Gold chemicals — ~25 well-studied substances with deep literature (formaldehyde, benzene, DEHP, bisphenol-A, styrene, lead, trichloroethylene, ...)</w:t>
      </w:r>
    </w:p>
    <w:p>
      <w:pPr>
        <w:pStyle w:val="ListBullet"/>
        <w:spacing w:after="40"/>
      </w:pPr>
      <w:r>
        <w:t>Baseline reports — a trusted run per gold chemical, locked under version control, serves as the regression target</w:t>
      </w:r>
    </w:p>
    <w:p>
      <w:pPr>
        <w:pStyle w:val="ListBullet"/>
        <w:spacing w:after="40"/>
      </w:pPr>
      <w:r>
        <w:t>Toxicologist rubric — 0-5 rating across 29 sections × 4 axes (coverage, accuracy, clarity, actionability)</w:t>
      </w:r>
    </w:p>
    <w:p>
      <w:pPr>
        <w:spacing w:before="200" w:after="80"/>
      </w:pPr>
      <w:r>
        <w:rPr>
          <w:b/>
          <w:color w:val="1F3A5F"/>
          <w:sz w:val="28"/>
        </w:rPr>
        <w:t>Three Scoring Lanes</w:t>
      </w:r>
    </w:p>
    <w:p>
      <w:pPr>
        <w:spacing w:before="120" w:after="40"/>
      </w:pPr>
      <w:r>
        <w:rPr>
          <w:b/>
          <w:color w:val="E65100"/>
          <w:sz w:val="24"/>
        </w:rPr>
        <w:t>Lane 1 — Automated Metrics</w:t>
      </w:r>
    </w:p>
    <w:p>
      <w:pPr>
        <w:pStyle w:val="ListBullet"/>
        <w:spacing w:after="40"/>
      </w:pPr>
      <w:r>
        <w:t>Coverage: % of 29 sections with ≥ 3 ledger records  (target ≥ 90%)</w:t>
      </w:r>
    </w:p>
    <w:p>
      <w:pPr>
        <w:pStyle w:val="ListBullet"/>
        <w:spacing w:after="40"/>
      </w:pPr>
      <w:r>
        <w:t>Source diversity: distinct databases per section    (target ≥ 3)</w:t>
      </w:r>
    </w:p>
    <w:p>
      <w:pPr>
        <w:pStyle w:val="ListBullet"/>
        <w:spacing w:after="40"/>
      </w:pPr>
      <w:r>
        <w:t>Recency: median publication year                     (target ≥ 2015)</w:t>
      </w:r>
    </w:p>
    <w:p>
      <w:pPr>
        <w:pStyle w:val="ListBullet"/>
        <w:spacing w:after="40"/>
      </w:pPr>
      <w:r>
        <w:t>Confidence distribution: mean and p10 score          (target mean ≥ 0.50)</w:t>
      </w:r>
    </w:p>
    <w:p>
      <w:pPr>
        <w:pStyle w:val="ListBullet"/>
        <w:spacing w:after="40"/>
      </w:pPr>
      <w:r>
        <w:t>Faithfulness: audit_run status rate                  (target 100% pass)</w:t>
      </w:r>
    </w:p>
    <w:p>
      <w:pPr>
        <w:pStyle w:val="ListBullet"/>
        <w:spacing w:after="40"/>
      </w:pPr>
      <w:r>
        <w:t>Citation integrity: Layer D pass rate                (target 100%)</w:t>
      </w:r>
    </w:p>
    <w:p>
      <w:pPr>
        <w:pStyle w:val="ListBullet"/>
        <w:spacing w:after="40"/>
      </w:pPr>
      <w:r>
        <w:t>Orphan-record rate: ledger records never cited in report  (track, not gate)</w:t>
      </w:r>
    </w:p>
    <w:p>
      <w:pPr>
        <w:spacing w:before="120" w:after="40"/>
      </w:pPr>
      <w:r>
        <w:rPr>
          <w:b/>
          <w:color w:val="E65100"/>
          <w:sz w:val="24"/>
        </w:rPr>
        <w:t>Lane 2 — LLM-as-Judge</w:t>
      </w:r>
    </w:p>
    <w:p>
      <w:pPr>
        <w:spacing w:after="120"/>
        <w:jc w:val="both"/>
      </w:pPr>
      <w:r>
        <w:t>A second LLM (not the one orchestrating the pipeline) rates each paragraph on relevance and clarity (0-5 scales) and performs a claim-to-citation match check: reads the paragraph, reads the cited record's excerpt, answers "does the excerpt support the claim?" with a boolean. Cheap, fast, reproducible with a fixed seed.</w:t>
      </w:r>
    </w:p>
    <w:p>
      <w:pPr>
        <w:spacing w:before="120" w:after="40"/>
      </w:pPr>
      <w:r>
        <w:rPr>
          <w:b/>
          <w:color w:val="E65100"/>
          <w:sz w:val="24"/>
        </w:rPr>
        <w:t>Lane 3 — Human Panel</w:t>
      </w:r>
    </w:p>
    <w:p>
      <w:pPr>
        <w:spacing w:after="120"/>
        <w:jc w:val="both"/>
      </w:pPr>
      <w:r>
        <w:t>Three toxicologists each score five randomly sampled sections per chemical using the rubric. Inter-rater agreement is tracked (Cohen's kappa); when it drops the rubric gets refined. Human review is the slowest lane but the only ground truth we have for "is this section actually useful to a professional."</w:t>
      </w:r>
    </w:p>
    <w:p>
      <w:pPr>
        <w:spacing w:before="200" w:after="80"/>
      </w:pPr>
      <w:r>
        <w:rPr>
          <w:b/>
          <w:color w:val="1F3A5F"/>
          <w:sz w:val="28"/>
        </w:rPr>
        <w:t>Regression &amp; Dashboard</w:t>
      </w:r>
    </w:p>
    <w:p>
      <w:pPr>
        <w:spacing w:after="120"/>
        <w:jc w:val="both"/>
      </w:pPr>
      <w:r>
        <w:t>Every nightly run is diffed against the stored baseline for that chemical. If a section lost coverage, a source stopped contributing, faithfulness dropped, or the LLM-judge score fell by more than one standard deviation, the run is flagged and a diff is attached. The dashboard shows per-chemical trend lines over weeks plus drill-down to the specific paragraphs that regressed.</w:t>
      </w:r>
    </w:p>
    <w:p>
      <w:pPr>
        <w:spacing w:before="200" w:after="80"/>
      </w:pPr>
      <w:r>
        <w:rPr>
          <w:b/>
          <w:color w:val="1F3A5F"/>
          <w:sz w:val="28"/>
        </w:rPr>
        <w:t>What "Pass" Means</w:t>
      </w:r>
    </w:p>
    <w:p>
      <w:pPr>
        <w:pStyle w:val="ListBullet"/>
        <w:spacing w:after="40"/>
      </w:pPr>
      <w:r>
        <w:t>Faithfulness 100% (audit layers A-D all pass)</w:t>
      </w:r>
    </w:p>
    <w:p>
      <w:pPr>
        <w:pStyle w:val="ListBullet"/>
        <w:spacing w:after="40"/>
      </w:pPr>
      <w:r>
        <w:t>Coverage ≥ 90% of sections with ≥ 3 records</w:t>
      </w:r>
    </w:p>
    <w:p>
      <w:pPr>
        <w:pStyle w:val="ListBullet"/>
        <w:spacing w:after="40"/>
      </w:pPr>
      <w:r>
        <w:t>Source diversity ≥ 3 in every high-stakes section</w:t>
      </w:r>
    </w:p>
    <w:p>
      <w:pPr>
        <w:pStyle w:val="ListBullet"/>
        <w:spacing w:after="40"/>
      </w:pPr>
      <w:r>
        <w:t>LLM-judge mean ≥ 4.0/5.0 on relevance + claim-support</w:t>
      </w:r>
    </w:p>
    <w:p>
      <w:pPr>
        <w:pStyle w:val="ListBullet"/>
        <w:spacing w:after="40"/>
      </w:pPr>
      <w:r>
        <w:t>Human-panel mean ≥ 4.0/5.0 across the sampled sections</w:t>
      </w:r>
    </w:p>
    <w:p>
      <w:pPr>
        <w:pStyle w:val="ListBullet"/>
        <w:spacing w:after="40"/>
      </w:pPr>
      <w:r>
        <w:t>No regressions vs baseline beyond tolerance band</w:t>
      </w:r>
    </w:p>
    <w:p>
      <w:r>
        <w:br w:type="page"/>
      </w:r>
    </w:p>
    <w:p>
      <w:pPr>
        <w:spacing w:before="160" w:after="120"/>
      </w:pPr>
      <w:r>
        <w:rPr>
          <w:b/>
          <w:color w:val="1F3A5F"/>
          <w:sz w:val="36"/>
        </w:rPr>
        <w:t>7. Extended Case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312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Case 1 — Claude Host</w:t>
            </w:r>
          </w:p>
        </w:tc>
        <w:tc>
          <w:tcPr>
            <w:tcW w:type="dxa" w:w="3312"/>
            <w:vAlign w:val="center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Case 2 — Node.js Host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Front door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Claude Desktop / Chat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Web landing page</w:t>
            </w:r>
          </w:p>
        </w:tc>
      </w:tr>
      <w:tr>
        <w:tc>
          <w:tcPr>
            <w:tcW w:type="dxa" w:w="2880"/>
            <w:vAlign w:val="center"/>
            <w:shd w:val="clear" w:color="auto" w:fill="E8EEF5"/>
          </w:tcPr>
          <w:p>
            <w:r/>
            <w:r>
              <w:rPr>
                <w:b/>
                <w:sz w:val="20"/>
              </w:rPr>
              <w:t>Orchestrator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Claude LLM (adaptive)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Node.js backend (fixed DAG)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Determinism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Soft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Hard</w:t>
            </w:r>
          </w:p>
        </w:tc>
      </w:tr>
      <w:tr>
        <w:tc>
          <w:tcPr>
            <w:tcW w:type="dxa" w:w="2880"/>
            <w:vAlign w:val="center"/>
            <w:shd w:val="clear" w:color="auto" w:fill="E8EEF5"/>
          </w:tcPr>
          <w:p>
            <w:r/>
            <w:r>
              <w:rPr>
                <w:b/>
                <w:sz w:val="20"/>
              </w:rPr>
              <w:t>LLM cost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Per session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None (unless LLM-judge used)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Scientific output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Identical .docx + ledger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Identical .docx + ledger</w:t>
            </w:r>
          </w:p>
        </w:tc>
      </w:tr>
      <w:tr>
        <w:tc>
          <w:tcPr>
            <w:tcW w:type="dxa" w:w="2880"/>
            <w:vAlign w:val="center"/>
            <w:shd w:val="clear" w:color="auto" w:fill="E8EEF5"/>
          </w:tcPr>
          <w:p>
            <w:r/>
            <w:r>
              <w:rPr>
                <w:b/>
                <w:sz w:val="20"/>
              </w:rPr>
              <w:t>Verification loop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6 layers — same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6 layers — same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Evals harness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Runs server-side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Runs server-side</w:t>
            </w:r>
          </w:p>
        </w:tc>
      </w:tr>
      <w:tr>
        <w:tc>
          <w:tcPr>
            <w:tcW w:type="dxa" w:w="2880"/>
            <w:vAlign w:val="center"/>
            <w:shd w:val="clear" w:color="auto" w:fill="E8EEF5"/>
          </w:tcPr>
          <w:p>
            <w:r/>
            <w:r>
              <w:rPr>
                <w:b/>
                <w:sz w:val="20"/>
              </w:rPr>
              <w:t>Suitable for batch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Awkward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Trivial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Suitable for Q&amp;A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No (separate chat UI needed)</w:t>
            </w:r>
          </w:p>
        </w:tc>
      </w:tr>
      <w:tr>
        <w:tc>
          <w:tcPr>
            <w:tcW w:type="dxa" w:w="2880"/>
            <w:vAlign w:val="center"/>
            <w:shd w:val="clear" w:color="auto" w:fill="E8EEF5"/>
          </w:tcPr>
          <w:p>
            <w:r/>
            <w:r>
              <w:rPr>
                <w:b/>
                <w:sz w:val="20"/>
              </w:rPr>
              <w:t>Compliance audit trail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Trace + ledger + citations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r/>
            <w:r>
              <w:rPr>
                <w:sz w:val="20"/>
              </w:rPr>
              <w:t>Trace + ledger + citations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/>
            <w:r>
              <w:rPr>
                <w:b/>
                <w:sz w:val="20"/>
              </w:rPr>
              <w:t>Cross-verification freshness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On demand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/>
            <w:r>
              <w:rPr>
                <w:sz w:val="20"/>
              </w:rPr>
              <w:t>On demand + nightly evals</w:t>
            </w:r>
          </w:p>
        </w:tc>
      </w:tr>
    </w:tbl>
    <w:p>
      <w:pPr>
        <w:spacing w:before="160" w:after="120"/>
      </w:pPr>
      <w:r>
        <w:rPr>
          <w:b/>
          <w:color w:val="1F3A5F"/>
          <w:sz w:val="36"/>
        </w:rPr>
        <w:t>8. Rollout Plan</w:t>
      </w:r>
    </w:p>
    <w:p>
      <w:pPr>
        <w:spacing w:before="120" w:after="40"/>
      </w:pPr>
      <w:r>
        <w:rPr>
          <w:b/>
          <w:color w:val="E65100"/>
          <w:sz w:val="24"/>
        </w:rPr>
        <w:t>Week 1 — Verification v2</w:t>
      </w:r>
    </w:p>
    <w:p>
      <w:pPr>
        <w:pStyle w:val="ListBullet"/>
        <w:spacing w:after="40"/>
      </w:pPr>
      <w:r>
        <w:t>Emit paragraph_citations.jsonl from build_review (new writer)</w:t>
      </w:r>
    </w:p>
    <w:p>
      <w:pPr>
        <w:pStyle w:val="ListBullet"/>
        <w:spacing w:after="40"/>
      </w:pPr>
      <w:r>
        <w:t>Add Layer D (citation integrity) to audit_run</w:t>
      </w:r>
    </w:p>
    <w:p>
      <w:pPr>
        <w:pStyle w:val="ListBullet"/>
        <w:spacing w:after="40"/>
      </w:pPr>
      <w:r>
        <w:t>Add content hash to every EvidenceRecord at harvest time</w:t>
      </w:r>
    </w:p>
    <w:p>
      <w:pPr>
        <w:spacing w:before="120" w:after="40"/>
      </w:pPr>
      <w:r>
        <w:rPr>
          <w:b/>
          <w:color w:val="E65100"/>
          <w:sz w:val="24"/>
        </w:rPr>
        <w:t>Week 2 — Verification hardening</w:t>
      </w:r>
    </w:p>
    <w:p>
      <w:pPr>
        <w:pStyle w:val="ListBullet"/>
        <w:spacing w:after="40"/>
      </w:pPr>
      <w:r>
        <w:t>Add Layer E (URL liveness + hash re-check) with async semaphore</w:t>
      </w:r>
    </w:p>
    <w:p>
      <w:pPr>
        <w:pStyle w:val="ListBullet"/>
        <w:spacing w:after="40"/>
      </w:pPr>
      <w:r>
        <w:t>Add Layer F (per-paragraph corroboration count)</w:t>
      </w:r>
    </w:p>
    <w:p>
      <w:pPr>
        <w:pStyle w:val="ListBullet"/>
        <w:spacing w:after="40"/>
      </w:pPr>
      <w:r>
        <w:t>Extend audit_report.json schema + regenerate ARCHITECTURE.md</w:t>
      </w:r>
    </w:p>
    <w:p>
      <w:pPr>
        <w:spacing w:before="120" w:after="40"/>
      </w:pPr>
      <w:r>
        <w:rPr>
          <w:b/>
          <w:color w:val="E65100"/>
          <w:sz w:val="24"/>
        </w:rPr>
        <w:t>Week 3 — Evals scaffolding</w:t>
      </w:r>
    </w:p>
    <w:p>
      <w:pPr>
        <w:pStyle w:val="ListBullet"/>
        <w:spacing w:after="40"/>
      </w:pPr>
      <w:r>
        <w:t>Freeze gold-chemical list + baseline ledgers under version control</w:t>
      </w:r>
    </w:p>
    <w:p>
      <w:pPr>
        <w:pStyle w:val="ListBullet"/>
        <w:spacing w:after="40"/>
      </w:pPr>
      <w:r>
        <w:t>Implement Lane 1 automated metrics</w:t>
      </w:r>
    </w:p>
    <w:p>
      <w:pPr>
        <w:pStyle w:val="ListBullet"/>
        <w:spacing w:after="40"/>
      </w:pPr>
      <w:r>
        <w:t>Wire nightly runner + diff against baseline</w:t>
      </w:r>
    </w:p>
    <w:p>
      <w:pPr>
        <w:spacing w:before="120" w:after="40"/>
      </w:pPr>
      <w:r>
        <w:rPr>
          <w:b/>
          <w:color w:val="E65100"/>
          <w:sz w:val="24"/>
        </w:rPr>
        <w:t>Week 4 — LLM-judge + dashboard</w:t>
      </w:r>
    </w:p>
    <w:p>
      <w:pPr>
        <w:pStyle w:val="ListBullet"/>
        <w:spacing w:after="40"/>
      </w:pPr>
      <w:r>
        <w:t>Implement Lane 2 LLM-as-judge scorer (fixed seed, separate model)</w:t>
      </w:r>
    </w:p>
    <w:p>
      <w:pPr>
        <w:pStyle w:val="ListBullet"/>
        <w:spacing w:after="40"/>
      </w:pPr>
      <w:r>
        <w:t>Ship minimal Plotly/Streamlit dashboard (or Node landing-page dashboard tab)</w:t>
      </w:r>
    </w:p>
    <w:p>
      <w:pPr>
        <w:pStyle w:val="ListBullet"/>
        <w:spacing w:after="40"/>
      </w:pPr>
      <w:r>
        <w:t>Recruit toxicologist panel for Lane 3, ramp rubric over the following month</w:t>
      </w:r>
    </w:p>
    <w:p>
      <w:pPr>
        <w:spacing w:before="160" w:after="120"/>
      </w:pPr>
      <w:r>
        <w:rPr>
          <w:b/>
          <w:color w:val="1F3A5F"/>
          <w:sz w:val="36"/>
        </w:rPr>
        <w:t>9. Why This Matters</w:t>
      </w:r>
    </w:p>
    <w:p>
      <w:pPr>
        <w:spacing w:after="120"/>
        <w:jc w:val="both"/>
      </w:pPr>
      <w:r>
        <w:t>Before v2 we had a system that could produce a report and a weak check that paragraphs came from somewhere. After v2 we have a system that produces a report, proves each sentence traces back to a specific, hashed, URL-verifiable source, flags under-corroborated claims, and tells us with three independent measures whether the output is actually good for a working toxicologist. The cost is modest — one new JSONL artifact, four new audit layers, and a nightly harness — and the payoff is a system we can defend in a regulatory audit.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