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cs="Times New Roman" w:eastAsia="Times New Roman"/>
          <w:b/>
          <w:i w:val="0"/>
          <w:sz w:val="40"/>
        </w:rPr>
        <w:t>Comprehensive Literature Review</w:t>
      </w:r>
    </w:p>
    <w:p>
      <w:pPr>
        <w:jc w:val="center"/>
      </w:pPr>
      <w:r>
        <w:rPr>
          <w:rFonts w:ascii="Times New Roman" w:hAnsi="Times New Roman" w:cs="Times New Roman" w:eastAsia="Times New Roman"/>
          <w:b w:val="0"/>
          <w:i/>
          <w:sz w:val="28"/>
        </w:rPr>
        <w:t>Safety of</w:t>
      </w:r>
    </w:p>
    <w:p>
      <w:pPr>
        <w:jc w:val="center"/>
      </w:pPr>
      <w:r>
        <w:rPr>
          <w:rFonts w:ascii="Times New Roman" w:hAnsi="Times New Roman" w:cs="Times New Roman" w:eastAsia="Times New Roman"/>
          <w:b/>
          <w:i w:val="0"/>
          <w:sz w:val="56"/>
        </w:rPr>
        <w:t>Benzene</w:t>
      </w:r>
    </w:p>
    <w:p>
      <w:pPr>
        <w:jc w:val="center"/>
      </w:pPr>
      <w:r>
        <w:rPr>
          <w:rFonts w:ascii="Times New Roman" w:hAnsi="Times New Roman" w:cs="Times New Roman" w:eastAsia="Times New Roman"/>
          <w:b w:val="0"/>
          <w:i/>
          <w:sz w:val="26"/>
        </w:rPr>
        <w:t>CAS No. 71-43-2</w:t>
      </w:r>
    </w:p>
    <w:p>
      <w:pPr>
        <w:jc w:val="center"/>
      </w:pPr>
      <w:r>
        <w:rPr>
          <w:rFonts w:ascii="Times New Roman" w:hAnsi="Times New Roman" w:cs="Times New Roman" w:eastAsia="Times New Roman"/>
          <w:b w:val="0"/>
          <w:i w:val="0"/>
          <w:sz w:val="28"/>
        </w:rPr>
        <w:t>for Human Health</w:t>
      </w:r>
    </w:p>
    <w:p/>
    <w:p/>
    <w:p>
      <w:pPr>
        <w:jc w:val="center"/>
      </w:pPr>
      <w:r>
        <w:rPr>
          <w:rFonts w:ascii="Times New Roman" w:hAnsi="Times New Roman" w:cs="Times New Roman" w:eastAsia="Times New Roman"/>
          <w:b w:val="0"/>
          <w:i w:val="0"/>
          <w:sz w:val="24"/>
        </w:rPr>
        <w:t>Date: April 21, 2026</w:t>
      </w:r>
    </w:p>
    <w:p>
      <w:pPr>
        <w:jc w:val="center"/>
      </w:pPr>
      <w:r>
        <w:rPr>
          <w:rFonts w:ascii="Times New Roman" w:hAnsi="Times New Roman" w:cs="Times New Roman" w:eastAsia="Times New Roman"/>
          <w:b w:val="0"/>
          <w:i/>
          <w:sz w:val="22"/>
        </w:rPr>
        <w:t>Evidence base: peer-reviewed literature (PubMed, EuropePMC)</w:t>
      </w:r>
    </w:p>
    <w:p>
      <w:pPr>
        <w:jc w:val="center"/>
      </w:pPr>
      <w:r>
        <w:rPr>
          <w:rFonts w:ascii="Times New Roman" w:hAnsi="Times New Roman" w:cs="Times New Roman" w:eastAsia="Times New Roman"/>
          <w:b w:val="0"/>
          <w:i/>
          <w:sz w:val="22"/>
        </w:rPr>
        <w:t>and regulatory/agency sources (IPCS, ICSC, EPA IRIS, NIOSH, OSHA, ATSDR, IARC)</w:t>
      </w:r>
    </w:p>
    <w:p>
      <w:r>
        <w:br w:type="page"/>
      </w:r>
    </w:p>
    <w:p>
      <w:pPr>
        <w:spacing w:before="240" w:after="120"/>
      </w:pPr>
      <w:r>
        <w:rPr>
          <w:rFonts w:ascii="Times New Roman" w:hAnsi="Times New Roman" w:cs="Times New Roman" w:eastAsia="Times New Roman"/>
          <w:b/>
          <w:i w:val="0"/>
          <w:sz w:val="32"/>
        </w:rPr>
        <w:t>Summary</w:t>
      </w:r>
    </w:p>
    <w:p>
      <w:pPr>
        <w:spacing w:after="120" w:line="276" w:lineRule="auto"/>
        <w:jc w:val="both"/>
      </w:pPr>
      <w:r>
        <w:rPr>
          <w:rFonts w:ascii="Times New Roman" w:hAnsi="Times New Roman" w:cs="Times New Roman" w:eastAsia="Times New Roman"/>
          <w:b w:val="0"/>
          <w:i w:val="0"/>
          <w:sz w:val="24"/>
        </w:rPr>
        <w:t>This comprehensive literature review compiles publicly available toxicology, occupational-safety, environmental-fate, and peer-reviewed research evidence for Benzene (CAS 71-43-2). Evidence was harvested on April 21, 2026 from 5 scientific and regulatory databases spanning biomedical literature (PubMed, PMC, EuropePMC, OpenAlex, Semantic Scholar), chemistry registries (PubChem, CrossRef, ECHA), and agency dossiers (ATSDR, NTP, EPA IRIS, CalEPA OEHHA, NIOSH, OSHA, IARC, WHO INCHEM, Canada DSL, AICIS, Japan NITE, Korea MOE ICIS).</w:t>
      </w:r>
    </w:p>
    <w:p>
      <w:pPr>
        <w:spacing w:after="120" w:line="276" w:lineRule="auto"/>
        <w:jc w:val="both"/>
      </w:pPr>
      <w:r>
        <w:rPr>
          <w:rFonts w:ascii="Times New Roman" w:hAnsi="Times New Roman" w:cs="Times New Roman" w:eastAsia="Times New Roman"/>
          <w:b w:val="0"/>
          <w:i w:val="0"/>
          <w:sz w:val="24"/>
        </w:rPr>
        <w:t>0 top-ranked peer-reviewed papers were retrieved, of which 0 were harvested as full-text JATS XML from PubMed Central. Regulatory agency profiles were fetched from 0 authoritative sources. Every factual claim in this report is traceable to the database record, PubMed Central article, or agency web page from which it was extracted; content is reproduced verbatim and attributed by URL, DOI, PMID, or PMCID so that no paragraph reflects unsourced summarisation.</w:t>
      </w:r>
    </w:p>
    <w:p>
      <w:pPr>
        <w:spacing w:before="240" w:after="120"/>
      </w:pPr>
      <w:r>
        <w:rPr>
          <w:rFonts w:ascii="Times New Roman" w:hAnsi="Times New Roman" w:cs="Times New Roman" w:eastAsia="Times New Roman"/>
          <w:b/>
          <w:i w:val="0"/>
          <w:sz w:val="32"/>
        </w:rPr>
        <w:t>Harvest Diagnostics</w:t>
      </w:r>
    </w:p>
    <w:p>
      <w:pPr>
        <w:spacing w:after="120" w:line="276" w:lineRule="auto"/>
        <w:jc w:val="both"/>
      </w:pPr>
      <w:r>
        <w:rPr>
          <w:rFonts w:ascii="Times New Roman" w:hAnsi="Times New Roman" w:cs="Times New Roman" w:eastAsia="Times New Roman"/>
          <w:b w:val="0"/>
          <w:i w:val="0"/>
          <w:sz w:val="24"/>
        </w:rPr>
        <w:t>This diagnostics block records the reachability of each upstream data service at generation time on April 21, 2026. It lets the reader distinguish paragraphs populated from live harvested evidence from sections that were rendered as skeletons because the data provider was unreachable.</w:t>
      </w:r>
    </w:p>
    <w:p>
      <w:pPr>
        <w:spacing w:after="120" w:line="276" w:lineRule="auto"/>
        <w:jc w:val="both"/>
      </w:pPr>
      <w:r>
        <w:rPr>
          <w:rFonts w:ascii="Times New Roman" w:hAnsi="Times New Roman" w:cs="Times New Roman" w:eastAsia="Times New Roman"/>
          <w:b w:val="0"/>
          <w:i w:val="0"/>
          <w:sz w:val="24"/>
        </w:rPr>
        <w:t>PubChem identity resolution: failed (PubChem resolve timed out).</w:t>
      </w:r>
    </w:p>
    <w:p>
      <w:pPr>
        <w:spacing w:after="120" w:line="276" w:lineRule="auto"/>
        <w:jc w:val="both"/>
      </w:pPr>
      <w:r>
        <w:rPr>
          <w:rFonts w:ascii="Times New Roman" w:hAnsi="Times New Roman" w:cs="Times New Roman" w:eastAsia="Times New Roman"/>
          <w:b w:val="0"/>
          <w:i w:val="0"/>
          <w:sz w:val="24"/>
        </w:rPr>
        <w:t>Database count sweep: 5 of 37 databases returned an OK status at query time.</w:t>
      </w:r>
    </w:p>
    <w:p>
      <w:pPr>
        <w:spacing w:after="120" w:line="276" w:lineRule="auto"/>
        <w:jc w:val="both"/>
      </w:pPr>
      <w:r>
        <w:rPr>
          <w:rFonts w:ascii="Times New Roman" w:hAnsi="Times New Roman" w:cs="Times New Roman" w:eastAsia="Times New Roman"/>
          <w:b w:val="0"/>
          <w:i w:val="0"/>
          <w:sz w:val="24"/>
        </w:rPr>
        <w:t>Peer-reviewed paper harvest: 0 candidates ranked by PubMed/EuropePMC combined relevance score; 0 of those had their full PMC JATS XML body successfully downloaded and parsed.</w:t>
      </w:r>
    </w:p>
    <w:p>
      <w:pPr>
        <w:spacing w:after="120" w:line="276" w:lineRule="auto"/>
        <w:jc w:val="both"/>
      </w:pPr>
      <w:r>
        <w:rPr>
          <w:rFonts w:ascii="Times New Roman" w:hAnsi="Times New Roman" w:cs="Times New Roman" w:eastAsia="Times New Roman"/>
          <w:b w:val="0"/>
          <w:i w:val="0"/>
          <w:sz w:val="24"/>
        </w:rPr>
        <w:t>Regulatory agency profile fetch: 0 of 10 agency pages (ATSDR, NTP, EPA IRIS, OEHHA, NIOSH, OSHA, Haz-Map, ILO ICSC) returned content.</w:t>
      </w:r>
    </w:p>
    <w:p>
      <w:pPr>
        <w:spacing w:before="240" w:after="120"/>
      </w:pPr>
      <w:r>
        <w:rPr>
          <w:rFonts w:ascii="Times New Roman" w:hAnsi="Times New Roman" w:cs="Times New Roman" w:eastAsia="Times New Roman"/>
          <w:b/>
          <w:i w:val="0"/>
          <w:sz w:val="32"/>
        </w:rPr>
        <w:t>Scope and Methodology of This Review</w:t>
      </w:r>
    </w:p>
    <w:p>
      <w:pPr>
        <w:spacing w:after="120" w:line="276" w:lineRule="auto"/>
        <w:jc w:val="both"/>
      </w:pPr>
      <w:r>
        <w:rPr>
          <w:rFonts w:ascii="Times New Roman" w:hAnsi="Times New Roman" w:cs="Times New Roman" w:eastAsia="Times New Roman"/>
          <w:b w:val="0"/>
          <w:i w:val="0"/>
          <w:sz w:val="24"/>
        </w:rPr>
        <w:t>This review follows the literature-review format established in the Benzene v3 reference document: Summary → Scope → Key Findings → Database Coverage → Chemical Properties → Environmental Behaviour → Sources of Exposure → Health Effects → Toxicokinetics → Regulations → Risk Assessment → Vulnerable Populations → Mitigation → Recent Research Findings → References → Appendices. The content for each chapter is drawn programmatically from the databases listed in Appendix A; no paragraph is synthesised without a source.</w:t>
      </w:r>
    </w:p>
    <w:p>
      <w:pPr>
        <w:spacing w:after="120" w:line="276" w:lineRule="auto"/>
        <w:jc w:val="both"/>
      </w:pPr>
      <w:r>
        <w:rPr>
          <w:rFonts w:ascii="Times New Roman" w:hAnsi="Times New Roman" w:cs="Times New Roman" w:eastAsia="Times New Roman"/>
          <w:b w:val="0"/>
          <w:i w:val="0"/>
          <w:sz w:val="24"/>
        </w:rPr>
        <w:t>Peer-reviewed literature was prioritised for recent publication years with selective inclusion of foundational earlier studies. The scope encompasses chemical properties, environmental sources and pathways, toxicokinetics, the full spectrum of health effects, regulatory frameworks, risk assessment, vulnerable populations, and mitigation strategies. Agency-authored documents provide consensus distillations of the underlying primary literature alongside the peer-reviewed primary research harvested here.</w:t>
      </w:r>
    </w:p>
    <w:p>
      <w:pPr>
        <w:spacing w:before="240" w:after="120"/>
      </w:pPr>
      <w:r>
        <w:rPr>
          <w:rFonts w:ascii="Times New Roman" w:hAnsi="Times New Roman" w:cs="Times New Roman" w:eastAsia="Times New Roman"/>
          <w:b/>
          <w:i w:val="0"/>
          <w:sz w:val="32"/>
        </w:rPr>
        <w:t>Key Findings at a Glance</w:t>
      </w:r>
    </w:p>
    <w:p>
      <w:pPr>
        <w:spacing w:after="120" w:line="276" w:lineRule="auto"/>
        <w:jc w:val="both"/>
      </w:pPr>
      <w:r>
        <w:rPr>
          <w:rFonts w:ascii="Times New Roman" w:hAnsi="Times New Roman" w:cs="Times New Roman" w:eastAsia="Times New Roman"/>
          <w:b w:val="0"/>
          <w:i w:val="0"/>
          <w:sz w:val="24"/>
        </w:rPr>
        <w:t>The evidence base for Benzene is summarised at a glance as follows. 0 peer-reviewed papers were retrieved via PubMed and EuropePMC; 0 full-text JATS records were harvested from PubMed Central; 0 agency profiles were fetched (ATSDR, NTP, EPA IRIS, CalEPA OEHHA, NIOSH, OSHA as available); and 5 of the 37 configured databases returned a live count.</w:t>
      </w:r>
    </w:p>
    <w:p>
      <w:pPr>
        <w:spacing w:after="120" w:line="276" w:lineRule="auto"/>
        <w:jc w:val="both"/>
      </w:pPr>
      <w:r>
        <w:rPr>
          <w:rFonts w:ascii="Times New Roman" w:hAnsi="Times New Roman" w:cs="Times New Roman" w:eastAsia="Times New Roman"/>
          <w:b w:val="0"/>
          <w:i w:val="0"/>
          <w:sz w:val="24"/>
        </w:rPr>
        <w:t>The highest-yield databases for this chemical: OECD eChemPortal (1 records); EPA IRIS (1 records); NIOSH Pocket Guide (1 records); ATSDR MRLs (1 records); Australia HCIS (1 records).</w:t>
      </w:r>
    </w:p>
    <w:p>
      <w:pPr>
        <w:spacing w:before="240" w:after="120"/>
      </w:pPr>
      <w:r>
        <w:rPr>
          <w:rFonts w:ascii="Times New Roman" w:hAnsi="Times New Roman" w:cs="Times New Roman" w:eastAsia="Times New Roman"/>
          <w:b/>
          <w:i w:val="0"/>
          <w:sz w:val="32"/>
        </w:rPr>
        <w:t>Database Coverage and Retrieval Methodology</w:t>
      </w:r>
    </w:p>
    <w:p>
      <w:pPr>
        <w:spacing w:after="120" w:line="276" w:lineRule="auto"/>
        <w:jc w:val="both"/>
      </w:pPr>
      <w:r>
        <w:rPr>
          <w:rFonts w:ascii="Times New Roman" w:hAnsi="Times New Roman" w:cs="Times New Roman" w:eastAsia="Times New Roman"/>
          <w:b w:val="0"/>
          <w:i w:val="0"/>
          <w:sz w:val="24"/>
        </w:rPr>
        <w:t>Appendix A provides the complete per-database table with search URLs, retrieval status, and document counts. Retrieval used PubMed E-utilities, EuropePMC REST, OpenAlex Works API, PubChem PUG-REST, CrossRef REST, and HTML scrapers for 34 regulatory endpoints including ATSDR, NTP, EPA IRIS, CalEPA OEHHA, NIOSH, OSHA, ECHA, IARC, WHO INCHEM, ILO ICSC, Haz-Map, Canada DSL, Safe Work Australia, AICIS, Japan NITE, Japan PRTR, Korea MOE ICIS, CPDB, Silent Spring, CONCAWE, Semantic Scholar, and Zenodo. Full-text retrieval used PubMed Central JATS XML for papers flagged as open-access.</w:t>
      </w:r>
    </w:p>
    <w:p>
      <w:pPr>
        <w:spacing w:before="240" w:after="120"/>
      </w:pPr>
      <w:r>
        <w:rPr>
          <w:rFonts w:ascii="Times New Roman" w:hAnsi="Times New Roman" w:cs="Times New Roman" w:eastAsia="Times New Roman"/>
          <w:b/>
          <w:i w:val="0"/>
          <w:sz w:val="32"/>
        </w:rPr>
        <w:t>Chemical Properties</w:t>
      </w:r>
    </w:p>
    <w:p>
      <w:pPr>
        <w:spacing w:after="120" w:line="276" w:lineRule="auto"/>
        <w:jc w:val="both"/>
      </w:pPr>
      <w:r>
        <w:rPr>
          <w:rFonts w:ascii="Times New Roman" w:hAnsi="Times New Roman" w:cs="Times New Roman" w:eastAsia="Times New Roman"/>
          <w:b w:val="0"/>
          <w:i w:val="0"/>
          <w:sz w:val="24"/>
        </w:rPr>
        <w:t>The chemical identity and physicochemical properties for Benzene are compiled below from PubChem. Subsequent subsections cover industrial production and uses, structural and spectroscopic characteristics, thermodynamic and kinetic data, production chemistry, and analytical methods.</w:t>
      </w:r>
    </w:p>
    <w:p>
      <w:pPr>
        <w:spacing w:before="240" w:after="120"/>
      </w:pPr>
      <w:r>
        <w:rPr>
          <w:rFonts w:ascii="Times New Roman" w:hAnsi="Times New Roman" w:cs="Times New Roman" w:eastAsia="Times New Roman"/>
          <w:b/>
          <w:i w:val="0"/>
          <w:sz w:val="28"/>
        </w:rPr>
        <w:t>Physical Characteristics</w:t>
      </w:r>
    </w:p>
    <w:p>
      <w:pPr>
        <w:spacing w:after="120" w:line="276" w:lineRule="auto"/>
        <w:jc w:val="both"/>
      </w:pPr>
      <w:r>
        <w:rPr>
          <w:rFonts w:ascii="Times New Roman" w:hAnsi="Times New Roman" w:cs="Times New Roman" w:eastAsia="Times New Roman"/>
          <w:b w:val="0"/>
          <w:i w:val="0"/>
          <w:sz w:val="24"/>
        </w:rPr>
        <w:t>PubChem identity resolution returned: PubChem resolve timed out. Manual CAS lookup recommended.</w:t>
      </w:r>
    </w:p>
    <w:p>
      <w:pPr>
        <w:spacing w:before="240" w:after="120"/>
      </w:pPr>
      <w:r>
        <w:rPr>
          <w:rFonts w:ascii="Times New Roman" w:hAnsi="Times New Roman" w:cs="Times New Roman" w:eastAsia="Times New Roman"/>
          <w:b/>
          <w:i w:val="0"/>
          <w:sz w:val="28"/>
        </w:rPr>
        <w:t>Solubility and Reactivity</w:t>
      </w:r>
    </w:p>
    <w:p>
      <w:pPr>
        <w:spacing w:after="120" w:line="276" w:lineRule="auto"/>
        <w:jc w:val="both"/>
      </w:pPr>
      <w:r>
        <w:rPr>
          <w:rFonts w:ascii="Times New Roman" w:hAnsi="Times New Roman" w:cs="Times New Roman" w:eastAsia="Times New Roman"/>
          <w:b w:val="0"/>
          <w:i w:val="0"/>
          <w:sz w:val="24"/>
        </w:rPr>
        <w:t>Solubility, partition coefficients, and reactivity data for this chemical are available through the PubChem experimental-properties record and the ECHA Registered Substances factsheet (both linked in Appendix A). Source extracts follow in subsequent chapters where available.</w:t>
      </w:r>
    </w:p>
    <w:p>
      <w:pPr>
        <w:spacing w:before="240" w:after="120"/>
      </w:pPr>
      <w:r>
        <w:rPr>
          <w:rFonts w:ascii="Times New Roman" w:hAnsi="Times New Roman" w:cs="Times New Roman" w:eastAsia="Times New Roman"/>
          <w:b/>
          <w:i w:val="0"/>
          <w:sz w:val="28"/>
        </w:rPr>
        <w:t>Industrial Production and Uses</w:t>
      </w:r>
    </w:p>
    <w:p>
      <w:pPr>
        <w:spacing w:after="120" w:line="276" w:lineRule="auto"/>
        <w:jc w:val="both"/>
      </w:pPr>
      <w:r>
        <w:rPr>
          <w:rFonts w:ascii="Times New Roman" w:hAnsi="Times New Roman" w:cs="Times New Roman" w:eastAsia="Times New Roman"/>
          <w:b w:val="0"/>
          <w:i w:val="0"/>
          <w:sz w:val="24"/>
        </w:rPr>
        <w:t>Industrial production, use pattern, and market data are compiled from the PubChem use and manufacturing record, ECHA use descriptors, and — where present — agency ToxProfile or EHC documents referenced in Appendix A.</w:t>
      </w:r>
    </w:p>
    <w:p>
      <w:pPr>
        <w:spacing w:before="240" w:after="120"/>
      </w:pPr>
      <w:r>
        <w:rPr>
          <w:rFonts w:ascii="Times New Roman" w:hAnsi="Times New Roman" w:cs="Times New Roman" w:eastAsia="Times New Roman"/>
          <w:b/>
          <w:i w:val="0"/>
          <w:sz w:val="28"/>
        </w:rPr>
        <w:t>Structural and Spectroscopic Characteristics</w:t>
      </w:r>
    </w:p>
    <w:p>
      <w:pPr>
        <w:spacing w:after="120" w:line="276" w:lineRule="auto"/>
        <w:jc w:val="both"/>
      </w:pPr>
      <w:r>
        <w:rPr>
          <w:rFonts w:ascii="Times New Roman" w:hAnsi="Times New Roman" w:cs="Times New Roman" w:eastAsia="Times New Roman"/>
          <w:b w:val="0"/>
          <w:i w:val="0"/>
          <w:sz w:val="24"/>
        </w:rPr>
        <w:t>Structural descriptors (SMILES, InChI, InChIKey) are listed under Physical Characteristics. Spectroscopic data (IR, UV-Vis, NMR, MS where catalogued) are available through the PubChem spectral record.</w:t>
      </w:r>
    </w:p>
    <w:p>
      <w:pPr>
        <w:spacing w:before="240" w:after="120"/>
      </w:pPr>
      <w:r>
        <w:rPr>
          <w:rFonts w:ascii="Times New Roman" w:hAnsi="Times New Roman" w:cs="Times New Roman" w:eastAsia="Times New Roman"/>
          <w:b/>
          <w:i w:val="0"/>
          <w:sz w:val="28"/>
        </w:rPr>
        <w:t>Thermodynamic and Kinetic Data</w:t>
      </w:r>
    </w:p>
    <w:p>
      <w:pPr>
        <w:spacing w:after="120" w:line="276" w:lineRule="auto"/>
        <w:jc w:val="both"/>
      </w:pPr>
      <w:r>
        <w:rPr>
          <w:rFonts w:ascii="Times New Roman" w:hAnsi="Times New Roman" w:cs="Times New Roman" w:eastAsia="Times New Roman"/>
          <w:b w:val="0"/>
          <w:i w:val="0"/>
          <w:sz w:val="24"/>
        </w:rPr>
        <w:t>Thermodynamic constants (vapour pressure, boiling point, enthalpies of formation and vaporisation) and kinetic parameters are taken from PubChem experimental properties and cross-referenced against the ATSDR and WHO EHC/CICAD tabulations where available.</w:t>
      </w:r>
    </w:p>
    <w:p>
      <w:pPr>
        <w:spacing w:before="240" w:after="120"/>
      </w:pPr>
      <w:r>
        <w:rPr>
          <w:rFonts w:ascii="Times New Roman" w:hAnsi="Times New Roman" w:cs="Times New Roman" w:eastAsia="Times New Roman"/>
          <w:b/>
          <w:i w:val="0"/>
          <w:sz w:val="28"/>
        </w:rPr>
        <w:t>Production Chemistry and Industrial Processes</w:t>
      </w:r>
    </w:p>
    <w:p>
      <w:pPr>
        <w:spacing w:after="120" w:line="276" w:lineRule="auto"/>
        <w:jc w:val="both"/>
      </w:pPr>
      <w:r>
        <w:rPr>
          <w:rFonts w:ascii="Times New Roman" w:hAnsi="Times New Roman" w:cs="Times New Roman" w:eastAsia="Times New Roman"/>
          <w:b w:val="0"/>
          <w:i w:val="0"/>
          <w:sz w:val="24"/>
        </w:rPr>
        <w:t>Production chemistry notes are sourced from ECHA registration dossiers and industry reports (e.g. CONCAWE) where indexed in Appendix A.</w:t>
      </w:r>
    </w:p>
    <w:p>
      <w:pPr>
        <w:spacing w:before="240" w:after="120"/>
      </w:pPr>
      <w:r>
        <w:rPr>
          <w:rFonts w:ascii="Times New Roman" w:hAnsi="Times New Roman" w:cs="Times New Roman" w:eastAsia="Times New Roman"/>
          <w:b/>
          <w:i w:val="0"/>
          <w:sz w:val="28"/>
        </w:rPr>
        <w:t>Analytical Methods and Sampling</w:t>
      </w:r>
    </w:p>
    <w:p>
      <w:pPr>
        <w:spacing w:after="120" w:line="276" w:lineRule="auto"/>
        <w:jc w:val="both"/>
      </w:pPr>
      <w:r>
        <w:rPr>
          <w:rFonts w:ascii="Times New Roman" w:hAnsi="Times New Roman" w:cs="Times New Roman" w:eastAsia="Times New Roman"/>
          <w:b w:val="0"/>
          <w:i w:val="0"/>
          <w:sz w:val="24"/>
        </w:rPr>
        <w:t>Validated analytical and sampling methods are referenced from the NIOSH Manual of Analytical Methods, OSHA sampling methods, and ISO / EPA methods where indexed.</w:t>
      </w:r>
    </w:p>
    <w:p>
      <w:pPr>
        <w:spacing w:before="240" w:after="120"/>
      </w:pPr>
      <w:r>
        <w:rPr>
          <w:rFonts w:ascii="Times New Roman" w:hAnsi="Times New Roman" w:cs="Times New Roman" w:eastAsia="Times New Roman"/>
          <w:b/>
          <w:i w:val="0"/>
          <w:sz w:val="32"/>
        </w:rPr>
        <w:t>Environmental Behaviour</w:t>
      </w:r>
    </w:p>
    <w:p>
      <w:pPr>
        <w:spacing w:after="120" w:line="276" w:lineRule="auto"/>
        <w:jc w:val="both"/>
      </w:pPr>
      <w:r>
        <w:rPr>
          <w:rFonts w:ascii="Times New Roman" w:hAnsi="Times New Roman" w:cs="Times New Roman" w:eastAsia="Times New Roman"/>
          <w:b w:val="0"/>
          <w:i w:val="0"/>
          <w:sz w:val="24"/>
        </w:rPr>
        <w:t>Environmental fate and behaviour of Benzene is summarised below. Where an ATSDR ToxProfile or WHO EHC document is available, verbatim extracts are reproduced in the relevant subsection.</w:t>
      </w:r>
    </w:p>
    <w:p>
      <w:pPr>
        <w:spacing w:before="240" w:after="120"/>
      </w:pPr>
      <w:r>
        <w:rPr>
          <w:rFonts w:ascii="Times New Roman" w:hAnsi="Times New Roman" w:cs="Times New Roman" w:eastAsia="Times New Roman"/>
          <w:b/>
          <w:i w:val="0"/>
          <w:sz w:val="28"/>
        </w:rPr>
        <w:t>Atmospheric Fate</w:t>
      </w:r>
    </w:p>
    <w:p>
      <w:pPr>
        <w:spacing w:after="120" w:line="276" w:lineRule="auto"/>
        <w:jc w:val="both"/>
      </w:pPr>
      <w:r>
        <w:rPr>
          <w:rFonts w:ascii="Times New Roman" w:hAnsi="Times New Roman" w:cs="Times New Roman" w:eastAsia="Times New Roman"/>
          <w:b w:val="0"/>
          <w:i w:val="0"/>
          <w:sz w:val="24"/>
        </w:rPr>
        <w:t>Verbatim extracts from ATSDR, WHO INCHEM, and EPA sources on atmospheric fate are compiled from the agency fetches listed in Appendix A.</w:t>
      </w:r>
    </w:p>
    <w:p>
      <w:pPr>
        <w:spacing w:before="240" w:after="120"/>
      </w:pPr>
      <w:r>
        <w:rPr>
          <w:rFonts w:ascii="Times New Roman" w:hAnsi="Times New Roman" w:cs="Times New Roman" w:eastAsia="Times New Roman"/>
          <w:b/>
          <w:i w:val="0"/>
          <w:sz w:val="28"/>
        </w:rPr>
        <w:t>Aquatic and Soil Fate</w:t>
      </w:r>
    </w:p>
    <w:p>
      <w:pPr>
        <w:spacing w:after="120" w:line="276" w:lineRule="auto"/>
        <w:jc w:val="both"/>
      </w:pPr>
      <w:r>
        <w:rPr>
          <w:rFonts w:ascii="Times New Roman" w:hAnsi="Times New Roman" w:cs="Times New Roman" w:eastAsia="Times New Roman"/>
          <w:b w:val="0"/>
          <w:i w:val="0"/>
          <w:sz w:val="24"/>
        </w:rPr>
        <w:t>Verbatim extracts from ATSDR, WHO INCHEM, and EPA sources on aquatic and soil fate are compiled from the agency fetches listed in Appendix A.</w:t>
      </w:r>
    </w:p>
    <w:p>
      <w:pPr>
        <w:spacing w:before="240" w:after="120"/>
      </w:pPr>
      <w:r>
        <w:rPr>
          <w:rFonts w:ascii="Times New Roman" w:hAnsi="Times New Roman" w:cs="Times New Roman" w:eastAsia="Times New Roman"/>
          <w:b/>
          <w:i w:val="0"/>
          <w:sz w:val="28"/>
        </w:rPr>
        <w:t>Bioaccumulation</w:t>
      </w:r>
    </w:p>
    <w:p>
      <w:pPr>
        <w:spacing w:after="120" w:line="276" w:lineRule="auto"/>
        <w:jc w:val="both"/>
      </w:pPr>
      <w:r>
        <w:rPr>
          <w:rFonts w:ascii="Times New Roman" w:hAnsi="Times New Roman" w:cs="Times New Roman" w:eastAsia="Times New Roman"/>
          <w:b w:val="0"/>
          <w:i w:val="0"/>
          <w:sz w:val="24"/>
        </w:rPr>
        <w:t>Verbatim extracts from ATSDR, WHO INCHEM, and EPA sources on bioaccumulation are compiled from the agency fetches listed in Appendix A.</w:t>
      </w:r>
    </w:p>
    <w:p>
      <w:pPr>
        <w:spacing w:before="240" w:after="120"/>
      </w:pPr>
      <w:r>
        <w:rPr>
          <w:rFonts w:ascii="Times New Roman" w:hAnsi="Times New Roman" w:cs="Times New Roman" w:eastAsia="Times New Roman"/>
          <w:b/>
          <w:i w:val="0"/>
          <w:sz w:val="28"/>
        </w:rPr>
        <w:t>Transport and Dispersion Modelling</w:t>
      </w:r>
    </w:p>
    <w:p>
      <w:pPr>
        <w:spacing w:after="120" w:line="276" w:lineRule="auto"/>
        <w:jc w:val="both"/>
      </w:pPr>
      <w:r>
        <w:rPr>
          <w:rFonts w:ascii="Times New Roman" w:hAnsi="Times New Roman" w:cs="Times New Roman" w:eastAsia="Times New Roman"/>
          <w:b w:val="0"/>
          <w:i w:val="0"/>
          <w:sz w:val="24"/>
        </w:rPr>
        <w:t>Verbatim extracts from ATSDR, WHO INCHEM, and EPA sources on transport and dispersion modelling are compiled from the agency fetches listed in Appendix A.</w:t>
      </w:r>
    </w:p>
    <w:p>
      <w:pPr>
        <w:spacing w:before="240" w:after="120"/>
      </w:pPr>
      <w:r>
        <w:rPr>
          <w:rFonts w:ascii="Times New Roman" w:hAnsi="Times New Roman" w:cs="Times New Roman" w:eastAsia="Times New Roman"/>
          <w:b/>
          <w:i w:val="0"/>
          <w:sz w:val="28"/>
        </w:rPr>
        <w:t>Biodegradation and Microbial Transformation</w:t>
      </w:r>
    </w:p>
    <w:p>
      <w:pPr>
        <w:spacing w:after="120" w:line="276" w:lineRule="auto"/>
        <w:jc w:val="both"/>
      </w:pPr>
      <w:r>
        <w:rPr>
          <w:rFonts w:ascii="Times New Roman" w:hAnsi="Times New Roman" w:cs="Times New Roman" w:eastAsia="Times New Roman"/>
          <w:b w:val="0"/>
          <w:i w:val="0"/>
          <w:sz w:val="24"/>
        </w:rPr>
        <w:t>Verbatim extracts from ATSDR, WHO INCHEM, and EPA sources on biodegradation and microbial transformation are compiled from the agency fetches listed in Appendix A.</w:t>
      </w:r>
    </w:p>
    <w:p>
      <w:pPr>
        <w:spacing w:before="240" w:after="120"/>
      </w:pPr>
      <w:r>
        <w:rPr>
          <w:rFonts w:ascii="Times New Roman" w:hAnsi="Times New Roman" w:cs="Times New Roman" w:eastAsia="Times New Roman"/>
          <w:b/>
          <w:i w:val="0"/>
          <w:sz w:val="28"/>
        </w:rPr>
        <w:t>Monitoring Networks and Data Sources</w:t>
      </w:r>
    </w:p>
    <w:p>
      <w:pPr>
        <w:spacing w:after="120" w:line="276" w:lineRule="auto"/>
        <w:jc w:val="both"/>
      </w:pPr>
      <w:r>
        <w:rPr>
          <w:rFonts w:ascii="Times New Roman" w:hAnsi="Times New Roman" w:cs="Times New Roman" w:eastAsia="Times New Roman"/>
          <w:b w:val="0"/>
          <w:i w:val="0"/>
          <w:sz w:val="24"/>
        </w:rPr>
        <w:t>Verbatim extracts from ATSDR, WHO INCHEM, and EPA sources on monitoring networks and data sources are compiled from the agency fetches listed in Appendix A.</w:t>
      </w:r>
    </w:p>
    <w:p>
      <w:pPr>
        <w:spacing w:before="240" w:after="120"/>
      </w:pPr>
      <w:r>
        <w:rPr>
          <w:rFonts w:ascii="Times New Roman" w:hAnsi="Times New Roman" w:cs="Times New Roman" w:eastAsia="Times New Roman"/>
          <w:b/>
          <w:i w:val="0"/>
          <w:sz w:val="28"/>
        </w:rPr>
        <w:t>Climate-Change Interactions</w:t>
      </w:r>
    </w:p>
    <w:p>
      <w:pPr>
        <w:spacing w:after="120" w:line="276" w:lineRule="auto"/>
        <w:jc w:val="both"/>
      </w:pPr>
      <w:r>
        <w:rPr>
          <w:rFonts w:ascii="Times New Roman" w:hAnsi="Times New Roman" w:cs="Times New Roman" w:eastAsia="Times New Roman"/>
          <w:b w:val="0"/>
          <w:i w:val="0"/>
          <w:sz w:val="24"/>
        </w:rPr>
        <w:t>Verbatim extracts from ATSDR, WHO INCHEM, and EPA sources on climate-change interactions are compiled from the agency fetches listed in Appendix A.</w:t>
      </w:r>
    </w:p>
    <w:p>
      <w:pPr>
        <w:spacing w:before="240" w:after="120"/>
      </w:pPr>
      <w:r>
        <w:rPr>
          <w:rFonts w:ascii="Times New Roman" w:hAnsi="Times New Roman" w:cs="Times New Roman" w:eastAsia="Times New Roman"/>
          <w:b/>
          <w:i w:val="0"/>
          <w:sz w:val="28"/>
        </w:rPr>
        <w:t>Global and Regional Reporting Frameworks</w:t>
      </w:r>
    </w:p>
    <w:p>
      <w:pPr>
        <w:spacing w:after="120" w:line="276" w:lineRule="auto"/>
        <w:jc w:val="both"/>
      </w:pPr>
      <w:r>
        <w:rPr>
          <w:rFonts w:ascii="Times New Roman" w:hAnsi="Times New Roman" w:cs="Times New Roman" w:eastAsia="Times New Roman"/>
          <w:b w:val="0"/>
          <w:i w:val="0"/>
          <w:sz w:val="24"/>
        </w:rPr>
        <w:t>Verbatim extracts from ATSDR, WHO INCHEM, and EPA sources on global and regional reporting frameworks are compiled from the agency fetches listed in Appendix A.</w:t>
      </w:r>
    </w:p>
    <w:p>
      <w:pPr>
        <w:spacing w:before="240" w:after="120"/>
      </w:pPr>
      <w:r>
        <w:rPr>
          <w:rFonts w:ascii="Times New Roman" w:hAnsi="Times New Roman" w:cs="Times New Roman" w:eastAsia="Times New Roman"/>
          <w:b/>
          <w:i w:val="0"/>
          <w:sz w:val="32"/>
        </w:rPr>
        <w:t>Sources of Exposure</w:t>
      </w:r>
    </w:p>
    <w:p>
      <w:pPr>
        <w:spacing w:after="120" w:line="276" w:lineRule="auto"/>
        <w:jc w:val="both"/>
      </w:pPr>
      <w:r>
        <w:rPr>
          <w:rFonts w:ascii="Times New Roman" w:hAnsi="Times New Roman" w:cs="Times New Roman" w:eastAsia="Times New Roman"/>
          <w:b w:val="0"/>
          <w:i w:val="0"/>
          <w:sz w:val="24"/>
        </w:rPr>
        <w:t>Exposure sources for Benzene span consumer, occupational, and environmental pathways. Verbatim content from regulatory agency pages is reproduced under each subsection where available.</w:t>
      </w:r>
    </w:p>
    <w:p>
      <w:pPr>
        <w:spacing w:before="240" w:after="120"/>
      </w:pPr>
      <w:r>
        <w:rPr>
          <w:rFonts w:ascii="Times New Roman" w:hAnsi="Times New Roman" w:cs="Times New Roman" w:eastAsia="Times New Roman"/>
          <w:b/>
          <w:i w:val="0"/>
          <w:sz w:val="28"/>
        </w:rPr>
        <w:t>Consumer Products</w:t>
      </w:r>
    </w:p>
    <w:p>
      <w:pPr>
        <w:spacing w:after="120" w:line="276" w:lineRule="auto"/>
        <w:jc w:val="both"/>
      </w:pPr>
      <w:r>
        <w:rPr>
          <w:rFonts w:ascii="Times New Roman" w:hAnsi="Times New Roman" w:cs="Times New Roman" w:eastAsia="Times New Roman"/>
          <w:b w:val="0"/>
          <w:i w:val="0"/>
          <w:sz w:val="24"/>
        </w:rPr>
        <w:t>Consumer-product uses are catalogued from PubChem Hazardous Substances Data Bank (HSDB) and ECHA use descriptors.</w:t>
      </w:r>
    </w:p>
    <w:p>
      <w:pPr>
        <w:spacing w:before="240" w:after="120"/>
      </w:pPr>
      <w:r>
        <w:rPr>
          <w:rFonts w:ascii="Times New Roman" w:hAnsi="Times New Roman" w:cs="Times New Roman" w:eastAsia="Times New Roman"/>
          <w:b/>
          <w:i w:val="0"/>
          <w:sz w:val="28"/>
        </w:rPr>
        <w:t>Occupational Exposure</w:t>
      </w:r>
    </w:p>
    <w:p>
      <w:pPr>
        <w:spacing w:after="120" w:line="276" w:lineRule="auto"/>
        <w:jc w:val="both"/>
      </w:pPr>
      <w:r>
        <w:rPr>
          <w:rFonts w:ascii="Times New Roman" w:hAnsi="Times New Roman" w:cs="Times New Roman" w:eastAsia="Times New Roman"/>
          <w:b w:val="0"/>
          <w:i w:val="0"/>
          <w:sz w:val="24"/>
        </w:rPr>
        <w:t>No peer-reviewed PMC full-text articles in the current harvest were classified under Occupational Exposure. This chapter will be populated once additional full-text records are indexed in a future re-harvest run.</w:t>
      </w:r>
    </w:p>
    <w:p>
      <w:pPr>
        <w:spacing w:before="240" w:after="120"/>
      </w:pPr>
      <w:r>
        <w:rPr>
          <w:rFonts w:ascii="Times New Roman" w:hAnsi="Times New Roman" w:cs="Times New Roman" w:eastAsia="Times New Roman"/>
          <w:b/>
          <w:i w:val="0"/>
          <w:sz w:val="28"/>
        </w:rPr>
        <w:t>Environmental Exposure</w:t>
      </w:r>
    </w:p>
    <w:p>
      <w:pPr>
        <w:spacing w:after="120" w:line="276" w:lineRule="auto"/>
        <w:jc w:val="both"/>
      </w:pPr>
      <w:r>
        <w:rPr>
          <w:rFonts w:ascii="Times New Roman" w:hAnsi="Times New Roman" w:cs="Times New Roman" w:eastAsia="Times New Roman"/>
          <w:b w:val="0"/>
          <w:i w:val="0"/>
          <w:sz w:val="24"/>
        </w:rPr>
        <w:t>No peer-reviewed PMC full-text articles in the current harvest were classified under Environmental Exposure. This chapter will be populated once additional full-text records are indexed in a future re-harvest run.</w:t>
      </w:r>
    </w:p>
    <w:p>
      <w:pPr>
        <w:spacing w:before="240" w:after="120"/>
      </w:pPr>
      <w:r>
        <w:rPr>
          <w:rFonts w:ascii="Times New Roman" w:hAnsi="Times New Roman" w:cs="Times New Roman" w:eastAsia="Times New Roman"/>
          <w:b/>
          <w:i w:val="0"/>
          <w:sz w:val="28"/>
        </w:rPr>
        <w:t>Water and Soil Contamination</w:t>
      </w:r>
    </w:p>
    <w:p>
      <w:pPr>
        <w:spacing w:after="120" w:line="276" w:lineRule="auto"/>
        <w:jc w:val="both"/>
      </w:pPr>
      <w:r>
        <w:rPr>
          <w:rFonts w:ascii="Times New Roman" w:hAnsi="Times New Roman" w:cs="Times New Roman" w:eastAsia="Times New Roman"/>
          <w:b w:val="0"/>
          <w:i w:val="0"/>
          <w:sz w:val="24"/>
        </w:rPr>
        <w:t>Water and soil contamination data are taken from EPA IRIS, ATSDR ToxProfiles, and environmental-monitoring records indexed in Appendix A.</w:t>
      </w:r>
    </w:p>
    <w:p>
      <w:pPr>
        <w:spacing w:before="240" w:after="120"/>
      </w:pPr>
      <w:r>
        <w:rPr>
          <w:rFonts w:ascii="Times New Roman" w:hAnsi="Times New Roman" w:cs="Times New Roman" w:eastAsia="Times New Roman"/>
          <w:b/>
          <w:i w:val="0"/>
          <w:sz w:val="28"/>
        </w:rPr>
        <w:t>Mitigation of Exposure</w:t>
      </w:r>
    </w:p>
    <w:p>
      <w:pPr>
        <w:spacing w:after="120" w:line="276" w:lineRule="auto"/>
        <w:jc w:val="both"/>
      </w:pPr>
      <w:r>
        <w:rPr>
          <w:rFonts w:ascii="Times New Roman" w:hAnsi="Times New Roman" w:cs="Times New Roman" w:eastAsia="Times New Roman"/>
          <w:b w:val="0"/>
          <w:i w:val="0"/>
          <w:sz w:val="24"/>
        </w:rPr>
        <w:t>See Chapter 13 (Mitigation and Prevention) for engineering controls, PPE, and substitution strategies.</w:t>
      </w:r>
    </w:p>
    <w:p>
      <w:pPr>
        <w:spacing w:before="240" w:after="120"/>
      </w:pPr>
      <w:r>
        <w:rPr>
          <w:rFonts w:ascii="Times New Roman" w:hAnsi="Times New Roman" w:cs="Times New Roman" w:eastAsia="Times New Roman"/>
          <w:b/>
          <w:i w:val="0"/>
          <w:sz w:val="28"/>
        </w:rPr>
        <w:t>Historical Trends in Production and Exposure</w:t>
      </w:r>
    </w:p>
    <w:p>
      <w:pPr>
        <w:spacing w:after="120" w:line="276" w:lineRule="auto"/>
        <w:jc w:val="both"/>
      </w:pPr>
      <w:r>
        <w:rPr>
          <w:rFonts w:ascii="Times New Roman" w:hAnsi="Times New Roman" w:cs="Times New Roman" w:eastAsia="Times New Roman"/>
          <w:b w:val="0"/>
          <w:i w:val="0"/>
          <w:sz w:val="24"/>
        </w:rPr>
        <w:t>Historical production and exposure trends are compiled from ECHA registration dossier history, US TRI records, and agency reports.</w:t>
      </w:r>
    </w:p>
    <w:p>
      <w:pPr>
        <w:spacing w:before="240" w:after="120"/>
      </w:pPr>
      <w:r>
        <w:rPr>
          <w:rFonts w:ascii="Times New Roman" w:hAnsi="Times New Roman" w:cs="Times New Roman" w:eastAsia="Times New Roman"/>
          <w:b/>
          <w:i w:val="0"/>
          <w:sz w:val="28"/>
        </w:rPr>
        <w:t>Food, Consumer Products, and Indirect Exposures</w:t>
      </w:r>
    </w:p>
    <w:p>
      <w:pPr>
        <w:spacing w:after="120" w:line="276" w:lineRule="auto"/>
        <w:jc w:val="both"/>
      </w:pPr>
      <w:r>
        <w:rPr>
          <w:rFonts w:ascii="Times New Roman" w:hAnsi="Times New Roman" w:cs="Times New Roman" w:eastAsia="Times New Roman"/>
          <w:b w:val="0"/>
          <w:i w:val="0"/>
          <w:sz w:val="24"/>
        </w:rPr>
        <w:t>Dietary and indirect exposure sources are compiled from PubChem use records and WHO/JECFA assessments where indexed.</w:t>
      </w:r>
    </w:p>
    <w:p>
      <w:pPr>
        <w:spacing w:before="240" w:after="120"/>
      </w:pPr>
      <w:r>
        <w:rPr>
          <w:rFonts w:ascii="Times New Roman" w:hAnsi="Times New Roman" w:cs="Times New Roman" w:eastAsia="Times New Roman"/>
          <w:b/>
          <w:i w:val="0"/>
          <w:sz w:val="28"/>
        </w:rPr>
        <w:t>Traffic and Urban Air Sources</w:t>
      </w:r>
    </w:p>
    <w:p>
      <w:pPr>
        <w:spacing w:after="120" w:line="276" w:lineRule="auto"/>
        <w:jc w:val="both"/>
      </w:pPr>
      <w:r>
        <w:rPr>
          <w:rFonts w:ascii="Times New Roman" w:hAnsi="Times New Roman" w:cs="Times New Roman" w:eastAsia="Times New Roman"/>
          <w:b w:val="0"/>
          <w:i w:val="0"/>
          <w:sz w:val="24"/>
        </w:rPr>
        <w:t>Traffic and urban-air source data are taken from EPA National Emissions Inventory, ambient-air monitoring networks, and the agency sources listed in Appendix A.</w:t>
      </w:r>
    </w:p>
    <w:p>
      <w:pPr>
        <w:spacing w:before="240" w:after="120"/>
      </w:pPr>
      <w:r>
        <w:rPr>
          <w:rFonts w:ascii="Times New Roman" w:hAnsi="Times New Roman" w:cs="Times New Roman" w:eastAsia="Times New Roman"/>
          <w:b/>
          <w:i w:val="0"/>
          <w:sz w:val="28"/>
        </w:rPr>
        <w:t>Natural Sources and Baseline Contributions</w:t>
      </w:r>
    </w:p>
    <w:p>
      <w:pPr>
        <w:spacing w:after="120" w:line="276" w:lineRule="auto"/>
        <w:jc w:val="both"/>
      </w:pPr>
      <w:r>
        <w:rPr>
          <w:rFonts w:ascii="Times New Roman" w:hAnsi="Times New Roman" w:cs="Times New Roman" w:eastAsia="Times New Roman"/>
          <w:b w:val="0"/>
          <w:i w:val="0"/>
          <w:sz w:val="24"/>
        </w:rPr>
        <w:t>Natural sources and background contributions are compiled from EPA and ATSDR baseline-exposure discussions where available.</w:t>
      </w:r>
    </w:p>
    <w:p>
      <w:pPr>
        <w:spacing w:before="240" w:after="120"/>
      </w:pPr>
      <w:r>
        <w:rPr>
          <w:rFonts w:ascii="Times New Roman" w:hAnsi="Times New Roman" w:cs="Times New Roman" w:eastAsia="Times New Roman"/>
          <w:b/>
          <w:i w:val="0"/>
          <w:sz w:val="32"/>
        </w:rPr>
        <w:t>Health Effects</w:t>
      </w:r>
    </w:p>
    <w:p>
      <w:pPr>
        <w:spacing w:after="120" w:line="276" w:lineRule="auto"/>
        <w:jc w:val="both"/>
      </w:pPr>
      <w:r>
        <w:rPr>
          <w:rFonts w:ascii="Times New Roman" w:hAnsi="Times New Roman" w:cs="Times New Roman" w:eastAsia="Times New Roman"/>
          <w:b w:val="0"/>
          <w:i w:val="0"/>
          <w:sz w:val="24"/>
        </w:rPr>
        <w:t>Health effects for Benzene are organised below by endpoint, following the Benzene v3 chapter template. Each subsection carries verbatim extracts from the peer-reviewed PMC JATS articles the pipeline classified under that endpoint based on title and abstract keywords.</w:t>
      </w:r>
    </w:p>
    <w:p>
      <w:pPr>
        <w:spacing w:before="240" w:after="120"/>
      </w:pPr>
      <w:r>
        <w:rPr>
          <w:rFonts w:ascii="Times New Roman" w:hAnsi="Times New Roman" w:cs="Times New Roman" w:eastAsia="Times New Roman"/>
          <w:b/>
          <w:i w:val="0"/>
          <w:sz w:val="28"/>
        </w:rPr>
        <w:t>Acute Health Effects</w:t>
      </w:r>
    </w:p>
    <w:p>
      <w:pPr>
        <w:spacing w:after="120" w:line="276" w:lineRule="auto"/>
        <w:jc w:val="both"/>
      </w:pPr>
      <w:r>
        <w:rPr>
          <w:rFonts w:ascii="Times New Roman" w:hAnsi="Times New Roman" w:cs="Times New Roman" w:eastAsia="Times New Roman"/>
          <w:b w:val="0"/>
          <w:i w:val="0"/>
          <w:sz w:val="24"/>
        </w:rPr>
        <w:t>No peer-reviewed PMC full-text articles in the current harvest were classified under Acute Health Effects. This chapter will be populated once additional full-text records are indexed in a future re-harvest run.</w:t>
      </w:r>
    </w:p>
    <w:p>
      <w:pPr>
        <w:spacing w:before="240" w:after="120"/>
      </w:pPr>
      <w:r>
        <w:rPr>
          <w:rFonts w:ascii="Times New Roman" w:hAnsi="Times New Roman" w:cs="Times New Roman" w:eastAsia="Times New Roman"/>
          <w:b/>
          <w:i w:val="0"/>
          <w:sz w:val="28"/>
        </w:rPr>
        <w:t>Long-Term Health Effects</w:t>
      </w:r>
    </w:p>
    <w:p>
      <w:pPr>
        <w:spacing w:after="120" w:line="276" w:lineRule="auto"/>
        <w:jc w:val="both"/>
      </w:pPr>
      <w:r>
        <w:rPr>
          <w:rFonts w:ascii="Times New Roman" w:hAnsi="Times New Roman" w:cs="Times New Roman" w:eastAsia="Times New Roman"/>
          <w:b w:val="0"/>
          <w:i w:val="0"/>
          <w:sz w:val="24"/>
        </w:rPr>
        <w:t>No peer-reviewed PMC full-text articles in the current harvest were classified under Long-Term Health Effects. This chapter will be populated once additional full-text records are indexed in a future re-harvest run.</w:t>
      </w:r>
    </w:p>
    <w:p>
      <w:pPr>
        <w:spacing w:before="240" w:after="120"/>
      </w:pPr>
      <w:r>
        <w:rPr>
          <w:rFonts w:ascii="Times New Roman" w:hAnsi="Times New Roman" w:cs="Times New Roman" w:eastAsia="Times New Roman"/>
          <w:b/>
          <w:i w:val="0"/>
          <w:sz w:val="28"/>
        </w:rPr>
        <w:t>Carcinogenicity</w:t>
      </w:r>
    </w:p>
    <w:p>
      <w:pPr>
        <w:spacing w:after="120" w:line="276" w:lineRule="auto"/>
        <w:jc w:val="both"/>
      </w:pPr>
      <w:r>
        <w:rPr>
          <w:rFonts w:ascii="Times New Roman" w:hAnsi="Times New Roman" w:cs="Times New Roman" w:eastAsia="Times New Roman"/>
          <w:b w:val="0"/>
          <w:i w:val="0"/>
          <w:sz w:val="24"/>
        </w:rPr>
        <w:t>No peer-reviewed PMC full-text articles in the current harvest were classified under Carcinogenicity. This chapter will be populated once additional full-text records are indexed in a future re-harvest run.</w:t>
      </w:r>
    </w:p>
    <w:p>
      <w:pPr>
        <w:spacing w:before="240" w:after="120"/>
      </w:pPr>
      <w:r>
        <w:rPr>
          <w:rFonts w:ascii="Times New Roman" w:hAnsi="Times New Roman" w:cs="Times New Roman" w:eastAsia="Times New Roman"/>
          <w:b/>
          <w:i w:val="0"/>
          <w:sz w:val="28"/>
        </w:rPr>
        <w:t>Hematotoxicity</w:t>
      </w:r>
    </w:p>
    <w:p>
      <w:pPr>
        <w:spacing w:after="120" w:line="276" w:lineRule="auto"/>
        <w:jc w:val="both"/>
      </w:pPr>
      <w:r>
        <w:rPr>
          <w:rFonts w:ascii="Times New Roman" w:hAnsi="Times New Roman" w:cs="Times New Roman" w:eastAsia="Times New Roman"/>
          <w:b w:val="0"/>
          <w:i w:val="0"/>
          <w:sz w:val="24"/>
        </w:rPr>
        <w:t>No peer-reviewed PMC full-text articles in the current harvest were classified under Hematotoxicity. This chapter will be populated once additional full-text records are indexed in a future re-harvest run.</w:t>
      </w:r>
    </w:p>
    <w:p>
      <w:pPr>
        <w:spacing w:before="240" w:after="120"/>
      </w:pPr>
      <w:r>
        <w:rPr>
          <w:rFonts w:ascii="Times New Roman" w:hAnsi="Times New Roman" w:cs="Times New Roman" w:eastAsia="Times New Roman"/>
          <w:b/>
          <w:i w:val="0"/>
          <w:sz w:val="28"/>
        </w:rPr>
        <w:t>Genotoxicity and Mutagenicity</w:t>
      </w:r>
    </w:p>
    <w:p>
      <w:pPr>
        <w:spacing w:after="120" w:line="276" w:lineRule="auto"/>
        <w:jc w:val="both"/>
      </w:pPr>
      <w:r>
        <w:rPr>
          <w:rFonts w:ascii="Times New Roman" w:hAnsi="Times New Roman" w:cs="Times New Roman" w:eastAsia="Times New Roman"/>
          <w:b w:val="0"/>
          <w:i w:val="0"/>
          <w:sz w:val="24"/>
        </w:rPr>
        <w:t>No peer-reviewed PMC full-text articles in the current harvest were classified under Genotoxicity and Mutagenicity. This chapter will be populated once additional full-text records are indexed in a future re-harvest run.</w:t>
      </w:r>
    </w:p>
    <w:p>
      <w:pPr>
        <w:spacing w:before="240" w:after="120"/>
      </w:pPr>
      <w:r>
        <w:rPr>
          <w:rFonts w:ascii="Times New Roman" w:hAnsi="Times New Roman" w:cs="Times New Roman" w:eastAsia="Times New Roman"/>
          <w:b/>
          <w:i w:val="0"/>
          <w:sz w:val="28"/>
        </w:rPr>
        <w:t>Neurotoxicity</w:t>
      </w:r>
    </w:p>
    <w:p>
      <w:pPr>
        <w:spacing w:after="120" w:line="276" w:lineRule="auto"/>
        <w:jc w:val="both"/>
      </w:pPr>
      <w:r>
        <w:rPr>
          <w:rFonts w:ascii="Times New Roman" w:hAnsi="Times New Roman" w:cs="Times New Roman" w:eastAsia="Times New Roman"/>
          <w:b w:val="0"/>
          <w:i w:val="0"/>
          <w:sz w:val="24"/>
        </w:rPr>
        <w:t>No peer-reviewed PMC full-text articles in the current harvest were classified under Neurotoxicity. This chapter will be populated once additional full-text records are indexed in a future re-harvest run.</w:t>
      </w:r>
    </w:p>
    <w:p>
      <w:pPr>
        <w:spacing w:before="240" w:after="120"/>
      </w:pPr>
      <w:r>
        <w:rPr>
          <w:rFonts w:ascii="Times New Roman" w:hAnsi="Times New Roman" w:cs="Times New Roman" w:eastAsia="Times New Roman"/>
          <w:b/>
          <w:i w:val="0"/>
          <w:sz w:val="28"/>
        </w:rPr>
        <w:t>Immunotoxicity</w:t>
      </w:r>
    </w:p>
    <w:p>
      <w:pPr>
        <w:spacing w:after="120" w:line="276" w:lineRule="auto"/>
        <w:jc w:val="both"/>
      </w:pPr>
      <w:r>
        <w:rPr>
          <w:rFonts w:ascii="Times New Roman" w:hAnsi="Times New Roman" w:cs="Times New Roman" w:eastAsia="Times New Roman"/>
          <w:b w:val="0"/>
          <w:i w:val="0"/>
          <w:sz w:val="24"/>
        </w:rPr>
        <w:t>No peer-reviewed PMC full-text articles in the current harvest were classified under Immunotoxicity. This chapter will be populated once additional full-text records are indexed in a future re-harvest run.</w:t>
      </w:r>
    </w:p>
    <w:p>
      <w:pPr>
        <w:spacing w:before="240" w:after="120"/>
      </w:pPr>
      <w:r>
        <w:rPr>
          <w:rFonts w:ascii="Times New Roman" w:hAnsi="Times New Roman" w:cs="Times New Roman" w:eastAsia="Times New Roman"/>
          <w:b/>
          <w:i w:val="0"/>
          <w:sz w:val="28"/>
        </w:rPr>
        <w:t>Reproductive and Developmental Toxicity</w:t>
      </w:r>
    </w:p>
    <w:p>
      <w:pPr>
        <w:spacing w:after="120" w:line="276" w:lineRule="auto"/>
        <w:jc w:val="both"/>
      </w:pPr>
      <w:r>
        <w:rPr>
          <w:rFonts w:ascii="Times New Roman" w:hAnsi="Times New Roman" w:cs="Times New Roman" w:eastAsia="Times New Roman"/>
          <w:b w:val="0"/>
          <w:i w:val="0"/>
          <w:sz w:val="24"/>
        </w:rPr>
        <w:t>No peer-reviewed PMC full-text articles in the current harvest were classified under Reproductive and Developmental Toxicity. This chapter will be populated once additional full-text records are indexed in a future re-harvest run.</w:t>
      </w:r>
    </w:p>
    <w:p>
      <w:pPr>
        <w:spacing w:before="240" w:after="120"/>
      </w:pPr>
      <w:r>
        <w:rPr>
          <w:rFonts w:ascii="Times New Roman" w:hAnsi="Times New Roman" w:cs="Times New Roman" w:eastAsia="Times New Roman"/>
          <w:b/>
          <w:i w:val="0"/>
          <w:sz w:val="28"/>
        </w:rPr>
        <w:t>Organ-Specific Toxicity</w:t>
      </w:r>
    </w:p>
    <w:p>
      <w:pPr>
        <w:spacing w:after="120" w:line="276" w:lineRule="auto"/>
        <w:jc w:val="both"/>
      </w:pPr>
      <w:r>
        <w:rPr>
          <w:rFonts w:ascii="Times New Roman" w:hAnsi="Times New Roman" w:cs="Times New Roman" w:eastAsia="Times New Roman"/>
          <w:b w:val="0"/>
          <w:i w:val="0"/>
          <w:sz w:val="24"/>
        </w:rPr>
        <w:t>No peer-reviewed PMC full-text articles in the current harvest were classified under Organ-Specific Toxicity. This chapter will be populated once additional full-text records are indexed in a future re-harvest run.</w:t>
      </w:r>
    </w:p>
    <w:p>
      <w:pPr>
        <w:spacing w:before="240" w:after="120"/>
      </w:pPr>
      <w:r>
        <w:rPr>
          <w:rFonts w:ascii="Times New Roman" w:hAnsi="Times New Roman" w:cs="Times New Roman" w:eastAsia="Times New Roman"/>
          <w:b/>
          <w:i w:val="0"/>
          <w:sz w:val="28"/>
        </w:rPr>
        <w:t>Key Pivotal Cohort Studies</w:t>
      </w:r>
    </w:p>
    <w:p>
      <w:pPr>
        <w:spacing w:after="120" w:line="276" w:lineRule="auto"/>
        <w:jc w:val="both"/>
      </w:pPr>
      <w:r>
        <w:rPr>
          <w:rFonts w:ascii="Times New Roman" w:hAnsi="Times New Roman" w:cs="Times New Roman" w:eastAsia="Times New Roman"/>
          <w:b w:val="0"/>
          <w:i w:val="0"/>
          <w:sz w:val="24"/>
        </w:rPr>
        <w:t>No peer-reviewed PMC full-text articles in the current harvest were classified under Key Pivotal Cohort Studies. This chapter will be populated once additional full-text records are indexed in a future re-harvest run.</w:t>
      </w:r>
    </w:p>
    <w:p>
      <w:pPr>
        <w:spacing w:before="240" w:after="120"/>
      </w:pPr>
      <w:r>
        <w:rPr>
          <w:rFonts w:ascii="Times New Roman" w:hAnsi="Times New Roman" w:cs="Times New Roman" w:eastAsia="Times New Roman"/>
          <w:b/>
          <w:i w:val="0"/>
          <w:sz w:val="28"/>
        </w:rPr>
        <w:t>Non-Malignant Respiratory and Cardiovascular Effects</w:t>
      </w:r>
    </w:p>
    <w:p>
      <w:pPr>
        <w:spacing w:after="120" w:line="276" w:lineRule="auto"/>
        <w:jc w:val="both"/>
      </w:pPr>
      <w:r>
        <w:rPr>
          <w:rFonts w:ascii="Times New Roman" w:hAnsi="Times New Roman" w:cs="Times New Roman" w:eastAsia="Times New Roman"/>
          <w:b w:val="0"/>
          <w:i w:val="0"/>
          <w:sz w:val="24"/>
        </w:rPr>
        <w:t>No peer-reviewed PMC full-text articles in the current harvest were classified under Non-Malignant Respiratory and Cardiovascular Effects. This chapter will be populated once additional full-text records are indexed in a future re-harvest run.</w:t>
      </w:r>
    </w:p>
    <w:p>
      <w:pPr>
        <w:spacing w:before="240" w:after="120"/>
      </w:pPr>
      <w:r>
        <w:rPr>
          <w:rFonts w:ascii="Times New Roman" w:hAnsi="Times New Roman" w:cs="Times New Roman" w:eastAsia="Times New Roman"/>
          <w:b/>
          <w:i w:val="0"/>
          <w:sz w:val="28"/>
        </w:rPr>
        <w:t>Skin and Mucous-Membrane Effects</w:t>
      </w:r>
    </w:p>
    <w:p>
      <w:pPr>
        <w:spacing w:after="120" w:line="276" w:lineRule="auto"/>
        <w:jc w:val="both"/>
      </w:pPr>
      <w:r>
        <w:rPr>
          <w:rFonts w:ascii="Times New Roman" w:hAnsi="Times New Roman" w:cs="Times New Roman" w:eastAsia="Times New Roman"/>
          <w:b w:val="0"/>
          <w:i w:val="0"/>
          <w:sz w:val="24"/>
        </w:rPr>
        <w:t>No peer-reviewed PMC full-text articles in the current harvest were classified under Skin and Mucous-Membrane Effects. This chapter will be populated once additional full-text records are indexed in a future re-harvest run.</w:t>
      </w:r>
    </w:p>
    <w:p>
      <w:pPr>
        <w:spacing w:before="240" w:after="120"/>
      </w:pPr>
      <w:r>
        <w:rPr>
          <w:rFonts w:ascii="Times New Roman" w:hAnsi="Times New Roman" w:cs="Times New Roman" w:eastAsia="Times New Roman"/>
          <w:b/>
          <w:i w:val="0"/>
          <w:sz w:val="28"/>
        </w:rPr>
        <w:t>Oxidative Stress and Epigenetic Effects</w:t>
      </w:r>
    </w:p>
    <w:p>
      <w:pPr>
        <w:spacing w:after="120" w:line="276" w:lineRule="auto"/>
        <w:jc w:val="both"/>
      </w:pPr>
      <w:r>
        <w:rPr>
          <w:rFonts w:ascii="Times New Roman" w:hAnsi="Times New Roman" w:cs="Times New Roman" w:eastAsia="Times New Roman"/>
          <w:b w:val="0"/>
          <w:i w:val="0"/>
          <w:sz w:val="24"/>
        </w:rPr>
        <w:t>No peer-reviewed PMC full-text articles in the current harvest were classified under Oxidative Stress and Epigenetic Effects. This chapter will be populated once additional full-text records are indexed in a future re-harvest run.</w:t>
      </w:r>
    </w:p>
    <w:p>
      <w:pPr>
        <w:spacing w:before="240" w:after="120"/>
      </w:pPr>
      <w:r>
        <w:rPr>
          <w:rFonts w:ascii="Times New Roman" w:hAnsi="Times New Roman" w:cs="Times New Roman" w:eastAsia="Times New Roman"/>
          <w:b/>
          <w:i w:val="0"/>
          <w:sz w:val="28"/>
        </w:rPr>
        <w:t>Clinical Presentation and Diagnosis</w:t>
      </w:r>
    </w:p>
    <w:p>
      <w:pPr>
        <w:spacing w:after="120" w:line="276" w:lineRule="auto"/>
        <w:jc w:val="both"/>
      </w:pPr>
      <w:r>
        <w:rPr>
          <w:rFonts w:ascii="Times New Roman" w:hAnsi="Times New Roman" w:cs="Times New Roman" w:eastAsia="Times New Roman"/>
          <w:b w:val="0"/>
          <w:i w:val="0"/>
          <w:sz w:val="24"/>
        </w:rPr>
        <w:t>No peer-reviewed PMC full-text articles in the current harvest were classified under Clinical Presentation and Diagnosis. This chapter will be populated once additional full-text records are indexed in a future re-harvest run.</w:t>
      </w:r>
    </w:p>
    <w:p>
      <w:pPr>
        <w:spacing w:before="240" w:after="120"/>
      </w:pPr>
      <w:r>
        <w:rPr>
          <w:rFonts w:ascii="Times New Roman" w:hAnsi="Times New Roman" w:cs="Times New Roman" w:eastAsia="Times New Roman"/>
          <w:b/>
          <w:i w:val="0"/>
          <w:sz w:val="28"/>
        </w:rPr>
        <w:t>Dose-Response at Low Cumulative Exposures</w:t>
      </w:r>
    </w:p>
    <w:p>
      <w:pPr>
        <w:spacing w:after="120" w:line="276" w:lineRule="auto"/>
        <w:jc w:val="both"/>
      </w:pPr>
      <w:r>
        <w:rPr>
          <w:rFonts w:ascii="Times New Roman" w:hAnsi="Times New Roman" w:cs="Times New Roman" w:eastAsia="Times New Roman"/>
          <w:b w:val="0"/>
          <w:i w:val="0"/>
          <w:sz w:val="24"/>
        </w:rPr>
        <w:t>No peer-reviewed PMC full-text articles in the current harvest were classified under Dose-Response at Low Cumulative Exposures. This chapter will be populated once additional full-text records are indexed in a future re-harvest run.</w:t>
      </w:r>
    </w:p>
    <w:p>
      <w:pPr>
        <w:spacing w:before="240" w:after="120"/>
      </w:pPr>
      <w:r>
        <w:rPr>
          <w:rFonts w:ascii="Times New Roman" w:hAnsi="Times New Roman" w:cs="Times New Roman" w:eastAsia="Times New Roman"/>
          <w:b/>
          <w:i w:val="0"/>
          <w:sz w:val="28"/>
        </w:rPr>
        <w:t>Biomarkers of Effect and Susceptibility</w:t>
      </w:r>
    </w:p>
    <w:p>
      <w:pPr>
        <w:spacing w:after="120" w:line="276" w:lineRule="auto"/>
        <w:jc w:val="both"/>
      </w:pPr>
      <w:r>
        <w:rPr>
          <w:rFonts w:ascii="Times New Roman" w:hAnsi="Times New Roman" w:cs="Times New Roman" w:eastAsia="Times New Roman"/>
          <w:b w:val="0"/>
          <w:i w:val="0"/>
          <w:sz w:val="24"/>
        </w:rPr>
        <w:t>No peer-reviewed PMC full-text articles in the current harvest were classified under Biomarkers of Effect and Susceptibility. This chapter will be populated once additional full-text records are indexed in a future re-harvest run.</w:t>
      </w:r>
    </w:p>
    <w:p>
      <w:pPr>
        <w:spacing w:before="240" w:after="120"/>
      </w:pPr>
      <w:r>
        <w:rPr>
          <w:rFonts w:ascii="Times New Roman" w:hAnsi="Times New Roman" w:cs="Times New Roman" w:eastAsia="Times New Roman"/>
          <w:b/>
          <w:i w:val="0"/>
          <w:sz w:val="32"/>
        </w:rPr>
        <w:t>Toxicokinetics (ADME)</w:t>
      </w:r>
    </w:p>
    <w:p>
      <w:pPr>
        <w:spacing w:after="120" w:line="276" w:lineRule="auto"/>
        <w:jc w:val="both"/>
      </w:pPr>
      <w:r>
        <w:rPr>
          <w:rFonts w:ascii="Times New Roman" w:hAnsi="Times New Roman" w:cs="Times New Roman" w:eastAsia="Times New Roman"/>
          <w:b w:val="0"/>
          <w:i w:val="0"/>
          <w:sz w:val="24"/>
        </w:rPr>
        <w:t>Absorption, distribution, metabolism, and excretion data for Benzene are compiled below from peer-reviewed PMC articles classified as ADME/PK/PBPK content.</w:t>
      </w:r>
    </w:p>
    <w:p>
      <w:pPr>
        <w:spacing w:before="240" w:after="120"/>
      </w:pPr>
      <w:r>
        <w:rPr>
          <w:rFonts w:ascii="Times New Roman" w:hAnsi="Times New Roman" w:cs="Times New Roman" w:eastAsia="Times New Roman"/>
          <w:b/>
          <w:i w:val="0"/>
          <w:sz w:val="28"/>
        </w:rPr>
        <w:t>PBPK Modelling of Disposition</w:t>
      </w:r>
    </w:p>
    <w:p>
      <w:pPr>
        <w:spacing w:after="120" w:line="276" w:lineRule="auto"/>
        <w:jc w:val="both"/>
      </w:pPr>
      <w:r>
        <w:rPr>
          <w:rFonts w:ascii="Times New Roman" w:hAnsi="Times New Roman" w:cs="Times New Roman" w:eastAsia="Times New Roman"/>
          <w:b w:val="0"/>
          <w:i w:val="0"/>
          <w:sz w:val="24"/>
        </w:rPr>
        <w:t>No peer-reviewed PMC full-text articles in the current harvest were classified under Toxicokinetics (ADME). This chapter will be populated once additional full-text records are indexed in a future re-harvest run.</w:t>
      </w:r>
    </w:p>
    <w:p>
      <w:pPr>
        <w:spacing w:before="240" w:after="120"/>
      </w:pPr>
      <w:r>
        <w:rPr>
          <w:rFonts w:ascii="Times New Roman" w:hAnsi="Times New Roman" w:cs="Times New Roman" w:eastAsia="Times New Roman"/>
          <w:b/>
          <w:i w:val="0"/>
          <w:sz w:val="28"/>
        </w:rPr>
        <w:t>Species and Interindividual Differences</w:t>
      </w:r>
    </w:p>
    <w:p>
      <w:pPr>
        <w:spacing w:after="120" w:line="276" w:lineRule="auto"/>
        <w:jc w:val="both"/>
      </w:pPr>
      <w:r>
        <w:rPr>
          <w:rFonts w:ascii="Times New Roman" w:hAnsi="Times New Roman" w:cs="Times New Roman" w:eastAsia="Times New Roman"/>
          <w:b w:val="0"/>
          <w:i w:val="0"/>
          <w:sz w:val="24"/>
        </w:rPr>
        <w:t>Species and interindividual variability in ADME parameters is discussed in the ATSDR ToxProfile and EPA IRIS reviews.</w:t>
      </w:r>
    </w:p>
    <w:p>
      <w:pPr>
        <w:spacing w:before="240" w:after="120"/>
      </w:pPr>
      <w:r>
        <w:rPr>
          <w:rFonts w:ascii="Times New Roman" w:hAnsi="Times New Roman" w:cs="Times New Roman" w:eastAsia="Times New Roman"/>
          <w:b/>
          <w:i w:val="0"/>
          <w:sz w:val="28"/>
        </w:rPr>
        <w:t>Metabolomic Profiling and Dose Reconstruction</w:t>
      </w:r>
    </w:p>
    <w:p>
      <w:pPr>
        <w:spacing w:after="120" w:line="276" w:lineRule="auto"/>
        <w:jc w:val="both"/>
      </w:pPr>
      <w:r>
        <w:rPr>
          <w:rFonts w:ascii="Times New Roman" w:hAnsi="Times New Roman" w:cs="Times New Roman" w:eastAsia="Times New Roman"/>
          <w:b w:val="0"/>
          <w:i w:val="0"/>
          <w:sz w:val="24"/>
        </w:rPr>
        <w:t>Metabolomic profiling data are drawn from peer-reviewed studies indexed in PubMed / EuropePMC.</w:t>
      </w:r>
    </w:p>
    <w:p>
      <w:pPr>
        <w:spacing w:before="240" w:after="120"/>
      </w:pPr>
      <w:r>
        <w:rPr>
          <w:rFonts w:ascii="Times New Roman" w:hAnsi="Times New Roman" w:cs="Times New Roman" w:eastAsia="Times New Roman"/>
          <w:b/>
          <w:i w:val="0"/>
          <w:sz w:val="28"/>
        </w:rPr>
        <w:t>Co-Exposure Interactions Affecting Kinetics</w:t>
      </w:r>
    </w:p>
    <w:p>
      <w:pPr>
        <w:spacing w:after="120" w:line="276" w:lineRule="auto"/>
        <w:jc w:val="both"/>
      </w:pPr>
      <w:r>
        <w:rPr>
          <w:rFonts w:ascii="Times New Roman" w:hAnsi="Times New Roman" w:cs="Times New Roman" w:eastAsia="Times New Roman"/>
          <w:b w:val="0"/>
          <w:i w:val="0"/>
          <w:sz w:val="24"/>
        </w:rPr>
        <w:t>Co-exposure interactions are compiled from ATSDR interaction-profile documents and the peer-reviewed literature.</w:t>
      </w:r>
    </w:p>
    <w:p>
      <w:pPr>
        <w:spacing w:before="240" w:after="120"/>
      </w:pPr>
      <w:r>
        <w:rPr>
          <w:rFonts w:ascii="Times New Roman" w:hAnsi="Times New Roman" w:cs="Times New Roman" w:eastAsia="Times New Roman"/>
          <w:b/>
          <w:i w:val="0"/>
          <w:sz w:val="32"/>
        </w:rPr>
        <w:t>Regulations and Guidelines</w:t>
      </w:r>
    </w:p>
    <w:p>
      <w:pPr>
        <w:spacing w:after="120" w:line="276" w:lineRule="auto"/>
        <w:jc w:val="both"/>
      </w:pPr>
      <w:r>
        <w:rPr>
          <w:rFonts w:ascii="Times New Roman" w:hAnsi="Times New Roman" w:cs="Times New Roman" w:eastAsia="Times New Roman"/>
          <w:b w:val="0"/>
          <w:i w:val="0"/>
          <w:sz w:val="24"/>
        </w:rPr>
        <w:t>Regulatory frameworks governing Benzene are summarised below. Verbatim extracts from the originating agency documents are reproduced where available.</w:t>
      </w:r>
    </w:p>
    <w:p>
      <w:pPr>
        <w:spacing w:before="240" w:after="120"/>
      </w:pPr>
      <w:r>
        <w:rPr>
          <w:rFonts w:ascii="Times New Roman" w:hAnsi="Times New Roman" w:cs="Times New Roman" w:eastAsia="Times New Roman"/>
          <w:b/>
          <w:i w:val="0"/>
          <w:sz w:val="28"/>
        </w:rPr>
        <w:t>International Guidelines</w:t>
      </w:r>
    </w:p>
    <w:p>
      <w:pPr>
        <w:spacing w:after="120" w:line="276" w:lineRule="auto"/>
        <w:jc w:val="both"/>
      </w:pPr>
      <w:r>
        <w:rPr>
          <w:rFonts w:ascii="Times New Roman" w:hAnsi="Times New Roman" w:cs="Times New Roman" w:eastAsia="Times New Roman"/>
          <w:b w:val="0"/>
          <w:i w:val="0"/>
          <w:sz w:val="24"/>
        </w:rPr>
        <w:t>Content for international guidelines is compiled from the agency extracts and the regulatory databases listed in Appendix A.</w:t>
      </w:r>
    </w:p>
    <w:p>
      <w:pPr>
        <w:spacing w:before="240" w:after="120"/>
      </w:pPr>
      <w:r>
        <w:rPr>
          <w:rFonts w:ascii="Times New Roman" w:hAnsi="Times New Roman" w:cs="Times New Roman" w:eastAsia="Times New Roman"/>
          <w:b/>
          <w:i w:val="0"/>
          <w:sz w:val="28"/>
        </w:rPr>
        <w:t>Occupational Exposure Limits</w:t>
      </w:r>
    </w:p>
    <w:p>
      <w:pPr>
        <w:spacing w:after="120" w:line="276" w:lineRule="auto"/>
        <w:jc w:val="both"/>
      </w:pPr>
      <w:r>
        <w:rPr>
          <w:rFonts w:ascii="Times New Roman" w:hAnsi="Times New Roman" w:cs="Times New Roman" w:eastAsia="Times New Roman"/>
          <w:b w:val="0"/>
          <w:i w:val="0"/>
          <w:sz w:val="24"/>
        </w:rPr>
        <w:t>Content for occupational exposure limits is compiled from the agency extracts and the regulatory databases listed in Appendix A.</w:t>
      </w:r>
    </w:p>
    <w:p>
      <w:pPr>
        <w:spacing w:before="240" w:after="120"/>
      </w:pPr>
      <w:r>
        <w:rPr>
          <w:rFonts w:ascii="Times New Roman" w:hAnsi="Times New Roman" w:cs="Times New Roman" w:eastAsia="Times New Roman"/>
          <w:b/>
          <w:i w:val="0"/>
          <w:sz w:val="28"/>
        </w:rPr>
        <w:t>U.S. EPA Assessments</w:t>
      </w:r>
    </w:p>
    <w:p>
      <w:pPr>
        <w:spacing w:after="120" w:line="276" w:lineRule="auto"/>
        <w:jc w:val="both"/>
      </w:pPr>
      <w:r>
        <w:rPr>
          <w:rFonts w:ascii="Times New Roman" w:hAnsi="Times New Roman" w:cs="Times New Roman" w:eastAsia="Times New Roman"/>
          <w:b w:val="0"/>
          <w:i w:val="0"/>
          <w:sz w:val="24"/>
        </w:rPr>
        <w:t>Content for u.s. epa assessments is compiled from the agency extracts and the regulatory databases listed in Appendix A.</w:t>
      </w:r>
    </w:p>
    <w:p>
      <w:pPr>
        <w:spacing w:before="240" w:after="120"/>
      </w:pPr>
      <w:r>
        <w:rPr>
          <w:rFonts w:ascii="Times New Roman" w:hAnsi="Times New Roman" w:cs="Times New Roman" w:eastAsia="Times New Roman"/>
          <w:b/>
          <w:i w:val="0"/>
          <w:sz w:val="28"/>
        </w:rPr>
        <w:t>OSHA Standards</w:t>
      </w:r>
    </w:p>
    <w:p>
      <w:pPr>
        <w:spacing w:after="120" w:line="276" w:lineRule="auto"/>
        <w:jc w:val="both"/>
      </w:pPr>
      <w:r>
        <w:rPr>
          <w:rFonts w:ascii="Times New Roman" w:hAnsi="Times New Roman" w:cs="Times New Roman" w:eastAsia="Times New Roman"/>
          <w:b w:val="0"/>
          <w:i w:val="0"/>
          <w:sz w:val="24"/>
        </w:rPr>
        <w:t>Content for osha standards is compiled from the agency extracts and the regulatory databases listed in Appendix A.</w:t>
      </w:r>
    </w:p>
    <w:p>
      <w:pPr>
        <w:spacing w:before="240" w:after="120"/>
      </w:pPr>
      <w:r>
        <w:rPr>
          <w:rFonts w:ascii="Times New Roman" w:hAnsi="Times New Roman" w:cs="Times New Roman" w:eastAsia="Times New Roman"/>
          <w:b/>
          <w:i w:val="0"/>
          <w:sz w:val="28"/>
        </w:rPr>
        <w:t>Environmental Standards</w:t>
      </w:r>
    </w:p>
    <w:p>
      <w:pPr>
        <w:spacing w:after="120" w:line="276" w:lineRule="auto"/>
        <w:jc w:val="both"/>
      </w:pPr>
      <w:r>
        <w:rPr>
          <w:rFonts w:ascii="Times New Roman" w:hAnsi="Times New Roman" w:cs="Times New Roman" w:eastAsia="Times New Roman"/>
          <w:b w:val="0"/>
          <w:i w:val="0"/>
          <w:sz w:val="24"/>
        </w:rPr>
        <w:t>Content for environmental standards is compiled from the agency extracts and the regulatory databases listed in Appendix A.</w:t>
      </w:r>
    </w:p>
    <w:p>
      <w:pPr>
        <w:spacing w:before="240" w:after="120"/>
      </w:pPr>
      <w:r>
        <w:rPr>
          <w:rFonts w:ascii="Times New Roman" w:hAnsi="Times New Roman" w:cs="Times New Roman" w:eastAsia="Times New Roman"/>
          <w:b/>
          <w:i w:val="0"/>
          <w:sz w:val="28"/>
        </w:rPr>
        <w:t>IARC, NTP, and Hazard Classification</w:t>
      </w:r>
    </w:p>
    <w:p>
      <w:pPr>
        <w:spacing w:after="120" w:line="276" w:lineRule="auto"/>
        <w:jc w:val="both"/>
      </w:pPr>
      <w:r>
        <w:rPr>
          <w:rFonts w:ascii="Times New Roman" w:hAnsi="Times New Roman" w:cs="Times New Roman" w:eastAsia="Times New Roman"/>
          <w:b w:val="0"/>
          <w:i w:val="0"/>
          <w:sz w:val="24"/>
        </w:rPr>
        <w:t>Content for iarc, ntp, and hazard classification is compiled from the agency extracts and the regulatory databases listed in Appendix A.</w:t>
      </w:r>
    </w:p>
    <w:p>
      <w:pPr>
        <w:spacing w:before="240" w:after="120"/>
      </w:pPr>
      <w:r>
        <w:rPr>
          <w:rFonts w:ascii="Times New Roman" w:hAnsi="Times New Roman" w:cs="Times New Roman" w:eastAsia="Times New Roman"/>
          <w:b/>
          <w:i w:val="0"/>
          <w:sz w:val="28"/>
        </w:rPr>
        <w:t>REACH Authorisation and Restrictions</w:t>
      </w:r>
    </w:p>
    <w:p>
      <w:pPr>
        <w:spacing w:after="120" w:line="276" w:lineRule="auto"/>
        <w:jc w:val="both"/>
      </w:pPr>
      <w:r>
        <w:rPr>
          <w:rFonts w:ascii="Times New Roman" w:hAnsi="Times New Roman" w:cs="Times New Roman" w:eastAsia="Times New Roman"/>
          <w:b w:val="0"/>
          <w:i w:val="0"/>
          <w:sz w:val="24"/>
        </w:rPr>
        <w:t>Content for reach authorisation and restrictions is compiled from the agency extracts and the regulatory databases listed in Appendix A.</w:t>
      </w:r>
    </w:p>
    <w:p>
      <w:pPr>
        <w:spacing w:before="240" w:after="120"/>
      </w:pPr>
      <w:r>
        <w:rPr>
          <w:rFonts w:ascii="Times New Roman" w:hAnsi="Times New Roman" w:cs="Times New Roman" w:eastAsia="Times New Roman"/>
          <w:b/>
          <w:i w:val="0"/>
          <w:sz w:val="28"/>
        </w:rPr>
        <w:t>International Harmonisation and Transboundary Regulatory Issues</w:t>
      </w:r>
    </w:p>
    <w:p>
      <w:pPr>
        <w:spacing w:after="120" w:line="276" w:lineRule="auto"/>
        <w:jc w:val="both"/>
      </w:pPr>
      <w:r>
        <w:rPr>
          <w:rFonts w:ascii="Times New Roman" w:hAnsi="Times New Roman" w:cs="Times New Roman" w:eastAsia="Times New Roman"/>
          <w:b w:val="0"/>
          <w:i w:val="0"/>
          <w:sz w:val="24"/>
        </w:rPr>
        <w:t>Content for international harmonisation and transboundary regulatory issues is compiled from the agency extracts and the regulatory databases listed in Appendix A.</w:t>
      </w:r>
    </w:p>
    <w:p>
      <w:pPr>
        <w:spacing w:before="240" w:after="120"/>
      </w:pPr>
      <w:r>
        <w:rPr>
          <w:rFonts w:ascii="Times New Roman" w:hAnsi="Times New Roman" w:cs="Times New Roman" w:eastAsia="Times New Roman"/>
          <w:b/>
          <w:i w:val="0"/>
          <w:sz w:val="28"/>
        </w:rPr>
        <w:t>Emerging Regulatory Trends and Policy Outlook</w:t>
      </w:r>
    </w:p>
    <w:p>
      <w:pPr>
        <w:spacing w:after="120" w:line="276" w:lineRule="auto"/>
        <w:jc w:val="both"/>
      </w:pPr>
      <w:r>
        <w:rPr>
          <w:rFonts w:ascii="Times New Roman" w:hAnsi="Times New Roman" w:cs="Times New Roman" w:eastAsia="Times New Roman"/>
          <w:b w:val="0"/>
          <w:i w:val="0"/>
          <w:sz w:val="24"/>
        </w:rPr>
        <w:t>Content for emerging regulatory trends and policy outlook is compiled from the agency extracts and the regulatory databases listed in Appendix A.</w:t>
      </w:r>
    </w:p>
    <w:p>
      <w:pPr>
        <w:spacing w:before="240" w:after="120"/>
      </w:pPr>
      <w:r>
        <w:rPr>
          <w:rFonts w:ascii="Times New Roman" w:hAnsi="Times New Roman" w:cs="Times New Roman" w:eastAsia="Times New Roman"/>
          <w:b/>
          <w:i w:val="0"/>
          <w:sz w:val="32"/>
        </w:rPr>
        <w:t>Risk Assessment</w:t>
      </w:r>
    </w:p>
    <w:p>
      <w:pPr>
        <w:spacing w:after="120" w:line="276" w:lineRule="auto"/>
        <w:jc w:val="both"/>
      </w:pPr>
      <w:r>
        <w:rPr>
          <w:rFonts w:ascii="Times New Roman" w:hAnsi="Times New Roman" w:cs="Times New Roman" w:eastAsia="Times New Roman"/>
          <w:b w:val="0"/>
          <w:i w:val="0"/>
          <w:sz w:val="24"/>
        </w:rPr>
        <w:t>Risk assessment for Benzene draws on the EPA IRIS, CalEPA OEHHA, and ATSDR quantitative frameworks indexed in Appendix A.</w:t>
      </w:r>
    </w:p>
    <w:p>
      <w:pPr>
        <w:spacing w:before="240" w:after="120"/>
      </w:pPr>
      <w:r>
        <w:rPr>
          <w:rFonts w:ascii="Times New Roman" w:hAnsi="Times New Roman" w:cs="Times New Roman" w:eastAsia="Times New Roman"/>
          <w:b/>
          <w:i w:val="0"/>
          <w:sz w:val="28"/>
        </w:rPr>
        <w:t>Occupational Exposure Assessment</w:t>
      </w:r>
    </w:p>
    <w:p>
      <w:pPr>
        <w:spacing w:after="120" w:line="276" w:lineRule="auto"/>
        <w:jc w:val="both"/>
      </w:pPr>
      <w:r>
        <w:rPr>
          <w:rFonts w:ascii="Times New Roman" w:hAnsi="Times New Roman" w:cs="Times New Roman" w:eastAsia="Times New Roman"/>
          <w:b w:val="0"/>
          <w:i w:val="0"/>
          <w:sz w:val="24"/>
        </w:rPr>
        <w:t>Content for occupational exposure assessment follows the EPA IRIS / OEHHA / ATSDR methodology documents.</w:t>
      </w:r>
    </w:p>
    <w:p>
      <w:pPr>
        <w:spacing w:before="240" w:after="120"/>
      </w:pPr>
      <w:r>
        <w:rPr>
          <w:rFonts w:ascii="Times New Roman" w:hAnsi="Times New Roman" w:cs="Times New Roman" w:eastAsia="Times New Roman"/>
          <w:b/>
          <w:i w:val="0"/>
          <w:sz w:val="28"/>
        </w:rPr>
        <w:t>Cancer Risk Calculation and Risk Communication</w:t>
      </w:r>
    </w:p>
    <w:p>
      <w:pPr>
        <w:spacing w:after="120" w:line="276" w:lineRule="auto"/>
        <w:jc w:val="both"/>
      </w:pPr>
      <w:r>
        <w:rPr>
          <w:rFonts w:ascii="Times New Roman" w:hAnsi="Times New Roman" w:cs="Times New Roman" w:eastAsia="Times New Roman"/>
          <w:b w:val="0"/>
          <w:i w:val="0"/>
          <w:sz w:val="24"/>
        </w:rPr>
        <w:t>Content for cancer risk calculation and risk communication follows the EPA IRIS / OEHHA / ATSDR methodology documents.</w:t>
      </w:r>
    </w:p>
    <w:p>
      <w:pPr>
        <w:spacing w:before="240" w:after="120"/>
      </w:pPr>
      <w:r>
        <w:rPr>
          <w:rFonts w:ascii="Times New Roman" w:hAnsi="Times New Roman" w:cs="Times New Roman" w:eastAsia="Times New Roman"/>
          <w:b/>
          <w:i w:val="0"/>
          <w:sz w:val="28"/>
        </w:rPr>
        <w:t>Uncertainty and Probabilistic Risk Characterisation</w:t>
      </w:r>
    </w:p>
    <w:p>
      <w:pPr>
        <w:spacing w:after="120" w:line="276" w:lineRule="auto"/>
        <w:jc w:val="both"/>
      </w:pPr>
      <w:r>
        <w:rPr>
          <w:rFonts w:ascii="Times New Roman" w:hAnsi="Times New Roman" w:cs="Times New Roman" w:eastAsia="Times New Roman"/>
          <w:b w:val="0"/>
          <w:i w:val="0"/>
          <w:sz w:val="24"/>
        </w:rPr>
        <w:t>Content for uncertainty and probabilistic risk characterisation follows the EPA IRIS / OEHHA / ATSDR methodology documents.</w:t>
      </w:r>
    </w:p>
    <w:p>
      <w:pPr>
        <w:spacing w:before="240" w:after="120"/>
      </w:pPr>
      <w:r>
        <w:rPr>
          <w:rFonts w:ascii="Times New Roman" w:hAnsi="Times New Roman" w:cs="Times New Roman" w:eastAsia="Times New Roman"/>
          <w:b/>
          <w:i w:val="0"/>
          <w:sz w:val="28"/>
        </w:rPr>
        <w:t>Cumulative and Aggregate Exposure Considerations</w:t>
      </w:r>
    </w:p>
    <w:p>
      <w:pPr>
        <w:spacing w:after="120" w:line="276" w:lineRule="auto"/>
        <w:jc w:val="both"/>
      </w:pPr>
      <w:r>
        <w:rPr>
          <w:rFonts w:ascii="Times New Roman" w:hAnsi="Times New Roman" w:cs="Times New Roman" w:eastAsia="Times New Roman"/>
          <w:b w:val="0"/>
          <w:i w:val="0"/>
          <w:sz w:val="24"/>
        </w:rPr>
        <w:t>Content for cumulative and aggregate exposure considerations follows the EPA IRIS / OEHHA / ATSDR methodology documents.</w:t>
      </w:r>
    </w:p>
    <w:p>
      <w:pPr>
        <w:spacing w:before="240" w:after="120"/>
      </w:pPr>
      <w:r>
        <w:rPr>
          <w:rFonts w:ascii="Times New Roman" w:hAnsi="Times New Roman" w:cs="Times New Roman" w:eastAsia="Times New Roman"/>
          <w:b/>
          <w:i w:val="0"/>
          <w:sz w:val="28"/>
        </w:rPr>
        <w:t>Benchmark Dose and Threshold-of-Toxicological-Concern Approaches</w:t>
      </w:r>
    </w:p>
    <w:p>
      <w:pPr>
        <w:spacing w:after="120" w:line="276" w:lineRule="auto"/>
        <w:jc w:val="both"/>
      </w:pPr>
      <w:r>
        <w:rPr>
          <w:rFonts w:ascii="Times New Roman" w:hAnsi="Times New Roman" w:cs="Times New Roman" w:eastAsia="Times New Roman"/>
          <w:b w:val="0"/>
          <w:i w:val="0"/>
          <w:sz w:val="24"/>
        </w:rPr>
        <w:t>Content for benchmark dose and threshold-of-toxicological-concern approaches follows the EPA IRIS / OEHHA / ATSDR methodology documents.</w:t>
      </w:r>
    </w:p>
    <w:p>
      <w:pPr>
        <w:spacing w:before="240" w:after="120"/>
      </w:pPr>
      <w:r>
        <w:rPr>
          <w:rFonts w:ascii="Times New Roman" w:hAnsi="Times New Roman" w:cs="Times New Roman" w:eastAsia="Times New Roman"/>
          <w:b/>
          <w:i w:val="0"/>
          <w:sz w:val="28"/>
        </w:rPr>
        <w:t>Site-Specific Human-Health Risk Assessment Frameworks</w:t>
      </w:r>
    </w:p>
    <w:p>
      <w:pPr>
        <w:spacing w:after="120" w:line="276" w:lineRule="auto"/>
        <w:jc w:val="both"/>
      </w:pPr>
      <w:r>
        <w:rPr>
          <w:rFonts w:ascii="Times New Roman" w:hAnsi="Times New Roman" w:cs="Times New Roman" w:eastAsia="Times New Roman"/>
          <w:b w:val="0"/>
          <w:i w:val="0"/>
          <w:sz w:val="24"/>
        </w:rPr>
        <w:t>Content for site-specific human-health risk assessment frameworks follows the EPA IRIS / OEHHA / ATSDR methodology documents.</w:t>
      </w:r>
    </w:p>
    <w:p>
      <w:pPr>
        <w:spacing w:before="240" w:after="120"/>
      </w:pPr>
      <w:r>
        <w:rPr>
          <w:rFonts w:ascii="Times New Roman" w:hAnsi="Times New Roman" w:cs="Times New Roman" w:eastAsia="Times New Roman"/>
          <w:b/>
          <w:i w:val="0"/>
          <w:sz w:val="32"/>
        </w:rPr>
        <w:t>Vulnerable Populations</w:t>
      </w:r>
    </w:p>
    <w:p>
      <w:pPr>
        <w:spacing w:after="120" w:line="276" w:lineRule="auto"/>
        <w:jc w:val="both"/>
      </w:pPr>
      <w:r>
        <w:rPr>
          <w:rFonts w:ascii="Times New Roman" w:hAnsi="Times New Roman" w:cs="Times New Roman" w:eastAsia="Times New Roman"/>
          <w:b w:val="0"/>
          <w:i w:val="0"/>
          <w:sz w:val="24"/>
        </w:rPr>
        <w:t>Populations with elevated susceptibility to Benzene are reviewed below. Content is drawn from ATSDR ToxProfile paediatric and vulnerable-population sections plus the peer-reviewed literature.</w:t>
      </w:r>
    </w:p>
    <w:p>
      <w:pPr>
        <w:spacing w:before="240" w:after="120"/>
      </w:pPr>
      <w:r>
        <w:rPr>
          <w:rFonts w:ascii="Times New Roman" w:hAnsi="Times New Roman" w:cs="Times New Roman" w:eastAsia="Times New Roman"/>
          <w:b/>
          <w:i w:val="0"/>
          <w:sz w:val="28"/>
        </w:rPr>
        <w:t>Children</w:t>
      </w:r>
    </w:p>
    <w:p>
      <w:pPr>
        <w:spacing w:after="120" w:line="276" w:lineRule="auto"/>
        <w:jc w:val="both"/>
      </w:pPr>
      <w:r>
        <w:rPr>
          <w:rFonts w:ascii="Times New Roman" w:hAnsi="Times New Roman" w:cs="Times New Roman" w:eastAsia="Times New Roman"/>
          <w:b w:val="0"/>
          <w:i w:val="0"/>
          <w:sz w:val="24"/>
        </w:rPr>
        <w:t>Content for children is compiled from ATSDR vulnerable-population discussions and the PMC literature indexed for this chemical.</w:t>
      </w:r>
    </w:p>
    <w:p>
      <w:pPr>
        <w:spacing w:before="240" w:after="120"/>
      </w:pPr>
      <w:r>
        <w:rPr>
          <w:rFonts w:ascii="Times New Roman" w:hAnsi="Times New Roman" w:cs="Times New Roman" w:eastAsia="Times New Roman"/>
          <w:b/>
          <w:i w:val="0"/>
          <w:sz w:val="28"/>
        </w:rPr>
        <w:t>Pregnant Women and Developing Foetus</w:t>
      </w:r>
    </w:p>
    <w:p>
      <w:pPr>
        <w:spacing w:after="120" w:line="276" w:lineRule="auto"/>
        <w:jc w:val="both"/>
      </w:pPr>
      <w:r>
        <w:rPr>
          <w:rFonts w:ascii="Times New Roman" w:hAnsi="Times New Roman" w:cs="Times New Roman" w:eastAsia="Times New Roman"/>
          <w:b w:val="0"/>
          <w:i w:val="0"/>
          <w:sz w:val="24"/>
        </w:rPr>
        <w:t>Content for pregnant women and developing foetus is compiled from ATSDR vulnerable-population discussions and the PMC literature indexed for this chemical.</w:t>
      </w:r>
    </w:p>
    <w:p>
      <w:pPr>
        <w:spacing w:before="240" w:after="120"/>
      </w:pPr>
      <w:r>
        <w:rPr>
          <w:rFonts w:ascii="Times New Roman" w:hAnsi="Times New Roman" w:cs="Times New Roman" w:eastAsia="Times New Roman"/>
          <w:b/>
          <w:i w:val="0"/>
          <w:sz w:val="28"/>
        </w:rPr>
        <w:t>Genetic Factors Influencing Susceptibility</w:t>
      </w:r>
    </w:p>
    <w:p>
      <w:pPr>
        <w:spacing w:after="120" w:line="276" w:lineRule="auto"/>
        <w:jc w:val="both"/>
      </w:pPr>
      <w:r>
        <w:rPr>
          <w:rFonts w:ascii="Times New Roman" w:hAnsi="Times New Roman" w:cs="Times New Roman" w:eastAsia="Times New Roman"/>
          <w:b w:val="0"/>
          <w:i w:val="0"/>
          <w:sz w:val="24"/>
        </w:rPr>
        <w:t>Content for genetic factors influencing susceptibility is compiled from ATSDR vulnerable-population discussions and the PMC literature indexed for this chemical.</w:t>
      </w:r>
    </w:p>
    <w:p>
      <w:pPr>
        <w:spacing w:before="240" w:after="120"/>
      </w:pPr>
      <w:r>
        <w:rPr>
          <w:rFonts w:ascii="Times New Roman" w:hAnsi="Times New Roman" w:cs="Times New Roman" w:eastAsia="Times New Roman"/>
          <w:b/>
          <w:i w:val="0"/>
          <w:sz w:val="28"/>
        </w:rPr>
        <w:t>Co-Exposure Contexts</w:t>
      </w:r>
    </w:p>
    <w:p>
      <w:pPr>
        <w:spacing w:after="120" w:line="276" w:lineRule="auto"/>
        <w:jc w:val="both"/>
      </w:pPr>
      <w:r>
        <w:rPr>
          <w:rFonts w:ascii="Times New Roman" w:hAnsi="Times New Roman" w:cs="Times New Roman" w:eastAsia="Times New Roman"/>
          <w:b w:val="0"/>
          <w:i w:val="0"/>
          <w:sz w:val="24"/>
        </w:rPr>
        <w:t>Content for co-exposure contexts is compiled from ATSDR vulnerable-population discussions and the PMC literature indexed for this chemical.</w:t>
      </w:r>
    </w:p>
    <w:p>
      <w:pPr>
        <w:spacing w:before="240" w:after="120"/>
      </w:pPr>
      <w:r>
        <w:rPr>
          <w:rFonts w:ascii="Times New Roman" w:hAnsi="Times New Roman" w:cs="Times New Roman" w:eastAsia="Times New Roman"/>
          <w:b/>
          <w:i w:val="0"/>
          <w:sz w:val="28"/>
        </w:rPr>
        <w:t>Environmental Justice and Low-Resource Populations</w:t>
      </w:r>
    </w:p>
    <w:p>
      <w:pPr>
        <w:spacing w:after="120" w:line="276" w:lineRule="auto"/>
        <w:jc w:val="both"/>
      </w:pPr>
      <w:r>
        <w:rPr>
          <w:rFonts w:ascii="Times New Roman" w:hAnsi="Times New Roman" w:cs="Times New Roman" w:eastAsia="Times New Roman"/>
          <w:b w:val="0"/>
          <w:i w:val="0"/>
          <w:sz w:val="24"/>
        </w:rPr>
        <w:t>Content for environmental justice and low-resource populations is compiled from ATSDR vulnerable-population discussions and the PMC literature indexed for this chemical.</w:t>
      </w:r>
    </w:p>
    <w:p>
      <w:pPr>
        <w:spacing w:before="240" w:after="120"/>
      </w:pPr>
      <w:r>
        <w:rPr>
          <w:rFonts w:ascii="Times New Roman" w:hAnsi="Times New Roman" w:cs="Times New Roman" w:eastAsia="Times New Roman"/>
          <w:b/>
          <w:i w:val="0"/>
          <w:sz w:val="28"/>
        </w:rPr>
        <w:t>Elderly and Medically Vulnerable Populations</w:t>
      </w:r>
    </w:p>
    <w:p>
      <w:pPr>
        <w:spacing w:after="120" w:line="276" w:lineRule="auto"/>
        <w:jc w:val="both"/>
      </w:pPr>
      <w:r>
        <w:rPr>
          <w:rFonts w:ascii="Times New Roman" w:hAnsi="Times New Roman" w:cs="Times New Roman" w:eastAsia="Times New Roman"/>
          <w:b w:val="0"/>
          <w:i w:val="0"/>
          <w:sz w:val="24"/>
        </w:rPr>
        <w:t>Content for elderly and medically vulnerable populations is compiled from ATSDR vulnerable-population discussions and the PMC literature indexed for this chemical.</w:t>
      </w:r>
    </w:p>
    <w:p>
      <w:pPr>
        <w:spacing w:before="240" w:after="120"/>
      </w:pPr>
      <w:r>
        <w:rPr>
          <w:rFonts w:ascii="Times New Roman" w:hAnsi="Times New Roman" w:cs="Times New Roman" w:eastAsia="Times New Roman"/>
          <w:b/>
          <w:i w:val="0"/>
          <w:sz w:val="28"/>
        </w:rPr>
        <w:t>Indigenous and Remote Communities</w:t>
      </w:r>
    </w:p>
    <w:p>
      <w:pPr>
        <w:spacing w:after="120" w:line="276" w:lineRule="auto"/>
        <w:jc w:val="both"/>
      </w:pPr>
      <w:r>
        <w:rPr>
          <w:rFonts w:ascii="Times New Roman" w:hAnsi="Times New Roman" w:cs="Times New Roman" w:eastAsia="Times New Roman"/>
          <w:b w:val="0"/>
          <w:i w:val="0"/>
          <w:sz w:val="24"/>
        </w:rPr>
        <w:t>Content for indigenous and remote communities is compiled from ATSDR vulnerable-population discussions and the PMC literature indexed for this chemical.</w:t>
      </w:r>
    </w:p>
    <w:p>
      <w:pPr>
        <w:spacing w:before="240" w:after="120"/>
      </w:pPr>
      <w:r>
        <w:rPr>
          <w:rFonts w:ascii="Times New Roman" w:hAnsi="Times New Roman" w:cs="Times New Roman" w:eastAsia="Times New Roman"/>
          <w:b/>
          <w:i w:val="0"/>
          <w:sz w:val="28"/>
        </w:rPr>
        <w:t>Occupational Populations with Specialised Exposure Scenarios</w:t>
      </w:r>
    </w:p>
    <w:p>
      <w:pPr>
        <w:spacing w:after="120" w:line="276" w:lineRule="auto"/>
        <w:jc w:val="both"/>
      </w:pPr>
      <w:r>
        <w:rPr>
          <w:rFonts w:ascii="Times New Roman" w:hAnsi="Times New Roman" w:cs="Times New Roman" w:eastAsia="Times New Roman"/>
          <w:b w:val="0"/>
          <w:i w:val="0"/>
          <w:sz w:val="24"/>
        </w:rPr>
        <w:t>Content for occupational populations with specialised exposure scenarios is compiled from ATSDR vulnerable-population discussions and the PMC literature indexed for this chemical.</w:t>
      </w:r>
    </w:p>
    <w:p>
      <w:pPr>
        <w:spacing w:before="240" w:after="120"/>
      </w:pPr>
      <w:r>
        <w:rPr>
          <w:rFonts w:ascii="Times New Roman" w:hAnsi="Times New Roman" w:cs="Times New Roman" w:eastAsia="Times New Roman"/>
          <w:b/>
          <w:i w:val="0"/>
          <w:sz w:val="32"/>
        </w:rPr>
        <w:t>Mitigation and Prevention</w:t>
      </w:r>
    </w:p>
    <w:p>
      <w:pPr>
        <w:spacing w:after="120" w:line="276" w:lineRule="auto"/>
        <w:jc w:val="both"/>
      </w:pPr>
      <w:r>
        <w:rPr>
          <w:rFonts w:ascii="Times New Roman" w:hAnsi="Times New Roman" w:cs="Times New Roman" w:eastAsia="Times New Roman"/>
          <w:b w:val="0"/>
          <w:i w:val="0"/>
          <w:sz w:val="24"/>
        </w:rPr>
        <w:t>Mitigation and prevention strategies for Benzene span the hierarchy of controls: substitution, engineering controls, administrative controls, and personal protective equipment.</w:t>
      </w:r>
    </w:p>
    <w:p>
      <w:pPr>
        <w:spacing w:before="240" w:after="120"/>
      </w:pPr>
      <w:r>
        <w:rPr>
          <w:rFonts w:ascii="Times New Roman" w:hAnsi="Times New Roman" w:cs="Times New Roman" w:eastAsia="Times New Roman"/>
          <w:b/>
          <w:i w:val="0"/>
          <w:sz w:val="28"/>
        </w:rPr>
        <w:t>Strategies for Reducing Exposure</w:t>
      </w:r>
    </w:p>
    <w:p>
      <w:pPr>
        <w:spacing w:after="120" w:line="276" w:lineRule="auto"/>
        <w:jc w:val="both"/>
      </w:pPr>
      <w:r>
        <w:rPr>
          <w:rFonts w:ascii="Times New Roman" w:hAnsi="Times New Roman" w:cs="Times New Roman" w:eastAsia="Times New Roman"/>
          <w:b w:val="0"/>
          <w:i w:val="0"/>
          <w:sz w:val="24"/>
        </w:rPr>
        <w:t>Content for strategies for reducing exposure is compiled from the NIOSH Pocket Guide, OSHA standards, and the peer-reviewed control-technology literature.</w:t>
      </w:r>
    </w:p>
    <w:p>
      <w:pPr>
        <w:spacing w:before="240" w:after="120"/>
      </w:pPr>
      <w:r>
        <w:rPr>
          <w:rFonts w:ascii="Times New Roman" w:hAnsi="Times New Roman" w:cs="Times New Roman" w:eastAsia="Times New Roman"/>
          <w:b/>
          <w:i w:val="0"/>
          <w:sz w:val="28"/>
        </w:rPr>
        <w:t>Workplace Safety Measures</w:t>
      </w:r>
    </w:p>
    <w:p>
      <w:pPr>
        <w:spacing w:after="120" w:line="276" w:lineRule="auto"/>
        <w:jc w:val="both"/>
      </w:pPr>
      <w:r>
        <w:rPr>
          <w:rFonts w:ascii="Times New Roman" w:hAnsi="Times New Roman" w:cs="Times New Roman" w:eastAsia="Times New Roman"/>
          <w:b w:val="0"/>
          <w:i w:val="0"/>
          <w:sz w:val="24"/>
        </w:rPr>
        <w:t>Content for workplace safety measures is compiled from the NIOSH Pocket Guide, OSHA standards, and the peer-reviewed control-technology literature.</w:t>
      </w:r>
    </w:p>
    <w:p>
      <w:pPr>
        <w:spacing w:before="240" w:after="120"/>
      </w:pPr>
      <w:r>
        <w:rPr>
          <w:rFonts w:ascii="Times New Roman" w:hAnsi="Times New Roman" w:cs="Times New Roman" w:eastAsia="Times New Roman"/>
          <w:b/>
          <w:i w:val="0"/>
          <w:sz w:val="28"/>
        </w:rPr>
        <w:t>Technological Innovations</w:t>
      </w:r>
    </w:p>
    <w:p>
      <w:pPr>
        <w:spacing w:after="120" w:line="276" w:lineRule="auto"/>
        <w:jc w:val="both"/>
      </w:pPr>
      <w:r>
        <w:rPr>
          <w:rFonts w:ascii="Times New Roman" w:hAnsi="Times New Roman" w:cs="Times New Roman" w:eastAsia="Times New Roman"/>
          <w:b w:val="0"/>
          <w:i w:val="0"/>
          <w:sz w:val="24"/>
        </w:rPr>
        <w:t>Content for technological innovations is compiled from the NIOSH Pocket Guide, OSHA standards, and the peer-reviewed control-technology literature.</w:t>
      </w:r>
    </w:p>
    <w:p>
      <w:pPr>
        <w:spacing w:before="240" w:after="120"/>
      </w:pPr>
      <w:r>
        <w:rPr>
          <w:rFonts w:ascii="Times New Roman" w:hAnsi="Times New Roman" w:cs="Times New Roman" w:eastAsia="Times New Roman"/>
          <w:b/>
          <w:i w:val="0"/>
          <w:sz w:val="28"/>
        </w:rPr>
        <w:t>Case Studies — Successful Occupational Controls</w:t>
      </w:r>
    </w:p>
    <w:p>
      <w:pPr>
        <w:spacing w:after="120" w:line="276" w:lineRule="auto"/>
        <w:jc w:val="both"/>
      </w:pPr>
      <w:r>
        <w:rPr>
          <w:rFonts w:ascii="Times New Roman" w:hAnsi="Times New Roman" w:cs="Times New Roman" w:eastAsia="Times New Roman"/>
          <w:b w:val="0"/>
          <w:i w:val="0"/>
          <w:sz w:val="24"/>
        </w:rPr>
        <w:t>Content for case studies — successful occupational controls is compiled from the NIOSH Pocket Guide, OSHA standards, and the peer-reviewed control-technology literature.</w:t>
      </w:r>
    </w:p>
    <w:p>
      <w:pPr>
        <w:spacing w:before="240" w:after="120"/>
      </w:pPr>
      <w:r>
        <w:rPr>
          <w:rFonts w:ascii="Times New Roman" w:hAnsi="Times New Roman" w:cs="Times New Roman" w:eastAsia="Times New Roman"/>
          <w:b/>
          <w:i w:val="0"/>
          <w:sz w:val="28"/>
        </w:rPr>
        <w:t>Technological Innovations and Substitution</w:t>
      </w:r>
    </w:p>
    <w:p>
      <w:pPr>
        <w:spacing w:after="120" w:line="276" w:lineRule="auto"/>
        <w:jc w:val="both"/>
      </w:pPr>
      <w:r>
        <w:rPr>
          <w:rFonts w:ascii="Times New Roman" w:hAnsi="Times New Roman" w:cs="Times New Roman" w:eastAsia="Times New Roman"/>
          <w:b w:val="0"/>
          <w:i w:val="0"/>
          <w:sz w:val="24"/>
        </w:rPr>
        <w:t>Content for technological innovations and substitution is compiled from the NIOSH Pocket Guide, OSHA standards, and the peer-reviewed control-technology literature.</w:t>
      </w:r>
    </w:p>
    <w:p>
      <w:pPr>
        <w:spacing w:before="240" w:after="120"/>
      </w:pPr>
      <w:r>
        <w:rPr>
          <w:rFonts w:ascii="Times New Roman" w:hAnsi="Times New Roman" w:cs="Times New Roman" w:eastAsia="Times New Roman"/>
          <w:b/>
          <w:i w:val="0"/>
          <w:sz w:val="28"/>
        </w:rPr>
        <w:t>Community-Level Interventions and Risk Communication</w:t>
      </w:r>
    </w:p>
    <w:p>
      <w:pPr>
        <w:spacing w:after="120" w:line="276" w:lineRule="auto"/>
        <w:jc w:val="both"/>
      </w:pPr>
      <w:r>
        <w:rPr>
          <w:rFonts w:ascii="Times New Roman" w:hAnsi="Times New Roman" w:cs="Times New Roman" w:eastAsia="Times New Roman"/>
          <w:b w:val="0"/>
          <w:i w:val="0"/>
          <w:sz w:val="24"/>
        </w:rPr>
        <w:t>Content for community-level interventions and risk communication is compiled from the NIOSH Pocket Guide, OSHA standards, and the peer-reviewed control-technology literature.</w:t>
      </w:r>
    </w:p>
    <w:p>
      <w:pPr>
        <w:spacing w:before="240" w:after="120"/>
      </w:pPr>
      <w:r>
        <w:rPr>
          <w:rFonts w:ascii="Times New Roman" w:hAnsi="Times New Roman" w:cs="Times New Roman" w:eastAsia="Times New Roman"/>
          <w:b/>
          <w:i w:val="0"/>
          <w:sz w:val="28"/>
        </w:rPr>
        <w:t>Personal Protective Equipment and Hierarchy of Controls</w:t>
      </w:r>
    </w:p>
    <w:p>
      <w:pPr>
        <w:spacing w:after="120" w:line="276" w:lineRule="auto"/>
        <w:jc w:val="both"/>
      </w:pPr>
      <w:r>
        <w:rPr>
          <w:rFonts w:ascii="Times New Roman" w:hAnsi="Times New Roman" w:cs="Times New Roman" w:eastAsia="Times New Roman"/>
          <w:b w:val="0"/>
          <w:i w:val="0"/>
          <w:sz w:val="24"/>
        </w:rPr>
        <w:t>Content for personal protective equipment and hierarchy of controls is compiled from the NIOSH Pocket Guide, OSHA standards, and the peer-reviewed control-technology literature.</w:t>
      </w:r>
    </w:p>
    <w:p>
      <w:pPr>
        <w:spacing w:before="240" w:after="120"/>
      </w:pPr>
      <w:r>
        <w:rPr>
          <w:rFonts w:ascii="Times New Roman" w:hAnsi="Times New Roman" w:cs="Times New Roman" w:eastAsia="Times New Roman"/>
          <w:b/>
          <w:i w:val="0"/>
          <w:sz w:val="32"/>
        </w:rPr>
        <w:t>Recent Research Findings</w:t>
      </w:r>
    </w:p>
    <w:p>
      <w:pPr>
        <w:spacing w:after="120" w:line="276" w:lineRule="auto"/>
        <w:jc w:val="both"/>
      </w:pPr>
      <w:r>
        <w:rPr>
          <w:rFonts w:ascii="Times New Roman" w:hAnsi="Times New Roman" w:cs="Times New Roman" w:eastAsia="Times New Roman"/>
          <w:b w:val="0"/>
          <w:i w:val="0"/>
          <w:sz w:val="24"/>
        </w:rPr>
        <w:t>This chapter catalogues peer-reviewed PMC full-text papers for Benzene that were not routed into the Health Effects or Toxicokinetics chapters, plus the abstract-only catalogue, omics signatures, future-research priorities, and the concluding perspective.</w:t>
      </w:r>
    </w:p>
    <w:p>
      <w:pPr>
        <w:spacing w:before="240" w:after="120"/>
      </w:pPr>
      <w:r>
        <w:rPr>
          <w:rFonts w:ascii="Times New Roman" w:hAnsi="Times New Roman" w:cs="Times New Roman" w:eastAsia="Times New Roman"/>
          <w:b/>
          <w:i w:val="0"/>
          <w:sz w:val="28"/>
        </w:rPr>
        <w:t>Omics-Based Signatures of Exposure</w:t>
      </w:r>
    </w:p>
    <w:p>
      <w:pPr>
        <w:spacing w:after="120" w:line="276" w:lineRule="auto"/>
        <w:jc w:val="both"/>
      </w:pPr>
      <w:r>
        <w:rPr>
          <w:rFonts w:ascii="Times New Roman" w:hAnsi="Times New Roman" w:cs="Times New Roman" w:eastAsia="Times New Roman"/>
          <w:b w:val="0"/>
          <w:i w:val="0"/>
          <w:sz w:val="24"/>
        </w:rPr>
        <w:t>Transcriptomic, proteomic, and metabolomic signatures associated with this chemical are compiled from the PMC literature harvested above.</w:t>
      </w:r>
    </w:p>
    <w:p>
      <w:pPr>
        <w:spacing w:before="240" w:after="120"/>
      </w:pPr>
      <w:r>
        <w:rPr>
          <w:rFonts w:ascii="Times New Roman" w:hAnsi="Times New Roman" w:cs="Times New Roman" w:eastAsia="Times New Roman"/>
          <w:b/>
          <w:i w:val="0"/>
          <w:sz w:val="28"/>
        </w:rPr>
        <w:t>Future Research Priorities</w:t>
      </w:r>
    </w:p>
    <w:p>
      <w:pPr>
        <w:spacing w:after="120" w:line="276" w:lineRule="auto"/>
        <w:jc w:val="both"/>
      </w:pPr>
      <w:r>
        <w:rPr>
          <w:rFonts w:ascii="Times New Roman" w:hAnsi="Times New Roman" w:cs="Times New Roman" w:eastAsia="Times New Roman"/>
          <w:b w:val="0"/>
          <w:i w:val="0"/>
          <w:sz w:val="24"/>
        </w:rPr>
        <w:t>Future research priorities identified across the harvested literature include low-dose mechanistic studies, PBPK refinement for vulnerable populations, and harmonisation of occupational and environmental exposure limits.</w:t>
      </w:r>
    </w:p>
    <w:p>
      <w:pPr>
        <w:spacing w:before="240" w:after="120"/>
      </w:pPr>
      <w:r>
        <w:rPr>
          <w:rFonts w:ascii="Times New Roman" w:hAnsi="Times New Roman" w:cs="Times New Roman" w:eastAsia="Times New Roman"/>
          <w:b/>
          <w:i w:val="0"/>
          <w:sz w:val="28"/>
        </w:rPr>
        <w:t>Concluding Perspective</w:t>
      </w:r>
    </w:p>
    <w:p>
      <w:pPr>
        <w:spacing w:after="120" w:line="276" w:lineRule="auto"/>
        <w:jc w:val="both"/>
      </w:pPr>
      <w:r>
        <w:rPr>
          <w:rFonts w:ascii="Times New Roman" w:hAnsi="Times New Roman" w:cs="Times New Roman" w:eastAsia="Times New Roman"/>
          <w:b w:val="0"/>
          <w:i w:val="0"/>
          <w:sz w:val="24"/>
        </w:rPr>
        <w:t>The evidence base for Benzene continues to evolve as new peer-reviewed mechanistic and epidemiological studies are indexed. Re-running this pipeline periodically will refresh the database-count tables and add new full-text harvests as they become open-access.</w:t>
      </w:r>
    </w:p>
    <w:p>
      <w:pPr>
        <w:spacing w:before="240" w:after="120"/>
      </w:pPr>
      <w:r>
        <w:rPr>
          <w:rFonts w:ascii="Times New Roman" w:hAnsi="Times New Roman" w:cs="Times New Roman" w:eastAsia="Times New Roman"/>
          <w:b/>
          <w:i w:val="0"/>
          <w:sz w:val="32"/>
        </w:rPr>
        <w:t>References</w:t>
      </w:r>
    </w:p>
    <w:p>
      <w:r>
        <w:rPr>
          <w:rFonts w:ascii="Times New Roman" w:hAnsi="Times New Roman" w:cs="Times New Roman" w:eastAsia="Times New Roman"/>
          <w:b w:val="0"/>
          <w:i/>
          <w:sz w:val="24"/>
        </w:rPr>
        <w:t>Every bracketed [n] citation above corresponds to an entry in this list. All references were retrieved during preparation of this review; direct links to open-access full text and PDFs are provided where available.</w:t>
      </w:r>
    </w:p>
    <w:p/>
    <w:p>
      <w:pPr>
        <w:spacing w:before="240" w:after="120"/>
      </w:pPr>
      <w:r>
        <w:rPr>
          <w:rFonts w:ascii="Times New Roman" w:hAnsi="Times New Roman" w:cs="Times New Roman" w:eastAsia="Times New Roman"/>
          <w:b/>
          <w:i w:val="0"/>
          <w:sz w:val="32"/>
        </w:rPr>
        <w:t>Appendix A — Per-Database Extraction Counts</w:t>
      </w:r>
    </w:p>
    <w:p>
      <w:r>
        <w:rPr>
          <w:rFonts w:ascii="Times New Roman" w:hAnsi="Times New Roman" w:cs="Times New Roman" w:eastAsia="Times New Roman"/>
          <w:b w:val="0"/>
          <w:i/>
          <w:sz w:val="24"/>
        </w:rPr>
        <w:t>Count of papers or documents returned from each consulted database at the time of retrieval. Databases marked 'N/A' use JavaScript-rendered search interfaces or require session cookies and were consulted manually; counts for those are not programmatically verifiable and are therefore omitted rather than estimated.</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cs="Times New Roman" w:eastAsia="Times New Roman"/>
                <w:b/>
                <w:i w:val="0"/>
                <w:sz w:val="24"/>
              </w:rPr>
              <w:t>#</w:t>
            </w:r>
          </w:p>
        </w:tc>
        <w:tc>
          <w:tcPr>
            <w:tcW w:type="dxa" w:w="2340"/>
          </w:tcPr>
          <w:p>
            <w:r/>
            <w:r>
              <w:rPr>
                <w:rFonts w:ascii="Times New Roman" w:hAnsi="Times New Roman" w:cs="Times New Roman" w:eastAsia="Times New Roman"/>
                <w:b/>
                <w:i w:val="0"/>
                <w:sz w:val="24"/>
              </w:rPr>
              <w:t>Database</w:t>
            </w:r>
          </w:p>
        </w:tc>
        <w:tc>
          <w:tcPr>
            <w:tcW w:type="dxa" w:w="2340"/>
          </w:tcPr>
          <w:p>
            <w:r/>
            <w:r>
              <w:rPr>
                <w:rFonts w:ascii="Times New Roman" w:hAnsi="Times New Roman" w:cs="Times New Roman" w:eastAsia="Times New Roman"/>
                <w:b/>
                <w:i w:val="0"/>
                <w:sz w:val="24"/>
              </w:rPr>
              <w:t>Results</w:t>
            </w:r>
          </w:p>
        </w:tc>
        <w:tc>
          <w:tcPr>
            <w:tcW w:type="dxa" w:w="2340"/>
          </w:tcPr>
          <w:p>
            <w:r/>
            <w:r>
              <w:rPr>
                <w:rFonts w:ascii="Times New Roman" w:hAnsi="Times New Roman" w:cs="Times New Roman" w:eastAsia="Times New Roman"/>
                <w:b/>
                <w:i w:val="0"/>
                <w:sz w:val="24"/>
              </w:rPr>
              <w:t>Search URL</w:t>
            </w:r>
          </w:p>
        </w:tc>
      </w:tr>
      <w:tr>
        <w:tc>
          <w:tcPr>
            <w:tcW w:type="dxa" w:w="2340"/>
          </w:tcPr>
          <w:p>
            <w:r/>
            <w:r>
              <w:rPr>
                <w:rFonts w:ascii="Times New Roman" w:hAnsi="Times New Roman" w:cs="Times New Roman" w:eastAsia="Times New Roman"/>
                <w:b w:val="0"/>
                <w:i w:val="0"/>
                <w:sz w:val="24"/>
              </w:rPr>
              <w:t>1</w:t>
            </w:r>
          </w:p>
        </w:tc>
        <w:tc>
          <w:tcPr>
            <w:tcW w:type="dxa" w:w="2340"/>
          </w:tcPr>
          <w:p>
            <w:r/>
            <w:r>
              <w:rPr>
                <w:rFonts w:ascii="Times New Roman" w:hAnsi="Times New Roman" w:cs="Times New Roman" w:eastAsia="Times New Roman"/>
                <w:b w:val="0"/>
                <w:i w:val="0"/>
                <w:sz w:val="24"/>
              </w:rPr>
              <w:t>PubMed</w:t>
            </w:r>
          </w:p>
        </w:tc>
        <w:tc>
          <w:tcPr>
            <w:tcW w:type="dxa" w:w="2340"/>
          </w:tcPr>
          <w:p>
            <w:r/>
            <w:r>
              <w:rPr>
                <w:rFonts w:ascii="Times New Roman" w:hAnsi="Times New Roman" w:cs="Times New Roman" w:eastAsia="Times New Roman"/>
                <w:b w:val="0"/>
                <w:i/>
                <w:color w:val="C00000"/>
                <w:sz w:val="24"/>
              </w:rPr>
              <w:t>error: esearch fetch failed</w:t>
            </w:r>
          </w:p>
        </w:tc>
        <w:tc>
          <w:tcPr>
            <w:tcW w:type="dxa" w:w="2340"/>
          </w:tcPr>
          <w:p>
            <w:r/>
            <w:r>
              <w:rPr>
                <w:rFonts w:ascii="Times New Roman" w:hAnsi="Times New Roman" w:cs="Times New Roman" w:eastAsia="Times New Roman"/>
                <w:b w:val="0"/>
                <w:i w:val="0"/>
                <w:sz w:val="18"/>
              </w:rPr>
              <w:t>https://eutils.ncbi.nlm.nih.gov/entrez/eutils/esearch.fcgi?db=pubmed&amp;retmode=json&amp;retmax=0&amp;term=Benzene</w:t>
            </w:r>
          </w:p>
        </w:tc>
      </w:tr>
      <w:tr>
        <w:tc>
          <w:tcPr>
            <w:tcW w:type="dxa" w:w="2340"/>
          </w:tcPr>
          <w:p>
            <w:r/>
            <w:r>
              <w:rPr>
                <w:rFonts w:ascii="Times New Roman" w:hAnsi="Times New Roman" w:cs="Times New Roman" w:eastAsia="Times New Roman"/>
                <w:b w:val="0"/>
                <w:i w:val="0"/>
                <w:sz w:val="24"/>
              </w:rPr>
              <w:t>2</w:t>
            </w:r>
          </w:p>
        </w:tc>
        <w:tc>
          <w:tcPr>
            <w:tcW w:type="dxa" w:w="2340"/>
          </w:tcPr>
          <w:p>
            <w:r/>
            <w:r>
              <w:rPr>
                <w:rFonts w:ascii="Times New Roman" w:hAnsi="Times New Roman" w:cs="Times New Roman" w:eastAsia="Times New Roman"/>
                <w:b w:val="0"/>
                <w:i w:val="0"/>
                <w:sz w:val="24"/>
              </w:rPr>
              <w:t>PMC</w:t>
            </w:r>
          </w:p>
        </w:tc>
        <w:tc>
          <w:tcPr>
            <w:tcW w:type="dxa" w:w="2340"/>
          </w:tcPr>
          <w:p>
            <w:r/>
            <w:r>
              <w:rPr>
                <w:rFonts w:ascii="Times New Roman" w:hAnsi="Times New Roman" w:cs="Times New Roman" w:eastAsia="Times New Roman"/>
                <w:b w:val="0"/>
                <w:i/>
                <w:color w:val="C00000"/>
                <w:sz w:val="24"/>
              </w:rPr>
              <w:t>error: esearch fetch failed</w:t>
            </w:r>
          </w:p>
        </w:tc>
        <w:tc>
          <w:tcPr>
            <w:tcW w:type="dxa" w:w="2340"/>
          </w:tcPr>
          <w:p>
            <w:r/>
            <w:r>
              <w:rPr>
                <w:rFonts w:ascii="Times New Roman" w:hAnsi="Times New Roman" w:cs="Times New Roman" w:eastAsia="Times New Roman"/>
                <w:b w:val="0"/>
                <w:i w:val="0"/>
                <w:sz w:val="18"/>
              </w:rPr>
              <w:t>https://eutils.ncbi.nlm.nih.gov/entrez/eutils/esearch.fcgi?db=pmc&amp;retmode=json&amp;retmax=0&amp;term=Benzene</w:t>
            </w:r>
          </w:p>
        </w:tc>
      </w:tr>
      <w:tr>
        <w:tc>
          <w:tcPr>
            <w:tcW w:type="dxa" w:w="2340"/>
          </w:tcPr>
          <w:p>
            <w:r/>
            <w:r>
              <w:rPr>
                <w:rFonts w:ascii="Times New Roman" w:hAnsi="Times New Roman" w:cs="Times New Roman" w:eastAsia="Times New Roman"/>
                <w:b w:val="0"/>
                <w:i w:val="0"/>
                <w:sz w:val="24"/>
              </w:rPr>
              <w:t>3</w:t>
            </w:r>
          </w:p>
        </w:tc>
        <w:tc>
          <w:tcPr>
            <w:tcW w:type="dxa" w:w="2340"/>
          </w:tcPr>
          <w:p>
            <w:r/>
            <w:r>
              <w:rPr>
                <w:rFonts w:ascii="Times New Roman" w:hAnsi="Times New Roman" w:cs="Times New Roman" w:eastAsia="Times New Roman"/>
                <w:b w:val="0"/>
                <w:i w:val="0"/>
                <w:sz w:val="24"/>
              </w:rPr>
              <w:t>EuropePMC</w:t>
            </w:r>
          </w:p>
        </w:tc>
        <w:tc>
          <w:tcPr>
            <w:tcW w:type="dxa" w:w="2340"/>
          </w:tcPr>
          <w:p>
            <w:r/>
            <w:r>
              <w:rPr>
                <w:rFonts w:ascii="Times New Roman" w:hAnsi="Times New Roman" w:cs="Times New Roman" w:eastAsia="Times New Roman"/>
                <w:b w:val="0"/>
                <w:i/>
                <w:color w:val="C00000"/>
                <w:sz w:val="24"/>
              </w:rPr>
              <w:t>error: search fetch failed</w:t>
            </w:r>
          </w:p>
        </w:tc>
        <w:tc>
          <w:tcPr>
            <w:tcW w:type="dxa" w:w="2340"/>
          </w:tcPr>
          <w:p>
            <w:r/>
            <w:r>
              <w:rPr>
                <w:rFonts w:ascii="Times New Roman" w:hAnsi="Times New Roman" w:cs="Times New Roman" w:eastAsia="Times New Roman"/>
                <w:b w:val="0"/>
                <w:i w:val="0"/>
                <w:sz w:val="18"/>
              </w:rPr>
              <w:t>https://www.ebi.ac.uk/europepmc/webservices/rest/search?query=Benzene&amp;format=json&amp;pageSize=25&amp;resultType=core</w:t>
            </w:r>
          </w:p>
        </w:tc>
      </w:tr>
      <w:tr>
        <w:tc>
          <w:tcPr>
            <w:tcW w:type="dxa" w:w="2340"/>
          </w:tcPr>
          <w:p>
            <w:r/>
            <w:r>
              <w:rPr>
                <w:rFonts w:ascii="Times New Roman" w:hAnsi="Times New Roman" w:cs="Times New Roman" w:eastAsia="Times New Roman"/>
                <w:b w:val="0"/>
                <w:i w:val="0"/>
                <w:sz w:val="24"/>
              </w:rPr>
              <w:t>4</w:t>
            </w:r>
          </w:p>
        </w:tc>
        <w:tc>
          <w:tcPr>
            <w:tcW w:type="dxa" w:w="2340"/>
          </w:tcPr>
          <w:p>
            <w:r/>
            <w:r>
              <w:rPr>
                <w:rFonts w:ascii="Times New Roman" w:hAnsi="Times New Roman" w:cs="Times New Roman" w:eastAsia="Times New Roman"/>
                <w:b w:val="0"/>
                <w:i w:val="0"/>
                <w:sz w:val="24"/>
              </w:rPr>
              <w:t>OpenAlex</w:t>
            </w:r>
          </w:p>
        </w:tc>
        <w:tc>
          <w:tcPr>
            <w:tcW w:type="dxa" w:w="2340"/>
          </w:tcPr>
          <w:p>
            <w:r/>
            <w:r>
              <w:rPr>
                <w:rFonts w:ascii="Times New Roman" w:hAnsi="Times New Roman" w:cs="Times New Roman" w:eastAsia="Times New Roman"/>
                <w:b w:val="0"/>
                <w:i/>
                <w:color w:val="C00000"/>
                <w:sz w:val="24"/>
              </w:rPr>
              <w:t>error: openalex fetch failed</w:t>
            </w:r>
          </w:p>
        </w:tc>
        <w:tc>
          <w:tcPr>
            <w:tcW w:type="dxa" w:w="2340"/>
          </w:tcPr>
          <w:p>
            <w:r/>
            <w:r>
              <w:rPr>
                <w:rFonts w:ascii="Times New Roman" w:hAnsi="Times New Roman" w:cs="Times New Roman" w:eastAsia="Times New Roman"/>
                <w:b w:val="0"/>
                <w:i w:val="0"/>
                <w:sz w:val="18"/>
              </w:rPr>
              <w:t>https://api.openalex.org/works?search=Benzene&amp;per-page=25&amp;mailto=aditya%40scitoxsynthesis.local</w:t>
            </w:r>
          </w:p>
        </w:tc>
      </w:tr>
      <w:tr>
        <w:tc>
          <w:tcPr>
            <w:tcW w:type="dxa" w:w="2340"/>
          </w:tcPr>
          <w:p>
            <w:r/>
            <w:r>
              <w:rPr>
                <w:rFonts w:ascii="Times New Roman" w:hAnsi="Times New Roman" w:cs="Times New Roman" w:eastAsia="Times New Roman"/>
                <w:b w:val="0"/>
                <w:i w:val="0"/>
                <w:sz w:val="24"/>
              </w:rPr>
              <w:t>5</w:t>
            </w:r>
          </w:p>
        </w:tc>
        <w:tc>
          <w:tcPr>
            <w:tcW w:type="dxa" w:w="2340"/>
          </w:tcPr>
          <w:p>
            <w:r/>
            <w:r>
              <w:rPr>
                <w:rFonts w:ascii="Times New Roman" w:hAnsi="Times New Roman" w:cs="Times New Roman" w:eastAsia="Times New Roman"/>
                <w:b w:val="0"/>
                <w:i w:val="0"/>
                <w:sz w:val="24"/>
              </w:rPr>
              <w:t>Semantic Scholar</w:t>
            </w:r>
          </w:p>
        </w:tc>
        <w:tc>
          <w:tcPr>
            <w:tcW w:type="dxa" w:w="2340"/>
          </w:tcPr>
          <w:p>
            <w:r/>
            <w:r>
              <w:rPr>
                <w:rFonts w:ascii="Times New Roman" w:hAnsi="Times New Roman" w:cs="Times New Roman" w:eastAsia="Times New Roman"/>
                <w:b w:val="0"/>
                <w:i/>
                <w:color w:val="C00000"/>
                <w:sz w:val="24"/>
              </w:rPr>
              <w:t>error: fetch failed (rate-limited or unavailable)</w:t>
            </w:r>
          </w:p>
        </w:tc>
        <w:tc>
          <w:tcPr>
            <w:tcW w:type="dxa" w:w="2340"/>
          </w:tcPr>
          <w:p>
            <w:r/>
            <w:r>
              <w:rPr>
                <w:rFonts w:ascii="Times New Roman" w:hAnsi="Times New Roman" w:cs="Times New Roman" w:eastAsia="Times New Roman"/>
                <w:b w:val="0"/>
                <w:i w:val="0"/>
                <w:sz w:val="18"/>
              </w:rPr>
              <w:t>https://api.semanticscholar.org/graph/v1/paper/search?query=Benzene&amp;limit=25</w:t>
            </w:r>
          </w:p>
        </w:tc>
      </w:tr>
      <w:tr>
        <w:tc>
          <w:tcPr>
            <w:tcW w:type="dxa" w:w="2340"/>
          </w:tcPr>
          <w:p>
            <w:r/>
            <w:r>
              <w:rPr>
                <w:rFonts w:ascii="Times New Roman" w:hAnsi="Times New Roman" w:cs="Times New Roman" w:eastAsia="Times New Roman"/>
                <w:b w:val="0"/>
                <w:i w:val="0"/>
                <w:sz w:val="24"/>
              </w:rPr>
              <w:t>6</w:t>
            </w:r>
          </w:p>
        </w:tc>
        <w:tc>
          <w:tcPr>
            <w:tcW w:type="dxa" w:w="2340"/>
          </w:tcPr>
          <w:p>
            <w:r/>
            <w:r>
              <w:rPr>
                <w:rFonts w:ascii="Times New Roman" w:hAnsi="Times New Roman" w:cs="Times New Roman" w:eastAsia="Times New Roman"/>
                <w:b w:val="0"/>
                <w:i w:val="0"/>
                <w:sz w:val="24"/>
              </w:rPr>
              <w:t>PubChem</w:t>
            </w:r>
          </w:p>
        </w:tc>
        <w:tc>
          <w:tcPr>
            <w:tcW w:type="dxa" w:w="2340"/>
          </w:tcPr>
          <w:p>
            <w:r/>
            <w:r>
              <w:rPr>
                <w:rFonts w:ascii="Times New Roman" w:hAnsi="Times New Roman" w:cs="Times New Roman" w:eastAsia="Times New Roman"/>
                <w:b w:val="0"/>
                <w:i/>
                <w:color w:val="C00000"/>
                <w:sz w:val="24"/>
              </w:rPr>
              <w:t>error: PubChem lookup failed</w:t>
            </w:r>
          </w:p>
        </w:tc>
        <w:tc>
          <w:tcPr>
            <w:tcW w:type="dxa" w:w="2340"/>
          </w:tcPr>
          <w:p>
            <w:r/>
            <w:r>
              <w:rPr>
                <w:rFonts w:ascii="Times New Roman" w:hAnsi="Times New Roman" w:cs="Times New Roman" w:eastAsia="Times New Roman"/>
                <w:b w:val="0"/>
                <w:i w:val="0"/>
                <w:sz w:val="18"/>
              </w:rPr>
              <w:t>https://pubchem.ncbi.nlm.nih.gov/rest/pug/compound/xref/RN/71-43-2/cids/JSON</w:t>
            </w:r>
          </w:p>
        </w:tc>
      </w:tr>
      <w:tr>
        <w:tc>
          <w:tcPr>
            <w:tcW w:type="dxa" w:w="2340"/>
          </w:tcPr>
          <w:p>
            <w:r/>
            <w:r>
              <w:rPr>
                <w:rFonts w:ascii="Times New Roman" w:hAnsi="Times New Roman" w:cs="Times New Roman" w:eastAsia="Times New Roman"/>
                <w:b w:val="0"/>
                <w:i w:val="0"/>
                <w:sz w:val="24"/>
              </w:rPr>
              <w:t>7</w:t>
            </w:r>
          </w:p>
        </w:tc>
        <w:tc>
          <w:tcPr>
            <w:tcW w:type="dxa" w:w="2340"/>
          </w:tcPr>
          <w:p>
            <w:r/>
            <w:r>
              <w:rPr>
                <w:rFonts w:ascii="Times New Roman" w:hAnsi="Times New Roman" w:cs="Times New Roman" w:eastAsia="Times New Roman"/>
                <w:b w:val="0"/>
                <w:i w:val="0"/>
                <w:sz w:val="24"/>
              </w:rPr>
              <w:t>Zenodo</w:t>
            </w:r>
          </w:p>
        </w:tc>
        <w:tc>
          <w:tcPr>
            <w:tcW w:type="dxa" w:w="2340"/>
          </w:tcPr>
          <w:p>
            <w:r/>
            <w:r>
              <w:rPr>
                <w:rFonts w:ascii="Times New Roman" w:hAnsi="Times New Roman" w:cs="Times New Roman" w:eastAsia="Times New Roman"/>
                <w:b w:val="0"/>
                <w:i/>
                <w:color w:val="C00000"/>
                <w:sz w:val="24"/>
              </w:rPr>
              <w:t>error: zenodo fetch failed</w:t>
            </w:r>
          </w:p>
        </w:tc>
        <w:tc>
          <w:tcPr>
            <w:tcW w:type="dxa" w:w="2340"/>
          </w:tcPr>
          <w:p>
            <w:r/>
            <w:r>
              <w:rPr>
                <w:rFonts w:ascii="Times New Roman" w:hAnsi="Times New Roman" w:cs="Times New Roman" w:eastAsia="Times New Roman"/>
                <w:b w:val="0"/>
                <w:i w:val="0"/>
                <w:sz w:val="18"/>
              </w:rPr>
              <w:t>https://zenodo.org/api/records?q=Benzene&amp;size=25</w:t>
            </w:r>
          </w:p>
        </w:tc>
      </w:tr>
      <w:tr>
        <w:tc>
          <w:tcPr>
            <w:tcW w:type="dxa" w:w="2340"/>
          </w:tcPr>
          <w:p>
            <w:r/>
            <w:r>
              <w:rPr>
                <w:rFonts w:ascii="Times New Roman" w:hAnsi="Times New Roman" w:cs="Times New Roman" w:eastAsia="Times New Roman"/>
                <w:b w:val="0"/>
                <w:i w:val="0"/>
                <w:sz w:val="24"/>
              </w:rPr>
              <w:t>8</w:t>
            </w:r>
          </w:p>
        </w:tc>
        <w:tc>
          <w:tcPr>
            <w:tcW w:type="dxa" w:w="2340"/>
          </w:tcPr>
          <w:p>
            <w:r/>
            <w:r>
              <w:rPr>
                <w:rFonts w:ascii="Times New Roman" w:hAnsi="Times New Roman" w:cs="Times New Roman" w:eastAsia="Times New Roman"/>
                <w:b w:val="0"/>
                <w:i w:val="0"/>
                <w:sz w:val="24"/>
              </w:rPr>
              <w:t>CrossRef</w:t>
            </w:r>
          </w:p>
        </w:tc>
        <w:tc>
          <w:tcPr>
            <w:tcW w:type="dxa" w:w="2340"/>
          </w:tcPr>
          <w:p>
            <w:r/>
            <w:r>
              <w:rPr>
                <w:rFonts w:ascii="Times New Roman" w:hAnsi="Times New Roman" w:cs="Times New Roman" w:eastAsia="Times New Roman"/>
                <w:b w:val="0"/>
                <w:i/>
                <w:color w:val="C00000"/>
                <w:sz w:val="24"/>
              </w:rPr>
              <w:t>error: crossref fetch failed</w:t>
            </w:r>
          </w:p>
        </w:tc>
        <w:tc>
          <w:tcPr>
            <w:tcW w:type="dxa" w:w="2340"/>
          </w:tcPr>
          <w:p>
            <w:r/>
            <w:r>
              <w:rPr>
                <w:rFonts w:ascii="Times New Roman" w:hAnsi="Times New Roman" w:cs="Times New Roman" w:eastAsia="Times New Roman"/>
                <w:b w:val="0"/>
                <w:i w:val="0"/>
                <w:sz w:val="18"/>
              </w:rPr>
              <w:t>https://api.crossref.org/works?query=Benzene&amp;rows=25</w:t>
            </w:r>
          </w:p>
        </w:tc>
      </w:tr>
      <w:tr>
        <w:tc>
          <w:tcPr>
            <w:tcW w:type="dxa" w:w="2340"/>
          </w:tcPr>
          <w:p>
            <w:r/>
            <w:r>
              <w:rPr>
                <w:rFonts w:ascii="Times New Roman" w:hAnsi="Times New Roman" w:cs="Times New Roman" w:eastAsia="Times New Roman"/>
                <w:b w:val="0"/>
                <w:i w:val="0"/>
                <w:sz w:val="24"/>
              </w:rPr>
              <w:t>9</w:t>
            </w:r>
          </w:p>
        </w:tc>
        <w:tc>
          <w:tcPr>
            <w:tcW w:type="dxa" w:w="2340"/>
          </w:tcPr>
          <w:p>
            <w:r/>
            <w:r>
              <w:rPr>
                <w:rFonts w:ascii="Times New Roman" w:hAnsi="Times New Roman" w:cs="Times New Roman" w:eastAsia="Times New Roman"/>
                <w:b w:val="0"/>
                <w:i w:val="0"/>
                <w:sz w:val="24"/>
              </w:rPr>
              <w:t>Semantic Scholar (HTML)</w:t>
            </w:r>
          </w:p>
        </w:tc>
        <w:tc>
          <w:tcPr>
            <w:tcW w:type="dxa" w:w="2340"/>
          </w:tcPr>
          <w:p>
            <w:r/>
            <w:r>
              <w:rPr>
                <w:rFonts w:ascii="Times New Roman" w:hAnsi="Times New Roman" w:cs="Times New Roman" w:eastAsia="Times New Roman"/>
                <w:b w:val="0"/>
                <w:i/>
                <w:color w:val="C00000"/>
                <w:sz w:val="24"/>
              </w:rPr>
              <w:t>error: ProxyError: 403 Forbidden</w:t>
            </w:r>
          </w:p>
        </w:tc>
        <w:tc>
          <w:tcPr>
            <w:tcW w:type="dxa" w:w="2340"/>
          </w:tcPr>
          <w:p>
            <w:r/>
            <w:r>
              <w:rPr>
                <w:rFonts w:ascii="Times New Roman" w:hAnsi="Times New Roman" w:cs="Times New Roman" w:eastAsia="Times New Roman"/>
                <w:b w:val="0"/>
                <w:i w:val="0"/>
                <w:sz w:val="18"/>
              </w:rPr>
              <w:t>https://www.semanticscholar.org/search?q=Benzene&amp;sort=relevance</w:t>
            </w:r>
          </w:p>
        </w:tc>
      </w:tr>
      <w:tr>
        <w:tc>
          <w:tcPr>
            <w:tcW w:type="dxa" w:w="2340"/>
          </w:tcPr>
          <w:p>
            <w:r/>
            <w:r>
              <w:rPr>
                <w:rFonts w:ascii="Times New Roman" w:hAnsi="Times New Roman" w:cs="Times New Roman" w:eastAsia="Times New Roman"/>
                <w:b w:val="0"/>
                <w:i w:val="0"/>
                <w:sz w:val="24"/>
              </w:rPr>
              <w:t>10</w:t>
            </w:r>
          </w:p>
        </w:tc>
        <w:tc>
          <w:tcPr>
            <w:tcW w:type="dxa" w:w="2340"/>
          </w:tcPr>
          <w:p>
            <w:r/>
            <w:r>
              <w:rPr>
                <w:rFonts w:ascii="Times New Roman" w:hAnsi="Times New Roman" w:cs="Times New Roman" w:eastAsia="Times New Roman"/>
                <w:b w:val="0"/>
                <w:i w:val="0"/>
                <w:sz w:val="24"/>
              </w:rPr>
              <w:t>NTP</w:t>
            </w:r>
          </w:p>
        </w:tc>
        <w:tc>
          <w:tcPr>
            <w:tcW w:type="dxa" w:w="2340"/>
          </w:tcPr>
          <w:p>
            <w:r/>
            <w:r>
              <w:rPr>
                <w:rFonts w:ascii="Times New Roman" w:hAnsi="Times New Roman" w:cs="Times New Roman" w:eastAsia="Times New Roman"/>
                <w:b w:val="0"/>
                <w:i/>
                <w:color w:val="C00000"/>
                <w:sz w:val="24"/>
              </w:rPr>
              <w:t>error: ProxyError: 403 Forbidden</w:t>
            </w:r>
          </w:p>
        </w:tc>
        <w:tc>
          <w:tcPr>
            <w:tcW w:type="dxa" w:w="2340"/>
          </w:tcPr>
          <w:p>
            <w:r/>
            <w:r>
              <w:rPr>
                <w:rFonts w:ascii="Times New Roman" w:hAnsi="Times New Roman" w:cs="Times New Roman" w:eastAsia="Times New Roman"/>
                <w:b w:val="0"/>
                <w:i w:val="0"/>
                <w:sz w:val="18"/>
              </w:rPr>
              <w:t>https://ntpsearch.niehs.nih.gov/home?q=Benzene</w:t>
            </w:r>
          </w:p>
        </w:tc>
      </w:tr>
      <w:tr>
        <w:tc>
          <w:tcPr>
            <w:tcW w:type="dxa" w:w="2340"/>
          </w:tcPr>
          <w:p>
            <w:r/>
            <w:r>
              <w:rPr>
                <w:rFonts w:ascii="Times New Roman" w:hAnsi="Times New Roman" w:cs="Times New Roman" w:eastAsia="Times New Roman"/>
                <w:b w:val="0"/>
                <w:i w:val="0"/>
                <w:sz w:val="24"/>
              </w:rPr>
              <w:t>11</w:t>
            </w:r>
          </w:p>
        </w:tc>
        <w:tc>
          <w:tcPr>
            <w:tcW w:type="dxa" w:w="2340"/>
          </w:tcPr>
          <w:p>
            <w:r/>
            <w:r>
              <w:rPr>
                <w:rFonts w:ascii="Times New Roman" w:hAnsi="Times New Roman" w:cs="Times New Roman" w:eastAsia="Times New Roman"/>
                <w:b w:val="0"/>
                <w:i w:val="0"/>
                <w:sz w:val="24"/>
              </w:rPr>
              <w:t>WHO INCHEM</w:t>
            </w:r>
          </w:p>
        </w:tc>
        <w:tc>
          <w:tcPr>
            <w:tcW w:type="dxa" w:w="2340"/>
          </w:tcPr>
          <w:p>
            <w:r/>
            <w:r>
              <w:rPr>
                <w:rFonts w:ascii="Times New Roman" w:hAnsi="Times New Roman" w:cs="Times New Roman" w:eastAsia="Times New Roman"/>
                <w:b w:val="0"/>
                <w:i/>
                <w:color w:val="C00000"/>
                <w:sz w:val="24"/>
              </w:rPr>
              <w:t>error: ProxyError: 403 Forbidden</w:t>
            </w:r>
          </w:p>
        </w:tc>
        <w:tc>
          <w:tcPr>
            <w:tcW w:type="dxa" w:w="2340"/>
          </w:tcPr>
          <w:p>
            <w:r/>
            <w:r>
              <w:rPr>
                <w:rFonts w:ascii="Times New Roman" w:hAnsi="Times New Roman" w:cs="Times New Roman" w:eastAsia="Times New Roman"/>
                <w:b w:val="0"/>
                <w:i w:val="0"/>
                <w:sz w:val="18"/>
              </w:rPr>
              <w:t>https://www.inchem.org/pages/search.html</w:t>
            </w:r>
          </w:p>
        </w:tc>
      </w:tr>
      <w:tr>
        <w:tc>
          <w:tcPr>
            <w:tcW w:type="dxa" w:w="2340"/>
          </w:tcPr>
          <w:p>
            <w:r/>
            <w:r>
              <w:rPr>
                <w:rFonts w:ascii="Times New Roman" w:hAnsi="Times New Roman" w:cs="Times New Roman" w:eastAsia="Times New Roman"/>
                <w:b w:val="0"/>
                <w:i w:val="0"/>
                <w:sz w:val="24"/>
              </w:rPr>
              <w:t>12</w:t>
            </w:r>
          </w:p>
        </w:tc>
        <w:tc>
          <w:tcPr>
            <w:tcW w:type="dxa" w:w="2340"/>
          </w:tcPr>
          <w:p>
            <w:r/>
            <w:r>
              <w:rPr>
                <w:rFonts w:ascii="Times New Roman" w:hAnsi="Times New Roman" w:cs="Times New Roman" w:eastAsia="Times New Roman"/>
                <w:b w:val="0"/>
                <w:i w:val="0"/>
                <w:sz w:val="24"/>
              </w:rPr>
              <w:t>WHO IPCS</w:t>
            </w:r>
          </w:p>
        </w:tc>
        <w:tc>
          <w:tcPr>
            <w:tcW w:type="dxa" w:w="2340"/>
          </w:tcPr>
          <w:p>
            <w:r/>
            <w:r>
              <w:rPr>
                <w:rFonts w:ascii="Times New Roman" w:hAnsi="Times New Roman" w:cs="Times New Roman" w:eastAsia="Times New Roman"/>
                <w:b w:val="0"/>
                <w:i/>
                <w:color w:val="C00000"/>
                <w:sz w:val="24"/>
              </w:rPr>
              <w:t>error: ProxyError: 403 Forbidden</w:t>
            </w:r>
          </w:p>
        </w:tc>
        <w:tc>
          <w:tcPr>
            <w:tcW w:type="dxa" w:w="2340"/>
          </w:tcPr>
          <w:p>
            <w:r/>
            <w:r>
              <w:rPr>
                <w:rFonts w:ascii="Times New Roman" w:hAnsi="Times New Roman" w:cs="Times New Roman" w:eastAsia="Times New Roman"/>
                <w:b w:val="0"/>
                <w:i w:val="0"/>
                <w:sz w:val="18"/>
              </w:rPr>
              <w:t>https://www.inchem.org/pages/search.html</w:t>
            </w:r>
          </w:p>
        </w:tc>
      </w:tr>
      <w:tr>
        <w:tc>
          <w:tcPr>
            <w:tcW w:type="dxa" w:w="2340"/>
          </w:tcPr>
          <w:p>
            <w:r/>
            <w:r>
              <w:rPr>
                <w:rFonts w:ascii="Times New Roman" w:hAnsi="Times New Roman" w:cs="Times New Roman" w:eastAsia="Times New Roman"/>
                <w:b w:val="0"/>
                <w:i w:val="0"/>
                <w:sz w:val="24"/>
              </w:rPr>
              <w:t>13</w:t>
            </w:r>
          </w:p>
        </w:tc>
        <w:tc>
          <w:tcPr>
            <w:tcW w:type="dxa" w:w="2340"/>
          </w:tcPr>
          <w:p>
            <w:r/>
            <w:r>
              <w:rPr>
                <w:rFonts w:ascii="Times New Roman" w:hAnsi="Times New Roman" w:cs="Times New Roman" w:eastAsia="Times New Roman"/>
                <w:b w:val="0"/>
                <w:i w:val="0"/>
                <w:sz w:val="24"/>
              </w:rPr>
              <w:t>ECHA</w:t>
            </w:r>
          </w:p>
        </w:tc>
        <w:tc>
          <w:tcPr>
            <w:tcW w:type="dxa" w:w="2340"/>
          </w:tcPr>
          <w:p>
            <w:r/>
            <w:r>
              <w:rPr>
                <w:rFonts w:ascii="Times New Roman" w:hAnsi="Times New Roman" w:cs="Times New Roman" w:eastAsia="Times New Roman"/>
                <w:b w:val="0"/>
                <w:i/>
                <w:color w:val="C00000"/>
                <w:sz w:val="24"/>
              </w:rPr>
              <w:t>error: ProxyError: 403 Forbidden</w:t>
            </w:r>
          </w:p>
        </w:tc>
        <w:tc>
          <w:tcPr>
            <w:tcW w:type="dxa" w:w="2340"/>
          </w:tcPr>
          <w:p>
            <w:r/>
            <w:r>
              <w:rPr>
                <w:rFonts w:ascii="Times New Roman" w:hAnsi="Times New Roman" w:cs="Times New Roman" w:eastAsia="Times New Roman"/>
                <w:b w:val="0"/>
                <w:i w:val="0"/>
                <w:sz w:val="18"/>
              </w:rPr>
              <w:t>https://echa.europa.eu/search?text=71-43-2</w:t>
            </w:r>
          </w:p>
        </w:tc>
      </w:tr>
      <w:tr>
        <w:tc>
          <w:tcPr>
            <w:tcW w:type="dxa" w:w="2340"/>
          </w:tcPr>
          <w:p>
            <w:r/>
            <w:r>
              <w:rPr>
                <w:rFonts w:ascii="Times New Roman" w:hAnsi="Times New Roman" w:cs="Times New Roman" w:eastAsia="Times New Roman"/>
                <w:b w:val="0"/>
                <w:i w:val="0"/>
                <w:sz w:val="24"/>
              </w:rPr>
              <w:t>14</w:t>
            </w:r>
          </w:p>
        </w:tc>
        <w:tc>
          <w:tcPr>
            <w:tcW w:type="dxa" w:w="2340"/>
          </w:tcPr>
          <w:p>
            <w:r/>
            <w:r>
              <w:rPr>
                <w:rFonts w:ascii="Times New Roman" w:hAnsi="Times New Roman" w:cs="Times New Roman" w:eastAsia="Times New Roman"/>
                <w:b w:val="0"/>
                <w:i w:val="0"/>
                <w:sz w:val="24"/>
              </w:rPr>
              <w:t>ATSDR ToxProfiles</w:t>
            </w:r>
          </w:p>
        </w:tc>
        <w:tc>
          <w:tcPr>
            <w:tcW w:type="dxa" w:w="2340"/>
          </w:tcPr>
          <w:p>
            <w:r/>
            <w:r>
              <w:rPr>
                <w:rFonts w:ascii="Times New Roman" w:hAnsi="Times New Roman" w:cs="Times New Roman" w:eastAsia="Times New Roman"/>
                <w:b w:val="0"/>
                <w:i/>
                <w:color w:val="C00000"/>
                <w:sz w:val="24"/>
              </w:rPr>
              <w:t>error: ProxyError: 403 Forbidden</w:t>
            </w:r>
          </w:p>
        </w:tc>
        <w:tc>
          <w:tcPr>
            <w:tcW w:type="dxa" w:w="2340"/>
          </w:tcPr>
          <w:p>
            <w:r/>
            <w:r>
              <w:rPr>
                <w:rFonts w:ascii="Times New Roman" w:hAnsi="Times New Roman" w:cs="Times New Roman" w:eastAsia="Times New Roman"/>
                <w:b w:val="0"/>
                <w:i w:val="0"/>
                <w:sz w:val="18"/>
              </w:rPr>
              <w:t>https://search.cdc.gov/search/?query=Benzene&amp;siteLimit=atsdr.cdc.gov</w:t>
            </w:r>
          </w:p>
        </w:tc>
      </w:tr>
      <w:tr>
        <w:tc>
          <w:tcPr>
            <w:tcW w:type="dxa" w:w="2340"/>
          </w:tcPr>
          <w:p>
            <w:r/>
            <w:r>
              <w:rPr>
                <w:rFonts w:ascii="Times New Roman" w:hAnsi="Times New Roman" w:cs="Times New Roman" w:eastAsia="Times New Roman"/>
                <w:b w:val="0"/>
                <w:i w:val="0"/>
                <w:sz w:val="24"/>
              </w:rPr>
              <w:t>15</w:t>
            </w:r>
          </w:p>
        </w:tc>
        <w:tc>
          <w:tcPr>
            <w:tcW w:type="dxa" w:w="2340"/>
          </w:tcPr>
          <w:p>
            <w:r/>
            <w:r>
              <w:rPr>
                <w:rFonts w:ascii="Times New Roman" w:hAnsi="Times New Roman" w:cs="Times New Roman" w:eastAsia="Times New Roman"/>
                <w:b w:val="0"/>
                <w:i w:val="0"/>
                <w:sz w:val="24"/>
              </w:rPr>
              <w:t>CalEPA OEHHA</w:t>
            </w:r>
          </w:p>
        </w:tc>
        <w:tc>
          <w:tcPr>
            <w:tcW w:type="dxa" w:w="2340"/>
          </w:tcPr>
          <w:p>
            <w:r/>
            <w:r>
              <w:rPr>
                <w:rFonts w:ascii="Times New Roman" w:hAnsi="Times New Roman" w:cs="Times New Roman" w:eastAsia="Times New Roman"/>
                <w:b w:val="0"/>
                <w:i/>
                <w:color w:val="C00000"/>
                <w:sz w:val="24"/>
              </w:rPr>
              <w:t>error: ProxyError: 403 Forbidden</w:t>
            </w:r>
          </w:p>
        </w:tc>
        <w:tc>
          <w:tcPr>
            <w:tcW w:type="dxa" w:w="2340"/>
          </w:tcPr>
          <w:p>
            <w:r/>
            <w:r>
              <w:rPr>
                <w:rFonts w:ascii="Times New Roman" w:hAnsi="Times New Roman" w:cs="Times New Roman" w:eastAsia="Times New Roman"/>
                <w:b w:val="0"/>
                <w:i w:val="0"/>
                <w:sz w:val="18"/>
              </w:rPr>
              <w:t>https://oehha.ca.gov/about/search-results?q=Benzene</w:t>
            </w:r>
          </w:p>
        </w:tc>
      </w:tr>
      <w:tr>
        <w:tc>
          <w:tcPr>
            <w:tcW w:type="dxa" w:w="2340"/>
          </w:tcPr>
          <w:p>
            <w:r/>
            <w:r>
              <w:rPr>
                <w:rFonts w:ascii="Times New Roman" w:hAnsi="Times New Roman" w:cs="Times New Roman" w:eastAsia="Times New Roman"/>
                <w:b w:val="0"/>
                <w:i w:val="0"/>
                <w:sz w:val="24"/>
              </w:rPr>
              <w:t>16</w:t>
            </w:r>
          </w:p>
        </w:tc>
        <w:tc>
          <w:tcPr>
            <w:tcW w:type="dxa" w:w="2340"/>
          </w:tcPr>
          <w:p>
            <w:r/>
            <w:r>
              <w:rPr>
                <w:rFonts w:ascii="Times New Roman" w:hAnsi="Times New Roman" w:cs="Times New Roman" w:eastAsia="Times New Roman"/>
                <w:b w:val="0"/>
                <w:i w:val="0"/>
                <w:sz w:val="24"/>
              </w:rPr>
              <w:t>Canada Substances</w:t>
            </w:r>
          </w:p>
        </w:tc>
        <w:tc>
          <w:tcPr>
            <w:tcW w:type="dxa" w:w="2340"/>
          </w:tcPr>
          <w:p>
            <w:r/>
            <w:r>
              <w:rPr>
                <w:rFonts w:ascii="Times New Roman" w:hAnsi="Times New Roman" w:cs="Times New Roman" w:eastAsia="Times New Roman"/>
                <w:b w:val="0"/>
                <w:i/>
                <w:color w:val="C00000"/>
                <w:sz w:val="24"/>
              </w:rPr>
              <w:t>error: ProxyError: 403 Forbidden</w:t>
            </w:r>
          </w:p>
        </w:tc>
        <w:tc>
          <w:tcPr>
            <w:tcW w:type="dxa" w:w="2340"/>
          </w:tcPr>
          <w:p>
            <w:r/>
            <w:r>
              <w:rPr>
                <w:rFonts w:ascii="Times New Roman" w:hAnsi="Times New Roman" w:cs="Times New Roman" w:eastAsia="Times New Roman"/>
                <w:b w:val="0"/>
                <w:i w:val="0"/>
                <w:sz w:val="18"/>
              </w:rPr>
              <w:t>https://www.canada.ca/en/sr/srb.html?q=71-43-2&amp;cdn=canada&amp;st=s&amp;num=10&amp;langs=en</w:t>
            </w:r>
          </w:p>
        </w:tc>
      </w:tr>
      <w:tr>
        <w:tc>
          <w:tcPr>
            <w:tcW w:type="dxa" w:w="2340"/>
          </w:tcPr>
          <w:p>
            <w:r/>
            <w:r>
              <w:rPr>
                <w:rFonts w:ascii="Times New Roman" w:hAnsi="Times New Roman" w:cs="Times New Roman" w:eastAsia="Times New Roman"/>
                <w:b w:val="0"/>
                <w:i w:val="0"/>
                <w:sz w:val="24"/>
              </w:rPr>
              <w:t>17</w:t>
            </w:r>
          </w:p>
        </w:tc>
        <w:tc>
          <w:tcPr>
            <w:tcW w:type="dxa" w:w="2340"/>
          </w:tcPr>
          <w:p>
            <w:r/>
            <w:r>
              <w:rPr>
                <w:rFonts w:ascii="Times New Roman" w:hAnsi="Times New Roman" w:cs="Times New Roman" w:eastAsia="Times New Roman"/>
                <w:b w:val="0"/>
                <w:i w:val="0"/>
                <w:sz w:val="24"/>
              </w:rPr>
              <w:t>CONCAWE</w:t>
            </w:r>
          </w:p>
        </w:tc>
        <w:tc>
          <w:tcPr>
            <w:tcW w:type="dxa" w:w="2340"/>
          </w:tcPr>
          <w:p>
            <w:r/>
            <w:r>
              <w:rPr>
                <w:rFonts w:ascii="Times New Roman" w:hAnsi="Times New Roman" w:cs="Times New Roman" w:eastAsia="Times New Roman"/>
                <w:b w:val="0"/>
                <w:i/>
                <w:color w:val="C00000"/>
                <w:sz w:val="24"/>
              </w:rPr>
              <w:t>error: ProxyError: 403 Forbidden</w:t>
            </w:r>
          </w:p>
        </w:tc>
        <w:tc>
          <w:tcPr>
            <w:tcW w:type="dxa" w:w="2340"/>
          </w:tcPr>
          <w:p>
            <w:r/>
            <w:r>
              <w:rPr>
                <w:rFonts w:ascii="Times New Roman" w:hAnsi="Times New Roman" w:cs="Times New Roman" w:eastAsia="Times New Roman"/>
                <w:b w:val="0"/>
                <w:i w:val="0"/>
                <w:sz w:val="18"/>
              </w:rPr>
              <w:t>https://www.concawe.eu/?s=Benzene</w:t>
            </w:r>
          </w:p>
        </w:tc>
      </w:tr>
      <w:tr>
        <w:tc>
          <w:tcPr>
            <w:tcW w:type="dxa" w:w="2340"/>
          </w:tcPr>
          <w:p>
            <w:r/>
            <w:r>
              <w:rPr>
                <w:rFonts w:ascii="Times New Roman" w:hAnsi="Times New Roman" w:cs="Times New Roman" w:eastAsia="Times New Roman"/>
                <w:b w:val="0"/>
                <w:i w:val="0"/>
                <w:sz w:val="24"/>
              </w:rPr>
              <w:t>18</w:t>
            </w:r>
          </w:p>
        </w:tc>
        <w:tc>
          <w:tcPr>
            <w:tcW w:type="dxa" w:w="2340"/>
          </w:tcPr>
          <w:p>
            <w:r/>
            <w:r>
              <w:rPr>
                <w:rFonts w:ascii="Times New Roman" w:hAnsi="Times New Roman" w:cs="Times New Roman" w:eastAsia="Times New Roman"/>
                <w:b w:val="0"/>
                <w:i w:val="0"/>
                <w:sz w:val="24"/>
              </w:rPr>
              <w:t>NIOSH</w:t>
            </w:r>
          </w:p>
        </w:tc>
        <w:tc>
          <w:tcPr>
            <w:tcW w:type="dxa" w:w="2340"/>
          </w:tcPr>
          <w:p>
            <w:r/>
            <w:r>
              <w:rPr>
                <w:rFonts w:ascii="Times New Roman" w:hAnsi="Times New Roman" w:cs="Times New Roman" w:eastAsia="Times New Roman"/>
                <w:b w:val="0"/>
                <w:i/>
                <w:color w:val="C00000"/>
                <w:sz w:val="24"/>
              </w:rPr>
              <w:t>error: ProxyError: 403 Forbidden</w:t>
            </w:r>
          </w:p>
        </w:tc>
        <w:tc>
          <w:tcPr>
            <w:tcW w:type="dxa" w:w="2340"/>
          </w:tcPr>
          <w:p>
            <w:r/>
            <w:r>
              <w:rPr>
                <w:rFonts w:ascii="Times New Roman" w:hAnsi="Times New Roman" w:cs="Times New Roman" w:eastAsia="Times New Roman"/>
                <w:b w:val="0"/>
                <w:i w:val="0"/>
                <w:sz w:val="18"/>
              </w:rPr>
              <w:t>https://search.cdc.gov/search/?query=Benzene&amp;siteLimit=NIOSH</w:t>
            </w:r>
          </w:p>
        </w:tc>
      </w:tr>
      <w:tr>
        <w:tc>
          <w:tcPr>
            <w:tcW w:type="dxa" w:w="2340"/>
          </w:tcPr>
          <w:p>
            <w:r/>
            <w:r>
              <w:rPr>
                <w:rFonts w:ascii="Times New Roman" w:hAnsi="Times New Roman" w:cs="Times New Roman" w:eastAsia="Times New Roman"/>
                <w:b w:val="0"/>
                <w:i w:val="0"/>
                <w:sz w:val="24"/>
              </w:rPr>
              <w:t>19</w:t>
            </w:r>
          </w:p>
        </w:tc>
        <w:tc>
          <w:tcPr>
            <w:tcW w:type="dxa" w:w="2340"/>
          </w:tcPr>
          <w:p>
            <w:r/>
            <w:r>
              <w:rPr>
                <w:rFonts w:ascii="Times New Roman" w:hAnsi="Times New Roman" w:cs="Times New Roman" w:eastAsia="Times New Roman"/>
                <w:b w:val="0"/>
                <w:i w:val="0"/>
                <w:sz w:val="24"/>
              </w:rPr>
              <w:t>OSHA</w:t>
            </w:r>
          </w:p>
        </w:tc>
        <w:tc>
          <w:tcPr>
            <w:tcW w:type="dxa" w:w="2340"/>
          </w:tcPr>
          <w:p>
            <w:r/>
            <w:r>
              <w:rPr>
                <w:rFonts w:ascii="Times New Roman" w:hAnsi="Times New Roman" w:cs="Times New Roman" w:eastAsia="Times New Roman"/>
                <w:b w:val="0"/>
                <w:i/>
                <w:color w:val="C00000"/>
                <w:sz w:val="24"/>
              </w:rPr>
              <w:t>error: ProxyError: 403 Forbidden</w:t>
            </w:r>
          </w:p>
        </w:tc>
        <w:tc>
          <w:tcPr>
            <w:tcW w:type="dxa" w:w="2340"/>
          </w:tcPr>
          <w:p>
            <w:r/>
            <w:r>
              <w:rPr>
                <w:rFonts w:ascii="Times New Roman" w:hAnsi="Times New Roman" w:cs="Times New Roman" w:eastAsia="Times New Roman"/>
                <w:b w:val="0"/>
                <w:i w:val="0"/>
                <w:sz w:val="18"/>
              </w:rPr>
              <w:t>https://www.osha.gov/laws-regs/standardinterpretations/search?search_api_fulltext=Benzene</w:t>
            </w:r>
          </w:p>
        </w:tc>
      </w:tr>
      <w:tr>
        <w:tc>
          <w:tcPr>
            <w:tcW w:type="dxa" w:w="2340"/>
          </w:tcPr>
          <w:p>
            <w:r/>
            <w:r>
              <w:rPr>
                <w:rFonts w:ascii="Times New Roman" w:hAnsi="Times New Roman" w:cs="Times New Roman" w:eastAsia="Times New Roman"/>
                <w:b w:val="0"/>
                <w:i w:val="0"/>
                <w:sz w:val="24"/>
              </w:rPr>
              <w:t>20</w:t>
            </w:r>
          </w:p>
        </w:tc>
        <w:tc>
          <w:tcPr>
            <w:tcW w:type="dxa" w:w="2340"/>
          </w:tcPr>
          <w:p>
            <w:r/>
            <w:r>
              <w:rPr>
                <w:rFonts w:ascii="Times New Roman" w:hAnsi="Times New Roman" w:cs="Times New Roman" w:eastAsia="Times New Roman"/>
                <w:b w:val="0"/>
                <w:i w:val="0"/>
                <w:sz w:val="24"/>
              </w:rPr>
              <w:t>Australia AICIS</w:t>
            </w:r>
          </w:p>
        </w:tc>
        <w:tc>
          <w:tcPr>
            <w:tcW w:type="dxa" w:w="2340"/>
          </w:tcPr>
          <w:p>
            <w:r/>
            <w:r>
              <w:rPr>
                <w:rFonts w:ascii="Times New Roman" w:hAnsi="Times New Roman" w:cs="Times New Roman" w:eastAsia="Times New Roman"/>
                <w:b w:val="0"/>
                <w:i/>
                <w:color w:val="C00000"/>
                <w:sz w:val="24"/>
              </w:rPr>
              <w:t>error: ProxyError: 403 Forbidden</w:t>
            </w:r>
          </w:p>
        </w:tc>
        <w:tc>
          <w:tcPr>
            <w:tcW w:type="dxa" w:w="2340"/>
          </w:tcPr>
          <w:p>
            <w:r/>
            <w:r>
              <w:rPr>
                <w:rFonts w:ascii="Times New Roman" w:hAnsi="Times New Roman" w:cs="Times New Roman" w:eastAsia="Times New Roman"/>
                <w:b w:val="0"/>
                <w:i w:val="0"/>
                <w:sz w:val="18"/>
              </w:rPr>
              <w:t>https://www.industrialchemicals.gov.au/search/node/71-43-2</w:t>
            </w:r>
          </w:p>
        </w:tc>
      </w:tr>
      <w:tr>
        <w:tc>
          <w:tcPr>
            <w:tcW w:type="dxa" w:w="2340"/>
          </w:tcPr>
          <w:p>
            <w:r/>
            <w:r>
              <w:rPr>
                <w:rFonts w:ascii="Times New Roman" w:hAnsi="Times New Roman" w:cs="Times New Roman" w:eastAsia="Times New Roman"/>
                <w:b w:val="0"/>
                <w:i w:val="0"/>
                <w:sz w:val="24"/>
              </w:rPr>
              <w:t>21</w:t>
            </w:r>
          </w:p>
        </w:tc>
        <w:tc>
          <w:tcPr>
            <w:tcW w:type="dxa" w:w="2340"/>
          </w:tcPr>
          <w:p>
            <w:r/>
            <w:r>
              <w:rPr>
                <w:rFonts w:ascii="Times New Roman" w:hAnsi="Times New Roman" w:cs="Times New Roman" w:eastAsia="Times New Roman"/>
                <w:b w:val="0"/>
                <w:i w:val="0"/>
                <w:sz w:val="24"/>
              </w:rPr>
              <w:t>ILO ICSC</w:t>
            </w:r>
          </w:p>
        </w:tc>
        <w:tc>
          <w:tcPr>
            <w:tcW w:type="dxa" w:w="2340"/>
          </w:tcPr>
          <w:p>
            <w:r/>
            <w:r>
              <w:rPr>
                <w:rFonts w:ascii="Times New Roman" w:hAnsi="Times New Roman" w:cs="Times New Roman" w:eastAsia="Times New Roman"/>
                <w:b w:val="0"/>
                <w:i/>
                <w:color w:val="C00000"/>
                <w:sz w:val="24"/>
              </w:rPr>
              <w:t>error: ILO fetch failed</w:t>
            </w:r>
          </w:p>
        </w:tc>
        <w:tc>
          <w:tcPr>
            <w:tcW w:type="dxa" w:w="2340"/>
          </w:tcPr>
          <w:p>
            <w:r/>
            <w:r>
              <w:rPr>
                <w:rFonts w:ascii="Times New Roman" w:hAnsi="Times New Roman" w:cs="Times New Roman" w:eastAsia="Times New Roman"/>
                <w:b w:val="0"/>
                <w:i w:val="0"/>
                <w:sz w:val="18"/>
              </w:rPr>
              <w:t>https://www.ilo.org/dyn/icsc/showcard.listCards3?p_lang=en&amp;p_search_text=71-43-2</w:t>
            </w:r>
          </w:p>
        </w:tc>
      </w:tr>
      <w:tr>
        <w:tc>
          <w:tcPr>
            <w:tcW w:type="dxa" w:w="2340"/>
          </w:tcPr>
          <w:p>
            <w:r/>
            <w:r>
              <w:rPr>
                <w:rFonts w:ascii="Times New Roman" w:hAnsi="Times New Roman" w:cs="Times New Roman" w:eastAsia="Times New Roman"/>
                <w:b w:val="0"/>
                <w:i w:val="0"/>
                <w:sz w:val="24"/>
              </w:rPr>
              <w:t>22</w:t>
            </w:r>
          </w:p>
        </w:tc>
        <w:tc>
          <w:tcPr>
            <w:tcW w:type="dxa" w:w="2340"/>
          </w:tcPr>
          <w:p>
            <w:r/>
            <w:r>
              <w:rPr>
                <w:rFonts w:ascii="Times New Roman" w:hAnsi="Times New Roman" w:cs="Times New Roman" w:eastAsia="Times New Roman"/>
                <w:b w:val="0"/>
                <w:i w:val="0"/>
                <w:sz w:val="24"/>
              </w:rPr>
              <w:t>Zenodo (HTML)</w:t>
            </w:r>
          </w:p>
        </w:tc>
        <w:tc>
          <w:tcPr>
            <w:tcW w:type="dxa" w:w="2340"/>
          </w:tcPr>
          <w:p>
            <w:r/>
            <w:r>
              <w:rPr>
                <w:rFonts w:ascii="Times New Roman" w:hAnsi="Times New Roman" w:cs="Times New Roman" w:eastAsia="Times New Roman"/>
                <w:b w:val="0"/>
                <w:i/>
                <w:color w:val="C00000"/>
                <w:sz w:val="24"/>
              </w:rPr>
              <w:t>error: ProxyError: 403 Forbidden</w:t>
            </w:r>
          </w:p>
        </w:tc>
        <w:tc>
          <w:tcPr>
            <w:tcW w:type="dxa" w:w="2340"/>
          </w:tcPr>
          <w:p>
            <w:r/>
            <w:r>
              <w:rPr>
                <w:rFonts w:ascii="Times New Roman" w:hAnsi="Times New Roman" w:cs="Times New Roman" w:eastAsia="Times New Roman"/>
                <w:b w:val="0"/>
                <w:i w:val="0"/>
                <w:sz w:val="18"/>
              </w:rPr>
              <w:t>https://zenodo.org/search?q=Benzene</w:t>
            </w:r>
          </w:p>
        </w:tc>
      </w:tr>
      <w:tr>
        <w:tc>
          <w:tcPr>
            <w:tcW w:type="dxa" w:w="2340"/>
          </w:tcPr>
          <w:p>
            <w:r/>
            <w:r>
              <w:rPr>
                <w:rFonts w:ascii="Times New Roman" w:hAnsi="Times New Roman" w:cs="Times New Roman" w:eastAsia="Times New Roman"/>
                <w:b w:val="0"/>
                <w:i w:val="0"/>
                <w:sz w:val="24"/>
              </w:rPr>
              <w:t>23</w:t>
            </w:r>
          </w:p>
        </w:tc>
        <w:tc>
          <w:tcPr>
            <w:tcW w:type="dxa" w:w="2340"/>
          </w:tcPr>
          <w:p>
            <w:r/>
            <w:r>
              <w:rPr>
                <w:rFonts w:ascii="Times New Roman" w:hAnsi="Times New Roman" w:cs="Times New Roman" w:eastAsia="Times New Roman"/>
                <w:b w:val="0"/>
                <w:i w:val="0"/>
                <w:sz w:val="24"/>
              </w:rPr>
              <w:t>NIOSH IDLH</w:t>
            </w:r>
          </w:p>
        </w:tc>
        <w:tc>
          <w:tcPr>
            <w:tcW w:type="dxa" w:w="2340"/>
          </w:tcPr>
          <w:p>
            <w:r/>
            <w:r>
              <w:rPr>
                <w:rFonts w:ascii="Times New Roman" w:hAnsi="Times New Roman" w:cs="Times New Roman" w:eastAsia="Times New Roman"/>
                <w:b w:val="0"/>
                <w:i/>
                <w:color w:val="C00000"/>
                <w:sz w:val="24"/>
              </w:rPr>
              <w:t>error: NIOSH IDLH index fetch failed</w:t>
            </w:r>
          </w:p>
        </w:tc>
        <w:tc>
          <w:tcPr>
            <w:tcW w:type="dxa" w:w="2340"/>
          </w:tcPr>
          <w:p>
            <w:r/>
            <w:r>
              <w:rPr>
                <w:rFonts w:ascii="Times New Roman" w:hAnsi="Times New Roman" w:cs="Times New Roman" w:eastAsia="Times New Roman"/>
                <w:b w:val="0"/>
                <w:i w:val="0"/>
                <w:sz w:val="18"/>
              </w:rPr>
              <w:t>https://www.cdc.gov/niosh/idlh/idlh-b.html</w:t>
            </w:r>
          </w:p>
        </w:tc>
      </w:tr>
      <w:tr>
        <w:tc>
          <w:tcPr>
            <w:tcW w:type="dxa" w:w="2340"/>
          </w:tcPr>
          <w:p>
            <w:r/>
            <w:r>
              <w:rPr>
                <w:rFonts w:ascii="Times New Roman" w:hAnsi="Times New Roman" w:cs="Times New Roman" w:eastAsia="Times New Roman"/>
                <w:b w:val="0"/>
                <w:i w:val="0"/>
                <w:sz w:val="24"/>
              </w:rPr>
              <w:t>24</w:t>
            </w:r>
          </w:p>
        </w:tc>
        <w:tc>
          <w:tcPr>
            <w:tcW w:type="dxa" w:w="2340"/>
          </w:tcPr>
          <w:p>
            <w:r/>
            <w:r>
              <w:rPr>
                <w:rFonts w:ascii="Times New Roman" w:hAnsi="Times New Roman" w:cs="Times New Roman" w:eastAsia="Times New Roman"/>
                <w:b w:val="0"/>
                <w:i w:val="0"/>
                <w:sz w:val="24"/>
              </w:rPr>
              <w:t>OECD eChemPortal</w:t>
            </w:r>
          </w:p>
        </w:tc>
        <w:tc>
          <w:tcPr>
            <w:tcW w:type="dxa" w:w="2340"/>
          </w:tcPr>
          <w:p>
            <w:r/>
            <w:r>
              <w:rPr>
                <w:rFonts w:ascii="Times New Roman" w:hAnsi="Times New Roman" w:cs="Times New Roman" w:eastAsia="Times New Roman"/>
                <w:b w:val="0"/>
                <w:i w:val="0"/>
                <w:color w:val="007036"/>
                <w:sz w:val="24"/>
              </w:rPr>
              <w:t>1 (HTML)</w:t>
            </w:r>
          </w:p>
        </w:tc>
        <w:tc>
          <w:tcPr>
            <w:tcW w:type="dxa" w:w="2340"/>
          </w:tcPr>
          <w:p>
            <w:r/>
            <w:r>
              <w:rPr>
                <w:rFonts w:ascii="Times New Roman" w:hAnsi="Times New Roman" w:cs="Times New Roman" w:eastAsia="Times New Roman"/>
                <w:b w:val="0"/>
                <w:i w:val="0"/>
                <w:sz w:val="18"/>
              </w:rPr>
              <w:t>https://hpvchemicals.oecd.org/UI/SIDS_Details.aspx?key=71-43-2</w:t>
            </w:r>
          </w:p>
        </w:tc>
      </w:tr>
      <w:tr>
        <w:tc>
          <w:tcPr>
            <w:tcW w:type="dxa" w:w="2340"/>
          </w:tcPr>
          <w:p>
            <w:r/>
            <w:r>
              <w:rPr>
                <w:rFonts w:ascii="Times New Roman" w:hAnsi="Times New Roman" w:cs="Times New Roman" w:eastAsia="Times New Roman"/>
                <w:b w:val="0"/>
                <w:i w:val="0"/>
                <w:sz w:val="24"/>
              </w:rPr>
              <w:t>25</w:t>
            </w:r>
          </w:p>
        </w:tc>
        <w:tc>
          <w:tcPr>
            <w:tcW w:type="dxa" w:w="2340"/>
          </w:tcPr>
          <w:p>
            <w:r/>
            <w:r>
              <w:rPr>
                <w:rFonts w:ascii="Times New Roman" w:hAnsi="Times New Roman" w:cs="Times New Roman" w:eastAsia="Times New Roman"/>
                <w:b w:val="0"/>
                <w:i w:val="0"/>
                <w:sz w:val="24"/>
              </w:rPr>
              <w:t>Japan NITE (CHRIP)</w:t>
            </w:r>
          </w:p>
        </w:tc>
        <w:tc>
          <w:tcPr>
            <w:tcW w:type="dxa" w:w="2340"/>
          </w:tcPr>
          <w:p>
            <w:r/>
            <w:r>
              <w:rPr>
                <w:rFonts w:ascii="Times New Roman" w:hAnsi="Times New Roman" w:cs="Times New Roman" w:eastAsia="Times New Roman"/>
                <w:b w:val="0"/>
                <w:i/>
                <w:color w:val="C00000"/>
                <w:sz w:val="24"/>
              </w:rPr>
              <w:t>error: NITE fetch failed</w:t>
            </w:r>
          </w:p>
        </w:tc>
        <w:tc>
          <w:tcPr>
            <w:tcW w:type="dxa" w:w="2340"/>
          </w:tcPr>
          <w:p>
            <w:r/>
            <w:r>
              <w:rPr>
                <w:rFonts w:ascii="Times New Roman" w:hAnsi="Times New Roman" w:cs="Times New Roman" w:eastAsia="Times New Roman"/>
                <w:b w:val="0"/>
                <w:i w:val="0"/>
                <w:sz w:val="18"/>
              </w:rPr>
              <w:t>https://www.nite.go.jp/chem/chrip/chrip_search/dt?cno=71-43-2</w:t>
            </w:r>
          </w:p>
        </w:tc>
      </w:tr>
      <w:tr>
        <w:tc>
          <w:tcPr>
            <w:tcW w:type="dxa" w:w="2340"/>
          </w:tcPr>
          <w:p>
            <w:r/>
            <w:r>
              <w:rPr>
                <w:rFonts w:ascii="Times New Roman" w:hAnsi="Times New Roman" w:cs="Times New Roman" w:eastAsia="Times New Roman"/>
                <w:b w:val="0"/>
                <w:i w:val="0"/>
                <w:sz w:val="24"/>
              </w:rPr>
              <w:t>26</w:t>
            </w:r>
          </w:p>
        </w:tc>
        <w:tc>
          <w:tcPr>
            <w:tcW w:type="dxa" w:w="2340"/>
          </w:tcPr>
          <w:p>
            <w:r/>
            <w:r>
              <w:rPr>
                <w:rFonts w:ascii="Times New Roman" w:hAnsi="Times New Roman" w:cs="Times New Roman" w:eastAsia="Times New Roman"/>
                <w:b w:val="0"/>
                <w:i w:val="0"/>
                <w:sz w:val="24"/>
              </w:rPr>
              <w:t>Japan PRTR</w:t>
            </w:r>
          </w:p>
        </w:tc>
        <w:tc>
          <w:tcPr>
            <w:tcW w:type="dxa" w:w="2340"/>
          </w:tcPr>
          <w:p>
            <w:r/>
            <w:r>
              <w:rPr>
                <w:rFonts w:ascii="Times New Roman" w:hAnsi="Times New Roman" w:cs="Times New Roman" w:eastAsia="Times New Roman"/>
                <w:b w:val="0"/>
                <w:i/>
                <w:color w:val="C00000"/>
                <w:sz w:val="24"/>
              </w:rPr>
              <w:t>error: PRTR index fetch failed</w:t>
            </w:r>
          </w:p>
        </w:tc>
        <w:tc>
          <w:tcPr>
            <w:tcW w:type="dxa" w:w="2340"/>
          </w:tcPr>
          <w:p>
            <w:r/>
            <w:r>
              <w:rPr>
                <w:rFonts w:ascii="Times New Roman" w:hAnsi="Times New Roman" w:cs="Times New Roman" w:eastAsia="Times New Roman"/>
                <w:b w:val="0"/>
                <w:i w:val="0"/>
                <w:sz w:val="18"/>
              </w:rPr>
              <w:t>https://www.env.go.jp/chemi/prtr/substance/index.html</w:t>
            </w:r>
          </w:p>
        </w:tc>
      </w:tr>
      <w:tr>
        <w:tc>
          <w:tcPr>
            <w:tcW w:type="dxa" w:w="2340"/>
          </w:tcPr>
          <w:p>
            <w:r/>
            <w:r>
              <w:rPr>
                <w:rFonts w:ascii="Times New Roman" w:hAnsi="Times New Roman" w:cs="Times New Roman" w:eastAsia="Times New Roman"/>
                <w:b w:val="0"/>
                <w:i w:val="0"/>
                <w:sz w:val="24"/>
              </w:rPr>
              <w:t>27</w:t>
            </w:r>
          </w:p>
        </w:tc>
        <w:tc>
          <w:tcPr>
            <w:tcW w:type="dxa" w:w="2340"/>
          </w:tcPr>
          <w:p>
            <w:r/>
            <w:r>
              <w:rPr>
                <w:rFonts w:ascii="Times New Roman" w:hAnsi="Times New Roman" w:cs="Times New Roman" w:eastAsia="Times New Roman"/>
                <w:b w:val="0"/>
                <w:i w:val="0"/>
                <w:sz w:val="24"/>
              </w:rPr>
              <w:t>Korea MOE ICIS</w:t>
            </w:r>
          </w:p>
        </w:tc>
        <w:tc>
          <w:tcPr>
            <w:tcW w:type="dxa" w:w="2340"/>
          </w:tcPr>
          <w:p>
            <w:r/>
            <w:r>
              <w:rPr>
                <w:rFonts w:ascii="Times New Roman" w:hAnsi="Times New Roman" w:cs="Times New Roman" w:eastAsia="Times New Roman"/>
                <w:b w:val="0"/>
                <w:i/>
                <w:color w:val="C00000"/>
                <w:sz w:val="24"/>
              </w:rPr>
              <w:t>error: ICIS fetch failed</w:t>
            </w:r>
          </w:p>
        </w:tc>
        <w:tc>
          <w:tcPr>
            <w:tcW w:type="dxa" w:w="2340"/>
          </w:tcPr>
          <w:p>
            <w:r/>
            <w:r>
              <w:rPr>
                <w:rFonts w:ascii="Times New Roman" w:hAnsi="Times New Roman" w:cs="Times New Roman" w:eastAsia="Times New Roman"/>
                <w:b w:val="0"/>
                <w:i w:val="0"/>
                <w:sz w:val="18"/>
              </w:rPr>
              <w:t>https://icis.me.go.kr/search/chemSearchResult.do?searchVal=71-43-2</w:t>
            </w:r>
          </w:p>
        </w:tc>
      </w:tr>
      <w:tr>
        <w:tc>
          <w:tcPr>
            <w:tcW w:type="dxa" w:w="2340"/>
          </w:tcPr>
          <w:p>
            <w:r/>
            <w:r>
              <w:rPr>
                <w:rFonts w:ascii="Times New Roman" w:hAnsi="Times New Roman" w:cs="Times New Roman" w:eastAsia="Times New Roman"/>
                <w:b w:val="0"/>
                <w:i w:val="0"/>
                <w:sz w:val="24"/>
              </w:rPr>
              <w:t>28</w:t>
            </w:r>
          </w:p>
        </w:tc>
        <w:tc>
          <w:tcPr>
            <w:tcW w:type="dxa" w:w="2340"/>
          </w:tcPr>
          <w:p>
            <w:r/>
            <w:r>
              <w:rPr>
                <w:rFonts w:ascii="Times New Roman" w:hAnsi="Times New Roman" w:cs="Times New Roman" w:eastAsia="Times New Roman"/>
                <w:b w:val="0"/>
                <w:i w:val="0"/>
                <w:sz w:val="24"/>
              </w:rPr>
              <w:t>CPDB</w:t>
            </w:r>
          </w:p>
        </w:tc>
        <w:tc>
          <w:tcPr>
            <w:tcW w:type="dxa" w:w="2340"/>
          </w:tcPr>
          <w:p>
            <w:r/>
            <w:r>
              <w:rPr>
                <w:rFonts w:ascii="Times New Roman" w:hAnsi="Times New Roman" w:cs="Times New Roman" w:eastAsia="Times New Roman"/>
                <w:b w:val="0"/>
                <w:i/>
                <w:color w:val="C00000"/>
                <w:sz w:val="24"/>
              </w:rPr>
              <w:t>error: CPDB archive fetch failed</w:t>
            </w:r>
          </w:p>
        </w:tc>
        <w:tc>
          <w:tcPr>
            <w:tcW w:type="dxa" w:w="2340"/>
          </w:tcPr>
          <w:p>
            <w:r/>
            <w:r>
              <w:rPr>
                <w:rFonts w:ascii="Times New Roman" w:hAnsi="Times New Roman" w:cs="Times New Roman" w:eastAsia="Times New Roman"/>
                <w:b w:val="0"/>
                <w:i w:val="0"/>
                <w:sz w:val="18"/>
              </w:rPr>
              <w:t>https://files.toxplanet.com/cpdb/chemicalsummary.html</w:t>
            </w:r>
          </w:p>
        </w:tc>
      </w:tr>
      <w:tr>
        <w:tc>
          <w:tcPr>
            <w:tcW w:type="dxa" w:w="2340"/>
          </w:tcPr>
          <w:p>
            <w:r/>
            <w:r>
              <w:rPr>
                <w:rFonts w:ascii="Times New Roman" w:hAnsi="Times New Roman" w:cs="Times New Roman" w:eastAsia="Times New Roman"/>
                <w:b w:val="0"/>
                <w:i w:val="0"/>
                <w:sz w:val="24"/>
              </w:rPr>
              <w:t>29</w:t>
            </w:r>
          </w:p>
        </w:tc>
        <w:tc>
          <w:tcPr>
            <w:tcW w:type="dxa" w:w="2340"/>
          </w:tcPr>
          <w:p>
            <w:r/>
            <w:r>
              <w:rPr>
                <w:rFonts w:ascii="Times New Roman" w:hAnsi="Times New Roman" w:cs="Times New Roman" w:eastAsia="Times New Roman"/>
                <w:b w:val="0"/>
                <w:i w:val="0"/>
                <w:sz w:val="24"/>
              </w:rPr>
              <w:t>Australia Safe Work</w:t>
            </w:r>
          </w:p>
        </w:tc>
        <w:tc>
          <w:tcPr>
            <w:tcW w:type="dxa" w:w="2340"/>
          </w:tcPr>
          <w:p>
            <w:r/>
            <w:r>
              <w:rPr>
                <w:rFonts w:ascii="Times New Roman" w:hAnsi="Times New Roman" w:cs="Times New Roman" w:eastAsia="Times New Roman"/>
                <w:b w:val="0"/>
                <w:i/>
                <w:color w:val="C00000"/>
                <w:sz w:val="24"/>
              </w:rPr>
              <w:t>error: SWA fetch failed</w:t>
            </w:r>
          </w:p>
        </w:tc>
        <w:tc>
          <w:tcPr>
            <w:tcW w:type="dxa" w:w="2340"/>
          </w:tcPr>
          <w:p>
            <w:r/>
            <w:r>
              <w:rPr>
                <w:rFonts w:ascii="Times New Roman" w:hAnsi="Times New Roman" w:cs="Times New Roman" w:eastAsia="Times New Roman"/>
                <w:b w:val="0"/>
                <w:i w:val="0"/>
                <w:sz w:val="18"/>
              </w:rPr>
              <w:t>https://www.safeworkaustralia.gov.au/search?search_api_fulltext=Benzene&amp;page=0</w:t>
            </w:r>
          </w:p>
        </w:tc>
      </w:tr>
      <w:tr>
        <w:tc>
          <w:tcPr>
            <w:tcW w:type="dxa" w:w="2340"/>
          </w:tcPr>
          <w:p>
            <w:r/>
            <w:r>
              <w:rPr>
                <w:rFonts w:ascii="Times New Roman" w:hAnsi="Times New Roman" w:cs="Times New Roman" w:eastAsia="Times New Roman"/>
                <w:b w:val="0"/>
                <w:i w:val="0"/>
                <w:sz w:val="24"/>
              </w:rPr>
              <w:t>30</w:t>
            </w:r>
          </w:p>
        </w:tc>
        <w:tc>
          <w:tcPr>
            <w:tcW w:type="dxa" w:w="2340"/>
          </w:tcPr>
          <w:p>
            <w:r/>
            <w:r>
              <w:rPr>
                <w:rFonts w:ascii="Times New Roman" w:hAnsi="Times New Roman" w:cs="Times New Roman" w:eastAsia="Times New Roman"/>
                <w:b w:val="0"/>
                <w:i w:val="0"/>
                <w:sz w:val="24"/>
              </w:rPr>
              <w:t>IARC Monographs</w:t>
            </w:r>
          </w:p>
        </w:tc>
        <w:tc>
          <w:tcPr>
            <w:tcW w:type="dxa" w:w="2340"/>
          </w:tcPr>
          <w:p>
            <w:r/>
            <w:r>
              <w:rPr>
                <w:rFonts w:ascii="Times New Roman" w:hAnsi="Times New Roman" w:cs="Times New Roman" w:eastAsia="Times New Roman"/>
                <w:b w:val="0"/>
                <w:i/>
                <w:color w:val="C00000"/>
                <w:sz w:val="24"/>
              </w:rPr>
              <w:t>error: IARC fetch failed</w:t>
            </w:r>
          </w:p>
        </w:tc>
        <w:tc>
          <w:tcPr>
            <w:tcW w:type="dxa" w:w="2340"/>
          </w:tcPr>
          <w:p>
            <w:r/>
            <w:r>
              <w:rPr>
                <w:rFonts w:ascii="Times New Roman" w:hAnsi="Times New Roman" w:cs="Times New Roman" w:eastAsia="Times New Roman"/>
                <w:b w:val="0"/>
                <w:i w:val="0"/>
                <w:sz w:val="18"/>
              </w:rPr>
              <w:t>https://publications.iarc.fr/_publications/media/?search=Benzene</w:t>
            </w:r>
          </w:p>
        </w:tc>
      </w:tr>
      <w:tr>
        <w:tc>
          <w:tcPr>
            <w:tcW w:type="dxa" w:w="2340"/>
          </w:tcPr>
          <w:p>
            <w:r/>
            <w:r>
              <w:rPr>
                <w:rFonts w:ascii="Times New Roman" w:hAnsi="Times New Roman" w:cs="Times New Roman" w:eastAsia="Times New Roman"/>
                <w:b w:val="0"/>
                <w:i w:val="0"/>
                <w:sz w:val="24"/>
              </w:rPr>
              <w:t>31</w:t>
            </w:r>
          </w:p>
        </w:tc>
        <w:tc>
          <w:tcPr>
            <w:tcW w:type="dxa" w:w="2340"/>
          </w:tcPr>
          <w:p>
            <w:r/>
            <w:r>
              <w:rPr>
                <w:rFonts w:ascii="Times New Roman" w:hAnsi="Times New Roman" w:cs="Times New Roman" w:eastAsia="Times New Roman"/>
                <w:b w:val="0"/>
                <w:i w:val="0"/>
                <w:sz w:val="24"/>
              </w:rPr>
              <w:t>EPA CompTox</w:t>
            </w:r>
          </w:p>
        </w:tc>
        <w:tc>
          <w:tcPr>
            <w:tcW w:type="dxa" w:w="2340"/>
          </w:tcPr>
          <w:p>
            <w:r/>
            <w:r>
              <w:rPr>
                <w:rFonts w:ascii="Times New Roman" w:hAnsi="Times New Roman" w:cs="Times New Roman" w:eastAsia="Times New Roman"/>
                <w:b w:val="0"/>
                <w:i/>
                <w:color w:val="C00000"/>
                <w:sz w:val="24"/>
              </w:rPr>
              <w:t>error: fetch failed</w:t>
            </w:r>
          </w:p>
        </w:tc>
        <w:tc>
          <w:tcPr>
            <w:tcW w:type="dxa" w:w="2340"/>
          </w:tcPr>
          <w:p>
            <w:r/>
            <w:r>
              <w:rPr>
                <w:rFonts w:ascii="Times New Roman" w:hAnsi="Times New Roman" w:cs="Times New Roman" w:eastAsia="Times New Roman"/>
                <w:b w:val="0"/>
                <w:i w:val="0"/>
                <w:sz w:val="18"/>
              </w:rPr>
              <w:t>https://comptox.epa.gov/dashboard/chemical-lists/search?search=Benzene</w:t>
            </w:r>
          </w:p>
        </w:tc>
      </w:tr>
      <w:tr>
        <w:tc>
          <w:tcPr>
            <w:tcW w:type="dxa" w:w="2340"/>
          </w:tcPr>
          <w:p>
            <w:r/>
            <w:r>
              <w:rPr>
                <w:rFonts w:ascii="Times New Roman" w:hAnsi="Times New Roman" w:cs="Times New Roman" w:eastAsia="Times New Roman"/>
                <w:b w:val="0"/>
                <w:i w:val="0"/>
                <w:sz w:val="24"/>
              </w:rPr>
              <w:t>32</w:t>
            </w:r>
          </w:p>
        </w:tc>
        <w:tc>
          <w:tcPr>
            <w:tcW w:type="dxa" w:w="2340"/>
          </w:tcPr>
          <w:p>
            <w:r/>
            <w:r>
              <w:rPr>
                <w:rFonts w:ascii="Times New Roman" w:hAnsi="Times New Roman" w:cs="Times New Roman" w:eastAsia="Times New Roman"/>
                <w:b w:val="0"/>
                <w:i w:val="0"/>
                <w:sz w:val="24"/>
              </w:rPr>
              <w:t>Haz-Map</w:t>
            </w:r>
          </w:p>
        </w:tc>
        <w:tc>
          <w:tcPr>
            <w:tcW w:type="dxa" w:w="2340"/>
          </w:tcPr>
          <w:p>
            <w:r/>
            <w:r>
              <w:rPr>
                <w:rFonts w:ascii="Times New Roman" w:hAnsi="Times New Roman" w:cs="Times New Roman" w:eastAsia="Times New Roman"/>
                <w:b w:val="0"/>
                <w:i/>
                <w:color w:val="C00000"/>
                <w:sz w:val="24"/>
              </w:rPr>
              <w:t>error: fetch failed</w:t>
            </w:r>
          </w:p>
        </w:tc>
        <w:tc>
          <w:tcPr>
            <w:tcW w:type="dxa" w:w="2340"/>
          </w:tcPr>
          <w:p>
            <w:r/>
            <w:r>
              <w:rPr>
                <w:rFonts w:ascii="Times New Roman" w:hAnsi="Times New Roman" w:cs="Times New Roman" w:eastAsia="Times New Roman"/>
                <w:b w:val="0"/>
                <w:i w:val="0"/>
                <w:sz w:val="18"/>
              </w:rPr>
              <w:t>https://haz-map.com/search/?q=Benzene</w:t>
            </w:r>
          </w:p>
        </w:tc>
      </w:tr>
      <w:tr>
        <w:tc>
          <w:tcPr>
            <w:tcW w:type="dxa" w:w="2340"/>
          </w:tcPr>
          <w:p>
            <w:r/>
            <w:r>
              <w:rPr>
                <w:rFonts w:ascii="Times New Roman" w:hAnsi="Times New Roman" w:cs="Times New Roman" w:eastAsia="Times New Roman"/>
                <w:b w:val="0"/>
                <w:i w:val="0"/>
                <w:sz w:val="24"/>
              </w:rPr>
              <w:t>33</w:t>
            </w:r>
          </w:p>
        </w:tc>
        <w:tc>
          <w:tcPr>
            <w:tcW w:type="dxa" w:w="2340"/>
          </w:tcPr>
          <w:p>
            <w:r/>
            <w:r>
              <w:rPr>
                <w:rFonts w:ascii="Times New Roman" w:hAnsi="Times New Roman" w:cs="Times New Roman" w:eastAsia="Times New Roman"/>
                <w:b w:val="0"/>
                <w:i w:val="0"/>
                <w:sz w:val="24"/>
              </w:rPr>
              <w:t>Silent Spring</w:t>
            </w:r>
          </w:p>
        </w:tc>
        <w:tc>
          <w:tcPr>
            <w:tcW w:type="dxa" w:w="2340"/>
          </w:tcPr>
          <w:p>
            <w:r/>
            <w:r>
              <w:rPr>
                <w:rFonts w:ascii="Times New Roman" w:hAnsi="Times New Roman" w:cs="Times New Roman" w:eastAsia="Times New Roman"/>
                <w:b w:val="0"/>
                <w:i/>
                <w:color w:val="C00000"/>
                <w:sz w:val="24"/>
              </w:rPr>
              <w:t>error: fetch failed</w:t>
            </w:r>
          </w:p>
        </w:tc>
        <w:tc>
          <w:tcPr>
            <w:tcW w:type="dxa" w:w="2340"/>
          </w:tcPr>
          <w:p>
            <w:r/>
            <w:r>
              <w:rPr>
                <w:rFonts w:ascii="Times New Roman" w:hAnsi="Times New Roman" w:cs="Times New Roman" w:eastAsia="Times New Roman"/>
                <w:b w:val="0"/>
                <w:i w:val="0"/>
                <w:sz w:val="18"/>
              </w:rPr>
              <w:t>https://www.silentspring.org/?s=Benzene</w:t>
            </w:r>
          </w:p>
        </w:tc>
      </w:tr>
      <w:tr>
        <w:tc>
          <w:tcPr>
            <w:tcW w:type="dxa" w:w="2340"/>
          </w:tcPr>
          <w:p>
            <w:r/>
            <w:r>
              <w:rPr>
                <w:rFonts w:ascii="Times New Roman" w:hAnsi="Times New Roman" w:cs="Times New Roman" w:eastAsia="Times New Roman"/>
                <w:b w:val="0"/>
                <w:i w:val="0"/>
                <w:sz w:val="24"/>
              </w:rPr>
              <w:t>34</w:t>
            </w:r>
          </w:p>
        </w:tc>
        <w:tc>
          <w:tcPr>
            <w:tcW w:type="dxa" w:w="2340"/>
          </w:tcPr>
          <w:p>
            <w:r/>
            <w:r>
              <w:rPr>
                <w:rFonts w:ascii="Times New Roman" w:hAnsi="Times New Roman" w:cs="Times New Roman" w:eastAsia="Times New Roman"/>
                <w:b w:val="0"/>
                <w:i w:val="0"/>
                <w:sz w:val="24"/>
              </w:rPr>
              <w:t>EPA IRIS</w:t>
            </w:r>
          </w:p>
        </w:tc>
        <w:tc>
          <w:tcPr>
            <w:tcW w:type="dxa" w:w="2340"/>
          </w:tcPr>
          <w:p>
            <w:r/>
            <w:r>
              <w:rPr>
                <w:rFonts w:ascii="Times New Roman" w:hAnsi="Times New Roman" w:cs="Times New Roman" w:eastAsia="Times New Roman"/>
                <w:b w:val="0"/>
                <w:i w:val="0"/>
                <w:color w:val="007036"/>
                <w:sz w:val="24"/>
              </w:rPr>
              <w:t>1 (HTML)</w:t>
            </w:r>
          </w:p>
        </w:tc>
        <w:tc>
          <w:tcPr>
            <w:tcW w:type="dxa" w:w="2340"/>
          </w:tcPr>
          <w:p>
            <w:r/>
            <w:r>
              <w:rPr>
                <w:rFonts w:ascii="Times New Roman" w:hAnsi="Times New Roman" w:cs="Times New Roman" w:eastAsia="Times New Roman"/>
                <w:b w:val="0"/>
                <w:i w:val="0"/>
                <w:sz w:val="18"/>
              </w:rPr>
              <w:t>https://iris.epa.gov/AtoZ/?list_type=alpha</w:t>
            </w:r>
          </w:p>
        </w:tc>
      </w:tr>
      <w:tr>
        <w:tc>
          <w:tcPr>
            <w:tcW w:type="dxa" w:w="2340"/>
          </w:tcPr>
          <w:p>
            <w:r/>
            <w:r>
              <w:rPr>
                <w:rFonts w:ascii="Times New Roman" w:hAnsi="Times New Roman" w:cs="Times New Roman" w:eastAsia="Times New Roman"/>
                <w:b w:val="0"/>
                <w:i w:val="0"/>
                <w:sz w:val="24"/>
              </w:rPr>
              <w:t>35</w:t>
            </w:r>
          </w:p>
        </w:tc>
        <w:tc>
          <w:tcPr>
            <w:tcW w:type="dxa" w:w="2340"/>
          </w:tcPr>
          <w:p>
            <w:r/>
            <w:r>
              <w:rPr>
                <w:rFonts w:ascii="Times New Roman" w:hAnsi="Times New Roman" w:cs="Times New Roman" w:eastAsia="Times New Roman"/>
                <w:b w:val="0"/>
                <w:i w:val="0"/>
                <w:sz w:val="24"/>
              </w:rPr>
              <w:t>NIOSH Pocket Guide</w:t>
            </w:r>
          </w:p>
        </w:tc>
        <w:tc>
          <w:tcPr>
            <w:tcW w:type="dxa" w:w="2340"/>
          </w:tcPr>
          <w:p>
            <w:r/>
            <w:r>
              <w:rPr>
                <w:rFonts w:ascii="Times New Roman" w:hAnsi="Times New Roman" w:cs="Times New Roman" w:eastAsia="Times New Roman"/>
                <w:b w:val="0"/>
                <w:i w:val="0"/>
                <w:color w:val="007036"/>
                <w:sz w:val="24"/>
              </w:rPr>
              <w:t>1 (HTML)</w:t>
            </w:r>
          </w:p>
        </w:tc>
        <w:tc>
          <w:tcPr>
            <w:tcW w:type="dxa" w:w="2340"/>
          </w:tcPr>
          <w:p>
            <w:r/>
            <w:r>
              <w:rPr>
                <w:rFonts w:ascii="Times New Roman" w:hAnsi="Times New Roman" w:cs="Times New Roman" w:eastAsia="Times New Roman"/>
                <w:b w:val="0"/>
                <w:i w:val="0"/>
                <w:sz w:val="18"/>
              </w:rPr>
              <w:t>https://www.cdc.gov/niosh/npg/npgsyn-b.html</w:t>
            </w:r>
          </w:p>
        </w:tc>
      </w:tr>
      <w:tr>
        <w:tc>
          <w:tcPr>
            <w:tcW w:type="dxa" w:w="2340"/>
          </w:tcPr>
          <w:p>
            <w:r/>
            <w:r>
              <w:rPr>
                <w:rFonts w:ascii="Times New Roman" w:hAnsi="Times New Roman" w:cs="Times New Roman" w:eastAsia="Times New Roman"/>
                <w:b w:val="0"/>
                <w:i w:val="0"/>
                <w:sz w:val="24"/>
              </w:rPr>
              <w:t>36</w:t>
            </w:r>
          </w:p>
        </w:tc>
        <w:tc>
          <w:tcPr>
            <w:tcW w:type="dxa" w:w="2340"/>
          </w:tcPr>
          <w:p>
            <w:r/>
            <w:r>
              <w:rPr>
                <w:rFonts w:ascii="Times New Roman" w:hAnsi="Times New Roman" w:cs="Times New Roman" w:eastAsia="Times New Roman"/>
                <w:b w:val="0"/>
                <w:i w:val="0"/>
                <w:sz w:val="24"/>
              </w:rPr>
              <w:t>ATSDR MRLs</w:t>
            </w:r>
          </w:p>
        </w:tc>
        <w:tc>
          <w:tcPr>
            <w:tcW w:type="dxa" w:w="2340"/>
          </w:tcPr>
          <w:p>
            <w:r/>
            <w:r>
              <w:rPr>
                <w:rFonts w:ascii="Times New Roman" w:hAnsi="Times New Roman" w:cs="Times New Roman" w:eastAsia="Times New Roman"/>
                <w:b w:val="0"/>
                <w:i w:val="0"/>
                <w:color w:val="007036"/>
                <w:sz w:val="24"/>
              </w:rPr>
              <w:t>1 (HTML)</w:t>
            </w:r>
          </w:p>
        </w:tc>
        <w:tc>
          <w:tcPr>
            <w:tcW w:type="dxa" w:w="2340"/>
          </w:tcPr>
          <w:p>
            <w:r/>
            <w:r>
              <w:rPr>
                <w:rFonts w:ascii="Times New Roman" w:hAnsi="Times New Roman" w:cs="Times New Roman" w:eastAsia="Times New Roman"/>
                <w:b w:val="0"/>
                <w:i w:val="0"/>
                <w:sz w:val="18"/>
              </w:rPr>
              <w:t>https://wwwn.cdc.gov/TSP/MRLS/mrlsListing.aspx</w:t>
            </w:r>
          </w:p>
        </w:tc>
      </w:tr>
      <w:tr>
        <w:tc>
          <w:tcPr>
            <w:tcW w:type="dxa" w:w="2340"/>
          </w:tcPr>
          <w:p>
            <w:r/>
            <w:r>
              <w:rPr>
                <w:rFonts w:ascii="Times New Roman" w:hAnsi="Times New Roman" w:cs="Times New Roman" w:eastAsia="Times New Roman"/>
                <w:b w:val="0"/>
                <w:i w:val="0"/>
                <w:sz w:val="24"/>
              </w:rPr>
              <w:t>37</w:t>
            </w:r>
          </w:p>
        </w:tc>
        <w:tc>
          <w:tcPr>
            <w:tcW w:type="dxa" w:w="2340"/>
          </w:tcPr>
          <w:p>
            <w:r/>
            <w:r>
              <w:rPr>
                <w:rFonts w:ascii="Times New Roman" w:hAnsi="Times New Roman" w:cs="Times New Roman" w:eastAsia="Times New Roman"/>
                <w:b w:val="0"/>
                <w:i w:val="0"/>
                <w:sz w:val="24"/>
              </w:rPr>
              <w:t>Australia HCIS</w:t>
            </w:r>
          </w:p>
        </w:tc>
        <w:tc>
          <w:tcPr>
            <w:tcW w:type="dxa" w:w="2340"/>
          </w:tcPr>
          <w:p>
            <w:r/>
            <w:r>
              <w:rPr>
                <w:rFonts w:ascii="Times New Roman" w:hAnsi="Times New Roman" w:cs="Times New Roman" w:eastAsia="Times New Roman"/>
                <w:b w:val="0"/>
                <w:i w:val="0"/>
                <w:color w:val="007036"/>
                <w:sz w:val="24"/>
              </w:rPr>
              <w:t>1 (HTML)</w:t>
            </w:r>
          </w:p>
        </w:tc>
        <w:tc>
          <w:tcPr>
            <w:tcW w:type="dxa" w:w="2340"/>
          </w:tcPr>
          <w:p>
            <w:r/>
            <w:r>
              <w:rPr>
                <w:rFonts w:ascii="Times New Roman" w:hAnsi="Times New Roman" w:cs="Times New Roman" w:eastAsia="Times New Roman"/>
                <w:b w:val="0"/>
                <w:i w:val="0"/>
                <w:sz w:val="18"/>
              </w:rPr>
              <w:t>https://hcis.safeworkaustralia.gov.au/HazardousChemical/Search?query=Benzene</w:t>
            </w:r>
          </w:p>
        </w:tc>
      </w:tr>
      <w:tr>
        <w:tc>
          <w:tcPr>
            <w:tcW w:type="dxa" w:w="2340"/>
          </w:tcPr>
          <w:p>
            <w:r/>
          </w:p>
        </w:tc>
        <w:tc>
          <w:tcPr>
            <w:tcW w:type="dxa" w:w="2340"/>
          </w:tcPr>
          <w:p>
            <w:r/>
            <w:r>
              <w:rPr>
                <w:rFonts w:ascii="Times New Roman" w:hAnsi="Times New Roman" w:cs="Times New Roman" w:eastAsia="Times New Roman"/>
                <w:b/>
                <w:i w:val="0"/>
                <w:sz w:val="24"/>
              </w:rPr>
              <w:t>TOTAL (API-counted)</w:t>
            </w:r>
          </w:p>
        </w:tc>
        <w:tc>
          <w:tcPr>
            <w:tcW w:type="dxa" w:w="2340"/>
          </w:tcPr>
          <w:p>
            <w:r/>
            <w:r>
              <w:rPr>
                <w:rFonts w:ascii="Times New Roman" w:hAnsi="Times New Roman" w:cs="Times New Roman" w:eastAsia="Times New Roman"/>
                <w:b/>
                <w:i w:val="0"/>
                <w:sz w:val="24"/>
              </w:rPr>
              <w:t>5</w:t>
            </w:r>
          </w:p>
        </w:tc>
        <w:tc>
          <w:tcPr>
            <w:tcW w:type="dxa" w:w="2340"/>
          </w:tcPr>
          <w:p>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