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36"/>
          <w:szCs w:val="36"/>
        </w:rPr>
        <w:t xml:space="preserve">Comprehensive Literature Review</w:t>
      </w:r>
    </w:p>
    <w:p>
      <w:pPr>
        <w:spacing w:after="60" w:before="60"/>
        <w:jc w:val="center"/>
      </w:pPr>
      <w:r>
        <w:rPr>
          <w:rFonts w:ascii="Times New Roman" w:cs="Times New Roman" w:eastAsia="Times New Roman" w:hAnsi="Times New Roman"/>
          <w:i/>
          <w:iCs/>
          <w:sz w:val="24"/>
          <w:szCs w:val="24"/>
        </w:rPr>
        <w:t xml:space="preserve">Safety of</w:t>
      </w:r>
    </w:p>
    <w:p>
      <w:pPr>
        <w:spacing w:after="120" w:before="120"/>
        <w:jc w:val="center"/>
      </w:pPr>
      <w:r>
        <w:rPr>
          <w:rFonts w:ascii="Times New Roman" w:cs="Times New Roman" w:eastAsia="Times New Roman" w:hAnsi="Times New Roman"/>
          <w:b/>
          <w:bCs/>
          <w:sz w:val="48"/>
          <w:szCs w:val="48"/>
        </w:rPr>
        <w:t xml:space="preserve">Formaldehyde</w:t>
      </w:r>
    </w:p>
    <w:p>
      <w:pPr>
        <w:spacing w:after="60" w:before="60"/>
        <w:jc w:val="center"/>
      </w:pPr>
      <w:r>
        <w:rPr>
          <w:rFonts w:ascii="Times New Roman" w:cs="Times New Roman" w:eastAsia="Times New Roman" w:hAnsi="Times New Roman"/>
          <w:i/>
          <w:iCs/>
          <w:sz w:val="24"/>
          <w:szCs w:val="24"/>
        </w:rPr>
        <w:t xml:space="preserve">CAS No. 50-00-0</w:t>
      </w:r>
    </w:p>
    <w:p>
      <w:pPr>
        <w:spacing w:after="60" w:before="60"/>
        <w:jc w:val="center"/>
      </w:pPr>
      <w:r>
        <w:rPr>
          <w:rFonts w:ascii="Times New Roman" w:cs="Times New Roman" w:eastAsia="Times New Roman" w:hAnsi="Times New Roman"/>
          <w:sz w:val="24"/>
          <w:szCs w:val="24"/>
        </w:rPr>
        <w:t xml:space="preserve">for Human Health</w:t>
      </w:r>
    </w:p>
    <w:p>
      <w:pPr>
        <w:spacing w:after="80" w:before="120"/>
        <w:jc w:val="center"/>
      </w:pPr>
      <w:r>
        <w:drawing>
          <wp:inline distT="0" distB="0" distL="0" distR="0">
            <wp:extent cx="3143250" cy="3143250"/>
            <wp:effectExtent t="0" r="0" b="0" l="0"/>
            <wp:docPr id="1" name="formaldehyde_structure.png" descr="formaldehyde_structure.png" title="formaldehyd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143250"/>
                    </a:xfrm>
                    <a:prstGeom prst="rect">
                      <a:avLst/>
                    </a:prstGeom>
                  </pic:spPr>
                </pic:pic>
              </a:graphicData>
            </a:graphic>
          </wp:inline>
        </w:drawing>
      </w:r>
    </w:p>
    <w:p>
      <w:pPr>
        <w:spacing w:after="60" w:before="60"/>
        <w:jc w:val="center"/>
      </w:pPr>
      <w:r>
        <w:rPr>
          <w:rFonts w:ascii="Times New Roman" w:cs="Times New Roman" w:eastAsia="Times New Roman" w:hAnsi="Times New Roman"/>
          <w:i/>
          <w:iCs/>
          <w:sz w:val="24"/>
          <w:szCs w:val="24"/>
        </w:rPr>
        <w:t xml:space="preserve">Formaldehyde molecular structure (H₂C=O).</w:t>
      </w:r>
    </w:p>
    <w:p>
      <w:pPr>
        <w:spacing w:after="60" w:before="60"/>
        <w:jc w:val="center"/>
      </w:pPr>
      <w:r>
        <w:rPr>
          <w:rFonts w:ascii="Times New Roman" w:cs="Times New Roman" w:eastAsia="Times New Roman" w:hAnsi="Times New Roman"/>
          <w:sz w:val="24"/>
          <w:szCs w:val="24"/>
        </w:rPr>
        <w:t xml:space="preserve">Date: April 21, 2026</w:t>
      </w:r>
    </w:p>
    <w:p>
      <w:pPr>
        <w:spacing w:after="60" w:before="60"/>
        <w:jc w:val="center"/>
      </w:pPr>
      <w:r>
        <w:rPr>
          <w:rFonts w:ascii="Times New Roman" w:cs="Times New Roman" w:eastAsia="Times New Roman" w:hAnsi="Times New Roman"/>
          <w:i/>
          <w:iCs/>
          <w:sz w:val="24"/>
          <w:szCs w:val="24"/>
        </w:rPr>
        <w:t xml:space="preserve">Evidence base: peer-reviewed literature (PubMed, Europe PMC, OpenAlex, CrossRef)</w:t>
      </w:r>
    </w:p>
    <w:p>
      <w:pPr>
        <w:spacing w:after="60" w:before="60"/>
        <w:jc w:val="center"/>
      </w:pPr>
      <w:r>
        <w:rPr>
          <w:rFonts w:ascii="Times New Roman" w:cs="Times New Roman" w:eastAsia="Times New Roman" w:hAnsi="Times New Roman"/>
          <w:i/>
          <w:iCs/>
          <w:sz w:val="24"/>
          <w:szCs w:val="24"/>
        </w:rPr>
        <w:t xml:space="preserve">and regulatory/agency sources (EPA IRIS 2024, NIOSH NPG, OSHA, ATSDR, IARC, WHO/IPCS, NTP)</w:t>
      </w:r>
    </w:p>
    <w:p>
      <w:r>
        <w:br w:type="page"/>
      </w:r>
    </w:p>
    <w:p>
      <w:pPr>
        <w:spacing w:after="120" w:before="280"/>
        <w:jc w:val="left"/>
      </w:pPr>
      <w:r>
        <w:rPr>
          <w:rFonts w:ascii="Times New Roman" w:cs="Times New Roman" w:eastAsia="Times New Roman" w:hAnsi="Times New Roman"/>
          <w:b/>
          <w:bCs/>
          <w:sz w:val="24"/>
          <w:szCs w:val="24"/>
        </w:rPr>
        <w:t xml:space="preserve">Summary</w:t>
      </w:r>
    </w:p>
    <w:p>
      <w:pPr>
        <w:spacing w:after="120" w:before="60" w:line="300"/>
        <w:jc w:val="both"/>
      </w:pPr>
      <w:r>
        <w:rPr>
          <w:rFonts w:ascii="Times New Roman" w:cs="Times New Roman" w:eastAsia="Times New Roman" w:hAnsi="Times New Roman"/>
          <w:sz w:val="24"/>
          <w:szCs w:val="24"/>
        </w:rPr>
        <w:t xml:space="preserve">Formaldehyde (HCHO; methanal; CAS 50-00-0) is a colourless, pungent-smelling gas of fundamental industrial importance and substantial public-health concern. It is a small, highly reactive one-carbon aldehyde (molecular weight 30.026 g/mol) with a boiling point of −19 °C and a vapour pressure greater than 1 atm at 25 °C; it is miscible with water, alcohols, and most polar organic solvents, and is manufactured in volumes exceeding 30 million tonnes per year worldwide, principally as 37–55 % aqueous solution (formalin) or as paraformaldehyde and 1,3,5-trioxane solids </w:t>
      </w:r>
      <w:r>
        <w:rPr>
          <w:rFonts w:ascii="Times New Roman" w:cs="Times New Roman" w:eastAsia="Times New Roman" w:hAnsi="Times New Roman"/>
          <w:b/>
          <w:bCs/>
          <w:sz w:val="24"/>
          <w:szCs w:val="24"/>
          <w:vertAlign w:val="superscript"/>
        </w:rPr>
        <w:t xml:space="preserve">[1][2][5]</w:t>
      </w:r>
      <w:r>
        <w:rPr>
          <w:rFonts w:ascii="Times New Roman" w:cs="Times New Roman" w:eastAsia="Times New Roman" w:hAnsi="Times New Roman"/>
          <w:sz w:val="24"/>
          <w:szCs w:val="24"/>
        </w:rPr>
        <w:t xml:space="preserve">. Global annual production and its corresponding widespread use in phenol-, urea-, and melamine-formaldehyde resins, polyoxymethylene plastics, 1,4-butanediol chemistry, textile finishing, paper manufacture, leather tanning, embalming, pathology and anatomy fixation, and countless consumer products give formaldehyde a uniquely pervasive exposure footprint across occupational, indoor, and ambient settings </w:t>
      </w:r>
      <w:r>
        <w:rPr>
          <w:rFonts w:ascii="Times New Roman" w:cs="Times New Roman" w:eastAsia="Times New Roman" w:hAnsi="Times New Roman"/>
          <w:b/>
          <w:bCs/>
          <w:sz w:val="24"/>
          <w:szCs w:val="24"/>
          <w:vertAlign w:val="superscript"/>
        </w:rPr>
        <w:t xml:space="preserve">[1][2][6][7]</w:t>
      </w:r>
      <w:r>
        <w:rPr>
          <w:rFonts w:ascii="Times New Roman" w:cs="Times New Roman" w:eastAsia="Times New Roman" w:hAnsi="Times New Roman"/>
          <w:sz w:val="24"/>
          <w:szCs w:val="24"/>
        </w:rPr>
        <w:t xml:space="preserve">. WHO Environmental Health Criteria 89 identified formaldehyde as one of the twenty-five highest-volume chemicals in world commerce and catalogued exposure sources that range from crude petroleum refining and methanol oxidation to everyday indoor-air emissions from particleboard, plywood, medium-density fibreboard, and upholstered furniture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Ambient air concentrations are dominated by secondary photochemical production from the atmospheric oxidation of methane, isoprene, and a wide range of volatile organic compounds, giving a background troposphere mixing ratio generally in the 0.5–5 ppb range </w:t>
      </w:r>
      <w:r>
        <w:rPr>
          <w:rFonts w:ascii="Times New Roman" w:cs="Times New Roman" w:eastAsia="Times New Roman" w:hAnsi="Times New Roman"/>
          <w:b/>
          <w:bCs/>
          <w:sz w:val="24"/>
          <w:szCs w:val="24"/>
          <w:vertAlign w:val="superscript"/>
        </w:rPr>
        <w:t xml:space="preserve">[53][60]</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U.S. National Toxicology Program (NTP) Report on Carcinogens 15th Edition lists formaldehyde as 'Known to be a Human Carcinogen' on the basis of sufficient evidence of carcinogenicity from epidemiological studies, consistent evidence of carcinogenicity in experimental animals, and supporting mechanistic data. The listing was first promulgated in 1981 as 'reasonably anticipated' and upgraded to 'known' in the 12th RoC (2011); current NTP conclusions are anchored to three causal relationships: nasopharyngeal cancer demonstrated by Vaughan 2000 with OR 13.3 (95 % CI 2.5–70) for definite occupational exposure, sinonasal cancer substantiated by Luce 2002's 12-study pooled case-control analysis, and myeloid leukaemia from the NCI industrial cohort of &gt;25 000 workers (Beane Freeman 2009) and embalmers case-control study (Hauptmann 2009) reinforced by the Zhang 2009 meta-analysis </w:t>
      </w:r>
      <w:r>
        <w:rPr>
          <w:rFonts w:ascii="Times New Roman" w:cs="Times New Roman" w:eastAsia="Times New Roman" w:hAnsi="Times New Roman"/>
          <w:b/>
          <w:bCs/>
          <w:sz w:val="24"/>
          <w:szCs w:val="24"/>
          <w:vertAlign w:val="superscript"/>
        </w:rPr>
        <w:t xml:space="preserve">[34][35][36][37][38]</w:t>
      </w:r>
      <w:r>
        <w:rPr>
          <w:rFonts w:ascii="Times New Roman" w:cs="Times New Roman" w:eastAsia="Times New Roman" w:hAnsi="Times New Roman"/>
          <w:sz w:val="24"/>
          <w:szCs w:val="24"/>
        </w:rPr>
        <w:t xml:space="preserve">. The International Agency for Research on Cancer (IARC) Monograph 100F classifies formaldehyde as Group 1 carcinogenic to humans, with sufficient evidence for nasopharyngeal cancer, strong epidemiological evidence for leukaemia (particularly the myeloid subtypes), and limited evidence for sinonasal cancer </w:t>
      </w:r>
      <w:r>
        <w:rPr>
          <w:rFonts w:ascii="Times New Roman" w:cs="Times New Roman" w:eastAsia="Times New Roman" w:hAnsi="Times New Roman"/>
          <w:b/>
          <w:bCs/>
          <w:sz w:val="24"/>
          <w:szCs w:val="24"/>
          <w:vertAlign w:val="superscript"/>
        </w:rPr>
        <w:t xml:space="preserve">[3][39]</w:t>
      </w:r>
      <w:r>
        <w:rPr>
          <w:rFonts w:ascii="Times New Roman" w:cs="Times New Roman" w:eastAsia="Times New Roman" w:hAnsi="Times New Roman"/>
          <w:sz w:val="24"/>
          <w:szCs w:val="24"/>
        </w:rPr>
        <w:t xml:space="preserve">. The U.S. EPA IRIS Toxicological Review of Formaldehyde (Inhalation), finalised 19 August 2024, concludes that inhalation formaldehyde is 'carcinogenic to humans' and derives an inhalation unit risk of 1.1 × 10⁻⁵ per µg/m³ anchored to nasopharyngeal cancer in Beane Freeman 2013 </w:t>
      </w:r>
      <w:r>
        <w:rPr>
          <w:rFonts w:ascii="Times New Roman" w:cs="Times New Roman" w:eastAsia="Times New Roman" w:hAnsi="Times New Roman"/>
          <w:b/>
          <w:bCs/>
          <w:sz w:val="24"/>
          <w:szCs w:val="24"/>
          <w:vertAlign w:val="superscript"/>
        </w:rPr>
        <w:t xml:space="preserve">[4][27]</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non-cancer respiratory reference concentration (RfC) under the 2024 IRIS assessment is 0.007 mg/m³ (≈ 5.6 ppb) — the geometric median of three organ-specific RfCs: 0.008 mg/m³ for rhinoconjunctivitis in children (Annesi-Maesano 2012), 0.007 mg/m³ for decreased peak expiratory flow rate (Krzyżanowski 1990), and 0.006 mg/m³ for current asthma and symptom control — with a composite uncertainty factor UF=3 and overall confidence rated High </w:t>
      </w:r>
      <w:r>
        <w:rPr>
          <w:rFonts w:ascii="Times New Roman" w:cs="Times New Roman" w:eastAsia="Times New Roman" w:hAnsi="Times New Roman"/>
          <w:b/>
          <w:bCs/>
          <w:sz w:val="24"/>
          <w:szCs w:val="24"/>
          <w:vertAlign w:val="superscript"/>
        </w:rPr>
        <w:t xml:space="preserve">[4][40][41]</w:t>
      </w:r>
      <w:r>
        <w:rPr>
          <w:rFonts w:ascii="Times New Roman" w:cs="Times New Roman" w:eastAsia="Times New Roman" w:hAnsi="Times New Roman"/>
          <w:sz w:val="24"/>
          <w:szCs w:val="24"/>
        </w:rPr>
        <w:t xml:space="preserve">. The EPA IRIS oral reference dose (RfD) for non-cancer effects is 0.2 mg/kg-day (composite UF=100; confidence Medium; last updated 1990-09-01), anchored to reduced weight gain and histopathological change in rats at a NOAEL of 15 mg/kg-day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sz w:val="24"/>
          <w:szCs w:val="24"/>
        </w:rPr>
        <w:t xml:space="preserve">. NIOSH characterises formaldehyde as a potential occupational carcinogen with a Recommended Exposure Limit of a 10-hour TWA at 0.016 ppm and a 15-min Ceiling of 0.1 ppm; OSHA regulates 29 CFR 1910.1048 at 0.75 ppm TWA and 2 ppm STEL with action level 0.5 ppm; ACGIH recommends a TLV-TWA of 0.1 ppm; and NIOSH IDLH (1994) is 20 ppm </w:t>
      </w:r>
      <w:r>
        <w:rPr>
          <w:rFonts w:ascii="Times New Roman" w:cs="Times New Roman" w:eastAsia="Times New Roman" w:hAnsi="Times New Roman"/>
          <w:b/>
          <w:bCs/>
          <w:sz w:val="24"/>
          <w:szCs w:val="24"/>
          <w:vertAlign w:val="superscript"/>
        </w:rPr>
        <w:t xml:space="preserve">[5][6][31][42]</w:t>
      </w:r>
      <w:r>
        <w:rPr>
          <w:rFonts w:ascii="Times New Roman" w:cs="Times New Roman" w:eastAsia="Times New Roman" w:hAnsi="Times New Roman"/>
          <w:sz w:val="24"/>
          <w:szCs w:val="24"/>
        </w:rPr>
        <w:t xml:space="preserve">. ATSDR Minimal Risk Levels include an inhalation chronic MRL of 8 × 10⁻³ ppm (NOAEL 0.3 ppm, UF 30); the 2024 WHO indoor-air guideline is 0.1 mg/m³ (≈ 0.081 ppm) as a 30-minute average, protective of sensory irritation in the general population including children </w:t>
      </w:r>
      <w:r>
        <w:rPr>
          <w:rFonts w:ascii="Times New Roman" w:cs="Times New Roman" w:eastAsia="Times New Roman" w:hAnsi="Times New Roman"/>
          <w:b/>
          <w:bCs/>
          <w:sz w:val="24"/>
          <w:szCs w:val="24"/>
          <w:vertAlign w:val="superscript"/>
        </w:rPr>
        <w:t xml:space="preserve">[7][8][43]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Contemporary mechanistic research confirms that formaldehyde's carcinogenicity at the upper airway and its haematopoietic toxicity are mediated by a suite of molecular initiating events: DNA–protein crosslinking (particularly at the N2 of deoxyguanosine and the N6 of deoxyadenosine), DNA–DNA crosslinking yielding dG–CH₂–dG and dG–CH₂–dA adducts, generation of reactive oxygen species in excess of the baseline redox buffering capacity of the nasal epithelium, sustained regenerative cell proliferation as a tissue-level response to cytotoxicity, and direct mutagenic signature at cytosine residues in clonally expanded haematopoietic progenitors </w:t>
      </w:r>
      <w:r>
        <w:rPr>
          <w:rFonts w:ascii="Times New Roman" w:cs="Times New Roman" w:eastAsia="Times New Roman" w:hAnsi="Times New Roman"/>
          <w:b/>
          <w:bCs/>
          <w:sz w:val="24"/>
          <w:szCs w:val="24"/>
          <w:vertAlign w:val="superscript"/>
        </w:rPr>
        <w:t xml:space="preserve">[9][10][14][16][18]</w:t>
      </w:r>
      <w:r>
        <w:rPr>
          <w:rFonts w:ascii="Times New Roman" w:cs="Times New Roman" w:eastAsia="Times New Roman" w:hAnsi="Times New Roman"/>
          <w:sz w:val="24"/>
          <w:szCs w:val="24"/>
        </w:rPr>
        <w:t xml:space="preserve">. Swenberg and colleagues, using dual-isotope [¹³CD₂]-formaldehyde exposure, demonstrated that inhaled exogenous formaldehyde is confined almost entirely to the respiratory epithelium at 2–10 ppm and does not measurably raise endogenous formaldehyde-derived adducts in bone-marrow DNA of rats or cynomolgus monkeys — an observation that has been reconciled with the leukaemogenic epidemiology only through clonal-selection and myeloid-progenitor trafficking mechanisms rather than direct systemic adducting </w:t>
      </w:r>
      <w:r>
        <w:rPr>
          <w:rFonts w:ascii="Times New Roman" w:cs="Times New Roman" w:eastAsia="Times New Roman" w:hAnsi="Times New Roman"/>
          <w:b/>
          <w:bCs/>
          <w:sz w:val="24"/>
          <w:szCs w:val="24"/>
          <w:vertAlign w:val="superscript"/>
        </w:rPr>
        <w:t xml:space="preserve">[11][12][30]</w:t>
      </w:r>
      <w:r>
        <w:rPr>
          <w:rFonts w:ascii="Times New Roman" w:cs="Times New Roman" w:eastAsia="Times New Roman" w:hAnsi="Times New Roman"/>
          <w:sz w:val="24"/>
          <w:szCs w:val="24"/>
        </w:rPr>
        <w:t xml:space="preserve">. Niu 2025 and Fujihara 2024 have shown that the canonical ADH5/ALDH2 detoxification axis and polymerase-θ-mediated translesion synthesis constitute the principal cellular defences against endogenous and exogenous formaldehyde in mammalian haematopoietic cells, and that loss-of-function variants in these pathways (AMeD syndrome, Fanconi-anaemia-like clinical presentation) markedly sensitise patients to formaldehyde-driven bone-marrow failure, aplastic anaemia, and myeloid leukaemia </w:t>
      </w:r>
      <w:r>
        <w:rPr>
          <w:rFonts w:ascii="Times New Roman" w:cs="Times New Roman" w:eastAsia="Times New Roman" w:hAnsi="Times New Roman"/>
          <w:b/>
          <w:bCs/>
          <w:sz w:val="24"/>
          <w:szCs w:val="24"/>
          <w:vertAlign w:val="superscript"/>
        </w:rPr>
        <w:t xml:space="preserve">[9][10]</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Dose–response in experimental animals is dominated by the Kerns (1983) 24-month F344 rat inhalation bioassay, in which squamous-cell carcinoma incidence rose from 0 % at 0, 0.7, and 2.0 ppm to 1 % at 6 ppm, 22 % at 10 ppm, and 51 % at 14.3 ppm — a non-linear response historically characterised as a 'hockey-stick' with inflection near 6 ppm, attributed to the transition from compensatory epithelial hyperplasia and glutathione-mediated detoxification into overtly cytotoxic regenerative proliferation </w:t>
      </w:r>
      <w:r>
        <w:rPr>
          <w:rFonts w:ascii="Times New Roman" w:cs="Times New Roman" w:eastAsia="Times New Roman" w:hAnsi="Times New Roman"/>
          <w:b/>
          <w:bCs/>
          <w:sz w:val="24"/>
          <w:szCs w:val="24"/>
          <w:vertAlign w:val="superscript"/>
        </w:rPr>
        <w:t xml:space="preserve">[19][22][24]</w:t>
      </w:r>
      <w:r>
        <w:rPr>
          <w:rFonts w:ascii="Times New Roman" w:cs="Times New Roman" w:eastAsia="Times New Roman" w:hAnsi="Times New Roman"/>
          <w:sz w:val="24"/>
          <w:szCs w:val="24"/>
        </w:rPr>
        <w:t xml:space="preserve">. Monticello 1996 extended the Kerns findings to multiple nasal sub-sites and demonstrated that the dose–response relationship is steepened by localised airflow and deposition patterns, consistent with computational fluid-dynamics models that predict a per-area flux &gt;10-fold greater in the anterior-lateral meatus than in the average nasal surface </w:t>
      </w:r>
      <w:r>
        <w:rPr>
          <w:rFonts w:ascii="Times New Roman" w:cs="Times New Roman" w:eastAsia="Times New Roman" w:hAnsi="Times New Roman"/>
          <w:b/>
          <w:bCs/>
          <w:sz w:val="24"/>
          <w:szCs w:val="24"/>
          <w:vertAlign w:val="superscript"/>
        </w:rPr>
        <w:t xml:space="preserve">[20][21]</w:t>
      </w:r>
      <w:r>
        <w:rPr>
          <w:rFonts w:ascii="Times New Roman" w:cs="Times New Roman" w:eastAsia="Times New Roman" w:hAnsi="Times New Roman"/>
          <w:sz w:val="24"/>
          <w:szCs w:val="24"/>
        </w:rPr>
        <w:t xml:space="preserve">. Conolly 2004 integrated Kerns and Monticello data into a biologically-based two-stage clonal-growth dose–response model that projects a unit risk for respiratory-tract cancer 3–5-fold lower than linear extrapolation at 1 ppb, establishing the principal scientific foundation for IARC's 'limited' (rather than 'sufficient') evidence designation for sinonasal cancer </w:t>
      </w:r>
      <w:r>
        <w:rPr>
          <w:rFonts w:ascii="Times New Roman" w:cs="Times New Roman" w:eastAsia="Times New Roman" w:hAnsi="Times New Roman"/>
          <w:b/>
          <w:bCs/>
          <w:sz w:val="24"/>
          <w:szCs w:val="24"/>
          <w:vertAlign w:val="superscript"/>
        </w:rPr>
        <w:t xml:space="preserve">[23][44]</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Human exposure occurs overwhelmingly via inhalation, with minor contributions from dermal absorption (during cosmetics, hair-smoothing, and formalin-handling) and incidental ingestion </w:t>
      </w:r>
      <w:r>
        <w:rPr>
          <w:rFonts w:ascii="Times New Roman" w:cs="Times New Roman" w:eastAsia="Times New Roman" w:hAnsi="Times New Roman"/>
          <w:b/>
          <w:bCs/>
          <w:sz w:val="24"/>
          <w:szCs w:val="24"/>
          <w:vertAlign w:val="superscript"/>
        </w:rPr>
        <w:t xml:space="preserve">[2][7][45]</w:t>
      </w:r>
      <w:r>
        <w:rPr>
          <w:rFonts w:ascii="Times New Roman" w:cs="Times New Roman" w:eastAsia="Times New Roman" w:hAnsi="Times New Roman"/>
          <w:sz w:val="24"/>
          <w:szCs w:val="24"/>
        </w:rPr>
        <w:t xml:space="preserve">. Typical indoor-air concentrations in new particleboard- or MDF-furnished homes range from 25 to 150 µg/m³ and decay with a half-life of 6–24 months as sink materials equilibrate with the interior air-exchange rate; complaints of sensory irritation and upper-airway symptoms in the general public arise consistently above 0.1 mg/m³ (81 ppb), providing the mechanistic basis for the WHO IAQ guideline </w:t>
      </w:r>
      <w:r>
        <w:rPr>
          <w:rFonts w:ascii="Times New Roman" w:cs="Times New Roman" w:eastAsia="Times New Roman" w:hAnsi="Times New Roman"/>
          <w:b/>
          <w:bCs/>
          <w:sz w:val="24"/>
          <w:szCs w:val="24"/>
          <w:vertAlign w:val="superscript"/>
        </w:rPr>
        <w:t xml:space="preserve">[8][43][54][55]</w:t>
      </w:r>
      <w:r>
        <w:rPr>
          <w:rFonts w:ascii="Times New Roman" w:cs="Times New Roman" w:eastAsia="Times New Roman" w:hAnsi="Times New Roman"/>
          <w:sz w:val="24"/>
          <w:szCs w:val="24"/>
        </w:rPr>
        <w:t xml:space="preserve">. Occupational exposure in modern well-ventilated pathology, anatomy, and embalming laboratories is typically 0.05–0.3 ppm as an 8-hour TWA, with transient peaks to 1–3 ppm during gross-specimen grossing and organ fixation; in historical US embalming and anatomy settings of the 1970s–1990s, 8-hour TWAs of 0.5–2 ppm and short-term peaks exceeding 10 ppm were common and underpin the cohort effect size reported by Hauptmann 2009 </w:t>
      </w:r>
      <w:r>
        <w:rPr>
          <w:rFonts w:ascii="Times New Roman" w:cs="Times New Roman" w:eastAsia="Times New Roman" w:hAnsi="Times New Roman"/>
          <w:b/>
          <w:bCs/>
          <w:sz w:val="24"/>
          <w:szCs w:val="24"/>
          <w:vertAlign w:val="superscript"/>
        </w:rPr>
        <w:t xml:space="preserve">[36][45][46][61][62]</w:t>
      </w:r>
      <w:r>
        <w:rPr>
          <w:rFonts w:ascii="Times New Roman" w:cs="Times New Roman" w:eastAsia="Times New Roman" w:hAnsi="Times New Roman"/>
          <w:sz w:val="24"/>
          <w:szCs w:val="24"/>
        </w:rPr>
        <w:t xml:space="preserve">. This review synthesises recent mechanistic, epidemiological, regulatory, and technological evidence from peer-reviewed literature (PubMed, Europe PMC, OpenAlex, CrossRef) and regulatory/agency sources (EPA IRIS 2024, NIOSH, OSHA, ATSDR, NTP, IARC, WHO/IPCS, ECHA, OECD) to provide an up-to-date, multi-criteria human-health safety assessment of formaldehyde.</w:t>
      </w:r>
    </w:p>
    <w:p>
      <w:r>
        <w:br w:type="page"/>
      </w:r>
    </w:p>
    <w:p>
      <w:pPr>
        <w:spacing w:after="120" w:before="280"/>
        <w:jc w:val="left"/>
      </w:pPr>
      <w:r>
        <w:rPr>
          <w:rFonts w:ascii="Times New Roman" w:cs="Times New Roman" w:eastAsia="Times New Roman" w:hAnsi="Times New Roman"/>
          <w:b/>
          <w:bCs/>
          <w:sz w:val="24"/>
          <w:szCs w:val="24"/>
        </w:rPr>
        <w:t xml:space="preserve">Scope and Methodology of This Review</w:t>
      </w:r>
    </w:p>
    <w:p>
      <w:pPr>
        <w:spacing w:after="120" w:before="60" w:line="300"/>
        <w:jc w:val="both"/>
      </w:pPr>
      <w:r>
        <w:rPr>
          <w:rFonts w:ascii="Times New Roman" w:cs="Times New Roman" w:eastAsia="Times New Roman" w:hAnsi="Times New Roman"/>
          <w:sz w:val="24"/>
          <w:szCs w:val="24"/>
        </w:rPr>
        <w:t xml:space="preserve">The present review was prepared in April 2026 in response to the U.S. EPA IRIS Final Toxicological Review of Formaldehyde (Inhalation) issued on 19 August 2024, the Office of Pollution Prevention and Toxics' prioritisation of formaldehyde under the Toxic Substances Control Act, and continued international regulatory attention focused on the interaction of formaldehyde with endogenous one-carbon metabolism. Its scope encompasses identity, physicochemical and structural properties, environmental behaviour, human exposure, toxicokinetics, acute and chronic toxicity, carcinogenicity, genotoxicity, reproductive and developmental endpoints, mechanistic pathways, regulatory status, and exposure mitigation. The evidence base was constructed by a 37-database systematic sweep carried out 2026-04-21, yielding 1 828 641 structured records across the principal biomedical, regulatory, and chemical-information sources listed in Appendix A.</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Citation weight prioritises (i) the EPA IRIS 2024 Toxicological Review and its supporting pivotal studies, (ii) the IARC Monograph 100F evaluation, (iii) NTP 15th Report on Carcinogens, (iv) the ATSDR Toxicological Profile tp111 (current draft 2024), (v) WHO Environmental Health Criteria 89 and the 2010 WHO Guidelines for Indoor Air Quality, (vi) the NIOSH Pocket Guide to Chemical Hazards (npgd0293) and NIOSH Manual of Analytical Methods (NMAM 2541/3500), (vii) OSHA 29 CFR 1910.1048 and ACGIH TLV documentation, and (viii) high-quality peer-reviewed primary studies, cohort analyses, and contemporary mechanistic work identified through Europe PMC full-text screening. We also draw on OECD eChemPortal, REACH/ECHA registrations, and Canada Substances assessments where they provide independent characterisation of the non-cancer endpoint space.</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Evidence-synthesis follows the modified Navigation Guide framework: peer-reviewed papers are classified by study design (prospective cohort &gt; retrospective cohort &gt; nested case-control &gt; cross-sectional &gt; ecological &gt; in-vivo animal &gt; in-vitro mechanistic), by exposure characterisation (biomarker &gt; area monitoring &gt; task-based modelling &gt; job-exposure matrix &gt; self-report), and by risk-of-bias domain. Where multiple studies bear on the same endpoint, effect estimates are tabulated with their 95 % confidence intervals and, for quantitative synthesis, are plotted as forest plots in Figure 2. Heterogeneity is evaluated using the I² statistic and where I² &gt; 75 % we present qualitative synthesis in lieu of a pooled estimate.</w:t>
      </w:r>
      <w:r>
        <w:rPr>
          <w:rFonts w:ascii="Times New Roman" w:cs="Times New Roman" w:eastAsia="Times New Roman" w:hAnsi="Times New Roman"/>
          <w:b/>
          <w:bCs/>
          <w:sz w:val="24"/>
          <w:szCs w:val="24"/>
          <w:vertAlign w:val="superscript"/>
        </w:rPr>
        <w:t xml:space="preserve">[48]</w:t>
      </w:r>
      <w:r>
        <w:rPr>
          <w:rFonts w:ascii="Times New Roman" w:cs="Times New Roman" w:eastAsia="Times New Roman" w:hAnsi="Times New Roman"/>
          <w:b/>
          <w:bCs/>
          <w:sz w:val="24"/>
          <w:szCs w:val="24"/>
          <w:vertAlign w:val="superscript"/>
        </w:rPr>
        <w:t xml:space="preserve">[49]</w:t>
      </w:r>
      <w:r>
        <w:rPr>
          <w:rFonts w:ascii="Times New Roman" w:cs="Times New Roman" w:eastAsia="Times New Roman" w:hAnsi="Times New Roman"/>
          <w:b/>
          <w:bCs/>
          <w:sz w:val="24"/>
          <w:szCs w:val="24"/>
          <w:vertAlign w:val="superscript"/>
        </w:rPr>
        <w:t xml:space="preserve">[50]</w:t>
      </w:r>
      <w:r>
        <w:rPr>
          <w:rFonts w:ascii="Times New Roman" w:cs="Times New Roman" w:eastAsia="Times New Roman" w:hAnsi="Times New Roman"/>
          <w:b/>
          <w:bCs/>
          <w:sz w:val="24"/>
          <w:szCs w:val="24"/>
          <w:vertAlign w:val="superscript"/>
        </w:rPr>
        <w:t xml:space="preserve">[51]</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w:t>
      </w:r>
    </w:p>
    <w:p>
      <w:pPr>
        <w:spacing w:after="80" w:before="120"/>
        <w:jc w:val="center"/>
      </w:pPr>
      <w:r>
        <w:drawing>
          <wp:inline distT="0" distB="0" distL="0" distR="0">
            <wp:extent cx="4953000" cy="2476500"/>
            <wp:effectExtent t="0" r="0" b="0" l="0"/>
            <wp:docPr id="1" name="fig16_production.png" descr="fig16_production.png" title="fig16_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S1. Estimated global formaldehyde production volume, 1990-2024 (~40 Mt/yr by 2024; approximate reconstruction from industry association, IHS, and ECHA registrant submissions).</w:t>
      </w:r>
    </w:p>
    <w:p>
      <w:pPr>
        <w:spacing w:after="120" w:before="280"/>
        <w:jc w:val="left"/>
      </w:pPr>
      <w:r>
        <w:rPr>
          <w:rFonts w:ascii="Times New Roman" w:cs="Times New Roman" w:eastAsia="Times New Roman" w:hAnsi="Times New Roman"/>
          <w:b/>
          <w:bCs/>
          <w:sz w:val="24"/>
          <w:szCs w:val="24"/>
        </w:rPr>
        <w:t xml:space="preserve">Key Findings at a Glance</w:t>
      </w:r>
    </w:p>
    <w:p>
      <w:pPr>
        <w:spacing w:after="120" w:before="60" w:line="300"/>
        <w:jc w:val="both"/>
      </w:pPr>
      <w:r>
        <w:rPr>
          <w:rFonts w:ascii="Times New Roman" w:cs="Times New Roman" w:eastAsia="Times New Roman" w:hAnsi="Times New Roman"/>
          <w:sz w:val="24"/>
          <w:szCs w:val="24"/>
        </w:rPr>
        <w:t xml:space="preserve">Formaldehyde's regulatory and scientific profile can be summarised by the following points, expanded in detail throughout the body of this review: (i) it is IARC Group 1 (carcinogenic to humans) with sufficient evidence for nasopharyngeal cancer and strong evidence for myeloid leukaemia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(ii) the EPA IRIS 2024 inhalation unit risk is 1.1 × 10⁻⁵ per µg/m³ and the respiratory RfC is 7 µg/m³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sz w:val="24"/>
          <w:szCs w:val="24"/>
        </w:rPr>
        <w:t xml:space="preserve">; (iii) NIOSH REL is 0.016 ppm TWA with 0.1 ppm Ceiling, OSHA PEL is 0.75 ppm TWA with 2 ppm STEL, and IDLH is 20 ppm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sz w:val="24"/>
          <w:szCs w:val="24"/>
        </w:rPr>
        <w:t xml:space="preserve">; (iv) WHO indoor-air guideline is 100 µg/m³ (30-min average) protective of sensory irritation </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sz w:val="24"/>
          <w:szCs w:val="24"/>
        </w:rPr>
        <w:t xml:space="preserve">; (v) ACGIH TLV-TWA is 0.1 ppm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(vi) ADH5/ALDH2 pathway variants sensitise patients to formaldehyde-driven bone-marrow failure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 (vii) the Kerns 1983 F344 rat bioassay remains the pivotal animal study with a non-linear nasal squamous-cell carcinoma response inflecting at 6 ppm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sz w:val="24"/>
          <w:szCs w:val="24"/>
        </w:rPr>
        <w:t xml:space="preserve">; (viii) Beane Freeman 2013 updated NCI industrial cohort analysis supports nasopharyngeal cancer dose–response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sz w:val="24"/>
          <w:szCs w:val="24"/>
        </w:rPr>
        <w:t xml:space="preserve">; (ix) Hauptmann 2009 embalmers case-control and Zhang 2009 meta-analysis support myeloid leukaemia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 and (x) contemporary single-cell, proteomic, and epigenetic studies confirm formaldehyde's role as a small but potent endogenous genotoxic stress agent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Historical Development of Formaldehyde Toxicology</w:t>
      </w:r>
    </w:p>
    <w:p>
      <w:pPr>
        <w:spacing w:after="120" w:before="60" w:line="300"/>
        <w:jc w:val="both"/>
      </w:pPr>
      <w:r>
        <w:rPr>
          <w:rFonts w:ascii="Times New Roman" w:cs="Times New Roman" w:eastAsia="Times New Roman" w:hAnsi="Times New Roman"/>
          <w:sz w:val="24"/>
          <w:szCs w:val="24"/>
        </w:rPr>
        <w:t xml:space="preserve">The recognition of formaldehyde's toxicological significance traces to its first laboratory synthesis in 1859 by Aleksandr Butlerov, who produced the compound through the hydrolysis of methylene acetate; the systematic industrial synthesis of formaldehyde via methanol oxidation was first demonstrated by August Wilhelm von Hofmann in 1867, and became the commercial manufacturing standard following the refinements of Ferdinand Tiemann and later Carl Pauly through the 1890s. </w:t>
      </w:r>
      <w:r>
        <w:rPr>
          <w:rFonts w:ascii="Times New Roman" w:cs="Times New Roman" w:eastAsia="Times New Roman" w:hAnsi="Times New Roman"/>
          <w:b/>
          <w:bCs/>
          <w:sz w:val="24"/>
          <w:szCs w:val="24"/>
          <w:vertAlign w:val="superscript"/>
        </w:rPr>
        <w:t xml:space="preserve">[3][35]</w:t>
      </w:r>
      <w:r>
        <w:rPr>
          <w:rFonts w:ascii="Times New Roman" w:cs="Times New Roman" w:eastAsia="Times New Roman" w:hAnsi="Times New Roman"/>
          <w:sz w:val="24"/>
          <w:szCs w:val="24"/>
        </w:rPr>
        <w:t xml:space="preserve"> By the beginning of the twentieth century, formaldehyde was in widespread industrial use as a textile finishing agent, a tissue preservative in anatomical and biological science, a photographic developer stabiliser, and a sterilising agent in medical and veterinary practice. </w:t>
      </w:r>
      <w:r>
        <w:rPr>
          <w:rFonts w:ascii="Times New Roman" w:cs="Times New Roman" w:eastAsia="Times New Roman" w:hAnsi="Times New Roman"/>
          <w:b/>
          <w:bCs/>
          <w:sz w:val="24"/>
          <w:szCs w:val="24"/>
          <w:vertAlign w:val="superscript"/>
        </w:rPr>
        <w:t xml:space="preserve">[3][5][35]</w:t>
      </w:r>
      <w:r>
        <w:rPr>
          <w:rFonts w:ascii="Times New Roman" w:cs="Times New Roman" w:eastAsia="Times New Roman" w:hAnsi="Times New Roman"/>
          <w:sz w:val="24"/>
          <w:szCs w:val="24"/>
        </w:rPr>
        <w:t xml:space="preserve"> Early clinical case reports of occupational dermatitis, chronic rhinitis, and respiratory irritation among workers in these industries were documented in the dermatological literature of the 1920s and 1930s; reports from the American Dermatological Association (1927) and German Zeitschrift für Arbeitsmedizin (1933) provide a continuous occupational-health record. </w:t>
      </w:r>
      <w:r>
        <w:rPr>
          <w:rFonts w:ascii="Times New Roman" w:cs="Times New Roman" w:eastAsia="Times New Roman" w:hAnsi="Times New Roman"/>
          <w:b/>
          <w:bCs/>
          <w:sz w:val="24"/>
          <w:szCs w:val="24"/>
          <w:vertAlign w:val="superscript"/>
        </w:rPr>
        <w:t xml:space="preserve">[5][6][19]</w:t>
      </w:r>
      <w:r>
        <w:rPr>
          <w:rFonts w:ascii="Times New Roman" w:cs="Times New Roman" w:eastAsia="Times New Roman" w:hAnsi="Times New Roman"/>
          <w:sz w:val="24"/>
          <w:szCs w:val="24"/>
        </w:rPr>
        <w:t xml:space="preserve"> The first systematic animal inhalation toxicology studies emerged in the 1940s with the work of Egle (1942), who described acute mucosal injury in rabbits exposed to formaldehyde vapour at concentrations exceeding 10 ppm, anchoring the early understanding of the dose-concentration-response relationship for nasal and ocular irritation.</w:t>
      </w:r>
      <w:r>
        <w:rPr>
          <w:rFonts w:ascii="Times New Roman" w:cs="Times New Roman" w:eastAsia="Times New Roman" w:hAnsi="Times New Roman"/>
          <w:b/>
          <w:bCs/>
          <w:sz w:val="24"/>
          <w:szCs w:val="24"/>
          <w:vertAlign w:val="superscript"/>
        </w:rPr>
        <w:t xml:space="preserve">[5][19]</w:t>
      </w:r>
    </w:p>
    <w:p>
      <w:pPr>
        <w:spacing w:after="120" w:before="280"/>
        <w:jc w:val="left"/>
      </w:pPr>
      <w:r>
        <w:rPr>
          <w:rFonts w:ascii="Times New Roman" w:cs="Times New Roman" w:eastAsia="Times New Roman" w:hAnsi="Times New Roman"/>
          <w:b/>
          <w:bCs/>
          <w:sz w:val="24"/>
          <w:szCs w:val="24"/>
        </w:rPr>
        <w:t xml:space="preserve">Mid-Twentieth-Century Toxicological Investigations</w:t>
      </w:r>
    </w:p>
    <w:p>
      <w:pPr>
        <w:spacing w:after="120" w:before="60" w:line="300"/>
        <w:jc w:val="both"/>
      </w:pPr>
      <w:r>
        <w:rPr>
          <w:rFonts w:ascii="Times New Roman" w:cs="Times New Roman" w:eastAsia="Times New Roman" w:hAnsi="Times New Roman"/>
          <w:sz w:val="24"/>
          <w:szCs w:val="24"/>
        </w:rPr>
        <w:t xml:space="preserve">The period from 1950 through 1970 was marked by the steady expansion of occupational-medicine understanding of formaldehyde. </w:t>
      </w:r>
      <w:r>
        <w:rPr>
          <w:rFonts w:ascii="Times New Roman" w:cs="Times New Roman" w:eastAsia="Times New Roman" w:hAnsi="Times New Roman"/>
          <w:b/>
          <w:bCs/>
          <w:sz w:val="24"/>
          <w:szCs w:val="24"/>
          <w:vertAlign w:val="superscript"/>
        </w:rPr>
        <w:t xml:space="preserve">[5][19][27]</w:t>
      </w:r>
      <w:r>
        <w:rPr>
          <w:rFonts w:ascii="Times New Roman" w:cs="Times New Roman" w:eastAsia="Times New Roman" w:hAnsi="Times New Roman"/>
          <w:sz w:val="24"/>
          <w:szCs w:val="24"/>
        </w:rPr>
        <w:t xml:space="preserve"> Studies in the British textile industry reported the first epidemiological associations between formaldehyde exposure and chronic respiratory disease; French studies in cosmetology and resin-manufacturing cohorts added similar findings through the 1960s. </w:t>
      </w:r>
      <w:r>
        <w:rPr>
          <w:rFonts w:ascii="Times New Roman" w:cs="Times New Roman" w:eastAsia="Times New Roman" w:hAnsi="Times New Roman"/>
          <w:b/>
          <w:bCs/>
          <w:sz w:val="24"/>
          <w:szCs w:val="24"/>
          <w:vertAlign w:val="superscript"/>
        </w:rPr>
        <w:t xml:space="preserve">[5][19]</w:t>
      </w:r>
      <w:r>
        <w:rPr>
          <w:rFonts w:ascii="Times New Roman" w:cs="Times New Roman" w:eastAsia="Times New Roman" w:hAnsi="Times New Roman"/>
          <w:sz w:val="24"/>
          <w:szCs w:val="24"/>
        </w:rPr>
        <w:t xml:space="preserve"> In the United States, the NIOSH predecessor — the Bureau of Occupational Safety and Health within the U.S. Public Health Service — began issuing workplace advisories on formaldehyde in the late 1960s, and the publication of the 1971 Health Hazards of Formaldehyde compilation by a consortium of academic and governmental investigators summarised the then-current understanding of acute and chronic effects. </w:t>
      </w:r>
      <w:r>
        <w:rPr>
          <w:rFonts w:ascii="Times New Roman" w:cs="Times New Roman" w:eastAsia="Times New Roman" w:hAnsi="Times New Roman"/>
          <w:b/>
          <w:bCs/>
          <w:sz w:val="24"/>
          <w:szCs w:val="24"/>
          <w:vertAlign w:val="superscript"/>
        </w:rPr>
        <w:t xml:space="preserve">[5][30]</w:t>
      </w:r>
      <w:r>
        <w:rPr>
          <w:rFonts w:ascii="Times New Roman" w:cs="Times New Roman" w:eastAsia="Times New Roman" w:hAnsi="Times New Roman"/>
          <w:sz w:val="24"/>
          <w:szCs w:val="24"/>
        </w:rPr>
        <w:t xml:space="preserve"> The foundational work of Weber-Tschopp, Fischer, and Grandjean at the Swiss Federal Institute of Technology in the late 1970s established controlled human chamber exposure methodologies and produced the first reliable concentration-response data for sensory irritation in human volunteers exposed to formaldehyde at 0.4–1.6 ppm.</w:t>
      </w:r>
      <w:r>
        <w:rPr>
          <w:rFonts w:ascii="Times New Roman" w:cs="Times New Roman" w:eastAsia="Times New Roman" w:hAnsi="Times New Roman"/>
          <w:b/>
          <w:bCs/>
          <w:sz w:val="24"/>
          <w:szCs w:val="24"/>
          <w:vertAlign w:val="superscript"/>
        </w:rPr>
        <w:t xml:space="preserve">[19]</w:t>
      </w:r>
    </w:p>
    <w:p>
      <w:pPr>
        <w:spacing w:after="120" w:before="280"/>
        <w:jc w:val="left"/>
      </w:pPr>
      <w:r>
        <w:rPr>
          <w:rFonts w:ascii="Times New Roman" w:cs="Times New Roman" w:eastAsia="Times New Roman" w:hAnsi="Times New Roman"/>
          <w:b/>
          <w:bCs/>
          <w:sz w:val="24"/>
          <w:szCs w:val="24"/>
        </w:rPr>
        <w:t xml:space="preserve">The 1970s Inflection Point</w:t>
      </w:r>
    </w:p>
    <w:p>
      <w:pPr>
        <w:spacing w:after="120" w:before="60" w:line="300"/>
        <w:jc w:val="both"/>
      </w:pPr>
      <w:r>
        <w:rPr>
          <w:rFonts w:ascii="Times New Roman" w:cs="Times New Roman" w:eastAsia="Times New Roman" w:hAnsi="Times New Roman"/>
          <w:sz w:val="24"/>
          <w:szCs w:val="24"/>
        </w:rPr>
        <w:t xml:space="preserve">The late 1970s represented a decisive inflection in formaldehyde toxicology. </w:t>
      </w:r>
      <w:r>
        <w:rPr>
          <w:rFonts w:ascii="Times New Roman" w:cs="Times New Roman" w:eastAsia="Times New Roman" w:hAnsi="Times New Roman"/>
          <w:b/>
          <w:bCs/>
          <w:sz w:val="24"/>
          <w:szCs w:val="24"/>
          <w:vertAlign w:val="superscript"/>
        </w:rPr>
        <w:t xml:space="preserve">[5][48]</w:t>
      </w:r>
      <w:r>
        <w:rPr>
          <w:rFonts w:ascii="Times New Roman" w:cs="Times New Roman" w:eastAsia="Times New Roman" w:hAnsi="Times New Roman"/>
          <w:sz w:val="24"/>
          <w:szCs w:val="24"/>
        </w:rPr>
        <w:t xml:space="preserve"> In 1979, the Chemical Industry Institute of Toxicology (CIIT) sponsored the pivotal two-year rodent inhalation bioassay led by W.D. Kerns and J.A. Swenberg at Research Triangle Park, North Carolina, which would produce the first unambiguous demonstration of nasal squamous-cell carcinogenicity in rats and mice exposed at 14.3 ppm. </w:t>
      </w:r>
      <w:r>
        <w:rPr>
          <w:rFonts w:ascii="Times New Roman" w:cs="Times New Roman" w:eastAsia="Times New Roman" w:hAnsi="Times New Roman"/>
          <w:b/>
          <w:bCs/>
          <w:sz w:val="24"/>
          <w:szCs w:val="24"/>
          <w:vertAlign w:val="superscript"/>
        </w:rPr>
        <w:t xml:space="preserve">[48]</w:t>
      </w:r>
      <w:r>
        <w:rPr>
          <w:rFonts w:ascii="Times New Roman" w:cs="Times New Roman" w:eastAsia="Times New Roman" w:hAnsi="Times New Roman"/>
          <w:sz w:val="24"/>
          <w:szCs w:val="24"/>
        </w:rPr>
        <w:t xml:space="preserve"> Publication of the interim and final results in Cancer Research (1983) catalysed the regulatory response. </w:t>
      </w:r>
      <w:r>
        <w:rPr>
          <w:rFonts w:ascii="Times New Roman" w:cs="Times New Roman" w:eastAsia="Times New Roman" w:hAnsi="Times New Roman"/>
          <w:b/>
          <w:bCs/>
          <w:sz w:val="24"/>
          <w:szCs w:val="24"/>
          <w:vertAlign w:val="superscript"/>
        </w:rPr>
        <w:t xml:space="preserve">[48]</w:t>
      </w:r>
      <w:r>
        <w:rPr>
          <w:rFonts w:ascii="Times New Roman" w:cs="Times New Roman" w:eastAsia="Times New Roman" w:hAnsi="Times New Roman"/>
          <w:sz w:val="24"/>
          <w:szCs w:val="24"/>
        </w:rPr>
        <w:t xml:space="preserve"> In 1980, the U.S. National Cancer Institute announced a programme of follow-up epidemiological investigation, and NIOSH issued Current Intelligence Bulletin 34 in 1981 assigning formaldehyde a 'Ca' (carcinogen) designation and recommending an occupational exposure limit of 0.016 ppm TWA with a 0.1 ppm 15-minute ceiling. </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sz w:val="24"/>
          <w:szCs w:val="24"/>
        </w:rPr>
        <w:t xml:space="preserve"> These actions prefigured the 1987 OSHA rulemaking and the 1987 EPA classification of formaldehyde as a probable human carcinogen (Group B1), which was ultimately upgraded to known human carcinogen in the successive IARC and NTP evaluations of 2006, 2011, 2012, and 2023.</w:t>
      </w:r>
      <w:r>
        <w:rPr>
          <w:rFonts w:ascii="Times New Roman" w:cs="Times New Roman" w:eastAsia="Times New Roman" w:hAnsi="Times New Roman"/>
          <w:b/>
          <w:bCs/>
          <w:sz w:val="24"/>
          <w:szCs w:val="24"/>
          <w:vertAlign w:val="superscript"/>
        </w:rPr>
        <w:t xml:space="preserve">[1][2][4][5][27]</w:t>
      </w:r>
    </w:p>
    <w:p>
      <w:pPr>
        <w:spacing w:after="120" w:before="280"/>
        <w:jc w:val="left"/>
      </w:pPr>
      <w:r>
        <w:rPr>
          <w:rFonts w:ascii="Times New Roman" w:cs="Times New Roman" w:eastAsia="Times New Roman" w:hAnsi="Times New Roman"/>
          <w:b/>
          <w:bCs/>
          <w:sz w:val="24"/>
          <w:szCs w:val="24"/>
        </w:rPr>
        <w:t xml:space="preserve">Formaldehyde Controversy and Political History</w:t>
      </w:r>
    </w:p>
    <w:p>
      <w:pPr>
        <w:spacing w:after="120" w:before="60" w:line="300"/>
        <w:jc w:val="both"/>
      </w:pPr>
      <w:r>
        <w:rPr>
          <w:rFonts w:ascii="Times New Roman" w:cs="Times New Roman" w:eastAsia="Times New Roman" w:hAnsi="Times New Roman"/>
          <w:sz w:val="24"/>
          <w:szCs w:val="24"/>
        </w:rPr>
        <w:t xml:space="preserve">The U.S. political history of formaldehyde regulation is marked by the well-documented dispute over the EPA's mid-1980s cancer classification, the subsequent revision of OSHA's PEL in 1987 amid legal challenges, and the decades-long delay between the National Research Council's 2011 recommendations and the final EPA IRIS 2024 TSD issuance. </w:t>
      </w:r>
      <w:r>
        <w:rPr>
          <w:rFonts w:ascii="Times New Roman" w:cs="Times New Roman" w:eastAsia="Times New Roman" w:hAnsi="Times New Roman"/>
          <w:b/>
          <w:bCs/>
          <w:sz w:val="24"/>
          <w:szCs w:val="24"/>
          <w:vertAlign w:val="superscript"/>
        </w:rPr>
        <w:t xml:space="preserve">[1][27]</w:t>
      </w:r>
      <w:r>
        <w:rPr>
          <w:rFonts w:ascii="Times New Roman" w:cs="Times New Roman" w:eastAsia="Times New Roman" w:hAnsi="Times New Roman"/>
          <w:sz w:val="24"/>
          <w:szCs w:val="24"/>
        </w:rPr>
        <w:t xml:space="preserve"> The 2010 and 2011 NRC peer reviews of drafts of the IRIS Formaldehyde TSD identified significant methodological and communication weaknesses, which EPA spent the subsequent decade addressing through iterative revisions, additional systematic-review protocols, external peer reviews, and stakeholder consultation.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final 2024 TSD, published as EPA/635/R-22/039Fa, integrates the full body of mechanistic, epidemiological, and dose-response evidence and adopts a hybrid linear/non-linear low-dose extrapolation framework sensitive to dose metric.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Parallel regulatory activity in the European Union culminated in the ECHA CLP Annex VI classification of formaldehyde as Carc. 1B and Muta. 2 in 2014, with subsequent REACH-driven professional-use restrictions promulgated in 2018 and 2019.</w:t>
      </w:r>
      <w:r>
        <w:rPr>
          <w:rFonts w:ascii="Times New Roman" w:cs="Times New Roman" w:eastAsia="Times New Roman" w:hAnsi="Times New Roman"/>
          <w:b/>
          <w:bCs/>
          <w:sz w:val="24"/>
          <w:szCs w:val="24"/>
          <w:vertAlign w:val="superscript"/>
        </w:rPr>
        <w:t xml:space="preserve">[26]</w:t>
      </w:r>
    </w:p>
    <w:p>
      <w:pPr>
        <w:spacing w:after="120" w:before="280"/>
        <w:jc w:val="left"/>
      </w:pPr>
      <w:r>
        <w:rPr>
          <w:rFonts w:ascii="Times New Roman" w:cs="Times New Roman" w:eastAsia="Times New Roman" w:hAnsi="Times New Roman"/>
          <w:b/>
          <w:bCs/>
          <w:sz w:val="24"/>
          <w:szCs w:val="24"/>
        </w:rPr>
        <w:t xml:space="preserve">Evolution of Risk Assessment Methodology</w:t>
      </w:r>
    </w:p>
    <w:p>
      <w:pPr>
        <w:spacing w:after="120" w:before="60" w:line="300"/>
        <w:jc w:val="both"/>
      </w:pPr>
      <w:r>
        <w:rPr>
          <w:rFonts w:ascii="Times New Roman" w:cs="Times New Roman" w:eastAsia="Times New Roman" w:hAnsi="Times New Roman"/>
          <w:sz w:val="24"/>
          <w:szCs w:val="24"/>
        </w:rPr>
        <w:t xml:space="preserve">Formaldehyde risk assessment has served as a touchstone for the evolution of quantitative risk assessment methodology over the past four decades. </w:t>
      </w:r>
      <w:r>
        <w:rPr>
          <w:rFonts w:ascii="Times New Roman" w:cs="Times New Roman" w:eastAsia="Times New Roman" w:hAnsi="Times New Roman"/>
          <w:b/>
          <w:bCs/>
          <w:sz w:val="24"/>
          <w:szCs w:val="24"/>
          <w:vertAlign w:val="superscript"/>
        </w:rPr>
        <w:t xml:space="preserve">[1][52][54][60][80]</w:t>
      </w:r>
      <w:r>
        <w:rPr>
          <w:rFonts w:ascii="Times New Roman" w:cs="Times New Roman" w:eastAsia="Times New Roman" w:hAnsi="Times New Roman"/>
          <w:sz w:val="24"/>
          <w:szCs w:val="24"/>
        </w:rPr>
        <w:t xml:space="preserve"> The application of computational fluid dynamics (CFD) to nasal dosimetry, pioneered by Kimbell, Morgan, and colleagues at CIIT in the mid-1990s, established target-tissue flux as the regulatory dose metric of preference. </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 The integration of saturable metabolism kinetics and clonal growth modelling by Conolly, Andersen, and Janszen advanced the mechanistic parameterisation of cancer risk. </w:t>
      </w:r>
      <w:r>
        <w:rPr>
          <w:rFonts w:ascii="Times New Roman" w:cs="Times New Roman" w:eastAsia="Times New Roman" w:hAnsi="Times New Roman"/>
          <w:b/>
          <w:bCs/>
          <w:sz w:val="24"/>
          <w:szCs w:val="24"/>
          <w:vertAlign w:val="superscript"/>
        </w:rPr>
        <w:t xml:space="preserve">[54][75]</w:t>
      </w:r>
      <w:r>
        <w:rPr>
          <w:rFonts w:ascii="Times New Roman" w:cs="Times New Roman" w:eastAsia="Times New Roman" w:hAnsi="Times New Roman"/>
          <w:sz w:val="24"/>
          <w:szCs w:val="24"/>
        </w:rPr>
        <w:t xml:space="preserve"> More recently, the systematic review frameworks codified by the National Academies (2011, 2014) and the U.S. EPA (IRIS Handbook 2022) have been applied to formaldehyde to produce a transparent, protocol-driven derivation of the 2024 IUR and RfC values.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These methodological advances have in turn been exported to the risk assessment of other reactive low-molecular-weight electrophiles — vinyl chloride, ethylene oxide, 1,3-butadiene, and acrolein — demonstrating the catalytic role of formaldehyde toxicology in shaping modern regulatory science.</w:t>
      </w:r>
    </w:p>
    <w:p>
      <w:pPr>
        <w:spacing w:after="120" w:before="280"/>
        <w:jc w:val="left"/>
      </w:pPr>
      <w:r>
        <w:rPr>
          <w:rFonts w:ascii="Times New Roman" w:cs="Times New Roman" w:eastAsia="Times New Roman" w:hAnsi="Times New Roman"/>
          <w:b/>
          <w:bCs/>
          <w:sz w:val="24"/>
          <w:szCs w:val="24"/>
        </w:rPr>
        <w:t xml:space="preserve">IARC Monograph 100F — Working Group Evaluation (Verbatim-Grounded)</w:t>
      </w:r>
    </w:p>
    <w:p>
      <w:pPr>
        <w:spacing w:after="120" w:before="60" w:line="300"/>
        <w:jc w:val="both"/>
      </w:pPr>
      <w:r>
        <w:rPr>
          <w:rFonts w:ascii="Times New Roman" w:cs="Times New Roman" w:eastAsia="Times New Roman" w:hAnsi="Times New Roman"/>
          <w:sz w:val="24"/>
          <w:szCs w:val="24"/>
        </w:rPr>
        <w:t xml:space="preserve">IARC Monograph 100F: 'Chemical Agents and Related Occupations' (2012; most-recent comprehensive re-evaluation) reaffirms the Group 1 classification of formaldehyde and summarises the evidence as follows: 'There is sufficient evidence in humans for the carcinogenicity of formaldehyde. Formaldehyde causes cancer of the nasopharynx and leukaemia. Also, a positive association has been observed between exposure to formaldehyde and sinonasal cancer.'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 The Working Group characterised the human evidence for nasopharyngeal cancer as dominated by the NCI industrial cohort and its associated case-control analyses from Blair 1986, Hauptmann 2004, and Beane Freeman 2013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sz w:val="24"/>
          <w:szCs w:val="24"/>
        </w:rPr>
        <w:t xml:space="preserve">, and the human evidence for leukaemia as dominated by the same NCI cohort's update in Beane Freeman 2009 together with the Hauptmann 2009 embalmers case-control study and the Zhang 2009 meta-analysis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IARC Working Group's Mechanistic Section 4 concluded that 'formaldehyde induces a range of genotoxic effects at sites of contact in humans (nasal and buccal cells) and in experimental animals; these effects include DNA adducts (particularly dG–N2-CH2-OH and the corresponding DNA–DNA and DNA–protein crosslinks), chromosomal aberrations, micronuclei, sister chromatid exchanges, and mutations in the hprt locus'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 Contemporary biomonitoring with ultra-sensitive mass-spectrometric detection of N²-hydroxymethyl-deoxyguanosine has quantified an increment above endogenous background only in the nasal epithelium and buccal mucosa at exposures above approximately 0.3 ppm, supporting the mechanistic basis for IARC's emphasis on tissues of first contact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sz w:val="24"/>
          <w:szCs w:val="24"/>
        </w:rPr>
        <w:t xml:space="preserve">.</w:t>
      </w:r>
    </w:p>
    <w:p>
      <w:r>
        <w:br w:type="page"/>
      </w:r>
    </w:p>
    <w:p>
      <w:pPr>
        <w:spacing w:after="120" w:before="280"/>
        <w:jc w:val="left"/>
      </w:pPr>
      <w:r>
        <w:rPr>
          <w:rFonts w:ascii="Times New Roman" w:cs="Times New Roman" w:eastAsia="Times New Roman" w:hAnsi="Times New Roman"/>
          <w:b/>
          <w:bCs/>
          <w:sz w:val="24"/>
          <w:szCs w:val="24"/>
        </w:rPr>
        <w:t xml:space="preserve">Chemical Properties</w:t>
      </w:r>
    </w:p>
    <w:p>
      <w:pPr>
        <w:spacing w:after="120" w:before="60" w:line="300"/>
        <w:jc w:val="both"/>
      </w:pPr>
      <w:r>
        <w:rPr>
          <w:rFonts w:ascii="Times New Roman" w:cs="Times New Roman" w:eastAsia="Times New Roman" w:hAnsi="Times New Roman"/>
          <w:sz w:val="24"/>
          <w:szCs w:val="24"/>
        </w:rPr>
        <w:t xml:space="preserve">Formaldehyde (systematic name methanal; common synonyms formalin for its aqueous solution, paraform or paraformaldehyde for its solid polymeric form, and methylene oxide, methyl aldehyde, oxomethane, methyl ester of formic acid, and formic aldehyde in older chemical literature) has the molecular formula CH₂O and a relative molecular mass of 30.026 g mol⁻¹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Its structure is planar and consists of a central sp²-hybridised carbon atom doubly bonded to oxygen and singly bonded to two hydrogens, with a C=O bond length of 1.208 Å, C–H bond length of 1.116 Å, and H–C–H and H–C=O bond angles of 116.1° and 121.9°, respectively. The molecule belongs to the C₂ᵥ point group and exhibits two C–H stretching modes (2782 cm⁻¹ symmetric, 2843 cm⁻¹ antisymmetric), a C=O stretch at 1746 cm⁻¹, an H–C–H scissors at 1500 cm⁻¹, and rocking/wagging modes at 1249 and 1167 cm⁻¹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molecule has a permanent dipole moment of 2.332 D (vapour phase) oriented along the C=O axis, an ionisation potential of 10.88 eV, and a first excitation energy (n→π*) of 3.496 eV (355 nm) that is responsible for the weak near-ultraviolet absorption and for formaldehyde's participation in atmospheric photolysis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Key thermophysical parameters are summarised in the reference table below; the boiling point of −19 °C (−2 °F) and vapour pressure &gt;1 atm at 25 °C mean that in neat form at ambient temperature formaldehyde is a gas, but because of its high thermodynamic affinity for water it is almost always handled, stored, and sold as 37–55 % w/v aqueous formalin, stabilised with 6–15 % methanol to inhibit polymerisation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Chemical name</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Formaldehyde (methanal)</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CAS Registry No.</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50-00-0</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Molecular formula</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CH₂O</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Relative molecular mass</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30.026 g mol⁻¹</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Appearance</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Colourless gas with pungent, suffocating odour</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Boiling point</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−19.1 °C at 101.3 kPa</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Melting point</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−92 °C</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Vapour pressure (25 °C)</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516 kPa (&gt;1 atm); 3 890 mm Hg</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Vapour density (air=1)</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1.04</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Water solubility</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Miscible (aqueous solution = formalin)</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log Kow</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0.35 (very polar)</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log Koc</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0.78 (negligible soil adsorption)</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Ionisation potential</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10.88 eV</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Lower explosive limit (air)</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7.0 %</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Upper explosive limit (air)</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73.0 %</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Autoignition temperature</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430 °C</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Odour threshold</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0.5–1.0 ppm (50 % detection)</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Henry's law constant</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3.2 × 10⁻⁷ atm m³ mol⁻¹ (37 % formalin)</w:t>
            </w:r>
          </w:p>
        </w:tc>
      </w:tr>
    </w:tbl>
    <w:p>
      <w:pPr>
        <w:spacing w:after="120" w:before="280"/>
        <w:jc w:val="left"/>
      </w:pPr>
      <w:r>
        <w:rPr>
          <w:rFonts w:ascii="Times New Roman" w:cs="Times New Roman" w:eastAsia="Times New Roman" w:hAnsi="Times New Roman"/>
          <w:b/>
          <w:bCs/>
          <w:sz w:val="24"/>
          <w:szCs w:val="24"/>
        </w:rPr>
        <w:t xml:space="preserve">Physical Characteristics</w:t>
      </w:r>
    </w:p>
    <w:p>
      <w:pPr>
        <w:spacing w:after="120" w:before="60" w:line="300"/>
        <w:jc w:val="both"/>
      </w:pPr>
      <w:r>
        <w:rPr>
          <w:rFonts w:ascii="Times New Roman" w:cs="Times New Roman" w:eastAsia="Times New Roman" w:hAnsi="Times New Roman"/>
          <w:sz w:val="24"/>
          <w:szCs w:val="24"/>
        </w:rPr>
        <w:t xml:space="preserve">Pure anhydrous formaldehyde is a colourless gas with a pungent, suffocating odour — the odour threshold in naive subjects lies in the 0.5–1.0 ppm range, but with habituation, threshold shifts to 1.5–5 ppm have been documented in chronically exposed anatomy and embalming personnel, which has important implications for self-reported exposure assessment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 The gas is heavier than air (vapour density 1.04 relative to air), accumulating at floor level in poorly ventilated enclosed spaces; this physicochemical property explains the preponderance of unventilated mortuary and anatomy-laboratory case reports of acute respiratory irritation among personnel of short stature or while working at floor-level workstations </w:t>
      </w:r>
      <w:r>
        <w:rPr>
          <w:rFonts w:ascii="Times New Roman" w:cs="Times New Roman" w:eastAsia="Times New Roman" w:hAnsi="Times New Roman"/>
          <w:b/>
          <w:bCs/>
          <w:sz w:val="24"/>
          <w:szCs w:val="24"/>
          <w:vertAlign w:val="superscript"/>
        </w:rPr>
        <w:t xml:space="preserve">[61]</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 Formaldehyde is classified by OSHA as a Category 3 flammable gas with a lower explosive limit of 7.0 % and upper explosive limit of 73.0 % in air; the autoignition temperature is 430 °C, placing formalin well above the common hazard classification thresholds for spontaneous ignition but within reach of pilot flames, welding sparks, and static discharge in enclosed anatomy laboratory settings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In aqueous solution formaldehyde exists almost entirely as methylene glycol CH₂(OH)₂ and its oligomers HO-(CH₂O)ₙ-H (n = 2–8); the equilibrium ratio of free CH₂O to methylene glycol is 1:2500 in dilute solution at 25 °C, shifting with temperature and pH in accord with ΔH°_hyd = −45 kJ mol⁻¹. This hydration equilibrium profoundly influences the reactivity of aqueous formalin with biological nucleophiles, slowing the effective bimolecular reaction with primary amines, thiols, and arginine guanidino groups by two to three orders of magnitude relative to the predicted rate from gas-phase formaldehyde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Solubility and Reactivity</w:t>
      </w:r>
    </w:p>
    <w:p>
      <w:pPr>
        <w:spacing w:after="120" w:before="60" w:line="300"/>
        <w:jc w:val="both"/>
      </w:pPr>
      <w:r>
        <w:rPr>
          <w:rFonts w:ascii="Times New Roman" w:cs="Times New Roman" w:eastAsia="Times New Roman" w:hAnsi="Times New Roman"/>
          <w:sz w:val="24"/>
          <w:szCs w:val="24"/>
        </w:rPr>
        <w:t xml:space="preserve">Formaldehyde is miscible in all proportions with water, methanol, ethanol, acetone, ether, and most polar organic solvents; at higher concentrations aqueous solutions polymerise to give paraformaldehyde (a white hemiacetal-linked polymer), 1,3,5-trioxane (a cyclic trimer), or, in the presence of a basic catalyst and heat, the high-molecular-weight polyoxymethylene (POM/acetal) family of engineering thermoplastics marketed as Delrin®, Celcon®, Hostaform®, and Kocetal®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 Reactivity of gaseous formaldehyde is dominated by electrophilic attack at its sp² carbon. Primary reactions in the human body and the environment include: (i) rapid addition of glutathione to yield S-hydroxymethylglutathione, (ii) oxidation by alcohol dehydrogenase 5 (ADH5, also known as S-nitrosoglutathione reductase) to S-formylglutathione, which is hydrolysed by S-formylglutathione hydrolase to formate, (iii) direct oxidation by mitochondrial aldehyde dehydrogenase 2 (ALDH2) to formate, (iv) reversible Schiff-base formation with ε-amino groups on lysine residues and the N-terminal α-amino groups of proteins, (v) non-reversible covalent crosslinking with N2-deoxyguanosine and N6-deoxyadenosine in DNA, and (vi) atmospheric photolysis to yield H• + HCO• and subsequent HO₂• radical chemistry at ~340 nm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Formaldehyde forms a highly hazardous reaction product, bis(chloromethyl) ether (CAS 542-88-1), upon contact with hydrogen chloride — a reaction that proceeds readily at ambient temperature in the vapour phase and was implicated in the outbreak of lung cancer at the Diamond Shamrock, Baltimore ion-exchange-resin plant in the 1960s; this industrial-hygiene hazard is flagged in the NIOSH Pocket Guide and in the OSHA formaldehyde standard 29 CFR 1910.1048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sz w:val="24"/>
          <w:szCs w:val="24"/>
        </w:rPr>
        <w:t xml:space="preserve">. Formaldehyde is also incompatible with strong oxidisers such as peroxides and concentrated nitric acid (risk of violent decomposition), with strong alkalis (Cannizzaro disproportionation), with phenols (Novolac and Resol resin chemistry, potentially exothermic), and with urea (urea–formaldehyde polymerisation with release of heat)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Industrial Production and Uses</w:t>
      </w:r>
    </w:p>
    <w:p>
      <w:pPr>
        <w:spacing w:after="120" w:before="60" w:line="300"/>
        <w:jc w:val="both"/>
      </w:pPr>
      <w:r>
        <w:rPr>
          <w:rFonts w:ascii="Times New Roman" w:cs="Times New Roman" w:eastAsia="Times New Roman" w:hAnsi="Times New Roman"/>
          <w:sz w:val="24"/>
          <w:szCs w:val="24"/>
        </w:rPr>
        <w:t xml:space="preserve">Global formaldehyde production in 2023 was estimated at 36–41 million tonnes (as 37 % formalin equivalent) with approximately 60 % of demand directed to urea-formaldehyde (UF), phenol-formaldehyde (PF), and melamine-formaldehyde (MF) resins for wood-panel adhesives (particleboard, plywood, OSB, MDF); ~11 % to polyoxymethylene (POM/acetal) engineering plastics; ~7 % to methylenedianiline for methylene-diphenyl-diisocyanate (MDI) isocyanate production; ~6 % to 1,4-butanediol (BDO) via the Reppe and Davy processes, which in turn feed polybutylene-terephthalate and polyurethane markets; and the remaining ~16 % to a long tail of applications including pentaerythritol, hexamine, agricultural chemicals, paper manufacture, leather tanning, textile finishing, embalming, and histology fixation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 Production is dominated by three catalytic routes: (a) the 'Formox' silver-catalysed partial oxidation of methanol (0.35 Ag/0.2 Fe on SiO₂ support, 650 °C), (b) the iron-molybdenum oxide route (Fe₂(MoO₄)₃ on Al₂O₃ at 300 °C with excess air), and (c) the BASF high-temperature methanol dehydrogenation process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Demand for formaldehyde continues to grow at an annualised rate of 2.0–2.8 %, driven principally by construction-sector demand for wood-panel resins in Asia. China accounts for 38 % of global production, the European Union for 18 %, North America for 14 %, and the remainder is distributed across Japan, South Korea, Russia, and the Middle East. The largest individual producers are Hexion (USA), Ineos (UK/Europe), BASF (Germany), Celanese (USA/Germany), DB Western (USA), Dynea (Finland), Georgia-Pacific Chemicals (USA), Perstorp (Sweden), and Foremark Performance Chemicals (USA); in China, the top five producers are Jiangsu Sanmu Group, Dynea Chemicals, Hexion Specialty Chemicals Shanghai, Prefere Resins, and the Methanol Chemical Company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Structural and Spectroscopic Characteristics</w:t>
      </w:r>
    </w:p>
    <w:p>
      <w:pPr>
        <w:spacing w:after="120" w:before="60" w:line="300"/>
        <w:jc w:val="both"/>
      </w:pPr>
      <w:r>
        <w:rPr>
          <w:rFonts w:ascii="Times New Roman" w:cs="Times New Roman" w:eastAsia="Times New Roman" w:hAnsi="Times New Roman"/>
          <w:sz w:val="24"/>
          <w:szCs w:val="24"/>
        </w:rPr>
        <w:t xml:space="preserve">The CH₂O molecule has a relatively simple quantum-chemical and spectroscopic profile that makes it a touchstone system in photochemistry textbooks. In the ground state S₀, the HOMO is a non-bonding lone pair on oxygen (n_O) and the LUMO is the π* anti-bonding orbital on the C=O bond; the S₀ → S₁ (n→π*) excitation at 355 nm is weakly allowed (oscillator strength f ≈ 2.4 × 10⁻⁴), while the stronger S₀ → S₂ (π→π*) transition lies at 175 nm. The photodissociation channels relevant to tropospheric chemistry are CH₂O + hν → H + HCO (radical channel; yielding HO₂• after O₂ addition) and CH₂O + hν → H₂ + CO (molecular channel). At 300 K and 1 atm, the J(CH₂O) photolysis rate is approximately 3 × 10⁻⁵ s⁻¹ at noon, corresponding to an atmospheric lifetime against photolysis of roughly 4 h; the combined atmospheric lifetime with respect to OH reaction (k_OH(298) = 9.4 × 10⁻¹² cm³ molec⁻¹ s⁻¹, [OH] = 1 × 10⁶ molec cm⁻³) is approximately 1.2 h, yielding a net tropospheric lifetime of 50 min to 5 h depending on latitude and season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For analytical identification, the ¹H NMR spectrum of anhydrous formaldehyde in CDCl₃ at 400 MHz shows a singlet at δ 9.61 ppm; ¹³C NMR shows a characteristic signal at δ 194.1 ppm; the mass spectrum (EI, 70 eV) exhibits the molecular ion at m/z 30 (100 %) with subsidiary fragments at m/z 29 (HCO⁺, 58 %) and m/z 1 (H⁺, 6 %). The infrared fingerprint has already been noted and provides a strong, selective signal at the C=O stretch (1 746 cm⁻¹) for ambient-air monitoring by Fourier-transform infrared spectroscopy with path-length up to 1 km in differential optical absorption spectroscopy networks. UV absorption at 350 nm provides the basis for difference-frequency-generation laser-based monitoring and for long-path DOAS measurements in chamber studies </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Thermodynamic and Kinetic Data</w:t>
      </w:r>
    </w:p>
    <w:p>
      <w:pPr>
        <w:spacing w:after="120" w:before="60" w:line="300"/>
        <w:jc w:val="both"/>
      </w:pPr>
      <w:r>
        <w:rPr>
          <w:rFonts w:ascii="Times New Roman" w:cs="Times New Roman" w:eastAsia="Times New Roman" w:hAnsi="Times New Roman"/>
          <w:sz w:val="24"/>
          <w:szCs w:val="24"/>
        </w:rPr>
        <w:t xml:space="preserve">Standard thermodynamic values (298.15 K) for gaseous formaldehyde are ΔH°_f = −115.9 kJ mol⁻¹, S° = 218.8 J mol⁻¹ K⁻¹, C°_p = 35.4 J mol⁻¹ K⁻¹, and G°_f = −109.9 kJ mol⁻¹ (NIST WebBook consolidated best values; JANAF 1998). Formaldehyde forms a deep-well enthalpy minimum upon dimerisation to 1,3-dioxetane (ΔH = −234 kJ mol⁻¹) and to trimeric 1,3,5-trioxane (ΔH = −55 kJ mol⁻¹ at 50 °C in aqueous solution). The gas-phase reaction rate with hydroxyl radical (k_OH) is 9.37 × 10⁻¹² cm³ molec⁻¹ s⁻¹ at 298 K, with activation energy E_a/R = −125 K in a weakly negative temperature dependence characteristic of hydrogen-atom abstraction via a pre-reactive complex; the nitrate radical rate k_NO₃ is 5.8 × 10⁻¹⁶ cm³ molec⁻¹ s⁻¹ at 298 K, and the ozone rate k_O₃ is &lt;2 × 10⁻²⁴ cm³ molec⁻¹ s⁻¹ (effectively zero)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In aqueous chemistry, Bell's classic 1966 kinetic analysis established that the bimolecular rate constant for addition of methylene glycol to primary amine RNH₂ is 1.5 × 10² M⁻¹ s⁻¹ at 25 °C and pH 7.4, yielding the reversible Schiff-base adduct; the corresponding rate with amino-acid cysteine thiol is an order of magnitude faster (1.9 × 10³ M⁻¹ s⁻¹), explaining preferential modification of the catalytic cysteines of redox-sensitive proteins (peroxiredoxins, thioredoxins, methionine sulfoxide reductase A) during cellular formaldehyde exposure </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Production Chemistry and Industrial Processes</w:t>
      </w:r>
    </w:p>
    <w:p>
      <w:pPr>
        <w:spacing w:after="120" w:before="60" w:line="300"/>
        <w:jc w:val="both"/>
      </w:pPr>
      <w:r>
        <w:rPr>
          <w:rFonts w:ascii="Times New Roman" w:cs="Times New Roman" w:eastAsia="Times New Roman" w:hAnsi="Times New Roman"/>
          <w:sz w:val="24"/>
          <w:szCs w:val="24"/>
        </w:rPr>
        <w:t xml:space="preserve">The Formox silver-catalysed process (O₂-rich conditions, 600–720 °C) is favoured for small- to medium-scale production (up to ~300 t day⁻¹ per reactor) because it tolerates high methanol-to-air ratios and produces concentrated 37–50 % formalin directly without an energy-intensive concentration step; the selectivity of the silver catalyst for the partial oxidation CH₃OH + ½ O₂ → HCHO + H₂O is 88–91 %, with the remainder lost to CO, CO₂, and H₂ via the dehydrogenation CH₃OH → HCHO + H₂ pathway. The iron-molybdenum oxide route (Fe₂(MoO₄)₃ on Al₂O₃, 300 °C) tolerates methanol-lean conditions, achieves selectivity of 92–94 %, and is preferred for large-scale world-scale plants (up to 1 500 t day⁻¹) where the higher catalyst life and lower capital intensity outweigh the lower formalin concentration of the output (~57 % w/w)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Downstream chemistry is dominated by three reaction families: (a) methylolation/condensation with phenol, urea, melamine, or resorcinol to produce thermosetting resins; (b) condensation with acetylene under mercury catalysis (Reppe) or palladium catalysis (modern Davy process) to give 1,4-butanediol and the butyrolactone/tetrahydrofuran product tree; and (c) cross-condensation with ammonia to produce hexamethylenetetramine (urotropine, CAS 100-97-0), which is a precursor to both RDX explosive and a wide range of rubber-accelerator and corrosion-inhibitor chemistries. Each downstream synthesis has its own characteristic exposure profile, from the dust-dominated hexamine and UF-resin plant, to the gas-phase emissions of butanediol fermentation and of methylenedianiline isocyanate production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Analytical Methods and Sampling</w:t>
      </w:r>
    </w:p>
    <w:p>
      <w:pPr>
        <w:spacing w:after="120" w:before="60" w:line="300"/>
        <w:jc w:val="both"/>
      </w:pPr>
      <w:r>
        <w:rPr>
          <w:rFonts w:ascii="Times New Roman" w:cs="Times New Roman" w:eastAsia="Times New Roman" w:hAnsi="Times New Roman"/>
          <w:sz w:val="24"/>
          <w:szCs w:val="24"/>
        </w:rPr>
        <w:t xml:space="preserve">Workplace-air monitoring for formaldehyde at or above the NIOSH REL (0.016 ppm) is dominated by the 2,4-dinitrophenylhydrazine (DNPH) derivatisation method, captured in NIOSH Manual of Analytical Methods (NMAM) 2541 and 3500 and in OSHA Method 52. Air is drawn through a cartridge impregnated with DNPH in citrate buffer; formaldehyde reacts quantitatively to yield the bright-orange hydrazone derivative, which is subsequently eluted with acetonitrile and quantified by reverse-phase HPLC with UV detection at 360 nm. Typical limit-of-quantification for an 8-hour sample at 1 L min⁻¹ is 0.5 µg per sample, equivalent to 0.002 ppm in the collected sample at 500 L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 Newer real-time methods include proton-transfer-reaction mass spectrometry (PTR-MS) and cavity-ring-down absorption spectroscopy at 353 nm (the formaldehyde S₁←S₀ band) — both of which provide sub-second time resolution and sub-ppb detection limits </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In the biological domain, the principal biomarker of effect is the N²-hydroxymethyl-deoxyguanosine DNA adduct, which is quantifiable by ultra-high-resolution accurate-mass LC–MS/MS with isotope-dilution internal standards at detection limits of 0.1 adducts per 10⁸ deoxyguanosine residues in DNA; urinary formate, S-formylglutathione, and methenyl-tetrahydrofolate are ancillary biomarkers of exposure that reflect both endogenous one-carbon turnover and exogenous formaldehyde dose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Molecular and Electronic Structure of Formaldehyde</w:t>
      </w:r>
    </w:p>
    <w:p>
      <w:pPr>
        <w:spacing w:after="120" w:before="60" w:line="300"/>
        <w:jc w:val="both"/>
      </w:pPr>
      <w:r>
        <w:rPr>
          <w:rFonts w:ascii="Times New Roman" w:cs="Times New Roman" w:eastAsia="Times New Roman" w:hAnsi="Times New Roman"/>
          <w:sz w:val="24"/>
          <w:szCs w:val="24"/>
        </w:rPr>
        <w:t xml:space="preserve">Formaldehyde is the simplest carbonyl compound, and its electronic structure has long served as a reference system for understanding the chemistry of aldehydes, ketones, and esters. Its 12 valence electrons occupy six molecular orbitals (two σ_CH, one σ_CO, one π_CO, one n_σ on oxygen, and one n_π on oxygen; the latter is the HOMO). Time-dependent density-functional theory calculations at the B3LYP/aug-cc-pVTZ level of theory reproduce the experimental S₀→S₁ (n→π*) vertical excitation energy of 4.07 eV to within 0.05 eV, and give a near-perfect agreement with the harmonic vibrational frequencies (scaling factor 0.9679). The T₁ triplet state is a non-planar 180°-out-of-plane-distorted species with a barrier to inversion of 47 kJ mol⁻¹; its lifetime of 20 ns at 295 K makes it a significant channel for the triplet sensitisation chemistry of carbonyl photochemistry </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Vapour Pressure and Antoine Equation Parameters</w:t>
      </w:r>
    </w:p>
    <w:p>
      <w:pPr>
        <w:spacing w:after="120" w:before="60" w:line="300"/>
        <w:jc w:val="both"/>
      </w:pPr>
      <w:r>
        <w:rPr>
          <w:rFonts w:ascii="Times New Roman" w:cs="Times New Roman" w:eastAsia="Times New Roman" w:hAnsi="Times New Roman"/>
          <w:sz w:val="24"/>
          <w:szCs w:val="24"/>
        </w:rPr>
        <w:t xml:space="preserve">The vapour pressure of gaseous formaldehyde follows the Antoine equation log₁₀(P/mmHg) = 7.195 − 970.6/(T/K − 29.7) in the range 200–300 K, yielding a calculated boiling point of 254.1 K (−19.1 °C) and a standard vapour pressure of 3 890 mm Hg at 298 K. Because most practical formaldehyde sources are aqueous formalin, the partial pressure of formaldehyde above a 37 % w/v formalin solution (as sold) is approximately 0.3 mm Hg at 25 °C and 5 mm Hg at 40 °C, in accord with the measured Henry's-law constant of 3.2 × 10⁻⁷ atm m³ mol⁻¹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Chemical Reactivity — Addition, Oxidation, and Condensation</w:t>
      </w:r>
    </w:p>
    <w:p>
      <w:pPr>
        <w:spacing w:after="120" w:before="60" w:line="300"/>
        <w:jc w:val="both"/>
      </w:pPr>
      <w:r>
        <w:rPr>
          <w:rFonts w:ascii="Times New Roman" w:cs="Times New Roman" w:eastAsia="Times New Roman" w:hAnsi="Times New Roman"/>
          <w:sz w:val="24"/>
          <w:szCs w:val="24"/>
        </w:rPr>
        <w:t xml:space="preserve">The principal organic reactions of formaldehyde may be grouped into addition, oxidation, reduction, condensation, and polymerisation categories. (a) Addition: aldol-type addition of primary amines to yield hemiaminals and of primary alcohols to yield hemiacetals is central to both synthesis and toxicology. Bell's rate-law studies show a strong solvent-isotope dependence (kH/kD = 2.8) for the aqueous addition at pH 7.4, implicating rate-limiting proton transfer. (b) Oxidation: under atmospheric conditions formaldehyde is oxidised by OH• radical chemistry to yield formate and CO + H₂O; in the liver and bone marrow ALDH2 and ADH5 catalyse the two-step oxidation to formate, which feeds one-carbon metabolism. (c) Reduction: hydride donors such as NaBH₄ and LiAlH₄ reduce formaldehyde to methanol quantitatively. (d) Condensation: Novolac, Resol, Bakelite, urea-formaldehyde, and melamine-formaldehyde chemistry define the polymer resin industry. (e) Polymerisation: in the absence of stabilisers, formalin rapidly forms paraformaldehyde and 1,3,5-trioxane; in base-catalysed conditions, polyoxymethylene and its copolymers form the backbone of the engineering-plastics industry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Industrial Production Routes for Formaldehyde</w:t>
      </w:r>
    </w:p>
    <w:p>
      <w:pPr>
        <w:spacing w:after="120" w:before="60" w:line="300"/>
        <w:jc w:val="both"/>
      </w:pPr>
      <w:r>
        <w:rPr>
          <w:rFonts w:ascii="Times New Roman" w:cs="Times New Roman" w:eastAsia="Times New Roman" w:hAnsi="Times New Roman"/>
          <w:sz w:val="24"/>
          <w:szCs w:val="24"/>
        </w:rPr>
        <w:t xml:space="preserve">Industrial formaldehyde synthesis is practised via three principal catalytic routes: (a) Formox silver-catalysed partial oxidation of methanol (silver catalyst on an alumina support, CH₃OH + ½ O₂ → HCHO + H₂O at 600–720 °C, with concurrent minor dehydrogenation CH₃OH → HCHO + H₂), which accounts for ~30 % of global capacity; (b) iron–molybdenum oxide catalysed partial oxidation (Fe₂(MoO₄)₃ on Al₂O₃ at 300 °C with excess air, CH₃OH + ½ O₂ → HCHO + H₂O), which accounts for ~55 % of capacity and is preferred for large plants; (c) the Hoechst–Wacker process, the BASF high-temperature-dehydrogenation process, and the PetroCanada high-pressure oxidation process, which together account for the remaining ~15 %. Each route features characteristic impurity profiles: Formox units produce a formalin with residual methanol 0.5–1.5 % w/w, whereas iron-molybdenum plants yield 0.3–0.6 % methanol. Formic acid (1 500–3 500 ppm), paraformaldehyde polymers, trioxane, and trace transition-metal leachate (Fe &lt; 1 ppm, Mo &lt; 0.3 ppm) are the principal product-quality parameters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Formaldehyde Shipping, Storage, and Spill Response</w:t>
      </w:r>
    </w:p>
    <w:p>
      <w:pPr>
        <w:spacing w:after="120" w:before="60" w:line="300"/>
        <w:jc w:val="both"/>
      </w:pPr>
      <w:r>
        <w:rPr>
          <w:rFonts w:ascii="Times New Roman" w:cs="Times New Roman" w:eastAsia="Times New Roman" w:hAnsi="Times New Roman"/>
          <w:sz w:val="24"/>
          <w:szCs w:val="24"/>
        </w:rPr>
        <w:t xml:space="preserve">Formalin is shipped under UN 1198 (Formaldehyde solutions, flammable) or UN 2209 (Formaldehyde solutions, non-flammable) and under IMDG Class 3 Packing Group III; bulk quantities move in stainless-steel (316/321) tank-trucks, intermodal isotainers, and rail cars with internal steam coils to maintain 40–50 °C storage temperature and prevent paraformaldehyde precipitation. Principal shipping-and-storage hazards include: (i) paraformaldehyde plug formation upon prolonged cold storage, requiring steaming-out for removal; (ii) pressure build-up in sealed containers during solar warming, mitigated by pressure-relief valves set at 0.2 bar; (iii) formic-acid generation during extended high-temperature (&gt;50 °C) storage; and (iv) reaction with aluminium and copper alloys, requiring all wetted surfaces to be stainless steel. Spill response under OSHA 1910.1048(m) requires personnel evacuation, water flush with detergent scrubbing, and disposal of waste formalin as hazardous under 40 CFR 261 P037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Quality Control — Formaldehyde Specifications and Impurity Profiles</w:t>
      </w:r>
    </w:p>
    <w:p>
      <w:pPr>
        <w:spacing w:after="120" w:before="60" w:line="300"/>
        <w:jc w:val="both"/>
      </w:pPr>
      <w:r>
        <w:rPr>
          <w:rFonts w:ascii="Times New Roman" w:cs="Times New Roman" w:eastAsia="Times New Roman" w:hAnsi="Times New Roman"/>
          <w:sz w:val="24"/>
          <w:szCs w:val="24"/>
        </w:rPr>
        <w:t xml:space="preserve">Technical-grade formalin specifications (ASTM D2194-16) require 37.0–37.5 % w/w CH₂O content, 0.05 % w/w maximum free acid (as formic acid), 10–15 % w/w methanol content, residue on evaporation ≤ 0.05 %, colour APHA ≤ 10, and total iron ≤ 1 ppm. Pharmaceutical-grade (USP NF monograph Formaldehyde Solution, 1993 revision) tightens free acid to ≤ 0.02 % and adds assays for heavy metals (&lt; 10 ppm Pb equivalent), sulfate (&lt; 0.2 %), and chloride (&lt; 0.2 %). Electronic-grade formalin for semiconductor manufacture (SEMI C50-0305) requires metal ions &lt; 10 ppb each and methanol &lt; 0.1 % to avoid methanol-derived hydroxyl-radical damage to photoresists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Analytical Methods for Formaldehyde Determination</w:t>
      </w:r>
    </w:p>
    <w:p>
      <w:pPr>
        <w:spacing w:after="120" w:before="60" w:line="300"/>
        <w:jc w:val="both"/>
      </w:pPr>
      <w:r>
        <w:rPr>
          <w:rFonts w:ascii="Times New Roman" w:cs="Times New Roman" w:eastAsia="Times New Roman" w:hAnsi="Times New Roman"/>
          <w:sz w:val="24"/>
          <w:szCs w:val="24"/>
        </w:rPr>
        <w:t xml:space="preserve">Formaldehyde analytical chemistry spans an exceptional range of matrices — ambient and indoor air, occupational breathing-zone samples, water, biological fluids (urine, blood, nasal lavage, saliva), foodstuffs, textiles, and consumer products — and has accordingly evolved a diverse toolkit of chromatographic, spectroscopic, and electrochemical techniques.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The two dominant analytical frameworks are derivatisation-based HPLC/MS methods, anchored on reaction of formaldehyde with 2,4-dinitrophenylhydrazine (DNPH) to produce a stable hydrazone amenable to UV detection at 360 nm or MS/MS confirmation, and direct spectroscopic methods relying on the molecular absorption or vibrational signatures of formaldehyde itself.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NIOSH Method 3500 and OSHA Method 52 are the reference protocols for occupational air sampling in the United States; EN 717-1 (chamber emission), ISO 16000-3 (indoor air), and EPA Method TO-11A (ambient air) provide jurisdiction-specific counterparts globally.</w:t>
      </w:r>
      <w:r>
        <w:rPr>
          <w:rFonts w:ascii="Times New Roman" w:cs="Times New Roman" w:eastAsia="Times New Roman" w:hAnsi="Times New Roman"/>
          <w:b/>
          <w:bCs/>
          <w:sz w:val="24"/>
          <w:szCs w:val="24"/>
          <w:vertAlign w:val="superscript"/>
        </w:rPr>
        <w:t xml:space="preserve">[99][102]</w:t>
      </w:r>
    </w:p>
    <w:p>
      <w:pPr>
        <w:spacing w:after="120" w:before="280"/>
        <w:jc w:val="left"/>
      </w:pPr>
      <w:r>
        <w:rPr>
          <w:rFonts w:ascii="Times New Roman" w:cs="Times New Roman" w:eastAsia="Times New Roman" w:hAnsi="Times New Roman"/>
          <w:b/>
          <w:bCs/>
          <w:sz w:val="24"/>
          <w:szCs w:val="24"/>
        </w:rPr>
        <w:t xml:space="preserve">DNPH Derivatisation Chemistry</w:t>
      </w:r>
    </w:p>
    <w:p>
      <w:pPr>
        <w:spacing w:after="120" w:before="60" w:line="300"/>
        <w:jc w:val="both"/>
      </w:pPr>
      <w:r>
        <w:rPr>
          <w:rFonts w:ascii="Times New Roman" w:cs="Times New Roman" w:eastAsia="Times New Roman" w:hAnsi="Times New Roman"/>
          <w:sz w:val="24"/>
          <w:szCs w:val="24"/>
        </w:rPr>
        <w:t xml:space="preserve">The reaction of formaldehyde with 2,4-dinitrophenylhydrazine in acidic aqueous-acetonitrile solution produces 2,4-dinitrophenylhydrazone (DNPH-HCHO) through a two-step addition-elimination mechanism with a rate constant of approximately 3 × 10⁻² M⁻¹ s⁻¹ at pH 3 and 25 °C.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The hydrazone derivative exhibits strong π→π* absorption at 360 nm (ε = 2.2 × 10⁴ M⁻¹ cm⁻¹) enabling UV-visible detection, is stable for &gt;28 days when stored at 4 °C in the dark, and is amenable to LC/MS/MS confirmation via SRM transitions 209→163, 151, 121 in negative-ion electrospray mode.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DNPH-coated solid sorbent cartridges (Waters Sep-Pak DNPH, Supelco LpDNPH, SKC UMEx passive samplers) trap formaldehyde with high capacity (typically 2 µmol loading), acceptable interference from humidity and ozone under normal sampling conditions, and method detection limits in the range 0.5–2 µg per sample.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Ozone interference in outdoor air sampling is mitigated by in-line potassium iodide scrubbers upstream of the DNPH cartridge; humidity is generally well-tolerated up to 80 % RH but may reduce collection efficiency at extreme conditions.</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Alternative Derivatisation Approaches</w:t>
      </w:r>
    </w:p>
    <w:p>
      <w:pPr>
        <w:spacing w:after="120" w:before="60" w:line="300"/>
        <w:jc w:val="both"/>
      </w:pPr>
      <w:r>
        <w:rPr>
          <w:rFonts w:ascii="Times New Roman" w:cs="Times New Roman" w:eastAsia="Times New Roman" w:hAnsi="Times New Roman"/>
          <w:sz w:val="24"/>
          <w:szCs w:val="24"/>
        </w:rPr>
        <w:t xml:space="preserve">Beyond DNPH, several alternative derivatisation chemistries have been developed for formaldehyde analysis in specialised matrices.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Pararosaniline (the Schiff reagent, NIOSH Method 3500) produces a violet adduct with formaldehyde plus sulfite in acid, detected at 570 nm, with method detection limits around 10 µg/L in aqueous samples; this historical method remains validated for wastewater, effluent, and laboratory air when DNPH interferences are problematic.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Acetylacetone (Nash reagent) reacts with formaldehyde plus ammonium acetate to form a fluorescent diacetyl-dihydrolutidine with excitation 410 nm and emission 510 nm, enabling sub-µg/L detection in biological fluids (blood, serum, urine) and in matrices where DNPH derivatisation is impractical.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Fluorogenic reagents specific to aldehyde carbonyls (AccQ-Fluor, o-phthaldialdehyde with reducing conditions, Purpald) enable direct fluorescence or FRET-based assays applicable to high-throughput screening or microtitre-format biological assays.</w:t>
      </w:r>
      <w:r>
        <w:rPr>
          <w:rFonts w:ascii="Times New Roman" w:cs="Times New Roman" w:eastAsia="Times New Roman" w:hAnsi="Times New Roman"/>
          <w:b/>
          <w:bCs/>
          <w:sz w:val="24"/>
          <w:szCs w:val="24"/>
          <w:vertAlign w:val="superscript"/>
        </w:rPr>
        <w:t xml:space="preserve">[76][102]</w:t>
      </w:r>
    </w:p>
    <w:p>
      <w:pPr>
        <w:spacing w:after="120" w:before="280"/>
        <w:jc w:val="left"/>
      </w:pPr>
      <w:r>
        <w:rPr>
          <w:rFonts w:ascii="Times New Roman" w:cs="Times New Roman" w:eastAsia="Times New Roman" w:hAnsi="Times New Roman"/>
          <w:b/>
          <w:bCs/>
          <w:sz w:val="24"/>
          <w:szCs w:val="24"/>
        </w:rPr>
        <w:t xml:space="preserve">Chromatographic Separations</w:t>
      </w:r>
    </w:p>
    <w:p>
      <w:pPr>
        <w:spacing w:after="120" w:before="60" w:line="300"/>
        <w:jc w:val="both"/>
      </w:pPr>
      <w:r>
        <w:rPr>
          <w:rFonts w:ascii="Times New Roman" w:cs="Times New Roman" w:eastAsia="Times New Roman" w:hAnsi="Times New Roman"/>
          <w:sz w:val="24"/>
          <w:szCs w:val="24"/>
        </w:rPr>
        <w:t xml:space="preserve">Reversed-phase HPLC separations of DNPH-formaldehyde derivatives from co-sampled carbonyl compounds use C18 columns (e.g., Zorbax Eclipse XDB-C18, 4.6 × 250 mm, 5 µm) with acetonitrile-water gradients (30:70 → 80:20 over 30 min) and detection at 360 nm.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Typical retention times are 6–8 min for formaldehyde-DNPH, 9–11 min for acetaldehyde-DNPH, 12–14 min for acrolein-DNPH, and &gt;20 min for higher aliphatic aldehydes.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Ultra-high-performance liquid chromatography (UHPLC) on sub-2-µm particle columns reduces run times to 5–8 minutes while maintaining baseline resolution across 15 common carbonyl standards.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Gas chromatography with electron-capture detection (GC-ECD) or MS detection is used less frequently due to the thermal instability of the hydrazone derivative and has largely been superseded by HPLC approaches except in specialised analyses of gaseous matrices for trace formaldehyde in the presence of volatile interferents.</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Mass Spectrometric Methods</w:t>
      </w:r>
    </w:p>
    <w:p>
      <w:pPr>
        <w:spacing w:after="120" w:before="60" w:line="300"/>
        <w:jc w:val="both"/>
      </w:pPr>
      <w:r>
        <w:rPr>
          <w:rFonts w:ascii="Times New Roman" w:cs="Times New Roman" w:eastAsia="Times New Roman" w:hAnsi="Times New Roman"/>
          <w:sz w:val="24"/>
          <w:szCs w:val="24"/>
        </w:rPr>
        <w:t xml:space="preserve">High-resolution mass spectrometry, coupled either to HPLC front-ends or to direct-infusion sample introduction (ambient ionisation), enables confident identification and quantification of formaldehyde-adducts in biological matrices. </w:t>
      </w:r>
      <w:r>
        <w:rPr>
          <w:rFonts w:ascii="Times New Roman" w:cs="Times New Roman" w:eastAsia="Times New Roman" w:hAnsi="Times New Roman"/>
          <w:b/>
          <w:bCs/>
          <w:sz w:val="24"/>
          <w:szCs w:val="24"/>
          <w:vertAlign w:val="superscript"/>
        </w:rPr>
        <w:t xml:space="preserve">[17][58][102]</w:t>
      </w:r>
      <w:r>
        <w:rPr>
          <w:rFonts w:ascii="Times New Roman" w:cs="Times New Roman" w:eastAsia="Times New Roman" w:hAnsi="Times New Roman"/>
          <w:sz w:val="24"/>
          <w:szCs w:val="24"/>
        </w:rPr>
        <w:t xml:space="preserve"> Stable-isotope-labelled internal standards ([¹³CD₂]-HCHO-DNPH or [²H₂]-HCHO-DNPH) allow isotope-dilution quantification with typical accuracy &lt;5 % and precision &lt;10 %. </w:t>
      </w:r>
      <w:r>
        <w:rPr>
          <w:rFonts w:ascii="Times New Roman" w:cs="Times New Roman" w:eastAsia="Times New Roman" w:hAnsi="Times New Roman"/>
          <w:b/>
          <w:bCs/>
          <w:sz w:val="24"/>
          <w:szCs w:val="24"/>
          <w:vertAlign w:val="superscript"/>
        </w:rPr>
        <w:t xml:space="preserve">[17][58][102]</w:t>
      </w:r>
      <w:r>
        <w:rPr>
          <w:rFonts w:ascii="Times New Roman" w:cs="Times New Roman" w:eastAsia="Times New Roman" w:hAnsi="Times New Roman"/>
          <w:sz w:val="24"/>
          <w:szCs w:val="24"/>
        </w:rPr>
        <w:t xml:space="preserve"> The Swenberg laboratory methodology for nasal DNA adduct quantification combines immunoprecipitation-based enrichment of N⁶-hydroxymethyldeoxyadenosine adducts with nano-LC-MS/MS to achieve detection limits of 0.1 adducts per 10⁹ nucleotides, enabling discrimination of exogenous and endogenous contributions at environmentally relevant exposure concentrations. </w:t>
      </w:r>
      <w:r>
        <w:rPr>
          <w:rFonts w:ascii="Times New Roman" w:cs="Times New Roman" w:eastAsia="Times New Roman" w:hAnsi="Times New Roman"/>
          <w:b/>
          <w:bCs/>
          <w:sz w:val="24"/>
          <w:szCs w:val="24"/>
          <w:vertAlign w:val="superscript"/>
        </w:rPr>
        <w:t xml:space="preserve">[17][58]</w:t>
      </w:r>
      <w:r>
        <w:rPr>
          <w:rFonts w:ascii="Times New Roman" w:cs="Times New Roman" w:eastAsia="Times New Roman" w:hAnsi="Times New Roman"/>
          <w:sz w:val="24"/>
          <w:szCs w:val="24"/>
        </w:rPr>
        <w:t xml:space="preserve"> Protein-adduct quantification in globin and serum albumin uses tryptic digestion followed by LC-MS/MS of modified peptides; method detection limits for [¹³CD₂]-exogenous adducts in globin are approximately 10 fmol per mg of protein.</w:t>
      </w:r>
      <w:r>
        <w:rPr>
          <w:rFonts w:ascii="Times New Roman" w:cs="Times New Roman" w:eastAsia="Times New Roman" w:hAnsi="Times New Roman"/>
          <w:b/>
          <w:bCs/>
          <w:sz w:val="24"/>
          <w:szCs w:val="24"/>
          <w:vertAlign w:val="superscript"/>
        </w:rPr>
        <w:t xml:space="preserve">[17][58][71]</w:t>
      </w:r>
    </w:p>
    <w:p>
      <w:pPr>
        <w:spacing w:after="120" w:before="280"/>
        <w:jc w:val="left"/>
      </w:pPr>
      <w:r>
        <w:rPr>
          <w:rFonts w:ascii="Times New Roman" w:cs="Times New Roman" w:eastAsia="Times New Roman" w:hAnsi="Times New Roman"/>
          <w:b/>
          <w:bCs/>
          <w:sz w:val="24"/>
          <w:szCs w:val="24"/>
        </w:rPr>
        <w:t xml:space="preserve">Direct Spectroscopic Methods</w:t>
      </w:r>
    </w:p>
    <w:p>
      <w:pPr>
        <w:spacing w:after="120" w:before="60" w:line="300"/>
        <w:jc w:val="both"/>
      </w:pPr>
      <w:r>
        <w:rPr>
          <w:rFonts w:ascii="Times New Roman" w:cs="Times New Roman" w:eastAsia="Times New Roman" w:hAnsi="Times New Roman"/>
          <w:sz w:val="24"/>
          <w:szCs w:val="24"/>
        </w:rPr>
        <w:t xml:space="preserve">Direct spectroscopic detection of formaldehyde without chemical derivatisation enables real-time monitoring and process diagnostics. </w:t>
      </w:r>
      <w:r>
        <w:rPr>
          <w:rFonts w:ascii="Times New Roman" w:cs="Times New Roman" w:eastAsia="Times New Roman" w:hAnsi="Times New Roman"/>
          <w:b/>
          <w:bCs/>
          <w:sz w:val="24"/>
          <w:szCs w:val="24"/>
          <w:vertAlign w:val="superscript"/>
        </w:rPr>
        <w:t xml:space="preserve">[102][103]</w:t>
      </w:r>
      <w:r>
        <w:rPr>
          <w:rFonts w:ascii="Times New Roman" w:cs="Times New Roman" w:eastAsia="Times New Roman" w:hAnsi="Times New Roman"/>
          <w:sz w:val="24"/>
          <w:szCs w:val="24"/>
        </w:rPr>
        <w:t xml:space="preserve"> Differential optical absorption spectroscopy (DOAS) in the 300–360 nm band resolves the 4ν₁ vibronic manifold of gaseous formaldehyde against a DOAS-corrected background atmosphere; satellite-borne DOAS instruments (OMI, GOME-2, TROPOMI) use this approach for global remote sensing of atmospheric formaldehyde columns.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Laser-induced fluorescence (LIF) pumped at 353 nm and detected at 420 nm delivers parts-per-trillion sensitivity in open-path and flow-tube configurations, though calibration complications from quenching limit its use in complex field settings.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Proton-transfer-reaction mass spectrometry (PTR-MS) provides real-time gas-phase detection with second-level time resolution, increasingly deployed in atmospheric chemistry and indoor-air process monitoring.</w:t>
      </w:r>
      <w:r>
        <w:rPr>
          <w:rFonts w:ascii="Times New Roman" w:cs="Times New Roman" w:eastAsia="Times New Roman" w:hAnsi="Times New Roman"/>
          <w:b/>
          <w:bCs/>
          <w:sz w:val="24"/>
          <w:szCs w:val="24"/>
          <w:vertAlign w:val="superscript"/>
        </w:rPr>
        <w:t xml:space="preserve">[102][103]</w:t>
      </w:r>
    </w:p>
    <w:p>
      <w:pPr>
        <w:spacing w:after="120" w:before="280"/>
        <w:jc w:val="left"/>
      </w:pPr>
      <w:r>
        <w:rPr>
          <w:rFonts w:ascii="Times New Roman" w:cs="Times New Roman" w:eastAsia="Times New Roman" w:hAnsi="Times New Roman"/>
          <w:b/>
          <w:bCs/>
          <w:sz w:val="24"/>
          <w:szCs w:val="24"/>
        </w:rPr>
        <w:t xml:space="preserve">Electrochemical and Optical Sensors</w:t>
      </w:r>
    </w:p>
    <w:p>
      <w:pPr>
        <w:spacing w:after="120" w:before="60" w:line="300"/>
        <w:jc w:val="both"/>
      </w:pPr>
      <w:r>
        <w:rPr>
          <w:rFonts w:ascii="Times New Roman" w:cs="Times New Roman" w:eastAsia="Times New Roman" w:hAnsi="Times New Roman"/>
          <w:sz w:val="24"/>
          <w:szCs w:val="24"/>
        </w:rPr>
        <w:t xml:space="preserve">Low-cost, portable sensors for formaldehyde have proliferated over the past decade, driven by demand for real-time workplace and indoor air monitoring.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Electrochemical sensors based on formaldehyde dehydrogenase immobilised on a platinum or glassy-carbon electrode, or on inorganic catalytic layers (nickel hydroxide, manganese oxide, zinc oxide), provide ppb-level sensitivity with response times of 10–60 seconds; widely deployed in wearable monitors and stationary indoor-air stations. </w:t>
      </w:r>
      <w:r>
        <w:rPr>
          <w:rFonts w:ascii="Times New Roman" w:cs="Times New Roman" w:eastAsia="Times New Roman" w:hAnsi="Times New Roman"/>
          <w:b/>
          <w:bCs/>
          <w:sz w:val="24"/>
          <w:szCs w:val="24"/>
          <w:vertAlign w:val="superscript"/>
        </w:rPr>
        <w:t xml:space="preserve">[76][102]</w:t>
      </w:r>
      <w:r>
        <w:rPr>
          <w:rFonts w:ascii="Times New Roman" w:cs="Times New Roman" w:eastAsia="Times New Roman" w:hAnsi="Times New Roman"/>
          <w:sz w:val="24"/>
          <w:szCs w:val="24"/>
        </w:rPr>
        <w:t xml:space="preserve"> Metal-oxide semiconductor sensors (SnO₂-based) offer lower selectivity but adequate sensitivity for screening applications.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Colorimetric test strips (Dräger tubes, Sensidyne tubes) and badge-type passive samplers remain useful for rapid screening in field settings, with lower specificity than laboratory-based methods but adequate for hazard identification in workplace and home environments.</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Sample Matrix-Specific Methods</w:t>
      </w:r>
    </w:p>
    <w:p>
      <w:pPr>
        <w:spacing w:after="120" w:before="60" w:line="300"/>
        <w:jc w:val="both"/>
      </w:pPr>
      <w:r>
        <w:rPr>
          <w:rFonts w:ascii="Times New Roman" w:cs="Times New Roman" w:eastAsia="Times New Roman" w:hAnsi="Times New Roman"/>
          <w:sz w:val="24"/>
          <w:szCs w:val="24"/>
        </w:rPr>
        <w:t xml:space="preserve">Matrix-specific method development considerations include: </w:t>
      </w:r>
      <w:r>
        <w:rPr>
          <w:rFonts w:ascii="Times New Roman" w:cs="Times New Roman" w:eastAsia="Times New Roman" w:hAnsi="Times New Roman"/>
          <w:sz w:val="24"/>
          <w:szCs w:val="24"/>
        </w:rPr>
        <w:t xml:space="preserve"> For air samples, the collection medium (active sorbent tube, passive diffusive badge, denuder system) depends on sampling duration, expected concentration range, and interferent profile; active DNPH-silica cartridges are the gold standard for 8-h TWA occupational samples, while passive badges offer lower-cost alternatives for multi-day residential sampling.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For water and wastewater, the Nash/pararosaniline colourimetric methods remain validated for mid-µg/L to mg/L concentrations; LC-MS with DNPH derivatisation is preferred for trace analyses.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For textiles and composite-wood products, chamber emission testing (EN 717-1, ASTM E1333) with extracted DNPH derivatisation is the international standard. </w:t>
      </w:r>
      <w:r>
        <w:rPr>
          <w:rFonts w:ascii="Times New Roman" w:cs="Times New Roman" w:eastAsia="Times New Roman" w:hAnsi="Times New Roman"/>
          <w:b/>
          <w:bCs/>
          <w:sz w:val="24"/>
          <w:szCs w:val="24"/>
          <w:vertAlign w:val="superscript"/>
        </w:rPr>
        <w:t xml:space="preserve">[63][102]</w:t>
      </w:r>
      <w:r>
        <w:rPr>
          <w:rFonts w:ascii="Times New Roman" w:cs="Times New Roman" w:eastAsia="Times New Roman" w:hAnsi="Times New Roman"/>
          <w:sz w:val="24"/>
          <w:szCs w:val="24"/>
        </w:rPr>
        <w:t xml:space="preserve"> For foods, acid-hydrolysis-coupled derivatisation-chromatography methods quantify total formaldehyde equivalents including protein- and carbohydrate-bound forms. </w:t>
      </w:r>
      <w:r>
        <w:rPr>
          <w:rFonts w:ascii="Times New Roman" w:cs="Times New Roman" w:eastAsia="Times New Roman" w:hAnsi="Times New Roman"/>
          <w:b/>
          <w:bCs/>
          <w:sz w:val="24"/>
          <w:szCs w:val="24"/>
          <w:vertAlign w:val="superscript"/>
        </w:rPr>
        <w:t xml:space="preserve">[25][102]</w:t>
      </w:r>
      <w:r>
        <w:rPr>
          <w:rFonts w:ascii="Times New Roman" w:cs="Times New Roman" w:eastAsia="Times New Roman" w:hAnsi="Times New Roman"/>
          <w:sz w:val="24"/>
          <w:szCs w:val="24"/>
        </w:rPr>
        <w:t xml:space="preserve"> For biological fluids, acetylacetone derivatisation with fluorescence detection, or isotope-dilution LC-MS/MS for specialised endogenous-exogenous discrimination, are the primary approaches.</w:t>
      </w:r>
      <w:r>
        <w:rPr>
          <w:rFonts w:ascii="Times New Roman" w:cs="Times New Roman" w:eastAsia="Times New Roman" w:hAnsi="Times New Roman"/>
          <w:b/>
          <w:bCs/>
          <w:sz w:val="24"/>
          <w:szCs w:val="24"/>
          <w:vertAlign w:val="superscript"/>
        </w:rPr>
        <w:t xml:space="preserve">[17][58][73][102]</w:t>
      </w:r>
    </w:p>
    <w:p>
      <w:pPr>
        <w:spacing w:after="120" w:before="280"/>
        <w:jc w:val="left"/>
      </w:pPr>
      <w:r>
        <w:rPr>
          <w:rFonts w:ascii="Times New Roman" w:cs="Times New Roman" w:eastAsia="Times New Roman" w:hAnsi="Times New Roman"/>
          <w:b/>
          <w:bCs/>
          <w:sz w:val="24"/>
          <w:szCs w:val="24"/>
        </w:rPr>
        <w:t xml:space="preserve">Method Performance and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Method</w:t>
            </w:r>
          </w:p>
        </w:tc>
        <w:tc>
          <w:tcPr>
            <w:tcW w:type="dxa" w:w="2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Matrix</w:t>
            </w:r>
          </w:p>
        </w:tc>
        <w:tc>
          <w:tcPr>
            <w:tcW w:type="dxa" w:w="24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LOD / LOQ</w:t>
            </w:r>
          </w:p>
        </w:tc>
        <w:tc>
          <w:tcPr>
            <w:tcW w:type="dxa" w:w="19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Linear Range</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3500 / OSHA 52 (DNPH-HPLC)</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Occupational air (TWA)</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 µg / 1.5 µg per sample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0.005 – 20 ppm TWA equivalent</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EPA TO-11A (DNPH-HPLC)</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Ambient air</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0.2 µg/m³ (for 24-h sample)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 – 500 µg/m³</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 717-1 (chamber extraction)</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Composite wood products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0.01 mg/m³ chamber air</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0.05 – 2 mg/m³</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ISO 16000-3 (active air)</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Indoor air</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µg/m³ (24-h sample)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 200 µg/m³</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Nash reagent (acetylacetone)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Water, wastewater</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 µg/L</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50 – 5000 µg/L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Pararosaniline (Schiff)</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Water, biological fluid</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 µg/L</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100 – 10,000 µg/L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Isotope-dilution LC-MS/MS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DNA, protein adducts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adducts per 10⁹ nucleotides</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 10,000 adducts / 10⁹ nucl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Fluorescent (AccQ, OPA)</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Serum, urine, saliva</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µg/L</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 – 1000 µg/L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DOAS (UV open path)</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Atmospheric column</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 10¹⁵ molec/cm²</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1e15 – 1e17 molec/cm²</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Electrochemical sensor</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Indoor / workplace air real-time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 – 20 ppb</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0.02 – 10 ppm</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PTR-MS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Real-time gas phase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0.2 ppb (1-s average)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0.2 ppb – 1 ppm</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Laser-induced fluorescence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Open-path field research</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ppb</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ppb – 100 ppb</w:t>
            </w:r>
          </w:p>
        </w:tc>
      </w:tr>
    </w:tbl>
    <w:p>
      <w:pPr>
        <w:spacing w:after="120" w:before="280"/>
        <w:jc w:val="left"/>
      </w:pPr>
      <w:r>
        <w:rPr>
          <w:rFonts w:ascii="Times New Roman" w:cs="Times New Roman" w:eastAsia="Times New Roman" w:hAnsi="Times New Roman"/>
          <w:b/>
          <w:bCs/>
          <w:sz w:val="24"/>
          <w:szCs w:val="24"/>
        </w:rPr>
        <w:t xml:space="preserve">Biomarker Analytical Methods</w:t>
      </w:r>
    </w:p>
    <w:p>
      <w:pPr>
        <w:spacing w:after="120" w:before="60" w:line="300"/>
        <w:jc w:val="both"/>
      </w:pPr>
      <w:r>
        <w:rPr>
          <w:rFonts w:ascii="Times New Roman" w:cs="Times New Roman" w:eastAsia="Times New Roman" w:hAnsi="Times New Roman"/>
          <w:sz w:val="24"/>
          <w:szCs w:val="24"/>
        </w:rPr>
        <w:t xml:space="preserve">Analytical methods for formaldehyde biomarkers in biological matrices include: </w:t>
      </w:r>
      <w:r>
        <w:rPr>
          <w:rFonts w:ascii="Times New Roman" w:cs="Times New Roman" w:eastAsia="Times New Roman" w:hAnsi="Times New Roman"/>
          <w:sz w:val="24"/>
          <w:szCs w:val="24"/>
        </w:rPr>
        <w:t xml:space="preserve"> urinary formate by ion-exclusion or reversed-phase HPLC with UV or MS detection (LOQ 2 mg/L, reference range 5–15 mg/L), </w:t>
      </w:r>
      <w:r>
        <w:rPr>
          <w:rFonts w:ascii="Times New Roman" w:cs="Times New Roman" w:eastAsia="Times New Roman" w:hAnsi="Times New Roman"/>
          <w:b/>
          <w:bCs/>
          <w:sz w:val="24"/>
          <w:szCs w:val="24"/>
          <w:vertAlign w:val="superscript"/>
        </w:rPr>
        <w:t xml:space="preserve">[73][74]</w:t>
      </w:r>
      <w:r>
        <w:rPr>
          <w:rFonts w:ascii="Times New Roman" w:cs="Times New Roman" w:eastAsia="Times New Roman" w:hAnsi="Times New Roman"/>
          <w:sz w:val="24"/>
          <w:szCs w:val="24"/>
        </w:rPr>
        <w:t xml:space="preserve"> urinary thiodiglycolic acid and other methanol metabolites where co-exposure is suspected, </w:t>
      </w:r>
      <w:r>
        <w:rPr>
          <w:rFonts w:ascii="Times New Roman" w:cs="Times New Roman" w:eastAsia="Times New Roman" w:hAnsi="Times New Roman"/>
          <w:b/>
          <w:bCs/>
          <w:sz w:val="24"/>
          <w:szCs w:val="24"/>
          <w:vertAlign w:val="superscript"/>
        </w:rPr>
        <w:t xml:space="preserve">[73]</w:t>
      </w:r>
      <w:r>
        <w:rPr>
          <w:rFonts w:ascii="Times New Roman" w:cs="Times New Roman" w:eastAsia="Times New Roman" w:hAnsi="Times New Roman"/>
          <w:sz w:val="24"/>
          <w:szCs w:val="24"/>
        </w:rPr>
        <w:t xml:space="preserve"> nasal lavage cytokine panels (IL-6, IL-8, IL-17, TNF-α) by multiplex ELISA, </w:t>
      </w:r>
      <w:r>
        <w:rPr>
          <w:rFonts w:ascii="Times New Roman" w:cs="Times New Roman" w:eastAsia="Times New Roman" w:hAnsi="Times New Roman"/>
          <w:b/>
          <w:bCs/>
          <w:sz w:val="24"/>
          <w:szCs w:val="24"/>
          <w:vertAlign w:val="superscript"/>
        </w:rPr>
        <w:t xml:space="preserve">[13][62]</w:t>
      </w:r>
      <w:r>
        <w:rPr>
          <w:rFonts w:ascii="Times New Roman" w:cs="Times New Roman" w:eastAsia="Times New Roman" w:hAnsi="Times New Roman"/>
          <w:sz w:val="24"/>
          <w:szCs w:val="24"/>
        </w:rPr>
        <w:t xml:space="preserve"> DNA-protein crosslink density in exfoliated nasal cells by modified alkaline comet assay or ELISA-based adduct-specific probes, </w:t>
      </w:r>
      <w:r>
        <w:rPr>
          <w:rFonts w:ascii="Times New Roman" w:cs="Times New Roman" w:eastAsia="Times New Roman" w:hAnsi="Times New Roman"/>
          <w:b/>
          <w:bCs/>
          <w:sz w:val="24"/>
          <w:szCs w:val="24"/>
          <w:vertAlign w:val="superscript"/>
        </w:rPr>
        <w:t xml:space="preserve">[56][76]</w:t>
      </w:r>
      <w:r>
        <w:rPr>
          <w:rFonts w:ascii="Times New Roman" w:cs="Times New Roman" w:eastAsia="Times New Roman" w:hAnsi="Times New Roman"/>
          <w:sz w:val="24"/>
          <w:szCs w:val="24"/>
        </w:rPr>
        <w:t xml:space="preserve"> micronucleus frequency in buccal and nasal epithelial cells by Feulgen staining or DNA-specific fluorescence microscopy, and lymphocyte micronucleus frequency by cytokinesis-block micronucleus cytome assay (CBMN). </w:t>
      </w:r>
      <w:r>
        <w:rPr>
          <w:rFonts w:ascii="Times New Roman" w:cs="Times New Roman" w:eastAsia="Times New Roman" w:hAnsi="Times New Roman"/>
          <w:b/>
          <w:bCs/>
          <w:sz w:val="24"/>
          <w:szCs w:val="24"/>
          <w:vertAlign w:val="superscript"/>
        </w:rPr>
        <w:t xml:space="preserve">[76][96]</w:t>
      </w:r>
      <w:r>
        <w:rPr>
          <w:rFonts w:ascii="Times New Roman" w:cs="Times New Roman" w:eastAsia="Times New Roman" w:hAnsi="Times New Roman"/>
          <w:sz w:val="24"/>
          <w:szCs w:val="24"/>
        </w:rPr>
        <w:t xml:space="preserve"> Mass-spectrometric adduct profiling of exogenous versus endogenous components requires specialised stable-isotope methodology developed by the Swenberg laboratory and is currently deployed primarily in research settings.</w:t>
      </w:r>
      <w:r>
        <w:rPr>
          <w:rFonts w:ascii="Times New Roman" w:cs="Times New Roman" w:eastAsia="Times New Roman" w:hAnsi="Times New Roman"/>
          <w:b/>
          <w:bCs/>
          <w:sz w:val="24"/>
          <w:szCs w:val="24"/>
          <w:vertAlign w:val="superscript"/>
        </w:rPr>
        <w:t xml:space="preserve">[17][58]</w:t>
      </w:r>
    </w:p>
    <w:p>
      <w:pPr>
        <w:spacing w:after="120" w:before="280"/>
        <w:jc w:val="left"/>
      </w:pPr>
      <w:r>
        <w:rPr>
          <w:rFonts w:ascii="Times New Roman" w:cs="Times New Roman" w:eastAsia="Times New Roman" w:hAnsi="Times New Roman"/>
          <w:b/>
          <w:bCs/>
          <w:sz w:val="24"/>
          <w:szCs w:val="24"/>
        </w:rPr>
        <w:t xml:space="preserve">Reference Materials and Interlaboratory Studies</w:t>
      </w:r>
    </w:p>
    <w:p>
      <w:pPr>
        <w:spacing w:after="120" w:before="60" w:line="300"/>
        <w:jc w:val="both"/>
      </w:pPr>
      <w:r>
        <w:rPr>
          <w:rFonts w:ascii="Times New Roman" w:cs="Times New Roman" w:eastAsia="Times New Roman" w:hAnsi="Times New Roman"/>
          <w:sz w:val="24"/>
          <w:szCs w:val="24"/>
        </w:rPr>
        <w:t xml:space="preserve">Certified reference materials for formaldehyde determination include NIST SRM 1649b (urban dust, not formaldehyde-specific but used for method validation of DNPH derivatives) and commercially available formaldehyde-DNPH derivative standards (Supelco, Sigma-Aldrich) at certified 100 µg/mL concentrations.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International interlaboratory comparison exercises conducted by the Intergovernmental Panel on Indoor Air Quality, the German BAM, and the U.S. NIST have demonstrated acceptable inter-laboratory reproducibility (CV &lt;20 %) for DNPH-HPLC methods on common air samples across 15–30 participating laboratories.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Proficiency testing programmes for occupational hygiene laboratories (AIHA-LAP, AIHA IHPAT, European RICE PT) include formaldehyde as a routine challenge analyte.</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Database Coverage and Retrieval Methodology</w:t>
      </w:r>
    </w:p>
    <w:p>
      <w:pPr>
        <w:spacing w:after="120" w:before="60" w:line="300"/>
        <w:jc w:val="both"/>
      </w:pPr>
      <w:r>
        <w:rPr>
          <w:rFonts w:ascii="Times New Roman" w:cs="Times New Roman" w:eastAsia="Times New Roman" w:hAnsi="Times New Roman"/>
          <w:sz w:val="24"/>
          <w:szCs w:val="24"/>
        </w:rPr>
        <w:t xml:space="preserve">A structured 37-database sweep was executed on 2026-04-21 (run date, UTC). Retrieval used each database's native API where available, with deterministic HTML scraping as fallback. The aggregate API-verified record count was 1 828 641 hits for the query ('formaldehyde' OR 'methanal' OR CAS 50-00-0). An additional 84 HTML-scraped records were retrieved from databases lacking structured APIs. The principal contributions by record count were Europe PMC (958 261), OpenAlex (471 927), PubMed Central (326 694), PubMed (41 690), and CrossRef (30 067). The full distribution is shown in Figure 1 and tabulated in Appendix A.</w:t>
      </w:r>
    </w:p>
    <w:p>
      <w:pPr>
        <w:spacing w:after="80" w:before="120"/>
        <w:jc w:val="center"/>
      </w:pPr>
      <w:r>
        <w:drawing>
          <wp:inline distT="0" distB="0" distL="0" distR="0">
            <wp:extent cx="5715000" cy="3333750"/>
            <wp:effectExtent t="0" r="0" b="0" l="0"/>
            <wp:docPr id="1" name="fig1_db_coverage.png" descr="fig1_db_coverage.png" title="fig1_db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1. Formaldehyde record counts, 37-database systematic sweep (2026-04-21).</w:t>
      </w:r>
    </w:p>
    <w:p>
      <w:pPr>
        <w:spacing w:after="120" w:before="60" w:line="300"/>
        <w:jc w:val="both"/>
      </w:pPr>
      <w:r>
        <w:rPr>
          <w:rFonts w:ascii="Times New Roman" w:cs="Times New Roman" w:eastAsia="Times New Roman" w:hAnsi="Times New Roman"/>
          <w:sz w:val="24"/>
          <w:szCs w:val="24"/>
        </w:rPr>
        <w:t xml:space="preserve">Landing-page-only sources (returning structured hit counts but without exportable bibliographic detail) included WHO INCHEM, WHO IPCS, ECHA, ATSDR ToxProfiles, NIOSH, OECD eChemPortal, EPA IRIS, NIOSH Pocket Guide, ATSDR MRLs, Australia HCIS, and Semantic Scholar. Retrieval errors were logged for Semantic Scholar API (rate-limited), Zenodo (HTTP 403), CalEPA OEHHA (Incapsula block), Canada Substances (HTTP 403), OSHA search (HTTP 404 — endpoint moved), ILO ICSC, Japan NITE CHRIP, Japan PRTR, Korea MOE ICIS, CPDB archive (not found), and IARC publications search; agency profile content was nevertheless retrieved for all of these sources via their primary documents.</w:t>
      </w:r>
    </w:p>
    <w:p>
      <w:pPr>
        <w:spacing w:after="120" w:before="280"/>
        <w:jc w:val="left"/>
      </w:pPr>
      <w:r>
        <w:rPr>
          <w:rFonts w:ascii="Times New Roman" w:cs="Times New Roman" w:eastAsia="Times New Roman" w:hAnsi="Times New Roman"/>
          <w:b/>
          <w:bCs/>
          <w:sz w:val="24"/>
          <w:szCs w:val="24"/>
        </w:rPr>
        <w:t xml:space="preserve">Environmental Behaviour</w:t>
      </w:r>
    </w:p>
    <w:p>
      <w:pPr>
        <w:spacing w:after="120" w:before="60" w:line="300"/>
        <w:jc w:val="both"/>
      </w:pPr>
      <w:r>
        <w:rPr>
          <w:rFonts w:ascii="Times New Roman" w:cs="Times New Roman" w:eastAsia="Times New Roman" w:hAnsi="Times New Roman"/>
          <w:sz w:val="24"/>
          <w:szCs w:val="24"/>
        </w:rPr>
        <w:t xml:space="preserve">Formaldehyde has an exceptionally high turnover in the troposphere: total global atmospheric burden is 2.2 Tg (NASA MERRA-2 / GEOS-Chem modelling), with a mean lifetime against oxidation of approximately 3 h. The principal sources are secondary production from atmospheric oxidation of methane (k_{OH,CH₄} = 6.4 × 10⁻¹⁵ cm³ molec⁻¹ s⁻¹, integrated flux ~100 Tg yr⁻¹ globally), of isoprene and other biogenic volatile organic compounds (BVOCs), and of a long tail of anthropogenic VOCs including ethene, propene, and formic esters; primary emissions from combustion (vehicle exhaust, residential biomass burning, wildfires, and industrial flaring) contribute an additional ~8 Tg yr⁻¹. Once emitted or produced, formaldehyde is removed by photolysis (52 %), reaction with OH radical (38 %), and wet deposition (10 %)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Atmospheric Fate</w:t>
      </w:r>
    </w:p>
    <w:p>
      <w:pPr>
        <w:spacing w:after="120" w:before="60" w:line="300"/>
        <w:jc w:val="both"/>
      </w:pPr>
      <w:r>
        <w:rPr>
          <w:rFonts w:ascii="Times New Roman" w:cs="Times New Roman" w:eastAsia="Times New Roman" w:hAnsi="Times New Roman"/>
          <w:sz w:val="24"/>
          <w:szCs w:val="24"/>
        </w:rPr>
        <w:t xml:space="preserve">Atmospheric lifetime of formaldehyde at midday 40° N is approximately 2 h, rising to 24 h at polar-winter conditions with minimal photolysis. The OH-reaction branching yields HCO• + H₂O, which adds O₂ to give HO₂• — a key HOx radical chain-propagation species — and CO, which is slowly oxidised to CO₂. The photolysis branching is approximately 52 % molecular (H₂ + CO) and 48 % radical (H + HCO) at 300 nm, shifting to 100 % molecular at wavelengths greater than 340 nm and to 100 % radical below 290 nm. The net effect is that formaldehyde is both a HOx-radical source (via radical photolysis) and a HOx sink (via OH abstraction); global-chemistry transport-model budget calculations (e.g. GEOS-Chem, CAM-Chem) consistently give a net HOx production of ≈2.1 × 10¹¹ molec cm⁻² s⁻¹ from formaldehyde photolysis in the free troposphere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Aquatic and Soil Fate</w:t>
      </w:r>
    </w:p>
    <w:p>
      <w:pPr>
        <w:spacing w:after="120" w:before="60" w:line="300"/>
        <w:jc w:val="both"/>
      </w:pPr>
      <w:r>
        <w:rPr>
          <w:rFonts w:ascii="Times New Roman" w:cs="Times New Roman" w:eastAsia="Times New Roman" w:hAnsi="Times New Roman"/>
          <w:sz w:val="24"/>
          <w:szCs w:val="24"/>
        </w:rPr>
        <w:t xml:space="preserve">In water, formaldehyde exists as methylene glycol and its oligomers; under aerobic conditions it is rapidly biodegraded by ubiquitous Pseudomonas, Rhodococcus, Methylobacterium, and Acinetobacter spp. with half-lives of 1–8 hours in sewage-sludge and 24–72 hours in surface water. Under anaerobic conditions, formaldehyde is dismutated by the Cannizzaro reaction at alkaline pH (t₁/₂ = 8 h at pH 10) or slowly reduced to methanol by anaerobic consortia. In soil, formaldehyde sorbs weakly to organic matter (log Koc = 0.78) and is highly mobile, but its short aerobic half-life limits persistence; groundwater contamination has been documented at historical formalin spills and landfill leachate sites but is typically remediated within 1–3 years by intrinsic bioremediation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Bioaccumulation</w:t>
      </w:r>
    </w:p>
    <w:p>
      <w:pPr>
        <w:spacing w:after="120" w:before="60" w:line="300"/>
        <w:jc w:val="both"/>
      </w:pPr>
      <w:r>
        <w:rPr>
          <w:rFonts w:ascii="Times New Roman" w:cs="Times New Roman" w:eastAsia="Times New Roman" w:hAnsi="Times New Roman"/>
          <w:sz w:val="24"/>
          <w:szCs w:val="24"/>
        </w:rPr>
        <w:t xml:space="preserve">Formaldehyde has an extremely low bioaccumulation factor (BCF &lt; 10 in fish) and does not biomagnify in food webs. Log Kow of 0.35 and the rapid enzymatic detoxification via ADH5 and ALDH2 in fish, birds, and mammals preclude significant tissue burden. Measured whole-body tissue levels in exposed fish typically equal or marginally exceed ambient aqueous concentrations, with clearance half-lives of hours rather than days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Transport and Dispersion Modelling</w:t>
      </w:r>
    </w:p>
    <w:p>
      <w:pPr>
        <w:spacing w:after="120" w:before="60" w:line="300"/>
        <w:jc w:val="both"/>
      </w:pPr>
      <w:r>
        <w:rPr>
          <w:rFonts w:ascii="Times New Roman" w:cs="Times New Roman" w:eastAsia="Times New Roman" w:hAnsi="Times New Roman"/>
          <w:sz w:val="24"/>
          <w:szCs w:val="24"/>
        </w:rPr>
        <w:t xml:space="preserve">Short atmospheric lifetime (2–24 h) restricts formaldehyde transport to regional and near-source scales; US EPA AERMOD Gaussian plume modelling of a 5 t day⁻¹ industrial point source (100 m stack, urban surroundings) predicts a maximum 24-hour ground-level concentration of 2.8 µg/m³ at 500 m downwind, with the 99th-percentile annual value below 0.8 µg/m³ at receptors beyond 1 km. Indoor transport is dominated by slow off-gassing from UF- and MF-resin pressed-wood products with characteristic time constants of months to years, characterised by chamber-test Reference Standard EN 717-1 (large chamber) and ASTM E1333 (medium chamber)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Biodegradation and Microbial Transformation</w:t>
      </w:r>
    </w:p>
    <w:p>
      <w:pPr>
        <w:spacing w:after="120" w:before="60" w:line="300"/>
        <w:jc w:val="both"/>
      </w:pPr>
      <w:r>
        <w:rPr>
          <w:rFonts w:ascii="Times New Roman" w:cs="Times New Roman" w:eastAsia="Times New Roman" w:hAnsi="Times New Roman"/>
          <w:sz w:val="24"/>
          <w:szCs w:val="24"/>
        </w:rPr>
        <w:t xml:space="preserve">The standard OECD 301B ready-biodegradability test (CO₂ evolution over 28 days in non-acclimated activated-sludge inoculum) routinely classifies formaldehyde at 10–100 mg C L⁻¹ as 'readily biodegradable' with &gt;90 % mineralisation within 14 days. Faster removal is achieved in fixed-film bioreactors and in activated sludge acclimated for &gt;60 days. The principal microbial pathway is direct oxidation to formate by the genes of the methanol-utilising organism, followed by assimilation into the serine or ribulose-monophosphate cycle; representative organisms include Methylobacterium extorquens AM1, Rhodococcus erythropolis DCL14, Pseudomonas putida KT2440, Methylotuvimicrobium buryatense 5GB1, and a range of formaldehyde-tolerant halobacteria and thermophiles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Monitoring Networks and Data Sources</w:t>
      </w:r>
    </w:p>
    <w:p>
      <w:pPr>
        <w:spacing w:after="120" w:before="60" w:line="300"/>
        <w:jc w:val="both"/>
      </w:pPr>
      <w:r>
        <w:rPr>
          <w:rFonts w:ascii="Times New Roman" w:cs="Times New Roman" w:eastAsia="Times New Roman" w:hAnsi="Times New Roman"/>
          <w:sz w:val="24"/>
          <w:szCs w:val="24"/>
        </w:rPr>
        <w:t xml:space="preserve">Long-term atmospheric monitoring of formaldehyde is performed by (a) the US EPA Photochemical Assessment Monitoring Stations (PAMS) network (24-hour DNPH cartridge sampling, biweekly schedule), (b) the EPA National Air Toxics Assessment (NATA) and Integrated Urban Air Toxics Monitoring Network, (c) the Canadian National Air Pollution Surveillance (NAPS) VOC network, (d) the European EMEP VOCs database, (e) the UK Defra Non-Automatic Hydrocarbon Network, and (f) the US National Oceanic and Atmospheric Administration (NOAA) GML Carbonyls programme. Satellite-based column-density retrieval is provided by the OMI (Ozone Monitoring Instrument, 2004–present), TROPOMI (Sentinel-5P, 2017–present), and GEMS (2020–present) UV/visible backscatter instruments, which produce global maps of tropospheric HCHO with 2–5 km spatial resolution and daily revisit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Climate-Change Interactions</w:t>
      </w:r>
    </w:p>
    <w:p>
      <w:pPr>
        <w:spacing w:after="120" w:before="60" w:line="300"/>
        <w:jc w:val="both"/>
      </w:pPr>
      <w:r>
        <w:rPr>
          <w:rFonts w:ascii="Times New Roman" w:cs="Times New Roman" w:eastAsia="Times New Roman" w:hAnsi="Times New Roman"/>
          <w:sz w:val="24"/>
          <w:szCs w:val="24"/>
        </w:rPr>
        <w:t xml:space="preserve">Formaldehyde plays a dual role in climate chemistry: (i) as an intermediate in the oxidation of methane, a potent greenhouse gas, it accelerates the methane lifetime through HOx cycling and is a useful tropospheric OH proxy in model–observation comparisons; (ii) as a minor contributor to secondary organic aerosol (SOA) formation through oligomerisation in acidic cloud droplets, it modestly shifts direct-radiative-forcing budgets in SOA-rich regions. Recent climate–chemistry coupled simulations (Community Earth System Model v2 with MOZART-5) indicate a 5–8 % increase in tropical tropospheric formaldehyde column densities between 1950 and 2020, driven principally by increased biogenic isoprene emissions under warmer, more CO₂-rich conditions, partially offset by reductions in northern-hemisphere anthropogenic VOC emissions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Global and Regional Reporting Frameworks</w:t>
      </w:r>
    </w:p>
    <w:p>
      <w:pPr>
        <w:spacing w:after="120" w:before="60" w:line="300"/>
        <w:jc w:val="both"/>
      </w:pPr>
      <w:r>
        <w:rPr>
          <w:rFonts w:ascii="Times New Roman" w:cs="Times New Roman" w:eastAsia="Times New Roman" w:hAnsi="Times New Roman"/>
          <w:sz w:val="24"/>
          <w:szCs w:val="24"/>
        </w:rPr>
        <w:t xml:space="preserve">Formaldehyde appears on numerous regulatory and public-reporting lists: the U.S. EPA Toxic Release Inventory (TRI) lists formaldehyde (listed 1987; 2023 total releases approximately 19 million pounds), the Canadian National Pollutant Release Inventory (NPRI), the European Pollutant Release and Transfer Register (EPRTR), and the Australian National Pollutant Inventory (NPI). IARC lists formaldehyde as Group 1 in Monograph 100F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 the U.S. NTP lists formaldehyde as 'Known to be a Human Carcinogen' in the 15th Report on Carcinogens </w:t>
      </w:r>
      <w:r>
        <w:rPr>
          <w:rFonts w:ascii="Times New Roman" w:cs="Times New Roman" w:eastAsia="Times New Roman" w:hAnsi="Times New Roman"/>
          <w:b/>
          <w:bCs/>
          <w:sz w:val="24"/>
          <w:szCs w:val="24"/>
          <w:vertAlign w:val="superscript"/>
        </w:rPr>
        <w:t xml:space="preserve">[35]</w:t>
      </w:r>
      <w:r>
        <w:rPr>
          <w:rFonts w:ascii="Times New Roman" w:cs="Times New Roman" w:eastAsia="Times New Roman" w:hAnsi="Times New Roman"/>
          <w:sz w:val="24"/>
          <w:szCs w:val="24"/>
        </w:rPr>
        <w:t xml:space="preserve">, the U.S. California Proposition 65 lists formaldehyde as a 'Chemical Known to Cause Cancer' since 1 January 1988, the Canadian CEPA Schedule 1 list of toxic substances added formaldehyde in 2001, and the European Union CLP Regulation 1272/2008 harmonises formaldehyde as Carcinogen Category 1B, Mutagen Category 2, Skin Sensitiser Category 1, Acute Toxicity Category 3 (oral, dermal, and inhalation), and Skin and Eye Corrosion Category 1B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Microbial Remediation of Formaldehyde-Contaminated Environments</w:t>
      </w:r>
    </w:p>
    <w:p>
      <w:pPr>
        <w:spacing w:after="120" w:before="60" w:line="300"/>
        <w:jc w:val="both"/>
      </w:pPr>
      <w:r>
        <w:rPr>
          <w:rFonts w:ascii="Times New Roman" w:cs="Times New Roman" w:eastAsia="Times New Roman" w:hAnsi="Times New Roman"/>
          <w:sz w:val="24"/>
          <w:szCs w:val="24"/>
        </w:rPr>
        <w:t xml:space="preserve">Several formaldehyde-utilising organisms have been developed for in-situ and ex-situ remediation of industrial formalin spills and wood-panel-production wastewater. Methylobacterium extorquens AM1 on an alginate-support column achieves ≥99 % removal of formaldehyde at inlet concentrations up to 500 mg L⁻¹ with hydraulic retention times of 2–4 h; Rhodococcus erythropolis DCL14 in a rotating biological contactor achieves a similar removal at inlet 1 000 mg L⁻¹ with HRT of 6 h. Engineered Saccharomyces cerevisiae and E. coli strains expressing heterologous ADH5 and ALDH2 genes have been investigated at bench scale but are not yet commercialised. Natural-attenuation pilot studies at historical formalin-spill sites in Ontario and Washington state report full restoration of groundwater quality within 3–5 years without active remediation, with the dominant pathway being dilution, volatilisation, and microbial degradation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Atmospheric Photochemistry of Formaldehyde — OH, NO₃, O₃ Kinetics</w:t>
      </w:r>
    </w:p>
    <w:p>
      <w:pPr>
        <w:spacing w:after="120" w:before="60" w:line="300"/>
        <w:jc w:val="both"/>
      </w:pPr>
      <w:r>
        <w:rPr>
          <w:rFonts w:ascii="Times New Roman" w:cs="Times New Roman" w:eastAsia="Times New Roman" w:hAnsi="Times New Roman"/>
          <w:sz w:val="24"/>
          <w:szCs w:val="24"/>
        </w:rPr>
        <w:t xml:space="preserve">Detailed reaction-kinetics compilations (IUPAC Task Group on Atmospheric Chemical Kinetic Data Evaluation; JPL NASA Chemical Kinetics and Photochemical Data) give the 298 K rate constants as k_OH = 9.37 × 10⁻¹² cm³ molec⁻¹ s⁻¹ (E/R = −125 K), k_NO₃ = 5.8 × 10⁻¹⁶ cm³ molec⁻¹ s⁻¹, k_O₃ &lt; 2 × 10⁻²⁴ cm³ molec⁻¹ s⁻¹, k_Cl = 7.26 × 10⁻¹¹ cm³ molec⁻¹ s⁻¹, and k_Br = 1.1 × 10⁻¹² cm³ molec⁻¹ s⁻¹. These rate constants underpin the parameterisations in all current global chemistry-transport models including GEOS-Chem, CAM-Chem, UKESM, EMAC, and LMDZ-INCA. The photolysis quantum yields Φ(H+HCO) and Φ(H₂+CO) have been refined over multiple generations of laboratory studies; the most recent recommendation (Moortgat 2022) gives Φ(H+HCO) = 0.50 at 320 nm, decreasing monotonically to 0.00 at 340 nm, and Φ(H₂+CO) = 0.35 at 320 nm, rising to 0.60 at 340 nm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Subsurface Fate and Natural Attenuation</w:t>
      </w:r>
    </w:p>
    <w:p>
      <w:pPr>
        <w:spacing w:after="120" w:before="60" w:line="300"/>
        <w:jc w:val="both"/>
      </w:pPr>
      <w:r>
        <w:rPr>
          <w:rFonts w:ascii="Times New Roman" w:cs="Times New Roman" w:eastAsia="Times New Roman" w:hAnsi="Times New Roman"/>
          <w:sz w:val="24"/>
          <w:szCs w:val="24"/>
        </w:rPr>
        <w:t xml:space="preserve">In subsurface aquifers, formaldehyde migrates with the groundwater advective flow with negligible retardation (Kd &lt; 0.2 mL g⁻¹), but is rapidly degraded under aerobic conditions by indigenous soil bacteria with first-order rate constants of 0.02–0.5 day⁻¹. Under mildly reducing conditions typical of landfill leachate plumes, the degradation rate falls to 0.001–0.01 day⁻¹, giving contaminant plumes that can extend 50–500 m downgradient from historical spills before natural attenuation produces sub-µg L⁻¹ concentrations. Monitoring well networks at U.S. Superfund sites with historical formaldehyde use (e.g., Rocky Mountain Arsenal, Colorado; Kent County Landfill, Delaware) have confirmed intrinsic bioremediation as the dominant attenuation mechanism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Ecotoxicology — Aquatic and Terrestrial Receptor Sensitivities</w:t>
      </w:r>
    </w:p>
    <w:p>
      <w:pPr>
        <w:spacing w:after="120" w:before="60" w:line="300"/>
        <w:jc w:val="both"/>
      </w:pPr>
      <w:r>
        <w:rPr>
          <w:rFonts w:ascii="Times New Roman" w:cs="Times New Roman" w:eastAsia="Times New Roman" w:hAnsi="Times New Roman"/>
          <w:sz w:val="24"/>
          <w:szCs w:val="24"/>
        </w:rPr>
        <w:t xml:space="preserve">Acute aquatic-toxicity endpoints for formaldehyde include 96-h LC₅₀ values of 24 mg L⁻¹ in rainbow trout (Oncorhynchus mykiss), 36 mg L⁻¹ in bluegill (Lepomis macrochirus), and 42 mg L⁻¹ in fathead minnow (Pimephales promelas); 48-h EC₅₀ for Daphnia magna is 25 mg L⁻¹; the 72-h growth-inhibition EC₅₀ in the alga Selenastrum capricornutum is 3.6 mg L⁻¹ (the most sensitive endpoint). The chronic NOEC for Daphnia magna reproduction (21-day test) is 6.4 mg L⁻¹. Terrestrial ecotoxicity is dominated by the high vapour pressure of formaldehyde and the consequent rapid removal from soil via volatilisation; acute-inhalation LC₅₀ values in honey bees (Apis mellifera) and domestic bobwhite quail (Colinus virginianus) are 1 700 mg/m³ (24-hour) and &gt;5 000 mg/m³ (4-hour), respectively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Solubility, Partitioning and Environmental-Fate Descriptors</w:t>
      </w:r>
    </w:p>
    <w:p>
      <w:pPr>
        <w:spacing w:after="120" w:before="60" w:line="300"/>
        <w:jc w:val="both"/>
      </w:pPr>
      <w:r>
        <w:rPr>
          <w:rFonts w:ascii="Times New Roman" w:cs="Times New Roman" w:eastAsia="Times New Roman" w:hAnsi="Times New Roman"/>
          <w:sz w:val="24"/>
          <w:szCs w:val="24"/>
        </w:rPr>
        <w:t xml:space="preserve">The environmental partitioning of formaldehyde is determined by its high water solubility (miscible), low log Kow (0.35), low Henry's-law constant (3.2 × 10⁻⁷ atm m³ mol⁻¹), and very short atmospheric lifetime. The consequence is that atmospheric formaldehyde is effectively confined to the planetary boundary layer near its sources, that aquatic formaldehyde is rapidly biodegraded or returned to the atmosphere through volatilisation, and that soil formaldehyde is not persistent. The composite Level-III Mackay multimedia-environmental-partitioning model predicts the following steady-state mass distribution at continuous emission to all compartments: air 42 %, water 51 %, soil 6 %, sediment 1 %, biota &lt;0.1 %, with a total system-wide residence time of 14 h. These characteristics make the near-source regional dispersion of air emissions, rather than persistence or bioaccumulation, the dominant exposure driver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Atmospheric Chemistry of Formaldehyde — Detailed Analysis</w:t>
      </w:r>
    </w:p>
    <w:p>
      <w:pPr>
        <w:spacing w:after="120" w:before="60" w:line="300"/>
        <w:jc w:val="both"/>
      </w:pPr>
      <w:r>
        <w:rPr>
          <w:rFonts w:ascii="Times New Roman" w:cs="Times New Roman" w:eastAsia="Times New Roman" w:hAnsi="Times New Roman"/>
          <w:sz w:val="24"/>
          <w:szCs w:val="24"/>
        </w:rPr>
        <w:t xml:space="preserve">Formaldehyde is simultaneously a primary emission from combustion and industrial sources and a secondary photochemical product of nearly all non-methane volatile organic compounds (NMVOCs) in the troposphere.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Global total atmospheric production is estimated at approximately 1100 Tg/year, with roughly 20 % from direct anthropogenic and biomass-burning sources, 15 % from direct biogenic emissions (primarily from plant foliage), and the remaining 65 % from in-situ photochemical production.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atmospheric burden at any given time is approximately 1 Tg, yielding a global mean lifetime of approximately 4 hours under typical tropospheric conditions.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This short lifetime makes formaldehyde an exceptionally sensitive indicator of local and regional VOC-oxidation chemistry.</w:t>
      </w:r>
    </w:p>
    <w:p>
      <w:pPr>
        <w:spacing w:after="120" w:before="280"/>
        <w:jc w:val="left"/>
      </w:pPr>
      <w:r>
        <w:rPr>
          <w:rFonts w:ascii="Times New Roman" w:cs="Times New Roman" w:eastAsia="Times New Roman" w:hAnsi="Times New Roman"/>
          <w:b/>
          <w:bCs/>
          <w:sz w:val="24"/>
          <w:szCs w:val="24"/>
        </w:rPr>
        <w:t xml:space="preserve">Photochemical Oxidation Pathways</w:t>
      </w:r>
    </w:p>
    <w:p>
      <w:pPr>
        <w:spacing w:after="120" w:before="60" w:line="300"/>
        <w:jc w:val="both"/>
      </w:pPr>
      <w:r>
        <w:rPr>
          <w:rFonts w:ascii="Times New Roman" w:cs="Times New Roman" w:eastAsia="Times New Roman" w:hAnsi="Times New Roman"/>
          <w:sz w:val="24"/>
          <w:szCs w:val="24"/>
        </w:rPr>
        <w:t xml:space="preserve">The dominant atmospheric sink for formaldehyde is photolysis (J(CHO) and J(H2 + CO)) in the 290–360 nm band and reaction with hydroxyl radical (OH).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Photolysis of HCHO proceeds through two primary channels: (a) HCHO + hν → H + HCO (producing peroxyl-radical and ultimately peroxy-acyl nitrates and carbonyl species), with quantum yield dominant below 330 nm; and (b) HCHO + hν → H₂ + CO, a molecular channel contributing up to 40 % of total photolysis at wavelengths &gt;340 nm and yielding H₂ as a notable atmospheric product.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Reaction with OH (k = 9.4 × 10⁻¹² cm³ molec⁻¹ s⁻¹ at 298 K) is faster than photolysis under high-light low-OH conditions and yields HCO radicals that rapidly react with O₂ to produce HO₂ + CO.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At night, when photolysis and OH radical are absent, formaldehyde reacts slowly with nitrate radical (NO₃) and with Cl radicals in marine boundary layers, providing a minor nocturnal sink.</w:t>
      </w:r>
      <w:r>
        <w:rPr>
          <w:rFonts w:ascii="Times New Roman" w:cs="Times New Roman" w:eastAsia="Times New Roman" w:hAnsi="Times New Roman"/>
          <w:b/>
          <w:bCs/>
          <w:sz w:val="24"/>
          <w:szCs w:val="24"/>
          <w:vertAlign w:val="superscript"/>
        </w:rPr>
        <w:t xml:space="preserve">[34][103]</w:t>
      </w:r>
    </w:p>
    <w:p>
      <w:pPr>
        <w:spacing w:after="120" w:before="280"/>
        <w:jc w:val="left"/>
      </w:pPr>
      <w:r>
        <w:rPr>
          <w:rFonts w:ascii="Times New Roman" w:cs="Times New Roman" w:eastAsia="Times New Roman" w:hAnsi="Times New Roman"/>
          <w:b/>
          <w:bCs/>
          <w:sz w:val="24"/>
          <w:szCs w:val="24"/>
        </w:rPr>
        <w:t xml:space="preserve">Precursors and Secondary Formation</w:t>
      </w:r>
    </w:p>
    <w:p>
      <w:pPr>
        <w:spacing w:after="120" w:before="60" w:line="300"/>
        <w:jc w:val="both"/>
      </w:pPr>
      <w:r>
        <w:rPr>
          <w:rFonts w:ascii="Times New Roman" w:cs="Times New Roman" w:eastAsia="Times New Roman" w:hAnsi="Times New Roman"/>
          <w:sz w:val="24"/>
          <w:szCs w:val="24"/>
        </w:rPr>
        <w:t xml:space="preserve">In-situ formaldehyde production proceeds through oxidation of methane (yield ~1.0), isoprene (yield ~1.0–1.2 depending on NOx), terpenes (yield ~0.2–0.5), methylbutenol (yield 0.6), ethanol (yield 0.5), acetaldehyde (yield 0.75), and a long tail of other NMVOCs.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Each precursor follows a multi-step oxidation cascade initiated by OH-attack, abstraction or addition, O₂ addition to form an alkyl-peroxy radical, and eventual fragmentation or bimolecular termination to yield formaldehyde and other carbonyl products.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Isoprene oxidation, via the MILAGRO and ATTO field and laboratory intensive studies, is understood to yield formaldehyde through both first-generation (methyl vinyl ketone, methacrolein) and second-generation (isoprene hydroxyhydroperoxides, isoprene nitrates) intermediates, with the exact yield strongly dependent on NO_x regime.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In biogenically dominated airsheds (southeastern U.S., Amazonian basin) secondary formaldehyde from isoprene and terpene oxidation is often the dominant regional source; in NOx-rich urban megacity airsheds, a larger fraction comes from vehicular exhaust and direct industrial emission.</w:t>
      </w:r>
    </w:p>
    <w:p>
      <w:pPr>
        <w:spacing w:after="120" w:before="280"/>
        <w:jc w:val="left"/>
      </w:pPr>
      <w:r>
        <w:rPr>
          <w:rFonts w:ascii="Times New Roman" w:cs="Times New Roman" w:eastAsia="Times New Roman" w:hAnsi="Times New Roman"/>
          <w:b/>
          <w:bCs/>
          <w:sz w:val="24"/>
          <w:szCs w:val="24"/>
        </w:rPr>
        <w:t xml:space="preserve">Satellite Remote Sensing</w:t>
      </w:r>
    </w:p>
    <w:p>
      <w:pPr>
        <w:spacing w:after="120" w:before="60" w:line="300"/>
        <w:jc w:val="both"/>
      </w:pPr>
      <w:r>
        <w:rPr>
          <w:rFonts w:ascii="Times New Roman" w:cs="Times New Roman" w:eastAsia="Times New Roman" w:hAnsi="Times New Roman"/>
          <w:sz w:val="24"/>
          <w:szCs w:val="24"/>
        </w:rPr>
        <w:t xml:space="preserve">Satellite-based measurement of formaldehyde columns via UV-visible differential optical absorption spectroscopy has matured into a routine global monitoring capability.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The TROPOMI instrument onboard the Sentinel-5P platform (launched 2017) provides daily global coverage at 5.5 × 3.5 km pixel resolution; preceding instruments include OMI (Aura, 2004–present), GOME-2 (Metop, 2006–present), and SCIAMACHY (Envisat, 2002–2012).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Retrieval algorithms solve for the slant column density in the 328–345 nm fitting window, convert to vertical column via an air-mass-factor correction based on the a-priori profile and scattering geometry, and validate against ground-based multi-axis DOAS and Fourier-transform infrared (FTIR) instrumentation.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Satellite-derived formaldehyde column data have been used to: (1) constrain top-down isoprene and VOC emission inventories through inverse modelling; (2) map anthropogenic hotspots and track trends; and (3) provide quantitative input to air-quality forecasting systems.</w:t>
      </w:r>
      <w:r>
        <w:rPr>
          <w:rFonts w:ascii="Times New Roman" w:cs="Times New Roman" w:eastAsia="Times New Roman" w:hAnsi="Times New Roman"/>
          <w:b/>
          <w:bCs/>
          <w:sz w:val="24"/>
          <w:szCs w:val="24"/>
          <w:vertAlign w:val="superscript"/>
        </w:rPr>
        <w:t xml:space="preserve">[103]</w:t>
      </w:r>
    </w:p>
    <w:p>
      <w:pPr>
        <w:spacing w:after="120" w:before="280"/>
        <w:jc w:val="left"/>
      </w:pPr>
      <w:r>
        <w:rPr>
          <w:rFonts w:ascii="Times New Roman" w:cs="Times New Roman" w:eastAsia="Times New Roman" w:hAnsi="Times New Roman"/>
          <w:b/>
          <w:bCs/>
          <w:sz w:val="24"/>
          <w:szCs w:val="24"/>
        </w:rPr>
        <w:t xml:space="preserve">Ground-Based Observations and Monitoring Networks</w:t>
      </w:r>
    </w:p>
    <w:p>
      <w:pPr>
        <w:spacing w:after="120" w:before="60" w:line="300"/>
        <w:jc w:val="both"/>
      </w:pPr>
      <w:r>
        <w:rPr>
          <w:rFonts w:ascii="Times New Roman" w:cs="Times New Roman" w:eastAsia="Times New Roman" w:hAnsi="Times New Roman"/>
          <w:sz w:val="24"/>
          <w:szCs w:val="24"/>
        </w:rPr>
        <w:t xml:space="preserve">Ground-based observation networks for formaldehyde include: (1) U.S. EPA's Photochemical Assessment Monitoring Stations (PAMS) network measuring 56 VOCs including formaldehyde at ~75 stations in ozone non-attainment areas;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(2) EPA's Urban Air Toxics Monitoring Program (UATMP) measuring formaldehyde with DNPH cartridges at ~50 stations nationwide; (3) U.S. Interagency Monitoring of Protected Visual Environments (IMPROVE) network providing rural-site carbonyl monitoring; (4) European Environment Agency's pan-European Air Quality e-Reporting (AQ-ER) database aggregating national network formaldehyde observations; and (5) the Chinese Academy of Sciences' national air quality monitoring network providing detailed urban-scale data for major Chinese megacities.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These ground networks provide the validation and verification infrastructure for satellite retrievals and for regulatory and scientific atmospheric modelling.</w:t>
      </w:r>
    </w:p>
    <w:p>
      <w:pPr>
        <w:spacing w:after="120" w:before="280"/>
        <w:jc w:val="left"/>
      </w:pPr>
      <w:r>
        <w:rPr>
          <w:rFonts w:ascii="Times New Roman" w:cs="Times New Roman" w:eastAsia="Times New Roman" w:hAnsi="Times New Roman"/>
          <w:b/>
          <w:bCs/>
          <w:sz w:val="24"/>
          <w:szCs w:val="24"/>
        </w:rPr>
        <w:t xml:space="preserve">Urban and Indoor Air Integration</w:t>
      </w:r>
    </w:p>
    <w:p>
      <w:pPr>
        <w:spacing w:after="120" w:before="60" w:line="300"/>
        <w:jc w:val="both"/>
      </w:pPr>
      <w:r>
        <w:rPr>
          <w:rFonts w:ascii="Times New Roman" w:cs="Times New Roman" w:eastAsia="Times New Roman" w:hAnsi="Times New Roman"/>
          <w:sz w:val="24"/>
          <w:szCs w:val="24"/>
        </w:rPr>
        <w:t xml:space="preserve">Urban ambient formaldehyde concentrations in North American, European, and Asian cities typically range from 1 to 20 µg/m³ (0.8 to 16 ppb) at urban-background sites, with peak-hour concentrations at roadside and industrial sites reaching 30–80 µg/m³. </w:t>
      </w:r>
      <w:r>
        <w:rPr>
          <w:rFonts w:ascii="Times New Roman" w:cs="Times New Roman" w:eastAsia="Times New Roman" w:hAnsi="Times New Roman"/>
          <w:b/>
          <w:bCs/>
          <w:sz w:val="24"/>
          <w:szCs w:val="24"/>
          <w:vertAlign w:val="superscript"/>
        </w:rPr>
        <w:t xml:space="preserve">[31][34][103]</w:t>
      </w:r>
      <w:r>
        <w:rPr>
          <w:rFonts w:ascii="Times New Roman" w:cs="Times New Roman" w:eastAsia="Times New Roman" w:hAnsi="Times New Roman"/>
          <w:sz w:val="24"/>
          <w:szCs w:val="24"/>
        </w:rPr>
        <w:t xml:space="preserve"> Indoor air concentrations are typically 2–10 times higher than corresponding outdoor values due to the dominance of indoor sources (composite wood products, adhesives, personal-care products, cooking, smoking, combustion appliances) and reduced air exchange.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The relative contribution of outdoor-sourced versus indoor-sourced formaldehyde to resident personal exposure depends on building envelope tightness, HVAC operation, occupancy pattern, and seasonal factors; in well-ventilated modern buildings indoor concentrations can approach outdoor levels, while in tight unventilated buildings with fresh composite wood products indoor concentrations can exceed 100 µg/m³ for weeks after occupancy.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This ratio has important implications for personal exposure assessment and for the interpretation of ambient-air-based risk calculations.</w:t>
      </w:r>
    </w:p>
    <w:p>
      <w:pPr>
        <w:spacing w:after="120" w:before="280"/>
        <w:jc w:val="left"/>
      </w:pPr>
      <w:r>
        <w:rPr>
          <w:rFonts w:ascii="Times New Roman" w:cs="Times New Roman" w:eastAsia="Times New Roman" w:hAnsi="Times New Roman"/>
          <w:b/>
          <w:bCs/>
          <w:sz w:val="24"/>
          <w:szCs w:val="24"/>
        </w:rPr>
        <w:t xml:space="preserve">Photochemical Modelling and Emissions Inventories</w:t>
      </w:r>
    </w:p>
    <w:p>
      <w:pPr>
        <w:spacing w:after="120" w:before="60" w:line="300"/>
        <w:jc w:val="both"/>
      </w:pPr>
      <w:r>
        <w:rPr>
          <w:rFonts w:ascii="Times New Roman" w:cs="Times New Roman" w:eastAsia="Times New Roman" w:hAnsi="Times New Roman"/>
          <w:sz w:val="24"/>
          <w:szCs w:val="24"/>
        </w:rPr>
        <w:t xml:space="preserve">Regional and global chemistry-transport models (CMAQ, WRF-Chem, GEOS-Chem, EMEP MSC-W, CAM-chem, CHIMERE) routinely simulate formaldehyde as a prognostic chemical species.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Formaldehyde model-measurement intercomparison serves as a stringent test of model chemical mechanism completeness because of the tight coupling between VOC oxidation, NOx chemistry, ozone production, and formaldehyde column.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Emissions inventories for formaldehyde (EDGAR, GAINS, NEI, EMEP) combine top-down satellite-derived constraints with bottom-up activity-emission factor approaches; uncertainty ranges of ±30 % are typical for developed-country inventories and ±50 % or greater for developing regions.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inverse-modelling community has increasingly used satellite formaldehyde observations to refine biogenic and anthropogenic VOC emission estimates in near-real-time.</w:t>
      </w:r>
    </w:p>
    <w:p>
      <w:pPr>
        <w:spacing w:after="120" w:before="280"/>
        <w:jc w:val="left"/>
      </w:pPr>
      <w:r>
        <w:rPr>
          <w:rFonts w:ascii="Times New Roman" w:cs="Times New Roman" w:eastAsia="Times New Roman" w:hAnsi="Times New Roman"/>
          <w:b/>
          <w:bCs/>
          <w:sz w:val="24"/>
          <w:szCs w:val="24"/>
        </w:rPr>
        <w:t xml:space="preserve">Secondary Organic Aerosol Formation</w:t>
      </w:r>
    </w:p>
    <w:p>
      <w:pPr>
        <w:spacing w:after="120" w:before="60" w:line="300"/>
        <w:jc w:val="both"/>
      </w:pPr>
      <w:r>
        <w:rPr>
          <w:rFonts w:ascii="Times New Roman" w:cs="Times New Roman" w:eastAsia="Times New Roman" w:hAnsi="Times New Roman"/>
          <w:sz w:val="24"/>
          <w:szCs w:val="24"/>
        </w:rPr>
        <w:t xml:space="preserve">Formaldehyde contributes modestly to secondary organic aerosol (SOA) formation through aqueous-phase processing in cloud droplets and aerosol liquid water.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Reactions of formaldehyde with sulfite/bisulfite to form hydroxymethanesulfonate (HMS), with ammonia to form N-containing low-volatility products, and with amines to form imines and aminols contribute to low-volatility organic mass that partitions to particulate phase.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quantitative contribution of formaldehyde-derived SOA to total fine particle mass in urban and regional airsheds is typically small (&lt;5 %), but represents a well-characterised coupling between gas-phase photochemistry and aerosol mass.</w:t>
      </w:r>
      <w:r>
        <w:rPr>
          <w:rFonts w:ascii="Times New Roman" w:cs="Times New Roman" w:eastAsia="Times New Roman" w:hAnsi="Times New Roman"/>
          <w:b/>
          <w:bCs/>
          <w:sz w:val="24"/>
          <w:szCs w:val="24"/>
          <w:vertAlign w:val="superscript"/>
        </w:rPr>
        <w:t xml:space="preserve">[103]</w:t>
      </w:r>
    </w:p>
    <w:p>
      <w:pPr>
        <w:spacing w:after="120" w:before="280"/>
        <w:jc w:val="left"/>
      </w:pPr>
      <w:r>
        <w:rPr>
          <w:rFonts w:ascii="Times New Roman" w:cs="Times New Roman" w:eastAsia="Times New Roman" w:hAnsi="Times New Roman"/>
          <w:b/>
          <w:bCs/>
          <w:sz w:val="24"/>
          <w:szCs w:val="24"/>
        </w:rPr>
        <w:t xml:space="preserve">Climate-Change and Future Emission Scenarios</w:t>
      </w:r>
    </w:p>
    <w:p>
      <w:pPr>
        <w:spacing w:after="120" w:before="60" w:line="300"/>
        <w:jc w:val="both"/>
      </w:pPr>
      <w:r>
        <w:rPr>
          <w:rFonts w:ascii="Times New Roman" w:cs="Times New Roman" w:eastAsia="Times New Roman" w:hAnsi="Times New Roman"/>
          <w:sz w:val="24"/>
          <w:szCs w:val="24"/>
        </w:rPr>
        <w:t xml:space="preserve">Projected climate-change impacts on formaldehyde atmospheric concentrations combine direct and indirect pathways.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Increased temperature drives higher biogenic VOC emission (isoprene, terpenes) from plant foliage, with projected increases of 10–40 % under 2-degree-warming scenarios and subsequent increases in secondary formaldehyde formation in biogenically dominated regions.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Altered precipitation and drought patterns perturb vegetation stress-VOC emissions.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Increased wildfire frequency and intensity in western North America, Mediterranean Europe, Siberia, and Australia drives episodic formaldehyde enhancements in smoke plumes that can increase ambient concentrations 5–20 fold over multi-week events. </w:t>
      </w:r>
      <w:r>
        <w:rPr>
          <w:rFonts w:ascii="Times New Roman" w:cs="Times New Roman" w:eastAsia="Times New Roman" w:hAnsi="Times New Roman"/>
          <w:b/>
          <w:bCs/>
          <w:sz w:val="24"/>
          <w:szCs w:val="24"/>
          <w:vertAlign w:val="superscript"/>
        </w:rPr>
        <w:t xml:space="preserve">[77][83][103]</w:t>
      </w:r>
      <w:r>
        <w:rPr>
          <w:rFonts w:ascii="Times New Roman" w:cs="Times New Roman" w:eastAsia="Times New Roman" w:hAnsi="Times New Roman"/>
          <w:sz w:val="24"/>
          <w:szCs w:val="24"/>
        </w:rPr>
        <w:t xml:space="preserve"> These trends interact with the progressive tightening of air-quality regulations for anthropogenic NOx and VOCs, producing regional-scale trade-offs between anthropogenic emission reduction and biogenic / wildfire-enhanced secondary formation.</w:t>
      </w:r>
    </w:p>
    <w:p>
      <w:r>
        <w:br w:type="page"/>
      </w:r>
    </w:p>
    <w:p>
      <w:pPr>
        <w:spacing w:after="120" w:before="280"/>
        <w:jc w:val="left"/>
      </w:pPr>
      <w:r>
        <w:rPr>
          <w:rFonts w:ascii="Times New Roman" w:cs="Times New Roman" w:eastAsia="Times New Roman" w:hAnsi="Times New Roman"/>
          <w:b/>
          <w:bCs/>
          <w:sz w:val="24"/>
          <w:szCs w:val="24"/>
        </w:rPr>
        <w:t xml:space="preserve">Ecotoxicology of Formaldehyde</w:t>
      </w:r>
    </w:p>
    <w:p>
      <w:pPr>
        <w:spacing w:after="120" w:before="60" w:line="300"/>
        <w:jc w:val="both"/>
      </w:pPr>
      <w:r>
        <w:rPr>
          <w:rFonts w:ascii="Times New Roman" w:cs="Times New Roman" w:eastAsia="Times New Roman" w:hAnsi="Times New Roman"/>
          <w:sz w:val="24"/>
          <w:szCs w:val="24"/>
        </w:rPr>
        <w:t xml:space="preserve">Formaldehyde's ecotoxicological profile reflects its short environmental persistence, moderate-to-high acute aquatic toxicity, rapid biodegradability under oxic conditions, and ubiquitous endogenous production across biological kingdoms. </w:t>
      </w:r>
      <w:r>
        <w:rPr>
          <w:rFonts w:ascii="Times New Roman" w:cs="Times New Roman" w:eastAsia="Times New Roman" w:hAnsi="Times New Roman"/>
          <w:b/>
          <w:bCs/>
          <w:sz w:val="24"/>
          <w:szCs w:val="24"/>
          <w:vertAlign w:val="superscript"/>
        </w:rPr>
        <w:t xml:space="preserve">[8][9][25][34]</w:t>
      </w:r>
      <w:r>
        <w:rPr>
          <w:rFonts w:ascii="Times New Roman" w:cs="Times New Roman" w:eastAsia="Times New Roman" w:hAnsi="Times New Roman"/>
          <w:sz w:val="24"/>
          <w:szCs w:val="24"/>
        </w:rPr>
        <w:t xml:space="preserve"> These features combine to produce an environmental risk profile in which acute spill and process-effluent events are the dominant concern, while chronic ambient exposures at environmentally realistic concentrations are unlikely to drive ecosystem-level adverse effects.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Regulatory ecotoxicological evaluations performed by ECHA under REACH, by Environment and Climate Change Canada under CEPA 1999, and by the U.S. EPA under TSCA risk evaluation have converged on a predicted no-effect concentration (PNEC) in water of approximately 0.05 mg/L for freshwater biota.</w:t>
      </w:r>
      <w:r>
        <w:rPr>
          <w:rFonts w:ascii="Times New Roman" w:cs="Times New Roman" w:eastAsia="Times New Roman" w:hAnsi="Times New Roman"/>
          <w:b/>
          <w:bCs/>
          <w:sz w:val="24"/>
          <w:szCs w:val="24"/>
          <w:vertAlign w:val="superscript"/>
        </w:rPr>
        <w:t xml:space="preserve">[25][26]</w:t>
      </w:r>
    </w:p>
    <w:p>
      <w:pPr>
        <w:spacing w:after="120" w:before="280"/>
        <w:jc w:val="left"/>
      </w:pPr>
      <w:r>
        <w:rPr>
          <w:rFonts w:ascii="Times New Roman" w:cs="Times New Roman" w:eastAsia="Times New Roman" w:hAnsi="Times New Roman"/>
          <w:b/>
          <w:bCs/>
          <w:sz w:val="24"/>
          <w:szCs w:val="24"/>
        </w:rPr>
        <w:t xml:space="preserve">Aquatic Toxicity</w:t>
      </w:r>
    </w:p>
    <w:p>
      <w:pPr>
        <w:spacing w:after="120" w:before="60" w:line="300"/>
        <w:jc w:val="both"/>
      </w:pPr>
      <w:r>
        <w:rPr>
          <w:rFonts w:ascii="Times New Roman" w:cs="Times New Roman" w:eastAsia="Times New Roman" w:hAnsi="Times New Roman"/>
          <w:sz w:val="24"/>
          <w:szCs w:val="24"/>
        </w:rPr>
        <w:t xml:space="preserve">Acute toxicity of formaldehyde to freshwater fish, invertebrates, and algae has been extensively characterised.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Acute 96-h LC₅₀ values for freshwater fish typically range from 20 to 150 mg/L for salmonids (rainbow trout Oncorhynchus mykiss LC₅₀ 37 mg/L) and cyprinids (fathead minnow Pimephales promelas LC₅₀ 97 mg/L), with substantial species variation reflecting metabolic capacity differences.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Daphnia magna 48-h EC₅₀ is approximately 12 mg/L for immobilisation. Algal growth inhibition tests on Pseudokirchneriella subcapitata (Selenastrum capricornutum) yield 72-h EC₅₀ values of 14–55 mg/L across light conditions and medium compositions.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Chronic toxicity data are sparser but indicate NOEC values for fish early-life stage tests in the 5–10 mg/L range and Daphnia reproduction NOEC around 2 mg/L.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Marine species exhibit similar orders of magnitude acute sensitivity, with the sea urchin Strongylocentrotus purpuratus embryo development EC₅₀ of approximately 3 mg/L being the lowest reported marine value.</w:t>
      </w:r>
    </w:p>
    <w:p>
      <w:pPr>
        <w:spacing w:after="120" w:before="280"/>
        <w:jc w:val="left"/>
      </w:pPr>
      <w:r>
        <w:rPr>
          <w:rFonts w:ascii="Times New Roman" w:cs="Times New Roman" w:eastAsia="Times New Roman" w:hAnsi="Times New Roman"/>
          <w:b/>
          <w:bCs/>
          <w:sz w:val="24"/>
          <w:szCs w:val="24"/>
        </w:rPr>
        <w:t xml:space="preserve">Terrestrial and Soil Ecotoxicology</w:t>
      </w:r>
    </w:p>
    <w:p>
      <w:pPr>
        <w:spacing w:after="120" w:before="60" w:line="300"/>
        <w:jc w:val="both"/>
      </w:pPr>
      <w:r>
        <w:rPr>
          <w:rFonts w:ascii="Times New Roman" w:cs="Times New Roman" w:eastAsia="Times New Roman" w:hAnsi="Times New Roman"/>
          <w:sz w:val="24"/>
          <w:szCs w:val="24"/>
        </w:rPr>
        <w:t xml:space="preserve">Terrestrial ecotoxicology of formaldehyde focuses primarily on soil-biota effects from wastewater irrigation, agricultural drift of formaldehyde-containing biocides, and waste-disposal contamination. </w:t>
      </w:r>
      <w:r>
        <w:rPr>
          <w:rFonts w:ascii="Times New Roman" w:cs="Times New Roman" w:eastAsia="Times New Roman" w:hAnsi="Times New Roman"/>
          <w:b/>
          <w:bCs/>
          <w:sz w:val="24"/>
          <w:szCs w:val="24"/>
          <w:vertAlign w:val="superscript"/>
        </w:rPr>
        <w:t xml:space="preserve">[8][25][34]</w:t>
      </w:r>
      <w:r>
        <w:rPr>
          <w:rFonts w:ascii="Times New Roman" w:cs="Times New Roman" w:eastAsia="Times New Roman" w:hAnsi="Times New Roman"/>
          <w:sz w:val="24"/>
          <w:szCs w:val="24"/>
        </w:rPr>
        <w:t xml:space="preserve"> Earthworm (Eisenia fetida) 14-d LC₅₀ in OECD artificial soil is approximately 400 mg/kg dry soil, reflecting formaldehyde's rapid volatilisation, hydrolysis, and microbial degradation in porous substrates.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Higher plant growth and germination inhibition endpoints (lettuce, radish, tomato) yield 21-d EC₅₀ values of 100–800 mg/kg soil depending on soil moisture and organic carbon content.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Microbial soil-community function assays (nitrification inhibition, respiratory activity, phosphatase activity) indicate short-term suppression at &gt;50 mg/kg but rapid recovery as formaldehyde is degraded. </w:t>
      </w:r>
      <w:r>
        <w:rPr>
          <w:rFonts w:ascii="Times New Roman" w:cs="Times New Roman" w:eastAsia="Times New Roman" w:hAnsi="Times New Roman"/>
          <w:b/>
          <w:bCs/>
          <w:sz w:val="24"/>
          <w:szCs w:val="24"/>
          <w:vertAlign w:val="superscript"/>
        </w:rPr>
        <w:t xml:space="preserve">[8][25][34]</w:t>
      </w:r>
      <w:r>
        <w:rPr>
          <w:rFonts w:ascii="Times New Roman" w:cs="Times New Roman" w:eastAsia="Times New Roman" w:hAnsi="Times New Roman"/>
          <w:sz w:val="24"/>
          <w:szCs w:val="24"/>
        </w:rPr>
        <w:t xml:space="preserve"> These endpoints collectively support a soil PNEC of approximately 2 mg/kg, well above typical environmental concentrations at &gt;100 m from industrial sources.</w:t>
      </w:r>
    </w:p>
    <w:p>
      <w:pPr>
        <w:spacing w:after="120" w:before="280"/>
        <w:jc w:val="left"/>
      </w:pPr>
      <w:r>
        <w:rPr>
          <w:rFonts w:ascii="Times New Roman" w:cs="Times New Roman" w:eastAsia="Times New Roman" w:hAnsi="Times New Roman"/>
          <w:b/>
          <w:bCs/>
          <w:sz w:val="24"/>
          <w:szCs w:val="24"/>
        </w:rPr>
        <w:t xml:space="preserve">Bioaccumulation and Biomagnification</w:t>
      </w:r>
    </w:p>
    <w:p>
      <w:pPr>
        <w:spacing w:after="120" w:before="60" w:line="300"/>
        <w:jc w:val="both"/>
      </w:pPr>
      <w:r>
        <w:rPr>
          <w:rFonts w:ascii="Times New Roman" w:cs="Times New Roman" w:eastAsia="Times New Roman" w:hAnsi="Times New Roman"/>
          <w:sz w:val="24"/>
          <w:szCs w:val="24"/>
        </w:rPr>
        <w:t xml:space="preserve">Formaldehyde exhibits minimal bioaccumulation potential.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The octanol-water partition coefficient (log KOW) is approximately 0.35, indicating preferential water phase distribution. </w:t>
      </w:r>
      <w:r>
        <w:rPr>
          <w:rFonts w:ascii="Times New Roman" w:cs="Times New Roman" w:eastAsia="Times New Roman" w:hAnsi="Times New Roman"/>
          <w:b/>
          <w:bCs/>
          <w:sz w:val="24"/>
          <w:szCs w:val="24"/>
          <w:vertAlign w:val="superscript"/>
        </w:rPr>
        <w:t xml:space="preserve">[3][32]</w:t>
      </w:r>
      <w:r>
        <w:rPr>
          <w:rFonts w:ascii="Times New Roman" w:cs="Times New Roman" w:eastAsia="Times New Roman" w:hAnsi="Times New Roman"/>
          <w:sz w:val="24"/>
          <w:szCs w:val="24"/>
        </w:rPr>
        <w:t xml:space="preserve"> The calculated bioconcentration factor (BCF) in fish is estimated at 1–10 L/kg, consistent with the rapid metabolic detoxification of formaldehyde by ADH and ALDH enzymes ubiquitously present across vertebrate and invertebrate taxa. </w:t>
      </w:r>
      <w:r>
        <w:rPr>
          <w:rFonts w:ascii="Times New Roman" w:cs="Times New Roman" w:eastAsia="Times New Roman" w:hAnsi="Times New Roman"/>
          <w:b/>
          <w:bCs/>
          <w:sz w:val="24"/>
          <w:szCs w:val="24"/>
          <w:vertAlign w:val="superscript"/>
        </w:rPr>
        <w:t xml:space="preserve">[8][25][64]</w:t>
      </w:r>
      <w:r>
        <w:rPr>
          <w:rFonts w:ascii="Times New Roman" w:cs="Times New Roman" w:eastAsia="Times New Roman" w:hAnsi="Times New Roman"/>
          <w:sz w:val="24"/>
          <w:szCs w:val="24"/>
        </w:rPr>
        <w:t xml:space="preserve"> Biomagnification through aquatic and terrestrial food chains is negligible because of efficient biotransformation at each trophic level.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Consequently, formaldehyde does not meet the persistence, bioaccumulation, and toxicity (PBT) criteria under REACH Annex XIII or the corresponding U.S. EPA PBT Chemical Work Plan, and is regulated primarily based on human health carcinogenicity rather than ecological hazard.</w:t>
      </w:r>
    </w:p>
    <w:p>
      <w:pPr>
        <w:spacing w:after="120" w:before="280"/>
        <w:jc w:val="left"/>
      </w:pPr>
      <w:r>
        <w:rPr>
          <w:rFonts w:ascii="Times New Roman" w:cs="Times New Roman" w:eastAsia="Times New Roman" w:hAnsi="Times New Roman"/>
          <w:b/>
          <w:bCs/>
          <w:sz w:val="24"/>
          <w:szCs w:val="24"/>
        </w:rPr>
        <w:t xml:space="preserve">Environmental Fate and Transformation</w:t>
      </w:r>
    </w:p>
    <w:p>
      <w:pPr>
        <w:spacing w:after="120" w:before="60" w:line="300"/>
        <w:jc w:val="both"/>
      </w:pPr>
      <w:r>
        <w:rPr>
          <w:rFonts w:ascii="Times New Roman" w:cs="Times New Roman" w:eastAsia="Times New Roman" w:hAnsi="Times New Roman"/>
          <w:sz w:val="24"/>
          <w:szCs w:val="24"/>
        </w:rPr>
        <w:t xml:space="preserve">In surface water, formaldehyde undergoes rapid abiotic and biotic degradation.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Photolytic degradation in the 290–330 nm actinic band produces formate, CO, and trace methanol, with a calculated first-order half-life of approximately 6 hours in surface water under mid-latitude summer sunlight conditions.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Hydrolysis is rapid at all environmental pH values: in aqueous solution at pH 7, formaldehyde establishes an equilibrium with methanediol (hydrate form) with a strong thermodynamic preference for the hydrate (&gt;99.9 % at 25 °C); this equilibrium is reversible under both oxic and anoxic conditions. </w:t>
      </w:r>
      <w:r>
        <w:rPr>
          <w:rFonts w:ascii="Times New Roman" w:cs="Times New Roman" w:eastAsia="Times New Roman" w:hAnsi="Times New Roman"/>
          <w:b/>
          <w:bCs/>
          <w:sz w:val="24"/>
          <w:szCs w:val="24"/>
          <w:vertAlign w:val="superscript"/>
        </w:rPr>
        <w:t xml:space="preserve">[3][34]</w:t>
      </w:r>
      <w:r>
        <w:rPr>
          <w:rFonts w:ascii="Times New Roman" w:cs="Times New Roman" w:eastAsia="Times New Roman" w:hAnsi="Times New Roman"/>
          <w:sz w:val="24"/>
          <w:szCs w:val="24"/>
        </w:rPr>
        <w:t xml:space="preserve"> Microbial biodegradation proceeds through the ADH5/FDH pathway in virtually all soil and aquatic bacteria, yeast, and higher microorganisms, with typical half-lives of 1–4 days in aerobic aquatic and soil systems.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Anaerobic biodegradation is slower (typical half-lives 10–20 days) and proceeds through formate to CO₂ + H₂ or acetate. Atmospheric photo-oxidation with OH radicals is rapid (τ ~1 hour), with a complete atmospheric lifetime &lt;4 hours under typical tropospheric conditions.</w:t>
      </w:r>
    </w:p>
    <w:p>
      <w:pPr>
        <w:spacing w:after="120" w:before="280"/>
        <w:jc w:val="left"/>
      </w:pPr>
      <w:r>
        <w:rPr>
          <w:rFonts w:ascii="Times New Roman" w:cs="Times New Roman" w:eastAsia="Times New Roman" w:hAnsi="Times New Roman"/>
          <w:b/>
          <w:bCs/>
          <w:sz w:val="24"/>
          <w:szCs w:val="24"/>
        </w:rPr>
        <w:t xml:space="preserve">Atmospheric Chemistry and Secondary Formation</w:t>
      </w:r>
    </w:p>
    <w:p>
      <w:pPr>
        <w:spacing w:after="120" w:before="60" w:line="300"/>
        <w:jc w:val="both"/>
      </w:pPr>
      <w:r>
        <w:rPr>
          <w:rFonts w:ascii="Times New Roman" w:cs="Times New Roman" w:eastAsia="Times New Roman" w:hAnsi="Times New Roman"/>
          <w:sz w:val="24"/>
          <w:szCs w:val="24"/>
        </w:rPr>
        <w:t xml:space="preserve">Formaldehyde plays a pivotal role in tropospheric chemistry as a product of photo-oxidation of nearly all non-methane volatile organic compounds (NMVOCs).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atmospheric hydroxyl-radical (OH) mediated oxidation of methane, isoprene, methylbutenol, ethanol, acetaldehyde, and numerous other NMVOCs produces formaldehyde as a first-generation or secondary product with yields ranging from 0.1 to 1.2 depending on the precursor and NO_x regime.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In polluted urban airsheds, direct emission (motor vehicles, industrial sources, combustion) accounts for 20–50 % of total atmospheric formaldehyde, with secondary photochemical formation accounting for the remainder.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In clean continental and marine atmospheres, secondary formation dominates almost entirely.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Global satellite observations (OMI, GOME-2, TROPOMI) demonstrate clear spatial patterns of formaldehyde column density that align with vegetation isoprene emission (Amazonian basin, southeastern U.S. forested landscapes) and with anthropogenic NOx-NMVOC hotspots (Chinese megacities, Indian Gangetic plain, European industrial corridor).</w:t>
      </w:r>
    </w:p>
    <w:p>
      <w:pPr>
        <w:spacing w:after="120" w:before="280"/>
        <w:jc w:val="left"/>
      </w:pPr>
      <w:r>
        <w:rPr>
          <w:rFonts w:ascii="Times New Roman" w:cs="Times New Roman" w:eastAsia="Times New Roman" w:hAnsi="Times New Roman"/>
          <w:b/>
          <w:bCs/>
          <w:sz w:val="24"/>
          <w:szCs w:val="24"/>
        </w:rPr>
        <w:t xml:space="preserve">Microbial Metabolism and Remediation</w:t>
      </w:r>
    </w:p>
    <w:p>
      <w:pPr>
        <w:spacing w:after="120" w:before="60" w:line="300"/>
        <w:jc w:val="both"/>
      </w:pPr>
      <w:r>
        <w:rPr>
          <w:rFonts w:ascii="Times New Roman" w:cs="Times New Roman" w:eastAsia="Times New Roman" w:hAnsi="Times New Roman"/>
          <w:sz w:val="24"/>
          <w:szCs w:val="24"/>
        </w:rPr>
        <w:t xml:space="preserve">Microbial degradation of formaldehyde is catalysed by a diversity of enzyme systems across bacterial, fungal, and archaeal taxa. </w:t>
      </w:r>
      <w:r>
        <w:rPr>
          <w:rFonts w:ascii="Times New Roman" w:cs="Times New Roman" w:eastAsia="Times New Roman" w:hAnsi="Times New Roman"/>
          <w:b/>
          <w:bCs/>
          <w:sz w:val="24"/>
          <w:szCs w:val="24"/>
          <w:vertAlign w:val="superscript"/>
        </w:rPr>
        <w:t xml:space="preserve">[8][34][64]</w:t>
      </w:r>
      <w:r>
        <w:rPr>
          <w:rFonts w:ascii="Times New Roman" w:cs="Times New Roman" w:eastAsia="Times New Roman" w:hAnsi="Times New Roman"/>
          <w:sz w:val="24"/>
          <w:szCs w:val="24"/>
        </w:rPr>
        <w:t xml:space="preserve"> In obligate methylotrophs and methanotrophs (Methylobacterium, Methylococcus, Methylocystis), formaldehyde is a central metabolite between methane/methanol and the assimilatory and dissimilatory pathways; multiple parallel oxidation routes (tetrahydromethanopterin, tetrahydrofolate, glutathione-dependent ADH5, and cofactor-independent formaldehyde dismutase) produce formate and ultimately CO₂. </w:t>
      </w:r>
      <w:r>
        <w:rPr>
          <w:rFonts w:ascii="Times New Roman" w:cs="Times New Roman" w:eastAsia="Times New Roman" w:hAnsi="Times New Roman"/>
          <w:b/>
          <w:bCs/>
          <w:sz w:val="24"/>
          <w:szCs w:val="24"/>
          <w:vertAlign w:val="superscript"/>
        </w:rPr>
        <w:t xml:space="preserve">[8][34][64]</w:t>
      </w:r>
      <w:r>
        <w:rPr>
          <w:rFonts w:ascii="Times New Roman" w:cs="Times New Roman" w:eastAsia="Times New Roman" w:hAnsi="Times New Roman"/>
          <w:sz w:val="24"/>
          <w:szCs w:val="24"/>
        </w:rPr>
        <w:t xml:space="preserve"> Facultative methylotrophs (Paracoccus denitrificans, Hyphomicrobium, Methylobacterium extorquens) operate the glutathione-dependent ADH5/FDH pathway familiar from mammalian metabolism. </w:t>
      </w:r>
      <w:r>
        <w:rPr>
          <w:rFonts w:ascii="Times New Roman" w:cs="Times New Roman" w:eastAsia="Times New Roman" w:hAnsi="Times New Roman"/>
          <w:b/>
          <w:bCs/>
          <w:sz w:val="24"/>
          <w:szCs w:val="24"/>
          <w:vertAlign w:val="superscript"/>
        </w:rPr>
        <w:t xml:space="preserve">[64]</w:t>
      </w:r>
      <w:r>
        <w:rPr>
          <w:rFonts w:ascii="Times New Roman" w:cs="Times New Roman" w:eastAsia="Times New Roman" w:hAnsi="Times New Roman"/>
          <w:sz w:val="24"/>
          <w:szCs w:val="24"/>
        </w:rPr>
        <w:t xml:space="preserve"> Industrial bioremediation of formaldehyde-contaminated wastewaters typically uses activated-sludge systems or specialised methylotrophic bioreactors; removal efficiencies &gt;99 % are routinely achieved for influent concentrations up to 500 mg/L in well-managed biological treatment systems. </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sz w:val="24"/>
          <w:szCs w:val="24"/>
        </w:rPr>
        <w:t xml:space="preserve"> Bioaugmentation with Pseudomonas putida, Rhodococcus erythropolis, or engineered microbial consortia is used in high-strength industrial effluents.</w:t>
      </w:r>
    </w:p>
    <w:p>
      <w:pPr>
        <w:spacing w:after="120" w:before="280"/>
        <w:jc w:val="left"/>
      </w:pPr>
      <w:r>
        <w:rPr>
          <w:rFonts w:ascii="Times New Roman" w:cs="Times New Roman" w:eastAsia="Times New Roman" w:hAnsi="Times New Roman"/>
          <w:b/>
          <w:bCs/>
          <w:sz w:val="24"/>
          <w:szCs w:val="24"/>
        </w:rPr>
        <w:t xml:space="preserve">Ecosystem-Level Considerations</w:t>
      </w:r>
    </w:p>
    <w:p>
      <w:pPr>
        <w:spacing w:after="120" w:before="60" w:line="300"/>
        <w:jc w:val="both"/>
      </w:pPr>
      <w:r>
        <w:rPr>
          <w:rFonts w:ascii="Times New Roman" w:cs="Times New Roman" w:eastAsia="Times New Roman" w:hAnsi="Times New Roman"/>
          <w:sz w:val="24"/>
          <w:szCs w:val="24"/>
        </w:rPr>
        <w:t xml:space="preserve">At ecosystem levels, formaldehyde exposures above acute thresholds are localised to discrete release events: wastewater spills, industrial-scale leakage, emergency fire-fighting runoff, and accidental disposals. </w:t>
      </w:r>
      <w:r>
        <w:rPr>
          <w:rFonts w:ascii="Times New Roman" w:cs="Times New Roman" w:eastAsia="Times New Roman" w:hAnsi="Times New Roman"/>
          <w:b/>
          <w:bCs/>
          <w:sz w:val="24"/>
          <w:szCs w:val="24"/>
          <w:vertAlign w:val="superscript"/>
        </w:rPr>
        <w:t xml:space="preserve">[8][25][77]</w:t>
      </w:r>
      <w:r>
        <w:rPr>
          <w:rFonts w:ascii="Times New Roman" w:cs="Times New Roman" w:eastAsia="Times New Roman" w:hAnsi="Times New Roman"/>
          <w:sz w:val="24"/>
          <w:szCs w:val="24"/>
        </w:rPr>
        <w:t xml:space="preserve"> The rapid biodegradation and hydrolysis of formaldehyde limit the geographical extent of exposure after each release, with observable effects typically confined to within 1 km of the source.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Chronic ambient concentrations in surface waters near industrial facilities are typically below 10 µg/L, well below the freshwater PNEC of 50 µg/L.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Atmospheric ecotoxicology is limited primarily by the health effects on regional-scale populations rather than by direct impacts on flora and fauna; formaldehyde is not a principal driver of vegetation damage or ecosystem acidification under ambient conditions.</w:t>
      </w:r>
    </w:p>
    <w:p>
      <w:pPr>
        <w:spacing w:after="120" w:before="280"/>
        <w:jc w:val="left"/>
      </w:pPr>
      <w:r>
        <w:rPr>
          <w:rFonts w:ascii="Times New Roman" w:cs="Times New Roman" w:eastAsia="Times New Roman" w:hAnsi="Times New Roman"/>
          <w:b/>
          <w:bCs/>
          <w:sz w:val="24"/>
          <w:szCs w:val="24"/>
        </w:rPr>
        <w:t xml:space="preserve">Ecological Risk Assessment Frameworks</w:t>
      </w:r>
    </w:p>
    <w:p>
      <w:pPr>
        <w:spacing w:after="120" w:before="60" w:line="300"/>
        <w:jc w:val="both"/>
      </w:pPr>
      <w:r>
        <w:rPr>
          <w:rFonts w:ascii="Times New Roman" w:cs="Times New Roman" w:eastAsia="Times New Roman" w:hAnsi="Times New Roman"/>
          <w:sz w:val="24"/>
          <w:szCs w:val="24"/>
        </w:rPr>
        <w:t xml:space="preserve">Integrated ecological risk assessments for formaldehyde follow the OECD and U.S. EPA tier-1 and tier-2 frameworks. </w:t>
      </w:r>
      <w:r>
        <w:rPr>
          <w:rFonts w:ascii="Times New Roman" w:cs="Times New Roman" w:eastAsia="Times New Roman" w:hAnsi="Times New Roman"/>
          <w:b/>
          <w:bCs/>
          <w:sz w:val="24"/>
          <w:szCs w:val="24"/>
          <w:vertAlign w:val="superscript"/>
        </w:rPr>
        <w:t xml:space="preserve">[25][26][34]</w:t>
      </w:r>
      <w:r>
        <w:rPr>
          <w:rFonts w:ascii="Times New Roman" w:cs="Times New Roman" w:eastAsia="Times New Roman" w:hAnsi="Times New Roman"/>
          <w:sz w:val="24"/>
          <w:szCs w:val="24"/>
        </w:rPr>
        <w:t xml:space="preserve"> Tier-1 screening assessments using conservative default assumptions (e.g., predicted environmental concentration PEC based on emission scenarios divided by PNEC) classify formaldehyde as low-risk for ecological exposures in most industrial jurisdictions. </w:t>
      </w:r>
      <w:r>
        <w:rPr>
          <w:rFonts w:ascii="Times New Roman" w:cs="Times New Roman" w:eastAsia="Times New Roman" w:hAnsi="Times New Roman"/>
          <w:b/>
          <w:bCs/>
          <w:sz w:val="24"/>
          <w:szCs w:val="24"/>
          <w:vertAlign w:val="superscript"/>
        </w:rPr>
        <w:t xml:space="preserve">[25][34]</w:t>
      </w:r>
      <w:r>
        <w:rPr>
          <w:rFonts w:ascii="Times New Roman" w:cs="Times New Roman" w:eastAsia="Times New Roman" w:hAnsi="Times New Roman"/>
          <w:sz w:val="24"/>
          <w:szCs w:val="24"/>
        </w:rPr>
        <w:t xml:space="preserve"> Tier-2 refined assessments incorporate site-specific exposure monitoring, refined species-sensitivity distributions, and probabilistic modelling of aquatic, sedimentary, and atmospheric dispersion.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The ECHA REACH dossier for formaldehyde and the Environment and Climate Change Canada CEPA 1999 screening assessment both classify the substance as ecologically low-risk at current usage and emission levels, with the principal environmental regulatory attention appropriately focused on human health.</w:t>
      </w:r>
    </w:p>
    <w:p>
      <w:pPr>
        <w:spacing w:after="120" w:before="280"/>
        <w:jc w:val="left"/>
      </w:pPr>
      <w:r>
        <w:rPr>
          <w:rFonts w:ascii="Times New Roman" w:cs="Times New Roman" w:eastAsia="Times New Roman" w:hAnsi="Times New Roman"/>
          <w:b/>
          <w:bCs/>
          <w:sz w:val="24"/>
          <w:szCs w:val="24"/>
        </w:rPr>
        <w:t xml:space="preserve">Sources of Formaldehyde Exposure</w:t>
      </w:r>
    </w:p>
    <w:p>
      <w:pPr>
        <w:spacing w:after="120" w:before="60" w:line="300"/>
        <w:jc w:val="both"/>
      </w:pPr>
      <w:r>
        <w:rPr>
          <w:rFonts w:ascii="Times New Roman" w:cs="Times New Roman" w:eastAsia="Times New Roman" w:hAnsi="Times New Roman"/>
          <w:sz w:val="24"/>
          <w:szCs w:val="24"/>
        </w:rPr>
        <w:t xml:space="preserve">Human exposure to formaldehyde arises from a uniquely diverse set of sources. Anthropogenic sources are dominant in most populated settings; endogenous formation (from methanol metabolism, histone demethylation, methyltransferase turnover, and one-carbon cycling) and natural sources (wildfires, biogenic isoprene oxidation) contribute measurable baselines. The following sections itemise the principal exposure pathways — consumer products, occupational, environmental, water and soil, cigarette smoke, food, traffic, and natural sources — each of which is then quantified against regulatory benchmarks (NIOSH REL 0.016 ppm, OSHA PEL 0.75 ppm, ACGIH TLV 0.1 ppm, EPA RfC 0.007 mg/m³, WHO IAQ 100 µg/m³)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w:t>
      </w:r>
    </w:p>
    <w:p>
      <w:pPr>
        <w:spacing w:after="80" w:before="120"/>
        <w:jc w:val="center"/>
      </w:pPr>
      <w:r>
        <w:drawing>
          <wp:inline distT="0" distB="0" distL="0" distR="0">
            <wp:extent cx="4095750" cy="2857500"/>
            <wp:effectExtent t="0" r="0" b="0" l="0"/>
            <wp:docPr id="1" name="fig10_source_pie.png" descr="fig10_source_pie.png" title="fig10_source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E1. Relative contributions to typical residential indoor formaldehyde load. Composite wood products, combustion, and tobacco smoke dominate; proportions vary substantially with home age, occupancy and ventilation.</w:t>
      </w:r>
    </w:p>
    <w:p>
      <w:pPr>
        <w:spacing w:after="80" w:before="120"/>
        <w:jc w:val="center"/>
      </w:pPr>
      <w:r>
        <w:drawing>
          <wp:inline distT="0" distB="0" distL="0" distR="0">
            <wp:extent cx="4762500" cy="2476500"/>
            <wp:effectExtent t="0" r="0" b="0" l="0"/>
            <wp:docPr id="1" name="fig21_endog_exog.png" descr="fig21_endog_exog.png" title="fig21_endog_ex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E2. Orders-of-magnitude comparison of endogenous formaldehyde flux (from one-carbon metabolism, histone demethylation and methanol oxidation) against inhaled exogenous intake across typical exposure scenarios.</w:t>
      </w:r>
    </w:p>
    <w:p>
      <w:pPr>
        <w:spacing w:after="120" w:before="280"/>
        <w:jc w:val="left"/>
      </w:pPr>
      <w:r>
        <w:rPr>
          <w:rFonts w:ascii="Times New Roman" w:cs="Times New Roman" w:eastAsia="Times New Roman" w:hAnsi="Times New Roman"/>
          <w:b/>
          <w:bCs/>
          <w:sz w:val="24"/>
          <w:szCs w:val="24"/>
        </w:rPr>
        <w:t xml:space="preserve">Consumer Products</w:t>
      </w:r>
    </w:p>
    <w:p>
      <w:pPr>
        <w:spacing w:after="120" w:before="60" w:line="300"/>
        <w:jc w:val="both"/>
      </w:pPr>
      <w:r>
        <w:rPr>
          <w:rFonts w:ascii="Times New Roman" w:cs="Times New Roman" w:eastAsia="Times New Roman" w:hAnsi="Times New Roman"/>
          <w:sz w:val="24"/>
          <w:szCs w:val="24"/>
        </w:rPr>
        <w:t xml:space="preserve">Consumer products are a leading source of indoor-air formaldehyde exposure for the non-smoking, non-occupationally-exposed general population. The principal categories (CEN/TC 264 report 2019) are: (i) engineered wood products (particleboard, medium-density fibreboard MDF, plywood, oriented strand board OSB) finished with urea-formaldehyde, melamine-urea-formaldehyde, or phenol-formaldehyde resins, which off-gas formaldehyde from residual monomer and from methylol-group hydrolysis with characteristic half-lives of 6–24 months; (ii) insulation foams including legacy urea-formaldehyde foam insulation (UFFI, banned in Canada 1980 and in the United States CPSC recalled 1982 but still present in older homes) and contemporary phenol-formaldehyde-based mineral-wool board; (iii) paints, coatings, and wallpaper adhesives using formaldehyde-releasing biocides such as 2-bromo-2-nitropropane-1,3-diol (bronopol), DMDM hydantoin, diazolidinyl urea, imidazolidinyl urea, and quaternium-15; (iv) textiles treated with dimethyloldihydroxyethyleneurea (DMDHEU) for durable-press finish; (v) paper products including tissues, copy paper, and cardboard laminates treated with formaldehyde-based strengtheners; (vi) leather tanned with formaldehyde-based pre-curing; (vii) cosmetics and personal-care products including nail polish, nail hardener, hair-smoothing treatments ('Brazilian blowout'), and liquid-soap preservatives; (viii) household cleaners containing aldehyde biocides; and (ix) do-it-yourself epoxy and adhesive products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Measured emission rates for typical products are: new medium-density fibreboard (CARB Phase II compliant, 2024 specification) emits 0.05 ppm steady-state in a 1 m³ chamber at 23 °C, 50 % RH, and 1.0 air-change per hour; unfinished particleboard emits 0.12 ppm under the same conditions; new UF-based carpet adhesive emits 0.08 ppm; a durable-press cotton shirt emits 0.02 ppm. Following the 2016 implementation of the U.S. Formaldehyde Standards for Composite Wood Products Act (TSCA Title VI), which harmonises federal emission limits with the California Air Resources Board CARB 93120 Phase II standard (0.11 ppm for hardwood plywood composite core, 0.09 ppm for particleboard, 0.11 ppm for MDF, 0.13 ppm for thin MDF), formaldehyde emissions from new US-sold composite wood products have declined an estimated 60 % compared to the pre-2008 baseline, with corresponding reductions in indoor-air exposure in newly constructed homes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Occupational Exposure</w:t>
      </w:r>
    </w:p>
    <w:p>
      <w:pPr>
        <w:spacing w:after="120" w:before="60" w:line="300"/>
        <w:jc w:val="both"/>
      </w:pPr>
      <w:r>
        <w:rPr>
          <w:rFonts w:ascii="Times New Roman" w:cs="Times New Roman" w:eastAsia="Times New Roman" w:hAnsi="Times New Roman"/>
          <w:sz w:val="24"/>
          <w:szCs w:val="24"/>
        </w:rPr>
        <w:t xml:space="preserve">Occupational exposure to formaldehyde is the dominant source of high-magnitude exposure. The principal exposed populations, with characteristic 8-hour TWA exposure ranges, are: (a) pathologists, histotechnologists, and anatomists: 0.05–0.3 ppm TWA with peaks of 1–3 ppm during grossing and fixation; (b) embalmers and funeral-service workers: 0.1–1.0 ppm TWA with peaks of 2–5 ppm during arterial embalming and cavity treatment; (c) wood-panel and furniture workers: 0.05–0.5 ppm TWA; (d) resin and adhesive manufacturing workers: 0.1–1.0 ppm TWA; (e) textile-finishing workers: 0.1–0.5 ppm TWA; (f) foundry and iron-smelting workers: 0.2–1.5 ppm TWA; (g) paper-mill workers: 0.1–0.3 ppm TWA; and (h) health-care workers using formaldehyde-based disinfectants such as Cidex® and formalin-gluteraldehyde mixtures for endoscope reprocessing: 0.05–0.2 ppm TWA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b/>
          <w:bCs/>
          <w:sz w:val="24"/>
          <w:szCs w:val="24"/>
          <w:vertAlign w:val="superscript"/>
        </w:rPr>
        <w:t xml:space="preserve">[61]</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NCI industrial cohort of Beane Freeman 2009 contains 25 619 workers at 10 US formaldehyde-producing or formaldehyde-using plants with a median duration of employment of 1.5 years (IQR 0.4–6.8) and an 8-hour TWA exposure distribution ranging from 0 to 5+ ppm, with the upper-exposure quartile defined as &gt;4 ppm-years cumulative exposure. The embalmers case-control study of Hauptmann 2009 enrolled 603 deceased US funeral industry workers (cases of lymphohematopoietic malignancy plus brain cancer) and 603 matched controls; within-industry exposure varied from 0.1 to 2 ppm TWA with peaks up to 11 ppm during grossing, yielding average cumulative exposure of 113 ppm-hours per year (derived in the paper's expert-panel exposure assessment). Modern embalming facilities with engineering controls (local exhaust ventilation at arterial site, downdraft tables, and formaldehyde-reducing chemistries) reduce exposures by 50–90 % relative to historical levels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Environmental Exposure</w:t>
      </w:r>
    </w:p>
    <w:p>
      <w:pPr>
        <w:spacing w:after="120" w:before="60" w:line="300"/>
        <w:jc w:val="both"/>
      </w:pPr>
      <w:r>
        <w:rPr>
          <w:rFonts w:ascii="Times New Roman" w:cs="Times New Roman" w:eastAsia="Times New Roman" w:hAnsi="Times New Roman"/>
          <w:sz w:val="24"/>
          <w:szCs w:val="24"/>
        </w:rPr>
        <w:t xml:space="preserve">Ambient-air formaldehyde in outdoor urban areas of the United States typically ranges from 1 to 15 µg/m³ (0.8–12 ppb), with the highest values in the photochemical summer months of the south-western and south-eastern regions; the US EPA NATA modelling estimates that approximately 43 million US residents live in census tracts where ambient formaldehyde constitutes the single largest cancer-risk air toxic. Hospital anatomy-laboratory and embalming-industry areas around occupational facilities can have elevated local ambient concentrations up to 50–100 µg/m³. Global satellite data from OMI, TROPOMI, and GEMS show elevated HCHO column densities over the Amazon basin, the south-eastern United States, sub-Saharan Africa, the Indonesian archipelago, and the east Asian megalopolises, consistent with the dominant biogenic isoprene and anthropogenic VOC sources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Water and Soil Contamination</w:t>
      </w:r>
    </w:p>
    <w:p>
      <w:pPr>
        <w:spacing w:after="120" w:before="60" w:line="300"/>
        <w:jc w:val="both"/>
      </w:pPr>
      <w:r>
        <w:rPr>
          <w:rFonts w:ascii="Times New Roman" w:cs="Times New Roman" w:eastAsia="Times New Roman" w:hAnsi="Times New Roman"/>
          <w:sz w:val="24"/>
          <w:szCs w:val="24"/>
        </w:rPr>
        <w:t xml:space="preserve">Formaldehyde is detectable at low µg L⁻¹ levels in most chlorinated surface-water drinking-water systems owing to its formation as a minor disinfection by-product from the chlorine oxidation of dissolved organic carbon; median concentrations in US finished drinking water from large-system monitoring (USEPA UCMR3) are 2.5 µg L⁻¹, 95th percentile 15 µg L⁻¹. Well-water contamination at historical formalin-spill sites can exceed 10 mg L⁻¹ locally but is rapidly attenuated by microbial degradation. The WHO drinking-water guideline value for formaldehyde is 900 µg L⁻¹ (2004 Guidelines for Drinking-Water Quality), based on a tolerable daily intake of 150 µg kg⁻¹ day⁻¹ for the non-cancer endpoint of reduced weight gain in rats. Soil and groundwater contamination has been documented at a limited number of industrial sites but is not considered a significant general-population exposure source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Mitigation of Exposure</w:t>
      </w:r>
    </w:p>
    <w:p>
      <w:pPr>
        <w:spacing w:after="120" w:before="60" w:line="300"/>
        <w:jc w:val="both"/>
      </w:pPr>
      <w:r>
        <w:rPr>
          <w:rFonts w:ascii="Times New Roman" w:cs="Times New Roman" w:eastAsia="Times New Roman" w:hAnsi="Times New Roman"/>
          <w:sz w:val="24"/>
          <w:szCs w:val="24"/>
        </w:rPr>
        <w:t xml:space="preserve">Engineering and administrative controls that reduce formaldehyde exposure include: (i) substitution with non-formaldehyde fixatives such as ethanol-based Carson-Millonig solutions or glyoxal-based Prefer fixative in histology laboratories; (ii) local exhaust ventilation at source (downdraft histology stations, slot-hood grossing benches, arterial-injection local exhaust in embalming rooms); (iii) general dilution ventilation to achieve ≥12 air changes per hour in preparation rooms; (iv) personal protective equipment including full-face respirators with P100/OV cartridges during high-exposure tasks; (v) administrative controls restricting preparation-room entry to trained personnel and imposing 15-minute maximum task durations above the NIOSH Ceiling; (vi) rigorous product-substitution programmes for consumer products, driven by the California Proposition 65 warning-label framework and the EU REACH Annex XVII restriction on formaldehyde-releasing preservatives in cosmetics; and (vii) for residential exposure, use of CARB-compliant low-emission composite wood products and HEPA-plus-activated-carbon air purifiers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Historical Trends in Production and Exposure</w:t>
      </w:r>
    </w:p>
    <w:p>
      <w:pPr>
        <w:spacing w:after="120" w:before="60" w:line="300"/>
        <w:jc w:val="both"/>
      </w:pPr>
      <w:r>
        <w:rPr>
          <w:rFonts w:ascii="Times New Roman" w:cs="Times New Roman" w:eastAsia="Times New Roman" w:hAnsi="Times New Roman"/>
          <w:sz w:val="24"/>
          <w:szCs w:val="24"/>
        </w:rPr>
        <w:t xml:space="preserve">U.S. formaldehyde production rose from 1 million tonnes in 1965 to 3 million tonnes in 1995 to 5.5 million tonnes in 2023, reflecting the post-World-War-II housing boom and the subsequent growth of the engineered-wood-panel industry. Corresponding occupational exposure profiles have undergone a secular decline driven by: (i) the 1987 OSHA General Industry Formaldehyde Standard (29 CFR 1910.1048) which reduced the PEL from 3 ppm (1971) to 0.75 ppm (1987 revision) and added medical surveillance and training requirements; (ii) the 2008 CARB Phase I and 2009 CARB Phase II composite-wood-product emission limits; (iii) the 2016 US federal TSCA Title VI Formaldehyde Standards for Composite Wood Products Act (final rule 40 CFR 770); and (iv) the EU REACH Annex XVII restriction on formaldehyde-releasing consumer products (2018). As of 2024, workplace 8-hour TWA median exposures in US histology, embalming, and wood-panel-manufacturing sectors are 0.05–0.2 ppm, 0.2–0.6 ppm, and 0.1–0.3 ppm respectively, compared to historical 1970s/80s medians of 0.5–2 ppm across all three sectors </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Cigarette Smoke as a Source of Formaldehyde</w:t>
      </w:r>
    </w:p>
    <w:p>
      <w:pPr>
        <w:spacing w:after="120" w:before="60" w:line="300"/>
        <w:jc w:val="both"/>
      </w:pPr>
      <w:r>
        <w:rPr>
          <w:rFonts w:ascii="Times New Roman" w:cs="Times New Roman" w:eastAsia="Times New Roman" w:hAnsi="Times New Roman"/>
          <w:sz w:val="24"/>
          <w:szCs w:val="24"/>
        </w:rPr>
        <w:t xml:space="preserve">Cigarette smoke is one of the most significant personal sources of formaldehyde exposure. Mainstream tobacco smoke contains 70–170 µg of formaldehyde per cigarette, and sidestream smoke contains an additional 1–5× this amount. An adult who smokes a pack of 20 cigarettes per day inhales approximately 1.4–3.4 mg of formaldehyde from smoking alone — 10–30× greater than the inhalation dose from all other ambient-air sources combined. E-cigarettes and heated-tobacco devices also produce formaldehyde at levels 1–30 µg per puff depending on the device power setting, liquid glycerol/propylene-glycol ratio, and puff topography; the upper end of the e-cigarette range approaches conventional cigarette emissions and has been a point of regulatory concern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 In exposed households, environmental tobacco smoke increases bulk indoor-air formaldehyde by 15–100 µg/m³ over non-smoking-household baseline of 10–30 µg/m³, contributing disproportionate exposure to children, infants, and non-smoking adults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Food, Consumer Products, and Indirect Exposures</w:t>
      </w:r>
    </w:p>
    <w:p>
      <w:pPr>
        <w:spacing w:after="120" w:before="60" w:line="300"/>
        <w:jc w:val="both"/>
      </w:pPr>
      <w:r>
        <w:rPr>
          <w:rFonts w:ascii="Times New Roman" w:cs="Times New Roman" w:eastAsia="Times New Roman" w:hAnsi="Times New Roman"/>
          <w:sz w:val="24"/>
          <w:szCs w:val="24"/>
        </w:rPr>
        <w:t xml:space="preserve">Formaldehyde occurs at low naturally-occurring levels in a wide range of foods: 3–60 mg kg⁻¹ in marine fish (particularly the Gadus, Merluccius, and Mora genera, where trimethylamine oxide reductase converts TMAO to dimethylamine and formaldehyde during post-mortem storage), 1–35 mg kg⁻¹ in onion and garlic (biosynthetic from methanol), 0.5–17 mg kg⁻¹ in fruits, &lt;1 mg kg⁻¹ in mammalian meat, and 0.01–0.7 mg L⁻¹ in dairy. A typical Western adult dietary intake is 1.5–14 mg day⁻¹ from all food sources combined, with the majority absorbed and metabolised to formate in the portal vein without systemic effect. Formaldehyde also arises as a food-processing contaminant during the thermal treatment of milk, smoked fish, and cured meats; the Mohamed 2025 review in Food Chemistry: X catalogues the formaldehyde-release products of Maillard reactions, lipid oxidation, and protein dehydration that are unavoidable consequences of high-temperature food processing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Traffic and Urban Air Sources</w:t>
      </w:r>
    </w:p>
    <w:p>
      <w:pPr>
        <w:spacing w:after="120" w:before="60" w:line="300"/>
        <w:jc w:val="both"/>
      </w:pPr>
      <w:r>
        <w:rPr>
          <w:rFonts w:ascii="Times New Roman" w:cs="Times New Roman" w:eastAsia="Times New Roman" w:hAnsi="Times New Roman"/>
          <w:sz w:val="24"/>
          <w:szCs w:val="24"/>
        </w:rPr>
        <w:t xml:space="preserve">In the urban environment, vehicle exhaust is a major primary emission source (catalysed three-way-converter vehicles emit 3–15 mg km⁻¹ of formaldehyde; older non-catalyst vehicles emit 20–150 mg km⁻¹; diesel vehicles emit 60–250 mg km⁻¹). Secondary photochemical production from oxidation of hydrocarbon fuel vapour and exhaust precursors dominates summer afternoon peaks. Near-roadway measurements in Los Angeles, Houston, and Atlanta consistently show peak ambient concentrations of 15–40 µg/m³ during afternoon photochemical episodes, with background values of 3–8 µg/m³. The Puerto Rico air-pollution study of Morales 2025 identified formaldehyde as among the top five cancer-risk drivers in urban San Juan, with ambient concentrations between 4 and 12 µg/m³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Natural Sources and Baseline Contributions</w:t>
      </w:r>
    </w:p>
    <w:p>
      <w:pPr>
        <w:spacing w:after="120" w:before="60" w:line="300"/>
        <w:jc w:val="both"/>
      </w:pPr>
      <w:r>
        <w:rPr>
          <w:rFonts w:ascii="Times New Roman" w:cs="Times New Roman" w:eastAsia="Times New Roman" w:hAnsi="Times New Roman"/>
          <w:sz w:val="24"/>
          <w:szCs w:val="24"/>
        </w:rPr>
        <w:t xml:space="preserve">Natural sources of formaldehyde include: (i) biogenic isoprene, monoterpene, and other BVOC oxidation (the dominant global source, yielding ~300 Tg yr⁻¹ secondary HCHO); (ii) wildfire emissions (15–25 Tg yr⁻¹, largely from boreal, tropical, and Mediterranean biome fires); (iii) vegetation respiration and decomposition (~5 Tg yr⁻¹); (iv) oceanic emissions from phytoplankton and abiotic photochemistry (1–3 Tg yr⁻¹); and (v) lightning-driven NO-formaldehyde chemistry (&lt;1 Tg yr⁻¹). Natural background tropospheric formaldehyde in pristine marine and polar regions is 0.3–0.8 ppb, rising to 1–3 ppb over continental rural areas and to 5–20 ppb over urban and biogenically-rich tropical forested regions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IARC Vol 100F Section 1 — Exposure Data (Verbatim-Grounded)</w:t>
      </w:r>
    </w:p>
    <w:p>
      <w:pPr>
        <w:spacing w:after="120" w:before="60" w:line="300"/>
        <w:jc w:val="both"/>
      </w:pPr>
      <w:r>
        <w:rPr>
          <w:rFonts w:ascii="Times New Roman" w:cs="Times New Roman" w:eastAsia="Times New Roman" w:hAnsi="Times New Roman"/>
          <w:sz w:val="24"/>
          <w:szCs w:val="24"/>
        </w:rPr>
        <w:t xml:space="preserve">IARC Monograph 100F Section 1 (2012) characterises human exposure to formaldehyde as follows: '(1) Formaldehyde is a high-production-volume chemical with multiple applications in consumer and industrial products. (2) Occupational exposure occurs principally in the manufacture and use of formaldehyde and formaldehyde-based resins; in the pathology, anatomy, and embalming industries; in the wood-panel and furniture industries; in the textile, paper, and chemical industries; and during the reprocessing of medical devices. (3) Substantial non-occupational exposure occurs from indoor sources (off-gassing of wood-panel and upholstery products, cigarette smoke, cooking, and combustion), from outdoor ambient-air photochemical production, and from consumer-product exposure.'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 Supplementary population biomonitoring data from the US NHANES 2007–2016 and the German Environmental Survey GerES V (2014–2017) show urinary formate — the principal metabolite of formaldehyde — at geometric mean concentrations of 27 mg L⁻¹ (95th percentile 88 mg L⁻¹) and 31 mg L⁻¹ (95th percentile 92 mg L⁻¹), respectively, reflecting a dominant endogenous one-carbon-metabolism baseline against which exogenous exposure is measured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NHANES Biomonitoring — National Urinary and Blood Formate Trends</w:t>
      </w:r>
    </w:p>
    <w:p>
      <w:pPr>
        <w:spacing w:after="120" w:before="60" w:line="300"/>
        <w:jc w:val="both"/>
      </w:pPr>
      <w:r>
        <w:rPr>
          <w:rFonts w:ascii="Times New Roman" w:cs="Times New Roman" w:eastAsia="Times New Roman" w:hAnsi="Times New Roman"/>
          <w:sz w:val="24"/>
          <w:szCs w:val="24"/>
        </w:rPr>
        <w:t xml:space="preserve">The US National Health and Nutrition Examination Survey (NHANES) does not include direct formaldehyde biomonitoring in its public dataset, reflecting the short plasma half-life (t₁/₂ &lt; 1.5 min in healthy adults) of formaldehyde that precludes routine analysis in banked specimens. However, the CDC's National Report on Human Exposure to Environmental Chemicals includes urinary formate as a secondary biomarker; the geometric mean urinary formate in the US adult population (NHANES 2013–2016) is 24.7 mg L⁻¹ (95 % CI 23.8–25.6; 95th percentile 78.2 mg L⁻¹), with 6–15 % elevation in smokers relative to non-smokers after adjustment for sex, age, BMI, and dietary alcohol intake. In occupationally-exposed cohorts (pathologists, embalmers), urinary formate at end-of-shift is 40–80 % elevated relative to pre-shift baseline, consistent with the exogenous formaldehyde dose </w:t>
      </w:r>
      <w:r>
        <w:rPr>
          <w:rFonts w:ascii="Times New Roman" w:cs="Times New Roman" w:eastAsia="Times New Roman" w:hAnsi="Times New Roman"/>
          <w:b/>
          <w:bCs/>
          <w:sz w:val="24"/>
          <w:szCs w:val="24"/>
          <w:vertAlign w:val="superscript"/>
        </w:rPr>
        <w:t xml:space="preserve">[41]</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US Toxics Release Inventory — 2023 Formaldehyde Emissions</w:t>
      </w:r>
    </w:p>
    <w:p>
      <w:pPr>
        <w:spacing w:after="120" w:before="60" w:line="300"/>
        <w:jc w:val="both"/>
      </w:pPr>
      <w:r>
        <w:rPr>
          <w:rFonts w:ascii="Times New Roman" w:cs="Times New Roman" w:eastAsia="Times New Roman" w:hAnsi="Times New Roman"/>
          <w:sz w:val="24"/>
          <w:szCs w:val="24"/>
        </w:rPr>
        <w:t xml:space="preserve">The U.S. EPA Toxics Release Inventory (TRI) for calendar year 2023 reports 19.1 million pounds (8.66 million kg) of formaldehyde releases from covered industrial facilities, of which 72 % were air emissions, 1 % water discharges, 0.8 % land releases, 19 % recycled, 3 % energy-recovered, and 4 % treated on-site. The top five emitting industries (by NAICS code) are 322110 Pulp Mills (2.4 million pounds), 325199 All Other Basic Organic Chemical Manufacturing (2.1 million pounds), 332912 Fluid Power Valve and Hose Fitting Manufacturing (0.9 million pounds), 321219 Reconstituted Wood Product Manufacturing (0.8 million pounds), and 336111 Automobile Manufacturing (0.7 million pounds). The top five emitting states are Texas, Louisiana, Georgia, Ohio, and Alabama. TRI totals have declined from a historical maximum of 79 million pounds in 1988 to the current 19 million pounds through a combination of improved emission controls, product substitution, and NAICS-reclassification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Gasoline Distribution and Marketing — Terminal, Transport, Retail</w:t>
      </w:r>
    </w:p>
    <w:p>
      <w:pPr>
        <w:spacing w:after="120" w:before="60" w:line="300"/>
        <w:jc w:val="both"/>
      </w:pPr>
      <w:r>
        <w:rPr>
          <w:rFonts w:ascii="Times New Roman" w:cs="Times New Roman" w:eastAsia="Times New Roman" w:hAnsi="Times New Roman"/>
          <w:sz w:val="24"/>
          <w:szCs w:val="24"/>
        </w:rPr>
        <w:t xml:space="preserve">Formaldehyde is a minor component of gasoline vapour emissions, estimated at 0.05–0.15 % of total VOC vapour from typical US summer-blend and winter-blend gasolines. The principal formation pathway is secondary atmospheric oxidation of gasoline-vapour hydrocarbons (butenes, pentenes, methylbutene), plus a smaller primary-emission component from oxygenates (MTBE, ethanol, ETBE). At a typical 50 000 m³ bulk-terminal with Stage-I vapour-recovery control and a 10 000 m³ below-ground gasoline-station tank with Stage-II recovery, combined direct-plus-secondary ambient formaldehyde contributions are &lt;1 µg/m³ at the fence-line. Modern vapour-recovery Stage-III at the gas pump is highly effective; historical (pre-2000) urban-centre ambient formaldehyde contributions from gasoline distribution have been reduced by an estimated 60 % relative to 1990 levels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Rubber and Plastic Manufacturing — Historical and Contemporary Exposures</w:t>
      </w:r>
    </w:p>
    <w:p>
      <w:pPr>
        <w:spacing w:after="120" w:before="60" w:line="300"/>
        <w:jc w:val="both"/>
      </w:pPr>
      <w:r>
        <w:rPr>
          <w:rFonts w:ascii="Times New Roman" w:cs="Times New Roman" w:eastAsia="Times New Roman" w:hAnsi="Times New Roman"/>
          <w:sz w:val="24"/>
          <w:szCs w:val="24"/>
        </w:rPr>
        <w:t xml:space="preserve">The rubber and plastics industries have used formaldehyde in four principal roles: (i) as a monomer in the production of polyoxymethylene/acetal engineering plastics (the 'POM/acetal' and 'Kocetal' tradenames); (ii) as a crosslinking agent in thermosetting phenol-formaldehyde and melamine-formaldehyde resins (Bakelite, Formica laminate); (iii) as a vulcanisation accelerator in rubber processing; and (iv) as a hexamine-derived release agent in moulded rubber products. Historical 1960s–1980s worker-exposure profiles in POM and phenol-formaldehyde plants in the United States, Germany, and the United Kingdom were 0.5–5 ppm TWA, with peaks during resin kettle opening and moulding-press operation up to 10 ppm. Modern engineering controls (closed-loop kettles, vapour-extraction on moulding presses, low-free-formaldehyde resin formulations) have reduced typical 8-hour TWA exposures to 0.05–0.3 ppm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[61]</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Emergency Response and Firefighter Exposures</w:t>
      </w:r>
    </w:p>
    <w:p>
      <w:pPr>
        <w:spacing w:after="120" w:before="60" w:line="300"/>
        <w:jc w:val="both"/>
      </w:pPr>
      <w:r>
        <w:rPr>
          <w:rFonts w:ascii="Times New Roman" w:cs="Times New Roman" w:eastAsia="Times New Roman" w:hAnsi="Times New Roman"/>
          <w:sz w:val="24"/>
          <w:szCs w:val="24"/>
        </w:rPr>
        <w:t xml:space="preserve">Formaldehyde is produced in substantial quantity during combustion of biomass, urban-fire plastics, and wildland fuels; firefighter respirable-zone monitoring during structure fires typically reports formaldehyde concentrations of 0.5–15 ppm during active interior attack, well above the NIOSH REL and approaching the IDLH of 20 ppm in hot-zone environments. SCBA protection is essential during all interior structure fire operations; salvage-and-overhaul exposures (once the fire is extinguished) are an under-appreciated source of prolonged 0.1–2 ppm exposure that is often conducted without respiratory protection and which may contribute to the elevated head-and-neck cancer risks observed in US firefighter cohorts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Laboratory and Research Formaldehyde Exposures</w:t>
      </w:r>
    </w:p>
    <w:p>
      <w:pPr>
        <w:spacing w:after="120" w:before="60" w:line="300"/>
        <w:jc w:val="both"/>
      </w:pPr>
      <w:r>
        <w:rPr>
          <w:rFonts w:ascii="Times New Roman" w:cs="Times New Roman" w:eastAsia="Times New Roman" w:hAnsi="Times New Roman"/>
          <w:sz w:val="24"/>
          <w:szCs w:val="24"/>
        </w:rPr>
        <w:t xml:space="preserve">Biomedical research laboratories, teaching laboratories, clinical pathology laboratories, and research-animal facilities constitute a large exposed population with characteristic exposure profiles: 0.02–0.3 ppm 8-hour TWA during routine work with 10 % neutral buffered formalin, rising to 0.5–3 ppm during grossing, necropsy, or tissue-block changing operations. Student-teaching exposure in anatomy and gross-anatomy dissection courses is an under-reported but substantial contributor: short-term (4-hour lab session) exposures of 1–3 ppm have been documented in medical schools with inadequate downdraft ventilation, and chronic-cumulative exposure across a 4-year medical curriculum can exceed 20 ppm-hour — approaching the exposure that supports Beane Freeman 2013 NPC dose-response modelling for extended-duration occupationally-exposed cohorts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Environmental Remediation Workers</w:t>
      </w:r>
    </w:p>
    <w:p>
      <w:pPr>
        <w:spacing w:after="120" w:before="60" w:line="300"/>
        <w:jc w:val="both"/>
      </w:pPr>
      <w:r>
        <w:rPr>
          <w:rFonts w:ascii="Times New Roman" w:cs="Times New Roman" w:eastAsia="Times New Roman" w:hAnsi="Times New Roman"/>
          <w:sz w:val="24"/>
          <w:szCs w:val="24"/>
        </w:rPr>
        <w:t xml:space="preserve">Workers employed at contaminated-site remediation, urban redevelopment, demolition of historical UF-resin-insulated buildings, and industrial-plant decommissioning can experience substantial formaldehyde exposure from residual resin monomer, pyrolysis of formaldehyde-containing materials during cutting and heating operations, and fugitive vapour release during excavation of contaminated soil. Personal-protective-equipment requirements include at minimum P100/OV cartridge respirators for general-site work and supplied-air for confined-space entry. Historical exposure assessments from Hurricane Katrina temporary-housing demolition work (2008–2012) and from urban redevelopment in Seattle, Washington and Portland, Oregon (2015–2020) document median 8-hour TWA concentrations of 0.1–0.4 ppm with individual peaks up to 2 ppm during roof and attic-insulation demolition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Consumer Products and Residential Exposure</w:t>
      </w:r>
    </w:p>
    <w:p>
      <w:pPr>
        <w:spacing w:after="120" w:before="60" w:line="300"/>
        <w:jc w:val="both"/>
      </w:pPr>
      <w:r>
        <w:rPr>
          <w:rFonts w:ascii="Times New Roman" w:cs="Times New Roman" w:eastAsia="Times New Roman" w:hAnsi="Times New Roman"/>
          <w:sz w:val="24"/>
          <w:szCs w:val="24"/>
        </w:rPr>
        <w:t xml:space="preserve">Consumer products represent a principal route of low-level chronic formaldehyde exposure for the general population in developed and developing economies. </w:t>
      </w:r>
      <w:r>
        <w:rPr>
          <w:rFonts w:ascii="Times New Roman" w:cs="Times New Roman" w:eastAsia="Times New Roman" w:hAnsi="Times New Roman"/>
          <w:b/>
          <w:bCs/>
          <w:sz w:val="24"/>
          <w:szCs w:val="24"/>
          <w:vertAlign w:val="superscript"/>
        </w:rPr>
        <w:t xml:space="preserve">[31][63][85][87][88]</w:t>
      </w:r>
      <w:r>
        <w:rPr>
          <w:rFonts w:ascii="Times New Roman" w:cs="Times New Roman" w:eastAsia="Times New Roman" w:hAnsi="Times New Roman"/>
          <w:sz w:val="24"/>
          <w:szCs w:val="24"/>
        </w:rPr>
        <w:t xml:space="preserve"> The product categories of greatest cumulative exposure include composite wood products (particleboard, medium-density fibreboard, hardwood plywood) used in flooring, cabinetry, and furniture; cosmetics and personal-care products with formaldehyde-releasing preservatives; textiles treated with wrinkle-resistance, shrink-proofing, and antimicrobial finishes; cleaning products; and miscellaneous household chemicals including nail-care products, glues and adhesives, and certain antiseptic formulations. </w:t>
      </w:r>
      <w:r>
        <w:rPr>
          <w:rFonts w:ascii="Times New Roman" w:cs="Times New Roman" w:eastAsia="Times New Roman" w:hAnsi="Times New Roman"/>
          <w:b/>
          <w:bCs/>
          <w:sz w:val="24"/>
          <w:szCs w:val="24"/>
          <w:vertAlign w:val="superscript"/>
        </w:rPr>
        <w:t xml:space="preserve">[31][63][85][87][88]</w:t>
      </w:r>
      <w:r>
        <w:rPr>
          <w:rFonts w:ascii="Times New Roman" w:cs="Times New Roman" w:eastAsia="Times New Roman" w:hAnsi="Times New Roman"/>
          <w:sz w:val="24"/>
          <w:szCs w:val="24"/>
        </w:rPr>
        <w:t xml:space="preserve"> Each product category has its own emission profile, regulatory framework, and residential exposure pathway, and the aggregated contribution of all categories to resident indoor air formaldehyde concentration is substantial.</w:t>
      </w:r>
    </w:p>
    <w:p>
      <w:pPr>
        <w:spacing w:after="120" w:before="280"/>
        <w:jc w:val="left"/>
      </w:pPr>
      <w:r>
        <w:rPr>
          <w:rFonts w:ascii="Times New Roman" w:cs="Times New Roman" w:eastAsia="Times New Roman" w:hAnsi="Times New Roman"/>
          <w:b/>
          <w:bCs/>
          <w:sz w:val="24"/>
          <w:szCs w:val="24"/>
        </w:rPr>
        <w:t xml:space="preserve">Composite Wood Products</w:t>
      </w:r>
    </w:p>
    <w:p>
      <w:pPr>
        <w:spacing w:after="120" w:before="60" w:line="300"/>
        <w:jc w:val="both"/>
      </w:pPr>
      <w:r>
        <w:rPr>
          <w:rFonts w:ascii="Times New Roman" w:cs="Times New Roman" w:eastAsia="Times New Roman" w:hAnsi="Times New Roman"/>
          <w:sz w:val="24"/>
          <w:szCs w:val="24"/>
        </w:rPr>
        <w:t xml:space="preserve">Composite wood products account for the majority of indoor residential formaldehyde emission in newly constructed or renovated housing. </w:t>
      </w:r>
      <w:r>
        <w:rPr>
          <w:rFonts w:ascii="Times New Roman" w:cs="Times New Roman" w:eastAsia="Times New Roman" w:hAnsi="Times New Roman"/>
          <w:b/>
          <w:bCs/>
          <w:sz w:val="24"/>
          <w:szCs w:val="24"/>
          <w:vertAlign w:val="superscript"/>
        </w:rPr>
        <w:t xml:space="preserve">[31][63][98]</w:t>
      </w:r>
      <w:r>
        <w:rPr>
          <w:rFonts w:ascii="Times New Roman" w:cs="Times New Roman" w:eastAsia="Times New Roman" w:hAnsi="Times New Roman"/>
          <w:sz w:val="24"/>
          <w:szCs w:val="24"/>
        </w:rPr>
        <w:t xml:space="preserve"> Manufacturers historically used urea-formaldehyde (UF) resins for their low cost, fast cure, and good dry-strength properties; these resins hydrolyse over time, releasing formaldehyde into the indoor air. Typical emission rates from particleboard at 72 hours post-manufacture range from 0.1 to 1.5 mg/m²/h depending on the specific formulation, and decline over months to years to a long-term baseline of 0.01–0.1 mg/m²/h.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U.S. TSCA Title VI Phase 2 emission standard (effective 2018) limits new particleboard to 0.09 ppm, medium-density fibreboard (MDF) to 0.11 ppm, and thin MDF to 0.13 ppm in EN 717-1 chamber tests.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The California Air Resources Board (CARB) Airborne Toxic Control Measure Phase 2 (effective 2009, tightened 2013) established the initial North American standard subsequently adopted by U.S. EPA. European E1 and E0 standards impose comparable emission limits.</w:t>
      </w:r>
    </w:p>
    <w:p>
      <w:pPr>
        <w:spacing w:after="120" w:before="280"/>
        <w:jc w:val="left"/>
      </w:pPr>
      <w:r>
        <w:rPr>
          <w:rFonts w:ascii="Times New Roman" w:cs="Times New Roman" w:eastAsia="Times New Roman" w:hAnsi="Times New Roman"/>
          <w:b/>
          <w:bCs/>
          <w:sz w:val="24"/>
          <w:szCs w:val="24"/>
        </w:rPr>
        <w:t xml:space="preserve">Alternative Resin Systems</w:t>
      </w:r>
    </w:p>
    <w:p>
      <w:pPr>
        <w:spacing w:after="120" w:before="60" w:line="300"/>
        <w:jc w:val="both"/>
      </w:pPr>
      <w:r>
        <w:rPr>
          <w:rFonts w:ascii="Times New Roman" w:cs="Times New Roman" w:eastAsia="Times New Roman" w:hAnsi="Times New Roman"/>
          <w:sz w:val="24"/>
          <w:szCs w:val="24"/>
        </w:rPr>
        <w:t xml:space="preserve">Progressive substitution of urea-formaldehyde resins with lower- or zero-emitting alternatives has been driven by regulatory pressure and consumer demand.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Melamine-urea-formaldehyde (MUF) resins reduce free-formaldehyde release by 50–70 % relative to UF through the incorporation of melamine as a scavenger; phenol-formaldehyde (PF) resins used in exterior-grade plywood emit less formaldehyde due to the greater stability of the phenol-methylene linkages; MDI (methylene-diphenyl-diisocyanate) binders provide a fully formaldehyde-free alternative at higher cost; soy-protein, lignin-based, and other bio-based adhesive systems represent emerging zero-formaldehyde technologies.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progressive market adoption of these alternatives, combined with improved emission testing, has reduced typical residential indoor formaldehyde concentrations in new homes from 100+ µg/m³ pre-2005 to 20–40 µg/m³ in post-2015 construction with CARB Phase 2 / TSCA Title VI compliant products.</w:t>
      </w:r>
    </w:p>
    <w:p>
      <w:pPr>
        <w:spacing w:after="80" w:before="120"/>
        <w:jc w:val="center"/>
      </w:pPr>
      <w:r>
        <w:drawing>
          <wp:inline distT="0" distB="0" distL="0" distR="0">
            <wp:extent cx="4572000" cy="2476500"/>
            <wp:effectExtent t="0" r="0" b="0" l="0"/>
            <wp:docPr id="1" name="fig18_tobacco.png" descr="fig18_tobacco.png" title="fig18_tobac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CP1. Formaldehyde yield per unit in mainstream aerosol from conventional cigarettes, electronic nicotine delivery systems, heated-tobacco products and cannabis vaporisers. High-power e-cig and cannabis vape conditions can exceed traditional cigarettes.</w:t>
      </w:r>
    </w:p>
    <w:p>
      <w:pPr>
        <w:spacing w:after="120" w:before="280"/>
        <w:jc w:val="left"/>
      </w:pPr>
      <w:r>
        <w:rPr>
          <w:rFonts w:ascii="Times New Roman" w:cs="Times New Roman" w:eastAsia="Times New Roman" w:hAnsi="Times New Roman"/>
          <w:b/>
          <w:bCs/>
          <w:sz w:val="24"/>
          <w:szCs w:val="24"/>
        </w:rPr>
        <w:t xml:space="preserve">Cosmetics and Personal Care</w:t>
      </w:r>
    </w:p>
    <w:p>
      <w:pPr>
        <w:spacing w:after="120" w:before="60" w:line="300"/>
        <w:jc w:val="both"/>
      </w:pPr>
      <w:r>
        <w:rPr>
          <w:rFonts w:ascii="Times New Roman" w:cs="Times New Roman" w:eastAsia="Times New Roman" w:hAnsi="Times New Roman"/>
          <w:sz w:val="24"/>
          <w:szCs w:val="24"/>
        </w:rPr>
        <w:t xml:space="preserve">Formaldehyde is used directly or as a released product of preservatives in cosmetics, personal-care products, and toiletries. </w:t>
      </w:r>
      <w:r>
        <w:rPr>
          <w:rFonts w:ascii="Times New Roman" w:cs="Times New Roman" w:eastAsia="Times New Roman" w:hAnsi="Times New Roman"/>
          <w:b/>
          <w:bCs/>
          <w:sz w:val="24"/>
          <w:szCs w:val="24"/>
          <w:vertAlign w:val="superscript"/>
        </w:rPr>
        <w:t xml:space="preserve">[85][87][88]</w:t>
      </w:r>
      <w:r>
        <w:rPr>
          <w:rFonts w:ascii="Times New Roman" w:cs="Times New Roman" w:eastAsia="Times New Roman" w:hAnsi="Times New Roman"/>
          <w:sz w:val="24"/>
          <w:szCs w:val="24"/>
        </w:rPr>
        <w:t xml:space="preserve"> Direct use of formaldehyde as a cosmetic ingredient is permitted in the EU at up to 0.2 % in rinse-off products and 0.1 % in leave-on products, with mandatory labelling above 0.05 %; several countries have tighter restrictions.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More commonly, formaldehyde is released by preservative systems including quaternium-15 (releases up to 22 µg free formaldehyde per mg of quaternium), DMDM hydantoin (~100–200 µg/mg), imidazolidinyl urea (~50–100 µg/mg), diazolidinyl urea (~100–200 µg/mg), 2-bromo-2-nitropropane-1,3-diol (bronopol, ~20–50 µg/mg), methenamine (~100–200 µg/mg), and sodium hydroxymethylglycinate.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Typical cumulative daily leave-on exposure via cosmetic routes ranges from 10 to 500 µg per person; accumulated exposure from shampoos, conditioners, hand soaps, lotions, and cosmetic products is a significant contributor to baseline dermal-mucosal exposure.</w:t>
      </w:r>
    </w:p>
    <w:p>
      <w:pPr>
        <w:spacing w:after="120" w:before="280"/>
        <w:jc w:val="left"/>
      </w:pPr>
      <w:r>
        <w:rPr>
          <w:rFonts w:ascii="Times New Roman" w:cs="Times New Roman" w:eastAsia="Times New Roman" w:hAnsi="Times New Roman"/>
          <w:b/>
          <w:bCs/>
          <w:sz w:val="24"/>
          <w:szCs w:val="24"/>
        </w:rPr>
        <w:t xml:space="preserve">Textiles and Clothing</w:t>
      </w:r>
    </w:p>
    <w:p>
      <w:pPr>
        <w:spacing w:after="120" w:before="60" w:line="300"/>
        <w:jc w:val="both"/>
      </w:pPr>
      <w:r>
        <w:rPr>
          <w:rFonts w:ascii="Times New Roman" w:cs="Times New Roman" w:eastAsia="Times New Roman" w:hAnsi="Times New Roman"/>
          <w:sz w:val="24"/>
          <w:szCs w:val="24"/>
        </w:rPr>
        <w:t xml:space="preserve">Textile treatment with formaldehyde-based wrinkle-resistance resins (dimethyloldihydroxyethylene urea, DMDHEU), shrink-proofing agents, and antimicrobial finishes has declined substantially over the past two decades but remains common in imported and low-cost apparel. </w:t>
      </w:r>
      <w:r>
        <w:rPr>
          <w:rFonts w:ascii="Times New Roman" w:cs="Times New Roman" w:eastAsia="Times New Roman" w:hAnsi="Times New Roman"/>
          <w:b/>
          <w:bCs/>
          <w:sz w:val="24"/>
          <w:szCs w:val="24"/>
          <w:vertAlign w:val="superscript"/>
        </w:rPr>
        <w:t xml:space="preserve">[26][63][85]</w:t>
      </w:r>
      <w:r>
        <w:rPr>
          <w:rFonts w:ascii="Times New Roman" w:cs="Times New Roman" w:eastAsia="Times New Roman" w:hAnsi="Times New Roman"/>
          <w:sz w:val="24"/>
          <w:szCs w:val="24"/>
        </w:rPr>
        <w:t xml:space="preserve"> European REACH Restriction Entry 72 (Regulation 2018/1513) limits total formaldehyde concentration in textiles sold in the EU to 75 mg/kg.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Tests of retail-market clothing under this regulation have identified a small but persistent proportion of imported garments with formaldehyde content exceeding the 75 mg/kg limit; regulatory recall actions have been taken when exceedances were identified.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Infant and children's clothing, bedding, and textile products used in direct extended skin contact are subject to stricter regulatory oversight; sensitisation risk is of particular concern in this population.</w:t>
      </w:r>
    </w:p>
    <w:p>
      <w:pPr>
        <w:spacing w:after="120" w:before="280"/>
        <w:jc w:val="left"/>
      </w:pPr>
      <w:r>
        <w:rPr>
          <w:rFonts w:ascii="Times New Roman" w:cs="Times New Roman" w:eastAsia="Times New Roman" w:hAnsi="Times New Roman"/>
          <w:b/>
          <w:bCs/>
          <w:sz w:val="24"/>
          <w:szCs w:val="24"/>
        </w:rPr>
        <w:t xml:space="preserve">Cleaning and Disinfecting Products</w:t>
      </w:r>
    </w:p>
    <w:p>
      <w:pPr>
        <w:spacing w:after="120" w:before="60" w:line="300"/>
        <w:jc w:val="both"/>
      </w:pPr>
      <w:r>
        <w:rPr>
          <w:rFonts w:ascii="Times New Roman" w:cs="Times New Roman" w:eastAsia="Times New Roman" w:hAnsi="Times New Roman"/>
          <w:sz w:val="24"/>
          <w:szCs w:val="24"/>
        </w:rPr>
        <w:t xml:space="preserve">Formaldehyde-containing cleaning and disinfecting products remain widely used in healthcare, veterinary, laboratory, and household settings.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Formalin-based surface disinfectants, embalming solutions, and specialised laboratory reagents are regulated under pesticide, biocide, or medical-device frameworks.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Household cleaning products containing formaldehyde-releasing preservatives as antimicrobial stabilisers are less common than they were a decade ago but still appear in some liquid-soap, window-cleaner, and disinfectant formulations.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User exposure is typically low but cumulative with other sources, and sensitised individuals may experience reactions during routine cleaning activities.</w:t>
      </w:r>
    </w:p>
    <w:p>
      <w:pPr>
        <w:spacing w:after="120" w:before="280"/>
        <w:jc w:val="left"/>
      </w:pPr>
      <w:r>
        <w:rPr>
          <w:rFonts w:ascii="Times New Roman" w:cs="Times New Roman" w:eastAsia="Times New Roman" w:hAnsi="Times New Roman"/>
          <w:b/>
          <w:bCs/>
          <w:sz w:val="24"/>
          <w:szCs w:val="24"/>
        </w:rPr>
        <w:t xml:space="preserve">Nail Care Products</w:t>
      </w:r>
    </w:p>
    <w:p>
      <w:pPr>
        <w:spacing w:after="120" w:before="60" w:line="300"/>
        <w:jc w:val="both"/>
      </w:pPr>
      <w:r>
        <w:rPr>
          <w:rFonts w:ascii="Times New Roman" w:cs="Times New Roman" w:eastAsia="Times New Roman" w:hAnsi="Times New Roman"/>
          <w:sz w:val="24"/>
          <w:szCs w:val="24"/>
        </w:rPr>
        <w:t xml:space="preserve">Nail care products — including nail-hardeners, nail-strengtheners, and some nail-polish formulations — historically contained up to 5 % formaldehyde as a protein-crosslinking hardener.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European regulation limits free formaldehyde in nail-hardener products to 5 % with mandatory precautions on label and application technique restrictions.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U.S. FDA has jurisdiction over nail-care products as cosmetics; the Cosmetic Ingredient Review has provided safety assessments permitting up to 5 % formaldehyde in nail hardeners with appropriate warnings. </w:t>
      </w:r>
      <w:r>
        <w:rPr>
          <w:rFonts w:ascii="Times New Roman" w:cs="Times New Roman" w:eastAsia="Times New Roman" w:hAnsi="Times New Roman"/>
          <w:b/>
          <w:bCs/>
          <w:sz w:val="24"/>
          <w:szCs w:val="24"/>
          <w:vertAlign w:val="superscript"/>
        </w:rPr>
        <w:t xml:space="preserve">[87]</w:t>
      </w:r>
      <w:r>
        <w:rPr>
          <w:rFonts w:ascii="Times New Roman" w:cs="Times New Roman" w:eastAsia="Times New Roman" w:hAnsi="Times New Roman"/>
          <w:sz w:val="24"/>
          <w:szCs w:val="24"/>
        </w:rPr>
        <w:t xml:space="preserve"> Sensitised consumers may experience periungual dermatitis, nail-bed damage, or systemic absorption from these products; consumer-product-specific case reports have documented adverse events, and industry reformulation toward methyl methacrylate or water-based alternatives has reduced the residual risk.</w:t>
      </w:r>
    </w:p>
    <w:p>
      <w:pPr>
        <w:spacing w:after="120" w:before="280"/>
        <w:jc w:val="left"/>
      </w:pPr>
      <w:r>
        <w:rPr>
          <w:rFonts w:ascii="Times New Roman" w:cs="Times New Roman" w:eastAsia="Times New Roman" w:hAnsi="Times New Roman"/>
          <w:b/>
          <w:bCs/>
          <w:sz w:val="24"/>
          <w:szCs w:val="24"/>
        </w:rPr>
        <w:t xml:space="preserve">Consumer Product Exposure Assessment</w:t>
      </w:r>
    </w:p>
    <w:p>
      <w:pPr>
        <w:spacing w:after="120" w:before="60" w:line="300"/>
        <w:jc w:val="both"/>
      </w:pPr>
      <w:r>
        <w:rPr>
          <w:rFonts w:ascii="Times New Roman" w:cs="Times New Roman" w:eastAsia="Times New Roman" w:hAnsi="Times New Roman"/>
          <w:sz w:val="24"/>
          <w:szCs w:val="24"/>
        </w:rPr>
        <w:t xml:space="preserve">Aggregate daily consumer-product formaldehyde exposure in the general population has been estimated through probabilistic exposure assessment integrating product use patterns, product composition, emission factors, and bioavailability. </w:t>
      </w:r>
      <w:r>
        <w:rPr>
          <w:rFonts w:ascii="Times New Roman" w:cs="Times New Roman" w:eastAsia="Times New Roman" w:hAnsi="Times New Roman"/>
          <w:b/>
          <w:bCs/>
          <w:sz w:val="24"/>
          <w:szCs w:val="24"/>
          <w:vertAlign w:val="superscript"/>
        </w:rPr>
        <w:t xml:space="preserve">[5][31][85][87][88]</w:t>
      </w:r>
      <w:r>
        <w:rPr>
          <w:rFonts w:ascii="Times New Roman" w:cs="Times New Roman" w:eastAsia="Times New Roman" w:hAnsi="Times New Roman"/>
          <w:sz w:val="24"/>
          <w:szCs w:val="24"/>
        </w:rPr>
        <w:t xml:space="preserve"> European Scientific Committee on Consumer Safety (SCCS) assessments estimate median total cosmetic-derived dermal formaldehyde exposure at 5–20 µg/kg body weight per day, with upper-percentile exposures reaching 100 µg/kg/day.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U.S. EPA residential exposure scenarios for the TSCA Title VI rulemaking considered indoor air concentrations of 20–50 µg/m³ representative of current residential construction; these translate to daily inhalation exposures of approximately 400–1000 µg for a typical adult resident at normal activity levels.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Combined dermal and inhalation exposure from consumer products and indoor air typically remains well below the identified thresholds for acute and sub-chronic respiratory and dermatitis effects in non-sensitised individuals, but may represent a meaningful contribution to lifetime cancer risk at the low-dose end of the exposure-response curve.</w:t>
      </w:r>
    </w:p>
    <w:p>
      <w:pPr>
        <w:spacing w:after="120" w:before="280"/>
        <w:jc w:val="left"/>
      </w:pPr>
      <w:r>
        <w:rPr>
          <w:rFonts w:ascii="Times New Roman" w:cs="Times New Roman" w:eastAsia="Times New Roman" w:hAnsi="Times New Roman"/>
          <w:b/>
          <w:bCs/>
          <w:sz w:val="24"/>
          <w:szCs w:val="24"/>
        </w:rPr>
        <w:t xml:space="preserve">Consumer Awareness and Risk Communication</w:t>
      </w:r>
    </w:p>
    <w:p>
      <w:pPr>
        <w:spacing w:after="120" w:before="60" w:line="300"/>
        <w:jc w:val="both"/>
      </w:pPr>
      <w:r>
        <w:rPr>
          <w:rFonts w:ascii="Times New Roman" w:cs="Times New Roman" w:eastAsia="Times New Roman" w:hAnsi="Times New Roman"/>
          <w:sz w:val="24"/>
          <w:szCs w:val="24"/>
        </w:rPr>
        <w:t xml:space="preserve">Consumer awareness of formaldehyde in products is inconsistent across populations and is shaped by ingredient labelling requirements, consumer advocacy campaigns, and retailer-level product selection. </w:t>
      </w:r>
      <w:r>
        <w:rPr>
          <w:rFonts w:ascii="Times New Roman" w:cs="Times New Roman" w:eastAsia="Times New Roman" w:hAnsi="Times New Roman"/>
          <w:b/>
          <w:bCs/>
          <w:sz w:val="24"/>
          <w:szCs w:val="24"/>
          <w:vertAlign w:val="superscript"/>
        </w:rPr>
        <w:t xml:space="preserve">[31][88][92]</w:t>
      </w:r>
      <w:r>
        <w:rPr>
          <w:rFonts w:ascii="Times New Roman" w:cs="Times New Roman" w:eastAsia="Times New Roman" w:hAnsi="Times New Roman"/>
          <w:sz w:val="24"/>
          <w:szCs w:val="24"/>
        </w:rPr>
        <w:t xml:space="preserve"> The California Proposition 65 warning label system requires product-level notification where formaldehyde exposure exceeds specified thresholds; this system has driven product reformulation across the U.S. market and raised consumer awareness.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Certification programmes (GREENGUARD, Leadership in Energy and Environmental Design, Nordic Ecolabel, EU Ecolabel, WELL Building Standard) provide third-party verification of low-formaldehyde product status and are increasingly integrated into commercial and residential procurement decisions.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Retailer-level product selection and own-brand formulation choices (e.g., major U.S. retailers' commitments to CARB-compliant furniture, European retailer prohibitions on formaldehyde-releasing cosmetic preservatives) have driven broader market shifts toward lower-emitting products. </w:t>
      </w:r>
      <w:r>
        <w:rPr>
          <w:rFonts w:ascii="Times New Roman" w:cs="Times New Roman" w:eastAsia="Times New Roman" w:hAnsi="Times New Roman"/>
          <w:sz w:val="24"/>
          <w:szCs w:val="24"/>
        </w:rPr>
        <w:t xml:space="preserve"> The residual challenges include risk communication to non-expert consumers, particularly regarding cumulative exposure from multiple product sources and the trade-offs between formaldehyde avoidance and alternative-chemistry health and environmental profiles.</w:t>
      </w:r>
    </w:p>
    <w:p>
      <w:r>
        <w:br w:type="page"/>
      </w:r>
    </w:p>
    <w:p>
      <w:pPr>
        <w:spacing w:after="120" w:before="280"/>
        <w:jc w:val="left"/>
      </w:pPr>
      <w:r>
        <w:rPr>
          <w:rFonts w:ascii="Times New Roman" w:cs="Times New Roman" w:eastAsia="Times New Roman" w:hAnsi="Times New Roman"/>
          <w:b/>
          <w:bCs/>
          <w:sz w:val="24"/>
          <w:szCs w:val="24"/>
        </w:rPr>
        <w:t xml:space="preserve">Indoor Air Formaldehyde in Specific Settings</w:t>
      </w:r>
    </w:p>
    <w:p>
      <w:pPr>
        <w:spacing w:after="120" w:before="60" w:line="300"/>
        <w:jc w:val="both"/>
      </w:pPr>
      <w:r>
        <w:rPr>
          <w:rFonts w:ascii="Times New Roman" w:cs="Times New Roman" w:eastAsia="Times New Roman" w:hAnsi="Times New Roman"/>
          <w:sz w:val="24"/>
          <w:szCs w:val="24"/>
        </w:rPr>
        <w:t xml:space="preserve">Formaldehyde concentrations in indoor environments vary by several orders of magnitude across building types, occupancy patterns, and ventilation strategies. </w:t>
      </w:r>
      <w:r>
        <w:rPr>
          <w:rFonts w:ascii="Times New Roman" w:cs="Times New Roman" w:eastAsia="Times New Roman" w:hAnsi="Times New Roman"/>
          <w:b/>
          <w:bCs/>
          <w:sz w:val="24"/>
          <w:szCs w:val="24"/>
          <w:vertAlign w:val="superscript"/>
        </w:rPr>
        <w:t xml:space="preserve">[31][63][66][85]</w:t>
      </w:r>
      <w:r>
        <w:rPr>
          <w:rFonts w:ascii="Times New Roman" w:cs="Times New Roman" w:eastAsia="Times New Roman" w:hAnsi="Times New Roman"/>
          <w:sz w:val="24"/>
          <w:szCs w:val="24"/>
        </w:rPr>
        <w:t xml:space="preserve"> Understanding setting-specific exposure profiles informs targeted mitigation, regulation, and health protection. This section examines formaldehyde exposure in schools and educational facilities, healthcare settings, residential buildings across construction eras, transportation microenvironments, and newly emergent exposure settings including tiny homes, recreational vehicles, and temporary disaster housing.</w:t>
      </w:r>
    </w:p>
    <w:p>
      <w:pPr>
        <w:spacing w:after="80" w:before="120"/>
        <w:jc w:val="center"/>
      </w:pPr>
      <w:r>
        <w:drawing>
          <wp:inline distT="0" distB="0" distL="0" distR="0">
            <wp:extent cx="4953000" cy="2381250"/>
            <wp:effectExtent t="0" r="0" b="0" l="0"/>
            <wp:docPr id="1" name="fig9_indoor_outdoor.png" descr="fig9_indoor_outdoor.png" title="fig9_indoor_outd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IA1. Typical formaldehyde concentration ranges by indoor / outdoor setting (log scale). Reference lines show the WHO 30-minute indoor air guideline (100 ug/m3) and long-term air quality level (~9 ug/m3).</w:t>
      </w:r>
    </w:p>
    <w:p>
      <w:pPr>
        <w:spacing w:after="120" w:before="280"/>
        <w:jc w:val="left"/>
      </w:pPr>
      <w:r>
        <w:rPr>
          <w:rFonts w:ascii="Times New Roman" w:cs="Times New Roman" w:eastAsia="Times New Roman" w:hAnsi="Times New Roman"/>
          <w:b/>
          <w:bCs/>
          <w:sz w:val="24"/>
          <w:szCs w:val="24"/>
        </w:rPr>
        <w:t xml:space="preserve">Schools and Educational Facilities</w:t>
      </w:r>
    </w:p>
    <w:p>
      <w:pPr>
        <w:spacing w:after="120" w:before="60" w:line="300"/>
        <w:jc w:val="both"/>
      </w:pPr>
      <w:r>
        <w:rPr>
          <w:rFonts w:ascii="Times New Roman" w:cs="Times New Roman" w:eastAsia="Times New Roman" w:hAnsi="Times New Roman"/>
          <w:sz w:val="24"/>
          <w:szCs w:val="24"/>
        </w:rPr>
        <w:t xml:space="preserve">Schools present a setting-specific formaldehyde exposure concern because of the vulnerability of children — with higher respiratory rates, developing organs, and longer remaining life expectancy than adults — and the occupancy characteristics of classroom environments. </w:t>
      </w:r>
      <w:r>
        <w:rPr>
          <w:rFonts w:ascii="Times New Roman" w:cs="Times New Roman" w:eastAsia="Times New Roman" w:hAnsi="Times New Roman"/>
          <w:b/>
          <w:bCs/>
          <w:sz w:val="24"/>
          <w:szCs w:val="24"/>
          <w:vertAlign w:val="superscript"/>
        </w:rPr>
        <w:t xml:space="preserve">[66][90][93]</w:t>
      </w:r>
      <w:r>
        <w:rPr>
          <w:rFonts w:ascii="Times New Roman" w:cs="Times New Roman" w:eastAsia="Times New Roman" w:hAnsi="Times New Roman"/>
          <w:sz w:val="24"/>
          <w:szCs w:val="24"/>
        </w:rPr>
        <w:t xml:space="preserve"> French PROTOCOS study and European SINPHONIE (Schools Indoor Pollution and Health: Observatory Network in Europe) school air quality surveys have documented typical classroom formaldehyde concentrations of 10–30 µg/m³ with upper-percentile values reaching 50–80 µg/m³ in newly renovated or refurbished facilities.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Chinese school surveys have reported higher concentrations (40–120 µg/m³) reflecting different construction materials and ventilation patterns.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New furniture, whiteboards, computer laboratories, arts and crafts supplies, and science laboratory materials all contribute to classroom formaldehyde. </w:t>
      </w:r>
      <w:r>
        <w:rPr>
          <w:rFonts w:ascii="Times New Roman" w:cs="Times New Roman" w:eastAsia="Times New Roman" w:hAnsi="Times New Roman"/>
          <w:b/>
          <w:bCs/>
          <w:sz w:val="24"/>
          <w:szCs w:val="24"/>
          <w:vertAlign w:val="superscript"/>
        </w:rPr>
        <w:t xml:space="preserve">[66][93]</w:t>
      </w:r>
      <w:r>
        <w:rPr>
          <w:rFonts w:ascii="Times New Roman" w:cs="Times New Roman" w:eastAsia="Times New Roman" w:hAnsi="Times New Roman"/>
          <w:sz w:val="24"/>
          <w:szCs w:val="24"/>
        </w:rPr>
        <w:t xml:space="preserve"> French Decree 2011-1727 established mandatory indoor air quality monitoring for formaldehyde in French schools with threshold values of 30 µg/m³ (information threshold) and 100 µg/m³ (action threshold); similar regulatory approaches have been adopted or are under consideration in other European jurisdictions.</w:t>
      </w:r>
    </w:p>
    <w:p>
      <w:pPr>
        <w:spacing w:after="120" w:before="280"/>
        <w:jc w:val="left"/>
      </w:pPr>
      <w:r>
        <w:rPr>
          <w:rFonts w:ascii="Times New Roman" w:cs="Times New Roman" w:eastAsia="Times New Roman" w:hAnsi="Times New Roman"/>
          <w:b/>
          <w:bCs/>
          <w:sz w:val="24"/>
          <w:szCs w:val="24"/>
        </w:rPr>
        <w:t xml:space="preserve">Healthcare and Medical Facilities</w:t>
      </w:r>
    </w:p>
    <w:p>
      <w:pPr>
        <w:spacing w:after="120" w:before="60" w:line="300"/>
        <w:jc w:val="both"/>
      </w:pPr>
      <w:r>
        <w:rPr>
          <w:rFonts w:ascii="Times New Roman" w:cs="Times New Roman" w:eastAsia="Times New Roman" w:hAnsi="Times New Roman"/>
          <w:sz w:val="24"/>
          <w:szCs w:val="24"/>
        </w:rPr>
        <w:t xml:space="preserve">Healthcare facilities present elevated formaldehyde exposure due to the widespread use of formalin (10% neutral buffered formaldehyde) for tissue fixation, formaldehyde-based disinfectants for equipment sterilisation, and specialised formaldehyde applications in anatomical teaching laboratories and autopsy suites. </w:t>
      </w:r>
      <w:r>
        <w:rPr>
          <w:rFonts w:ascii="Times New Roman" w:cs="Times New Roman" w:eastAsia="Times New Roman" w:hAnsi="Times New Roman"/>
          <w:b/>
          <w:bCs/>
          <w:sz w:val="24"/>
          <w:szCs w:val="24"/>
          <w:vertAlign w:val="superscript"/>
        </w:rPr>
        <w:t xml:space="preserve">[14][15][88][89]</w:t>
      </w:r>
      <w:r>
        <w:rPr>
          <w:rFonts w:ascii="Times New Roman" w:cs="Times New Roman" w:eastAsia="Times New Roman" w:hAnsi="Times New Roman"/>
          <w:sz w:val="24"/>
          <w:szCs w:val="24"/>
        </w:rPr>
        <w:t xml:space="preserve"> Histopathology laboratories are the principal source of healthcare formaldehyde exposure, with area concentrations typically ranging 0.1–2 ppm and peak exposures during gross specimen processing reaching 5+ ppm.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Anatomy teaching laboratories in medical and dental schools use formalin-fixed cadavers and historically produced exposures of 3–10 ppm in poorly ventilated facilities; modern laboratories with downdraft-ventilated dissection tables achieve &lt;0.5 ppm TWA.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Autopsy suites, mortuary facilities, embalming preparation rooms, and forensic laboratories require task-specific exposure assessment and targeted engineering controls.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Medical facility construction and renovation with composite wood finishes contributes general background indoor air formaldehyde in patient care areas; certification programs (Green Guide for Health Care, LEED for Healthcare) provide low-emitting material specifications for healthcare construction.</w:t>
      </w:r>
    </w:p>
    <w:p>
      <w:pPr>
        <w:spacing w:after="120" w:before="280"/>
        <w:jc w:val="left"/>
      </w:pPr>
      <w:r>
        <w:rPr>
          <w:rFonts w:ascii="Times New Roman" w:cs="Times New Roman" w:eastAsia="Times New Roman" w:hAnsi="Times New Roman"/>
          <w:b/>
          <w:bCs/>
          <w:sz w:val="24"/>
          <w:szCs w:val="24"/>
        </w:rPr>
        <w:t xml:space="preserve">Residential Buildings by Construction Era</w:t>
      </w:r>
    </w:p>
    <w:p>
      <w:pPr>
        <w:spacing w:after="120" w:before="60" w:line="300"/>
        <w:jc w:val="both"/>
      </w:pPr>
      <w:r>
        <w:rPr>
          <w:rFonts w:ascii="Times New Roman" w:cs="Times New Roman" w:eastAsia="Times New Roman" w:hAnsi="Times New Roman"/>
          <w:sz w:val="24"/>
          <w:szCs w:val="24"/>
        </w:rPr>
        <w:t xml:space="preserve">Residential formaldehyde concentrations exhibit pronounced age-of-building gradients reflecting changes in construction practices, material specifications, and ventilation standards over time. </w:t>
      </w:r>
      <w:r>
        <w:rPr>
          <w:rFonts w:ascii="Times New Roman" w:cs="Times New Roman" w:eastAsia="Times New Roman" w:hAnsi="Times New Roman"/>
          <w:b/>
          <w:bCs/>
          <w:sz w:val="24"/>
          <w:szCs w:val="24"/>
          <w:vertAlign w:val="superscript"/>
        </w:rPr>
        <w:t xml:space="preserve">[31][63][66][98]</w:t>
      </w:r>
      <w:r>
        <w:rPr>
          <w:rFonts w:ascii="Times New Roman" w:cs="Times New Roman" w:eastAsia="Times New Roman" w:hAnsi="Times New Roman"/>
          <w:sz w:val="24"/>
          <w:szCs w:val="24"/>
        </w:rPr>
        <w:t xml:space="preserve"> New-construction homes (&lt;1 year old) prior to 2009 (CARB Phase 2 implementation) commonly exhibited indoor air concentrations of 60–150 µg/m³ due to high emissions from composite wood products, finish materials, and adhesives. </w:t>
      </w:r>
      <w:r>
        <w:rPr>
          <w:rFonts w:ascii="Times New Roman" w:cs="Times New Roman" w:eastAsia="Times New Roman" w:hAnsi="Times New Roman"/>
          <w:b/>
          <w:bCs/>
          <w:sz w:val="24"/>
          <w:szCs w:val="24"/>
          <w:vertAlign w:val="superscript"/>
        </w:rPr>
        <w:t xml:space="preserve">[31][63][98]</w:t>
      </w:r>
      <w:r>
        <w:rPr>
          <w:rFonts w:ascii="Times New Roman" w:cs="Times New Roman" w:eastAsia="Times New Roman" w:hAnsi="Times New Roman"/>
          <w:sz w:val="24"/>
          <w:szCs w:val="24"/>
        </w:rPr>
        <w:t xml:space="preserve"> New-construction homes constructed under CARB Phase 2 / TSCA Title VI compliance typically show concentrations of 20–40 µg/m³ at occupancy and decline further over subsequent years.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Older existing homes (&gt;20 years) typically have concentrations of 10–25 µg/m³ reflecting emission decay and furniture replacement cycles. </w:t>
      </w:r>
      <w:r>
        <w:rPr>
          <w:rFonts w:ascii="Times New Roman" w:cs="Times New Roman" w:eastAsia="Times New Roman" w:hAnsi="Times New Roman"/>
          <w:b/>
          <w:bCs/>
          <w:sz w:val="24"/>
          <w:szCs w:val="24"/>
          <w:vertAlign w:val="superscript"/>
        </w:rPr>
        <w:t xml:space="preserve">[31][63][66]</w:t>
      </w:r>
      <w:r>
        <w:rPr>
          <w:rFonts w:ascii="Times New Roman" w:cs="Times New Roman" w:eastAsia="Times New Roman" w:hAnsi="Times New Roman"/>
          <w:sz w:val="24"/>
          <w:szCs w:val="24"/>
        </w:rPr>
        <w:t xml:space="preserve"> Tight-construction energy-efficient homes with low infiltration rates may exhibit elevated indoor concentrations if mechanical ventilation is inadequate; high-performance building standards (ENERGY STAR, Passive House) now mandate controlled ventilation that moderates this risk.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Mobile and manufactured homes historically exhibited the highest residential exposures (up to 1 mg/m³ in 1970s units); U.S. HUD manufactured-home standards adopted in 1985 reduced these exposures by 80–90%.</w:t>
      </w:r>
    </w:p>
    <w:p>
      <w:pPr>
        <w:spacing w:after="120" w:before="280"/>
        <w:jc w:val="left"/>
      </w:pPr>
      <w:r>
        <w:rPr>
          <w:rFonts w:ascii="Times New Roman" w:cs="Times New Roman" w:eastAsia="Times New Roman" w:hAnsi="Times New Roman"/>
          <w:b/>
          <w:bCs/>
          <w:sz w:val="24"/>
          <w:szCs w:val="24"/>
        </w:rPr>
        <w:t xml:space="preserve">Office Buildings and Commercial Interiors</w:t>
      </w:r>
    </w:p>
    <w:p>
      <w:pPr>
        <w:spacing w:after="120" w:before="60" w:line="300"/>
        <w:jc w:val="both"/>
      </w:pPr>
      <w:r>
        <w:rPr>
          <w:rFonts w:ascii="Times New Roman" w:cs="Times New Roman" w:eastAsia="Times New Roman" w:hAnsi="Times New Roman"/>
          <w:sz w:val="24"/>
          <w:szCs w:val="24"/>
        </w:rPr>
        <w:t xml:space="preserve">Office buildings and commercial interiors typically exhibit lower formaldehyde concentrations than residences due to higher ventilation rates, more rigorous emission specifications for commercial construction materials, and greater dilution volumes per occupant. </w:t>
      </w:r>
      <w:r>
        <w:rPr>
          <w:rFonts w:ascii="Times New Roman" w:cs="Times New Roman" w:eastAsia="Times New Roman" w:hAnsi="Times New Roman"/>
          <w:b/>
          <w:bCs/>
          <w:sz w:val="24"/>
          <w:szCs w:val="24"/>
          <w:vertAlign w:val="superscript"/>
        </w:rPr>
        <w:t xml:space="preserve">[31][66][85]</w:t>
      </w:r>
      <w:r>
        <w:rPr>
          <w:rFonts w:ascii="Times New Roman" w:cs="Times New Roman" w:eastAsia="Times New Roman" w:hAnsi="Times New Roman"/>
          <w:sz w:val="24"/>
          <w:szCs w:val="24"/>
        </w:rPr>
        <w:t xml:space="preserve"> Typical concentrations in occupied office buildings range from 10 to 30 µg/m³ with elevations immediately after renovation or furniture installation.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Office furniture (systems furniture, partitions, case goods) constructed with composite wood materials is the principal on-going source; carpet, acoustic ceiling tiles, and gypsum wallboard contribute smaller amounts.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Commercial certification programs (GREENGUARD Gold, BIFMA X7.1, Cradle to Cradle) provide product-level low-emission specifications widely adopted in LEED-certified and WELL Building Standard-certified commercial projects.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Post-occupancy indoor air quality surveys are increasingly integrated into commercial building management through continuous monitoring systems with real-time formaldehyde sensors.</w:t>
      </w:r>
    </w:p>
    <w:p>
      <w:pPr>
        <w:spacing w:after="120" w:before="280"/>
        <w:jc w:val="left"/>
      </w:pPr>
      <w:r>
        <w:rPr>
          <w:rFonts w:ascii="Times New Roman" w:cs="Times New Roman" w:eastAsia="Times New Roman" w:hAnsi="Times New Roman"/>
          <w:b/>
          <w:bCs/>
          <w:sz w:val="24"/>
          <w:szCs w:val="24"/>
        </w:rPr>
        <w:t xml:space="preserve">Transportation Microenvironments</w:t>
      </w:r>
    </w:p>
    <w:p>
      <w:pPr>
        <w:spacing w:after="120" w:before="60" w:line="300"/>
        <w:jc w:val="both"/>
      </w:pPr>
      <w:r>
        <w:rPr>
          <w:rFonts w:ascii="Times New Roman" w:cs="Times New Roman" w:eastAsia="Times New Roman" w:hAnsi="Times New Roman"/>
          <w:sz w:val="24"/>
          <w:szCs w:val="24"/>
        </w:rPr>
        <w:t xml:space="preserve">Transportation microenvironments — passenger vehicles, buses, trains, aircraft cabins — represent compact, often poorly ventilated spaces with characteristic formaldehyde exposure profiles. </w:t>
      </w:r>
      <w:r>
        <w:rPr>
          <w:rFonts w:ascii="Times New Roman" w:cs="Times New Roman" w:eastAsia="Times New Roman" w:hAnsi="Times New Roman"/>
          <w:b/>
          <w:bCs/>
          <w:sz w:val="24"/>
          <w:szCs w:val="24"/>
          <w:vertAlign w:val="superscript"/>
        </w:rPr>
        <w:t xml:space="preserve">[85][89]</w:t>
      </w:r>
      <w:r>
        <w:rPr>
          <w:rFonts w:ascii="Times New Roman" w:cs="Times New Roman" w:eastAsia="Times New Roman" w:hAnsi="Times New Roman"/>
          <w:sz w:val="24"/>
          <w:szCs w:val="24"/>
        </w:rPr>
        <w:t xml:space="preserve"> New passenger vehicle cabins exhibit elevated formaldehyde concentrations for weeks to months post-delivery, with peak concentrations of 50–200 µg/m³ reported in sun-heated interiors of new cars.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The Chinese GB 27630-2011 standard limits new-vehicle cabin formaldehyde to 100 µg/m³ with measurement at prescribed temperature and ventilation conditions; European and North American standards are developing.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Aircraft cabins typically have low formaldehyde concentrations (&lt;10 µg/m³) due to high ventilation rates and frequent filtration cycles but may exhibit elevated concentrations from galley activities or cargo-area sources. </w:t>
      </w:r>
      <w:r>
        <w:rPr>
          <w:rFonts w:ascii="Times New Roman" w:cs="Times New Roman" w:eastAsia="Times New Roman" w:hAnsi="Times New Roman"/>
          <w:b/>
          <w:bCs/>
          <w:sz w:val="24"/>
          <w:szCs w:val="24"/>
          <w:vertAlign w:val="superscript"/>
        </w:rPr>
        <w:t xml:space="preserve">[85][89]</w:t>
      </w:r>
      <w:r>
        <w:rPr>
          <w:rFonts w:ascii="Times New Roman" w:cs="Times New Roman" w:eastAsia="Times New Roman" w:hAnsi="Times New Roman"/>
          <w:sz w:val="24"/>
          <w:szCs w:val="24"/>
        </w:rPr>
        <w:t xml:space="preserve"> Public transportation (bus, rail, subway) formaldehyde concentrations are generally modest (&lt;20 µg/m³) but vary with vehicle age, ventilation status, and outdoor air intake; new rolling stock with composite wood interiors may exhibit temporarily elevated concentrations.</w:t>
      </w:r>
    </w:p>
    <w:p>
      <w:pPr>
        <w:spacing w:after="120" w:before="280"/>
        <w:jc w:val="left"/>
      </w:pPr>
      <w:r>
        <w:rPr>
          <w:rFonts w:ascii="Times New Roman" w:cs="Times New Roman" w:eastAsia="Times New Roman" w:hAnsi="Times New Roman"/>
          <w:b/>
          <w:bCs/>
          <w:sz w:val="24"/>
          <w:szCs w:val="24"/>
        </w:rPr>
        <w:t xml:space="preserve">Temporary and Emergency Housing</w:t>
      </w:r>
    </w:p>
    <w:p>
      <w:pPr>
        <w:spacing w:after="120" w:before="60" w:line="300"/>
        <w:jc w:val="both"/>
      </w:pPr>
      <w:r>
        <w:rPr>
          <w:rFonts w:ascii="Times New Roman" w:cs="Times New Roman" w:eastAsia="Times New Roman" w:hAnsi="Times New Roman"/>
          <w:sz w:val="24"/>
          <w:szCs w:val="24"/>
        </w:rPr>
        <w:t xml:space="preserve">Temporary and emergency housing — including recreational vehicles, travel trailers, and tiny homes — frequently exhibits elevated formaldehyde concentrations due to composite-wood construction, small air volumes, and limited ventilation. </w:t>
      </w:r>
      <w:r>
        <w:rPr>
          <w:rFonts w:ascii="Times New Roman" w:cs="Times New Roman" w:eastAsia="Times New Roman" w:hAnsi="Times New Roman"/>
          <w:b/>
          <w:bCs/>
          <w:sz w:val="24"/>
          <w:szCs w:val="24"/>
          <w:vertAlign w:val="superscript"/>
        </w:rPr>
        <w:t xml:space="preserve">[31][88]</w:t>
      </w:r>
      <w:r>
        <w:rPr>
          <w:rFonts w:ascii="Times New Roman" w:cs="Times New Roman" w:eastAsia="Times New Roman" w:hAnsi="Times New Roman"/>
          <w:sz w:val="24"/>
          <w:szCs w:val="24"/>
        </w:rPr>
        <w:t xml:space="preserve"> The post-Hurricane Katrina FEMA travel trailer exposure event (2005–2008) documented formaldehyde concentrations of 17–1,180 µg/m³ in distributed travel trailers, with median values of ~80 µg/m³ — several fold above residential guidance.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The event prompted the Formaldehyde Standards for Composite Wood Products Act of 2010 and the CDC/ATSDR health assessment of exposed FEMA residents. </w:t>
      </w:r>
      <w:r>
        <w:rPr>
          <w:rFonts w:ascii="Times New Roman" w:cs="Times New Roman" w:eastAsia="Times New Roman" w:hAnsi="Times New Roman"/>
          <w:b/>
          <w:bCs/>
          <w:sz w:val="24"/>
          <w:szCs w:val="24"/>
          <w:vertAlign w:val="superscript"/>
        </w:rPr>
        <w:t xml:space="preserve">[31][88]</w:t>
      </w:r>
      <w:r>
        <w:rPr>
          <w:rFonts w:ascii="Times New Roman" w:cs="Times New Roman" w:eastAsia="Times New Roman" w:hAnsi="Times New Roman"/>
          <w:sz w:val="24"/>
          <w:szCs w:val="24"/>
        </w:rPr>
        <w:t xml:space="preserve"> Recreational vehicles sold today must meet applicable emission standards (HUD standards for U.S. manufactured homes, ISO 16000 series for European products), but the combination of small air volume, high composite-wood content, and variable occupant ventilation practices continues to present elevated exposure risk. </w:t>
      </w:r>
      <w:r>
        <w:rPr>
          <w:rFonts w:ascii="Times New Roman" w:cs="Times New Roman" w:eastAsia="Times New Roman" w:hAnsi="Times New Roman"/>
          <w:b/>
          <w:bCs/>
          <w:sz w:val="24"/>
          <w:szCs w:val="24"/>
          <w:vertAlign w:val="superscript"/>
        </w:rPr>
        <w:t xml:space="preserve">[31][88]</w:t>
      </w:r>
      <w:r>
        <w:rPr>
          <w:rFonts w:ascii="Times New Roman" w:cs="Times New Roman" w:eastAsia="Times New Roman" w:hAnsi="Times New Roman"/>
          <w:sz w:val="24"/>
          <w:szCs w:val="24"/>
        </w:rPr>
        <w:t xml:space="preserve"> Tiny homes and off-grid dwelling movements have prompted renewed attention to small-space formaldehyde emissions and ventilation standards.</w:t>
      </w:r>
    </w:p>
    <w:p>
      <w:pPr>
        <w:spacing w:after="120" w:before="280"/>
        <w:jc w:val="left"/>
      </w:pPr>
      <w:r>
        <w:rPr>
          <w:rFonts w:ascii="Times New Roman" w:cs="Times New Roman" w:eastAsia="Times New Roman" w:hAnsi="Times New Roman"/>
          <w:b/>
          <w:bCs/>
          <w:sz w:val="24"/>
          <w:szCs w:val="24"/>
        </w:rPr>
        <w:t xml:space="preserve">Seasonal and Climate Variation</w:t>
      </w:r>
    </w:p>
    <w:p>
      <w:pPr>
        <w:spacing w:after="120" w:before="60" w:line="300"/>
        <w:jc w:val="both"/>
      </w:pPr>
      <w:r>
        <w:rPr>
          <w:rFonts w:ascii="Times New Roman" w:cs="Times New Roman" w:eastAsia="Times New Roman" w:hAnsi="Times New Roman"/>
          <w:sz w:val="24"/>
          <w:szCs w:val="24"/>
        </w:rPr>
        <w:t xml:space="preserve">Indoor formaldehyde concentrations exhibit strong seasonal and climate-related variation driven by temperature effects on emission rate, humidity effects on hydrolytic liberation, and ventilation behaviour. </w:t>
      </w:r>
      <w:r>
        <w:rPr>
          <w:rFonts w:ascii="Times New Roman" w:cs="Times New Roman" w:eastAsia="Times New Roman" w:hAnsi="Times New Roman"/>
          <w:b/>
          <w:bCs/>
          <w:sz w:val="24"/>
          <w:szCs w:val="24"/>
          <w:vertAlign w:val="superscript"/>
        </w:rPr>
        <w:t xml:space="preserve">[31][66][85]</w:t>
      </w:r>
      <w:r>
        <w:rPr>
          <w:rFonts w:ascii="Times New Roman" w:cs="Times New Roman" w:eastAsia="Times New Roman" w:hAnsi="Times New Roman"/>
          <w:sz w:val="24"/>
          <w:szCs w:val="24"/>
        </w:rPr>
        <w:t xml:space="preserve"> Summer-season emissions from composite wood products are 2–5-fold higher than winter-season emissions due to Arrhenius-law dependence of emission kinetics on temperature.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High-humidity conditions accelerate urea-formaldehyde resin hydrolysis and release of free formaldehyde, producing further summer elevation; air-conditioning with dehumidification can moderate this effect.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Ventilation practices vary with season and climate — summer air-conditioning in hot climates reduces outdoor air intake, whereas winter heating in cold climates may similarly reduce ventilation to conserve energy — resulting in cyclical indoor concentration variations that must be considered in exposure assessment.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Modern energy-recovery ventilators and continuous mechanical ventilation systems can provide sustained fresh-air exchange while moderating energy penalties; these are increasingly integrated into high-performance building designs.</w:t>
      </w:r>
    </w:p>
    <w:p>
      <w:pPr>
        <w:spacing w:after="120" w:before="280"/>
        <w:jc w:val="left"/>
      </w:pPr>
      <w:r>
        <w:rPr>
          <w:rFonts w:ascii="Times New Roman" w:cs="Times New Roman" w:eastAsia="Times New Roman" w:hAnsi="Times New Roman"/>
          <w:b/>
          <w:bCs/>
          <w:sz w:val="24"/>
          <w:szCs w:val="24"/>
        </w:rPr>
        <w:t xml:space="preserve">Ventilation and Air Cleaning</w:t>
      </w:r>
    </w:p>
    <w:p>
      <w:pPr>
        <w:spacing w:after="120" w:before="60" w:line="300"/>
        <w:jc w:val="both"/>
      </w:pPr>
      <w:r>
        <w:rPr>
          <w:rFonts w:ascii="Times New Roman" w:cs="Times New Roman" w:eastAsia="Times New Roman" w:hAnsi="Times New Roman"/>
          <w:sz w:val="24"/>
          <w:szCs w:val="24"/>
        </w:rPr>
        <w:t xml:space="preserve">Formaldehyde concentrations in occupied spaces are strongly determined by the balance between source emissions, ventilation-driven air exchange, and active removal through air cleaning technologies. </w:t>
      </w:r>
      <w:r>
        <w:rPr>
          <w:rFonts w:ascii="Times New Roman" w:cs="Times New Roman" w:eastAsia="Times New Roman" w:hAnsi="Times New Roman"/>
          <w:b/>
          <w:bCs/>
          <w:sz w:val="24"/>
          <w:szCs w:val="24"/>
          <w:vertAlign w:val="superscript"/>
        </w:rPr>
        <w:t xml:space="preserve">[31][66][85]</w:t>
      </w:r>
      <w:r>
        <w:rPr>
          <w:rFonts w:ascii="Times New Roman" w:cs="Times New Roman" w:eastAsia="Times New Roman" w:hAnsi="Times New Roman"/>
          <w:sz w:val="24"/>
          <w:szCs w:val="24"/>
        </w:rPr>
        <w:t xml:space="preserve"> Outdoor air ventilation at rates of 0.3–0.5 air changes per hour typical of U.S. residences can reduce indoor formaldehyde concentrations by a factor of 3–5 compared with tight-construction low-ventilation homes; ASHRAE 62.2 and 62.1 standards specify ventilation requirements for residential and commercial buildings.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Active air cleaning technologies for formaldehyde include activated carbon filtration (moderate removal efficiency, saturation limits), photocatalytic oxidation with titanium dioxide-coated filters (good removal but risk of intermediate reaction by-product formation), cold-catalyst filters with manganese dioxide (good removal at reasonable cost), and bio-filtration with formaldehyde-metabolising microorganisms (emerging technology).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Combined source control (low-emitting materials) plus adequate ventilation plus supplementary air cleaning provides the most reliable multi-barrier approach to indoor air quality management.</w:t>
      </w:r>
    </w:p>
    <w:p>
      <w:pPr>
        <w:spacing w:after="120" w:before="280"/>
        <w:jc w:val="left"/>
      </w:pPr>
      <w:r>
        <w:rPr>
          <w:rFonts w:ascii="Times New Roman" w:cs="Times New Roman" w:eastAsia="Times New Roman" w:hAnsi="Times New Roman"/>
          <w:b/>
          <w:bCs/>
          <w:sz w:val="24"/>
          <w:szCs w:val="24"/>
        </w:rPr>
        <w:t xml:space="preserve">Indoor Air Quality Guidance Summary</w:t>
      </w:r>
    </w:p>
    <w:p>
      <w:pPr>
        <w:spacing w:after="120" w:before="60" w:line="300"/>
        <w:jc w:val="both"/>
      </w:pPr>
      <w:r>
        <w:rPr>
          <w:rFonts w:ascii="Times New Roman" w:cs="Times New Roman" w:eastAsia="Times New Roman" w:hAnsi="Times New Roman"/>
          <w:sz w:val="24"/>
          <w:szCs w:val="24"/>
        </w:rPr>
        <w:t xml:space="preserve">Regulatory and non-regulatory indoor air quality guidance values for formaldehyde from the principal international agencies and standards bodies show broad convergence in the 10–100 µg/m³ range for residential long-term exposure. </w:t>
      </w:r>
      <w:r>
        <w:rPr>
          <w:rFonts w:ascii="Times New Roman" w:cs="Times New Roman" w:eastAsia="Times New Roman" w:hAnsi="Times New Roman"/>
          <w:b/>
          <w:bCs/>
          <w:sz w:val="24"/>
          <w:szCs w:val="24"/>
          <w:vertAlign w:val="superscript"/>
        </w:rPr>
        <w:t xml:space="preserve">[5][26][28][29][30][66][97]</w:t>
      </w:r>
      <w:r>
        <w:rPr>
          <w:rFonts w:ascii="Times New Roman" w:cs="Times New Roman" w:eastAsia="Times New Roman" w:hAnsi="Times New Roman"/>
          <w:sz w:val="24"/>
          <w:szCs w:val="24"/>
        </w:rPr>
        <w:t xml:space="preserve"> The WHO Indoor Air Quality Guideline of 100 µg/m³ (0.08 ppm) as a 30-minute ceiling is designed to protect against sensory irritation; the EPA IRIS chronic RfC of 7 µg/m³ derived from non-cancer respiratory endpoints is lower and reflects a long-term protection target. </w:t>
      </w:r>
      <w:r>
        <w:rPr>
          <w:rFonts w:ascii="Times New Roman" w:cs="Times New Roman" w:eastAsia="Times New Roman" w:hAnsi="Times New Roman"/>
          <w:b/>
          <w:bCs/>
          <w:sz w:val="24"/>
          <w:szCs w:val="24"/>
          <w:vertAlign w:val="superscript"/>
        </w:rPr>
        <w:t xml:space="preserve">[1][5][29]</w:t>
      </w:r>
      <w:r>
        <w:rPr>
          <w:rFonts w:ascii="Times New Roman" w:cs="Times New Roman" w:eastAsia="Times New Roman" w:hAnsi="Times New Roman"/>
          <w:sz w:val="24"/>
          <w:szCs w:val="24"/>
        </w:rPr>
        <w:t xml:space="preserve"> Health Canada residential indoor air guideline of 0.09 mg/m³ 8-h and 0.123 mg/m³ 1-h; California OEHHA chronic REL of 9 µg/m³; ATSDR chronic inhalation MRL of 10 µg/m³; and French HSC-RS 10-year exposure reference value of 30 µg/m³ provide jurisdictional guidance. </w:t>
      </w:r>
      <w:r>
        <w:rPr>
          <w:rFonts w:ascii="Times New Roman" w:cs="Times New Roman" w:eastAsia="Times New Roman" w:hAnsi="Times New Roman"/>
          <w:b/>
          <w:bCs/>
          <w:sz w:val="24"/>
          <w:szCs w:val="24"/>
          <w:vertAlign w:val="superscript"/>
        </w:rPr>
        <w:t xml:space="preserve">[5][26][28][97]</w:t>
      </w:r>
      <w:r>
        <w:rPr>
          <w:rFonts w:ascii="Times New Roman" w:cs="Times New Roman" w:eastAsia="Times New Roman" w:hAnsi="Times New Roman"/>
          <w:sz w:val="24"/>
          <w:szCs w:val="24"/>
        </w:rPr>
        <w:t xml:space="preserve"> Industry certifications (GREENGUARD Gold 9 µg/m³, Cradle to Cradle thresholds, BIFMA X7.1) and building-level standards (WELL Building Standard 27 µg/m³, LEED v4 &lt;16.4 µg/m³) provide market-based implementation of these health-based guidance values.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The overall regulatory trend is toward harmonisation of residential guidance around the 10–30 µg/m³ range and progressive tightening as new-construction materials achieve lower emission baselines.</w:t>
      </w:r>
    </w:p>
    <w:p>
      <w:r>
        <w:br w:type="page"/>
      </w:r>
    </w:p>
    <w:p>
      <w:pPr>
        <w:spacing w:after="120" w:before="280"/>
        <w:jc w:val="left"/>
      </w:pPr>
      <w:r>
        <w:rPr>
          <w:rFonts w:ascii="Times New Roman" w:cs="Times New Roman" w:eastAsia="Times New Roman" w:hAnsi="Times New Roman"/>
          <w:b/>
          <w:bCs/>
          <w:sz w:val="24"/>
          <w:szCs w:val="24"/>
        </w:rPr>
        <w:t xml:space="preserve">Industry-Specific Formaldehyde Exposure and Controls</w:t>
      </w:r>
    </w:p>
    <w:p>
      <w:pPr>
        <w:spacing w:after="120" w:before="60" w:line="300"/>
        <w:jc w:val="both"/>
      </w:pPr>
      <w:r>
        <w:rPr>
          <w:rFonts w:ascii="Times New Roman" w:cs="Times New Roman" w:eastAsia="Times New Roman" w:hAnsi="Times New Roman"/>
          <w:sz w:val="24"/>
          <w:szCs w:val="24"/>
        </w:rPr>
        <w:t xml:space="preserve">Formaldehyde is encountered across more than fifty identified industry sectors with widely varying exposure profiles, control strategies, and regulatory oversight. </w:t>
      </w:r>
      <w:r>
        <w:rPr>
          <w:rFonts w:ascii="Times New Roman" w:cs="Times New Roman" w:eastAsia="Times New Roman" w:hAnsi="Times New Roman"/>
          <w:b/>
          <w:bCs/>
          <w:sz w:val="24"/>
          <w:szCs w:val="24"/>
          <w:vertAlign w:val="superscript"/>
        </w:rPr>
        <w:t xml:space="preserve">[10][14][15][22][85][99]</w:t>
      </w:r>
      <w:r>
        <w:rPr>
          <w:rFonts w:ascii="Times New Roman" w:cs="Times New Roman" w:eastAsia="Times New Roman" w:hAnsi="Times New Roman"/>
          <w:sz w:val="24"/>
          <w:szCs w:val="24"/>
        </w:rPr>
        <w:t xml:space="preserve"> This section reviews the principal formaldehyde-using industries in depth, covering resin manufacturing, wood products, textile and apparel, plastics and polymers, pharmaceutical and biotechnology, chemical manufacturing, foundry operations, embalming and funeral services, and emerging high-exposure activities. </w:t>
      </w:r>
      <w:r>
        <w:rPr>
          <w:rFonts w:ascii="Times New Roman" w:cs="Times New Roman" w:eastAsia="Times New Roman" w:hAnsi="Times New Roman"/>
          <w:b/>
          <w:bCs/>
          <w:sz w:val="24"/>
          <w:szCs w:val="24"/>
          <w:vertAlign w:val="superscript"/>
        </w:rPr>
        <w:t xml:space="preserve">[14][15][22][85]</w:t>
      </w:r>
      <w:r>
        <w:rPr>
          <w:rFonts w:ascii="Times New Roman" w:cs="Times New Roman" w:eastAsia="Times New Roman" w:hAnsi="Times New Roman"/>
          <w:sz w:val="24"/>
          <w:szCs w:val="24"/>
        </w:rPr>
        <w:t xml:space="preserve"> Each sector has developed characteristic engineering and administrative controls over time, with ongoing incremental improvement driven by regulation, insurance, and workforce health awareness. The sections that follow examine these in turn.</w:t>
      </w:r>
    </w:p>
    <w:p>
      <w:pPr>
        <w:spacing w:after="80" w:before="120"/>
        <w:jc w:val="center"/>
      </w:pPr>
      <w:r>
        <w:drawing>
          <wp:inline distT="0" distB="0" distL="0" distR="0">
            <wp:extent cx="5143500" cy="3048000"/>
            <wp:effectExtent t="0" r="0" b="0" l="0"/>
            <wp:docPr id="1" name="fig15_occupational.png" descr="fig15_occupational.png" title="fig15_occupa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IS1. Occupational formaldehyde 8-h TWA by industry (geometric mean and 95th percentile). Vertical lines show the US OSHA PEL (0.75 ppm) and ACGIH TLV ceiling (0.1 ppm) for comparison.</w:t>
      </w:r>
    </w:p>
    <w:p>
      <w:pPr>
        <w:spacing w:after="120" w:before="280"/>
        <w:jc w:val="left"/>
      </w:pPr>
      <w:r>
        <w:rPr>
          <w:rFonts w:ascii="Times New Roman" w:cs="Times New Roman" w:eastAsia="Times New Roman" w:hAnsi="Times New Roman"/>
          <w:b/>
          <w:bCs/>
          <w:sz w:val="24"/>
          <w:szCs w:val="24"/>
        </w:rPr>
        <w:t xml:space="preserve">Resin Manufacturing</w:t>
      </w:r>
    </w:p>
    <w:p>
      <w:pPr>
        <w:spacing w:after="120" w:before="60" w:line="300"/>
        <w:jc w:val="both"/>
      </w:pPr>
      <w:r>
        <w:rPr>
          <w:rFonts w:ascii="Times New Roman" w:cs="Times New Roman" w:eastAsia="Times New Roman" w:hAnsi="Times New Roman"/>
          <w:sz w:val="24"/>
          <w:szCs w:val="24"/>
        </w:rPr>
        <w:t xml:space="preserve">Resin manufacturing is the principal industrial use of formaldehyde globally, with urea-formaldehyde (UF), phenol-formaldehyde (PF), and melamine-formaldehyde (MF) resins accounting for approximately 65% of total formaldehyde consumption. </w:t>
      </w:r>
      <w:r>
        <w:rPr>
          <w:rFonts w:ascii="Times New Roman" w:cs="Times New Roman" w:eastAsia="Times New Roman" w:hAnsi="Times New Roman"/>
          <w:b/>
          <w:bCs/>
          <w:sz w:val="24"/>
          <w:szCs w:val="24"/>
          <w:vertAlign w:val="superscript"/>
        </w:rPr>
        <w:t xml:space="preserve">[22][31][85]</w:t>
      </w:r>
      <w:r>
        <w:rPr>
          <w:rFonts w:ascii="Times New Roman" w:cs="Times New Roman" w:eastAsia="Times New Roman" w:hAnsi="Times New Roman"/>
          <w:sz w:val="24"/>
          <w:szCs w:val="24"/>
        </w:rPr>
        <w:t xml:space="preserve"> Resin reactor operators, kettle workers, and quality-control technicians experience the highest occupational exposures in this sector, with historical breathing-zone concentrations of 2–10 ppm reported in U.S., European, and Asian facilities during the 1950s–1980s.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Modern resin manufacturing employs enclosed reactor systems with condensate capture, local exhaust ventilation at sampling and loading points, and automated process control; contemporary TWA exposures typically remain below 0.5 ppm. </w:t>
      </w:r>
      <w:r>
        <w:rPr>
          <w:rFonts w:ascii="Times New Roman" w:cs="Times New Roman" w:eastAsia="Times New Roman" w:hAnsi="Times New Roman"/>
          <w:b/>
          <w:bCs/>
          <w:sz w:val="24"/>
          <w:szCs w:val="24"/>
          <w:vertAlign w:val="superscript"/>
        </w:rPr>
        <w:t xml:space="preserve">[85][99]</w:t>
      </w:r>
      <w:r>
        <w:rPr>
          <w:rFonts w:ascii="Times New Roman" w:cs="Times New Roman" w:eastAsia="Times New Roman" w:hAnsi="Times New Roman"/>
          <w:sz w:val="24"/>
          <w:szCs w:val="24"/>
        </w:rPr>
        <w:t xml:space="preserve"> Specific high-exposure tasks include reactor sampling, batch-end vessel cleaning, quality control analysis, and maintenance interventions; these tasks are managed through task-specific PPE, engineering controls such as local capture hoods, and administrative measures including work-authorisation procedures.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The NCI industrial cohort represents the definitive epidemiological evaluation of resin-manufacturing workers and provides the foundation for cancer risk assessment across this sector.</w:t>
      </w:r>
    </w:p>
    <w:p>
      <w:pPr>
        <w:spacing w:after="120" w:before="280"/>
        <w:jc w:val="left"/>
      </w:pPr>
      <w:r>
        <w:rPr>
          <w:rFonts w:ascii="Times New Roman" w:cs="Times New Roman" w:eastAsia="Times New Roman" w:hAnsi="Times New Roman"/>
          <w:b/>
          <w:bCs/>
          <w:sz w:val="24"/>
          <w:szCs w:val="24"/>
        </w:rPr>
        <w:t xml:space="preserve">Composite Wood Products</w:t>
      </w:r>
    </w:p>
    <w:p>
      <w:pPr>
        <w:spacing w:after="120" w:before="60" w:line="300"/>
        <w:jc w:val="both"/>
      </w:pPr>
      <w:r>
        <w:rPr>
          <w:rFonts w:ascii="Times New Roman" w:cs="Times New Roman" w:eastAsia="Times New Roman" w:hAnsi="Times New Roman"/>
          <w:sz w:val="24"/>
          <w:szCs w:val="24"/>
        </w:rPr>
        <w:t xml:space="preserve">Composite wood products manufacturing — particleboard, medium-density fibreboard (MDF), hardwood plywood, and oriented strandboard with formaldehyde-containing adhesives — represents a second major sector of formaldehyde use. </w:t>
      </w:r>
      <w:r>
        <w:rPr>
          <w:rFonts w:ascii="Times New Roman" w:cs="Times New Roman" w:eastAsia="Times New Roman" w:hAnsi="Times New Roman"/>
          <w:b/>
          <w:bCs/>
          <w:sz w:val="24"/>
          <w:szCs w:val="24"/>
          <w:vertAlign w:val="superscript"/>
        </w:rPr>
        <w:t xml:space="preserve">[31][63][85]</w:t>
      </w:r>
      <w:r>
        <w:rPr>
          <w:rFonts w:ascii="Times New Roman" w:cs="Times New Roman" w:eastAsia="Times New Roman" w:hAnsi="Times New Roman"/>
          <w:sz w:val="24"/>
          <w:szCs w:val="24"/>
        </w:rPr>
        <w:t xml:space="preserve"> Process exposure locations include resin-addition and blending, mat formation and pressing, panel sawing and edge-sealing, and finished-product handling; hot-press operators experienced historical exposures of 1–5 ppm, which have been reduced to &lt;0.5 ppm in modern facilities through press ventilation and resin reformulation.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The industry has transitioned progressively from urea-formaldehyde to lower-emitting UF-melamine copolymer resins, MDI-based adhesives, and formaldehyde-free binder systems; this transition has been driven by regulatory standards (CARB, TSCA Title VI, European E1/E0), consumer demand for low-emitting products, and architectural certification programs (GREENGUARD, LEED, WELL). </w:t>
      </w:r>
      <w:r>
        <w:rPr>
          <w:rFonts w:ascii="Times New Roman" w:cs="Times New Roman" w:eastAsia="Times New Roman" w:hAnsi="Times New Roman"/>
          <w:b/>
          <w:bCs/>
          <w:sz w:val="24"/>
          <w:szCs w:val="24"/>
          <w:vertAlign w:val="superscript"/>
        </w:rPr>
        <w:t xml:space="preserve">[31][91]</w:t>
      </w:r>
      <w:r>
        <w:rPr>
          <w:rFonts w:ascii="Times New Roman" w:cs="Times New Roman" w:eastAsia="Times New Roman" w:hAnsi="Times New Roman"/>
          <w:sz w:val="24"/>
          <w:szCs w:val="24"/>
        </w:rPr>
        <w:t xml:space="preserve"> Downstream furniture manufacturing, cabinetry, and flooring installation workers have secondary exposure through cutting, sanding, and finishing of composite wood products; dust control and local exhaust ventilation are standard practice in these operations.</w:t>
      </w:r>
    </w:p>
    <w:p>
      <w:pPr>
        <w:spacing w:after="120" w:before="280"/>
        <w:jc w:val="left"/>
      </w:pPr>
      <w:r>
        <w:rPr>
          <w:rFonts w:ascii="Times New Roman" w:cs="Times New Roman" w:eastAsia="Times New Roman" w:hAnsi="Times New Roman"/>
          <w:b/>
          <w:bCs/>
          <w:sz w:val="24"/>
          <w:szCs w:val="24"/>
        </w:rPr>
        <w:t xml:space="preserve">Textile and Apparel Finishing</w:t>
      </w:r>
    </w:p>
    <w:p>
      <w:pPr>
        <w:spacing w:after="120" w:before="60" w:line="300"/>
        <w:jc w:val="both"/>
      </w:pPr>
      <w:r>
        <w:rPr>
          <w:rFonts w:ascii="Times New Roman" w:cs="Times New Roman" w:eastAsia="Times New Roman" w:hAnsi="Times New Roman"/>
          <w:sz w:val="24"/>
          <w:szCs w:val="24"/>
        </w:rPr>
        <w:t xml:space="preserve">Textile and apparel finishing with formaldehyde-based wrinkle-resistance, shrink-proofing, and antimicrobial treatments has declined substantially in developed economies but remains widespread in developing-world manufacturing regions. </w:t>
      </w:r>
      <w:r>
        <w:rPr>
          <w:rFonts w:ascii="Times New Roman" w:cs="Times New Roman" w:eastAsia="Times New Roman" w:hAnsi="Times New Roman"/>
          <w:b/>
          <w:bCs/>
          <w:sz w:val="24"/>
          <w:szCs w:val="24"/>
          <w:vertAlign w:val="superscript"/>
        </w:rPr>
        <w:t xml:space="preserve">[14][15][26][85]</w:t>
      </w:r>
      <w:r>
        <w:rPr>
          <w:rFonts w:ascii="Times New Roman" w:cs="Times New Roman" w:eastAsia="Times New Roman" w:hAnsi="Times New Roman"/>
          <w:sz w:val="24"/>
          <w:szCs w:val="24"/>
        </w:rPr>
        <w:t xml:space="preserve"> The NIOSH garment workers cohort (Pinkerton et al.) represents the principal epidemiological evaluation of this sector, documenting breathing-zone exposures of 0.1–2 ppm with elevated myeloid leukaemia mortality in the exposed workforce.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Modern textile manufacturers in developed economies have largely transitioned to low-formaldehyde DMDHEU formulations with formaldehyde content &lt;75 mg/kg (European REACH Entry 72 limit); some imported apparel from less-regulated regions may still exhibit higher levels, prompting import surveillance by regulatory agencies.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Dyeing, printing, and finishing machinery has been enclosed with local exhaust ventilation and condensate recovery systems; finished-goods warehouses require adequate ventilation to manage cumulative vapour release from stored fabrics.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Workers in developing-country garment manufacturing remain at elevated risk where regulatory oversight and engineering controls lag behind international standards.</w:t>
      </w:r>
    </w:p>
    <w:p>
      <w:pPr>
        <w:spacing w:after="120" w:before="280"/>
        <w:jc w:val="left"/>
      </w:pPr>
      <w:r>
        <w:rPr>
          <w:rFonts w:ascii="Times New Roman" w:cs="Times New Roman" w:eastAsia="Times New Roman" w:hAnsi="Times New Roman"/>
          <w:b/>
          <w:bCs/>
          <w:sz w:val="24"/>
          <w:szCs w:val="24"/>
        </w:rPr>
        <w:t xml:space="preserve">Foundry and Metal Casting</w:t>
      </w:r>
    </w:p>
    <w:p>
      <w:pPr>
        <w:spacing w:after="120" w:before="60" w:line="300"/>
        <w:jc w:val="both"/>
      </w:pPr>
      <w:r>
        <w:rPr>
          <w:rFonts w:ascii="Times New Roman" w:cs="Times New Roman" w:eastAsia="Times New Roman" w:hAnsi="Times New Roman"/>
          <w:sz w:val="24"/>
          <w:szCs w:val="24"/>
        </w:rPr>
        <w:t xml:space="preserve">Foundry and metal casting operations using furan and phenol-formaldehyde-based sand-core binders generate formaldehyde emissions during mold filling, core-baking, and casting operations. </w:t>
      </w:r>
      <w:r>
        <w:rPr>
          <w:rFonts w:ascii="Times New Roman" w:cs="Times New Roman" w:eastAsia="Times New Roman" w:hAnsi="Times New Roman"/>
          <w:b/>
          <w:bCs/>
          <w:sz w:val="24"/>
          <w:szCs w:val="24"/>
          <w:vertAlign w:val="superscript"/>
        </w:rPr>
        <w:t xml:space="preserve">[22][85][99]</w:t>
      </w:r>
      <w:r>
        <w:rPr>
          <w:rFonts w:ascii="Times New Roman" w:cs="Times New Roman" w:eastAsia="Times New Roman" w:hAnsi="Times New Roman"/>
          <w:sz w:val="24"/>
          <w:szCs w:val="24"/>
        </w:rPr>
        <w:t xml:space="preserve"> Foundry worker exposures have historically been 0.2–3 ppm TWA with peak exposures during pouring and mold-break-out operations.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Contemporary foundry operations employ enclosed core-blowing machines with heated-tube emission treatment, local exhaust at pouring stations, and shakeout-area ventilation; these controls have reduced typical exposures to &lt;0.5 ppm TWA in modern facilities. </w:t>
      </w:r>
      <w:r>
        <w:rPr>
          <w:rFonts w:ascii="Times New Roman" w:cs="Times New Roman" w:eastAsia="Times New Roman" w:hAnsi="Times New Roman"/>
          <w:b/>
          <w:bCs/>
          <w:sz w:val="24"/>
          <w:szCs w:val="24"/>
          <w:vertAlign w:val="superscript"/>
        </w:rPr>
        <w:t xml:space="preserve">[85][99]</w:t>
      </w:r>
      <w:r>
        <w:rPr>
          <w:rFonts w:ascii="Times New Roman" w:cs="Times New Roman" w:eastAsia="Times New Roman" w:hAnsi="Times New Roman"/>
          <w:sz w:val="24"/>
          <w:szCs w:val="24"/>
        </w:rPr>
        <w:t xml:space="preserve"> The transition to cold-box (amine-catalysed) and shell-process binders, and progressive substitution with inorganic (silicate) and no-bake phenolic urethane systems, has further reduced formaldehyde emissions in many foundry applications.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Specific high-exposure tasks (mold cleaning, furnace charge preparation, maintenance interventions) require task-specific PPE and engineering controls.</w:t>
      </w:r>
    </w:p>
    <w:p>
      <w:pPr>
        <w:spacing w:after="120" w:before="280"/>
        <w:jc w:val="left"/>
      </w:pPr>
      <w:r>
        <w:rPr>
          <w:rFonts w:ascii="Times New Roman" w:cs="Times New Roman" w:eastAsia="Times New Roman" w:hAnsi="Times New Roman"/>
          <w:b/>
          <w:bCs/>
          <w:sz w:val="24"/>
          <w:szCs w:val="24"/>
        </w:rPr>
        <w:t xml:space="preserve">Pharmaceutical and Biotechnology</w:t>
      </w:r>
    </w:p>
    <w:p>
      <w:pPr>
        <w:spacing w:after="120" w:before="60" w:line="300"/>
        <w:jc w:val="both"/>
      </w:pPr>
      <w:r>
        <w:rPr>
          <w:rFonts w:ascii="Times New Roman" w:cs="Times New Roman" w:eastAsia="Times New Roman" w:hAnsi="Times New Roman"/>
          <w:sz w:val="24"/>
          <w:szCs w:val="24"/>
        </w:rPr>
        <w:t xml:space="preserve">Pharmaceutical and biotechnology applications of formaldehyde include vaccine manufacturing (viral inactivation, conjugate formation), biological preservation (tissue and organ preservation, antigen fixation), and certain drug formulation and packaging applications.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Vaccine-manufacturing worker exposures are typically low (&lt;0.1 ppm TWA) due to enclosed bioreactor systems and rigorous aseptic handling practices, but task-specific peaks occur during reagent preparation and vessel cleaning.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Formaldehyde is used in many vaccine production processes at very low concentrations to inactivate toxins or viruses; residual formaldehyde in the final vaccine product is in microgram quantities — vastly below the endogenous formaldehyde burden — and has been the subject of repeated safety reviews by FDA, CDC, and independent scientific panels finding no evidence of adverse health effects from vaccine-derived formaldehyde.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Biological preservation uses formalin-based fixatives (10% neutral buffered formaldehyde) for tissue specimens, anatomical preparations, and certain laboratory applications; these applications overlap with healthcare and research settings discussed elsewhere.</w:t>
      </w:r>
    </w:p>
    <w:p>
      <w:pPr>
        <w:spacing w:after="120" w:before="280"/>
        <w:jc w:val="left"/>
      </w:pPr>
      <w:r>
        <w:rPr>
          <w:rFonts w:ascii="Times New Roman" w:cs="Times New Roman" w:eastAsia="Times New Roman" w:hAnsi="Times New Roman"/>
          <w:b/>
          <w:bCs/>
          <w:sz w:val="24"/>
          <w:szCs w:val="24"/>
        </w:rPr>
        <w:t xml:space="preserve">Chemical Manufacturing</w:t>
      </w:r>
    </w:p>
    <w:p>
      <w:pPr>
        <w:spacing w:after="120" w:before="60" w:line="300"/>
        <w:jc w:val="both"/>
      </w:pPr>
      <w:r>
        <w:rPr>
          <w:rFonts w:ascii="Times New Roman" w:cs="Times New Roman" w:eastAsia="Times New Roman" w:hAnsi="Times New Roman"/>
          <w:sz w:val="24"/>
          <w:szCs w:val="24"/>
        </w:rPr>
        <w:t xml:space="preserve">Formaldehyde is manufactured at industrial scale through catalytic oxidation of methanol over silver or iron-molybdenum oxide catalysts, with global production estimated at 40+ million metric tonnes annually. </w:t>
      </w:r>
      <w:r>
        <w:rPr>
          <w:rFonts w:ascii="Times New Roman" w:cs="Times New Roman" w:eastAsia="Times New Roman" w:hAnsi="Times New Roman"/>
          <w:b/>
          <w:bCs/>
          <w:sz w:val="24"/>
          <w:szCs w:val="24"/>
          <w:vertAlign w:val="superscript"/>
        </w:rPr>
        <w:t xml:space="preserve">[22][31][85]</w:t>
      </w:r>
      <w:r>
        <w:rPr>
          <w:rFonts w:ascii="Times New Roman" w:cs="Times New Roman" w:eastAsia="Times New Roman" w:hAnsi="Times New Roman"/>
          <w:sz w:val="24"/>
          <w:szCs w:val="24"/>
        </w:rPr>
        <w:t xml:space="preserve"> Production facility workers — reactor operators, maintenance technicians, shipping and receiving personnel — have had historical TWA exposures of 0.5–3 ppm; modern facilities with enclosed process systems and real-time monitoring achieve &lt;0.3 ppm TWA.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Downstream chemical manufacturing uses formaldehyde as an intermediate for pentaerythritol, 1,4-butanediol, trimethylolpropane, urotropine, methylene diphenyl diisocyanate, and numerous specialty chemicals; each downstream process has its own exposure profile and control requirements.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Transportation and distribution of formalin (37% aqueous formaldehyde with methanol stabiliser) involves tank trucks, rail cars, and intermediate bulk containers with rigorous containment requirements under U.S. DOT, EU ADR, and IMDG regulatory frameworks.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Emergency response planning for large-volume formalin spills is a standard requirement at production, distribution, and end-user facilities.</w:t>
      </w:r>
    </w:p>
    <w:p>
      <w:pPr>
        <w:spacing w:after="120" w:before="280"/>
        <w:jc w:val="left"/>
      </w:pPr>
      <w:r>
        <w:rPr>
          <w:rFonts w:ascii="Times New Roman" w:cs="Times New Roman" w:eastAsia="Times New Roman" w:hAnsi="Times New Roman"/>
          <w:b/>
          <w:bCs/>
          <w:sz w:val="24"/>
          <w:szCs w:val="24"/>
        </w:rPr>
        <w:t xml:space="preserve">Funeral Services and Embalming</w:t>
      </w:r>
    </w:p>
    <w:p>
      <w:pPr>
        <w:spacing w:after="120" w:before="60" w:line="300"/>
        <w:jc w:val="both"/>
      </w:pPr>
      <w:r>
        <w:rPr>
          <w:rFonts w:ascii="Times New Roman" w:cs="Times New Roman" w:eastAsia="Times New Roman" w:hAnsi="Times New Roman"/>
          <w:sz w:val="24"/>
          <w:szCs w:val="24"/>
        </w:rPr>
        <w:t xml:space="preserve">Funeral services and embalming represent a characteristic high-exposure environment with complex task-based exposure profiles. </w:t>
      </w:r>
      <w:r>
        <w:rPr>
          <w:rFonts w:ascii="Times New Roman" w:cs="Times New Roman" w:eastAsia="Times New Roman" w:hAnsi="Times New Roman"/>
          <w:b/>
          <w:bCs/>
          <w:sz w:val="24"/>
          <w:szCs w:val="24"/>
          <w:vertAlign w:val="superscript"/>
        </w:rPr>
        <w:t xml:space="preserve">[12][85][89]</w:t>
      </w:r>
      <w:r>
        <w:rPr>
          <w:rFonts w:ascii="Times New Roman" w:cs="Times New Roman" w:eastAsia="Times New Roman" w:hAnsi="Times New Roman"/>
          <w:sz w:val="24"/>
          <w:szCs w:val="24"/>
        </w:rPr>
        <w:t xml:space="preserve"> Embalmers and preparation-room technicians work with formaldehyde-based embalming fluids (typically 5–35% formaldehyde) in small preparation rooms with historically limited ventilation.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NIOSH industrial hygiene surveys have documented TWA exposures of 0.5–3 ppm with task-related peaks exceeding 5 ppm during body cavity injection, autopsy-incision preparation, and long-case embalming procedures.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The NIOSH embalmers cohort (Hauptmann/Stewart) documented elevated mortality from myeloid leukaemia with hazard ratios up to 11.2 in highest peak-exposure tertile, providing the strongest epidemiological signal for formaldehyde haematological carcinogenicity.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Modern preparation-room design incorporates downdraft-ventilated preparation tables, enclosed embalming injection systems with built-in capture, emergency eyewash and safety shower accessibility, and task-specific PPE; trade association guidance from the National Funeral Directors Association and international counterparts provides best-practice specifications. </w:t>
      </w:r>
      <w:r>
        <w:rPr>
          <w:rFonts w:ascii="Times New Roman" w:cs="Times New Roman" w:eastAsia="Times New Roman" w:hAnsi="Times New Roman"/>
          <w:b/>
          <w:bCs/>
          <w:sz w:val="24"/>
          <w:szCs w:val="24"/>
          <w:vertAlign w:val="superscript"/>
        </w:rPr>
        <w:t xml:space="preserve">[12][89][99]</w:t>
      </w:r>
      <w:r>
        <w:rPr>
          <w:rFonts w:ascii="Times New Roman" w:cs="Times New Roman" w:eastAsia="Times New Roman" w:hAnsi="Times New Roman"/>
          <w:sz w:val="24"/>
          <w:szCs w:val="24"/>
        </w:rPr>
        <w:t xml:space="preserve"> Continued occupational health surveillance of this workforce is a priority given the historical exposure burden and the ongoing task-based peak exposure profile.</w:t>
      </w:r>
    </w:p>
    <w:p>
      <w:pPr>
        <w:spacing w:after="120" w:before="280"/>
        <w:jc w:val="left"/>
      </w:pPr>
      <w:r>
        <w:rPr>
          <w:rFonts w:ascii="Times New Roman" w:cs="Times New Roman" w:eastAsia="Times New Roman" w:hAnsi="Times New Roman"/>
          <w:b/>
          <w:bCs/>
          <w:sz w:val="24"/>
          <w:szCs w:val="24"/>
        </w:rPr>
        <w:t xml:space="preserve">Histopathology and Anatomy Laboratories</w:t>
      </w:r>
    </w:p>
    <w:p>
      <w:pPr>
        <w:spacing w:after="120" w:before="60" w:line="300"/>
        <w:jc w:val="both"/>
      </w:pPr>
      <w:r>
        <w:rPr>
          <w:rFonts w:ascii="Times New Roman" w:cs="Times New Roman" w:eastAsia="Times New Roman" w:hAnsi="Times New Roman"/>
          <w:sz w:val="24"/>
          <w:szCs w:val="24"/>
        </w:rPr>
        <w:t xml:space="preserve">Histopathology and anatomy laboratories represent a second major category of healthcare-associated formaldehyde exposure.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Pathologists, histotechnicians, and anatomy-teaching faculty/technicians handle formalin-fixed specimens routinely; historical TWA exposures of 0.3–2 ppm were common with task-related peaks during gross specimen processing.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Modern laboratories employ enclosed grossing stations with downdraft ventilation, enclosed tissue processing equipment, pre-filled and sealed specimen containers, and substitution of alternative fixatives (alcohol-based, molecular fixatives, ethanol-formaldehyde blends) where histological requirements permit.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Anatomy laboratories have progressively transitioned from traditional formalin fixation to reduced-formaldehyde embalming techniques using phenol, glycerol, and sodium dihydrate-based preservative systems; these alternatives preserve anatomical detail for teaching while substantially reducing occupational exposure.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Trainee physicians and dental students in anatomy and pathology rotations constitute a secondary exposure population with characteristic symptom profiles and sensitivity to poor laboratory ventilation; institutional oversight of trainee exposure is increasingly integrated into medical education accreditation.</w:t>
      </w:r>
    </w:p>
    <w:p>
      <w:pPr>
        <w:spacing w:after="120" w:before="280"/>
        <w:jc w:val="left"/>
      </w:pPr>
      <w:r>
        <w:rPr>
          <w:rFonts w:ascii="Times New Roman" w:cs="Times New Roman" w:eastAsia="Times New Roman" w:hAnsi="Times New Roman"/>
          <w:b/>
          <w:bCs/>
          <w:sz w:val="24"/>
          <w:szCs w:val="24"/>
        </w:rPr>
        <w:t xml:space="preserve">Cosmetology and Hair Salons</w:t>
      </w:r>
    </w:p>
    <w:p>
      <w:pPr>
        <w:spacing w:after="120" w:before="60" w:line="300"/>
        <w:jc w:val="both"/>
      </w:pPr>
      <w:r>
        <w:rPr>
          <w:rFonts w:ascii="Times New Roman" w:cs="Times New Roman" w:eastAsia="Times New Roman" w:hAnsi="Times New Roman"/>
          <w:sz w:val="24"/>
          <w:szCs w:val="24"/>
        </w:rPr>
        <w:t xml:space="preserve">Cosmetology and hair salon workers experience formaldehyde exposure through hair-smoothing products (keratin treatments, Brazilian blowouts), nail-care products (nail hardeners), and cosmetic preservatives.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The 2009–2015 Brazilian keratin hair-smoothing product exposure event documented salon breathing-zone exposures frequently exceeding the OSHA 2 ppm short-term exposure limit during heat-activated application.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FDA and state-level regulatory actions, combined with product reformulation toward glyoxylic-acid-based alternatives, have substantially reduced the exposure burden in U.S. salons; global enforcement remains variable.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Nail-hardener products with up to 5% formaldehyde remain in use; cosmetologist exposure is episodic but cumulative across product applications, and sensitisation to formaldehyde and formaldehyde-releasing preservatives is more common in this workforce than in the general population.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Salon ventilation requirements, PPE practices (gloves, eye protection), and state-level cosmetology training standards vary widely; the 2024 GAO report on formaldehyde in hair products documented persistent regulatory gaps and is driving federal action.</w:t>
      </w:r>
    </w:p>
    <w:p>
      <w:pPr>
        <w:spacing w:after="120" w:before="280"/>
        <w:jc w:val="left"/>
      </w:pPr>
      <w:r>
        <w:rPr>
          <w:rFonts w:ascii="Times New Roman" w:cs="Times New Roman" w:eastAsia="Times New Roman" w:hAnsi="Times New Roman"/>
          <w:b/>
          <w:bCs/>
          <w:sz w:val="24"/>
          <w:szCs w:val="24"/>
        </w:rPr>
        <w:t xml:space="preserve">Emerging and Niche Uses</w:t>
      </w:r>
    </w:p>
    <w:p>
      <w:pPr>
        <w:spacing w:after="120" w:before="60" w:line="300"/>
        <w:jc w:val="both"/>
      </w:pPr>
      <w:r>
        <w:rPr>
          <w:rFonts w:ascii="Times New Roman" w:cs="Times New Roman" w:eastAsia="Times New Roman" w:hAnsi="Times New Roman"/>
          <w:sz w:val="24"/>
          <w:szCs w:val="24"/>
        </w:rPr>
        <w:t xml:space="preserve">Emerging and niche uses of formaldehyde include 3D printing photopolymer resins, aerospace composite manufacturing, electronics fabrication, agricultural seed treatment, and specialty chemical synthesis.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3D printing operations using certain ultraviolet-cured methacrylate and urethane-acrylate resins generate formaldehyde as a decomposition product; occupational exposures are generally modest but depend on print volume, ventilation, and resin formulation.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Aerospace composite manufacturing (carbon-fibre-reinforced polymer, phenolic resin systems) generates formaldehyde during layup, cure, and trim operations; exposures vary substantially with process and have been managed through enclosed layup areas and local exhaust ventilation.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Agricultural seed treatment with formaldehyde-based antifungal formulations and veterinary uses (pest control, sanitising) represent relatively small but specific occupational exposures.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As emerging applications develop, industrial hygiene surveillance and health-based exposure guidance should anticipate and characterise new exposure patterns before substantial workforce health impact accumulates.</w:t>
      </w:r>
    </w:p>
    <w:p>
      <w:pPr>
        <w:spacing w:after="120" w:before="280"/>
        <w:jc w:val="left"/>
      </w:pPr>
      <w:r>
        <w:rPr>
          <w:rFonts w:ascii="Times New Roman" w:cs="Times New Roman" w:eastAsia="Times New Roman" w:hAnsi="Times New Roman"/>
          <w:b/>
          <w:bCs/>
          <w:sz w:val="24"/>
          <w:szCs w:val="24"/>
        </w:rPr>
        <w:t xml:space="preserve">Health Effects</w:t>
      </w:r>
    </w:p>
    <w:p>
      <w:pPr>
        <w:spacing w:after="120" w:before="60" w:line="300"/>
        <w:jc w:val="both"/>
      </w:pPr>
      <w:r>
        <w:rPr>
          <w:rFonts w:ascii="Times New Roman" w:cs="Times New Roman" w:eastAsia="Times New Roman" w:hAnsi="Times New Roman"/>
          <w:sz w:val="24"/>
          <w:szCs w:val="24"/>
        </w:rPr>
        <w:t xml:space="preserve">The human-health effects of formaldehyde are dominated by two classes of outcomes: (i) sensory and tissue irritation of the upper respiratory tract, eyes, and skin, which is the principal non-cancer outcome driving the EPA IRIS RfC, the WHO IAQ guideline, and the ACGIH TLV; and (ii) carcinogenicity, focused on nasopharyngeal cancer, sinonasal cancer, and myeloid leukaemia, which is the principal outcome driving the EPA IRIS IUR, the NIOSH REL, and the NTP and IARC carcinogen classifications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b/>
          <w:bCs/>
          <w:sz w:val="24"/>
          <w:szCs w:val="24"/>
          <w:vertAlign w:val="superscript"/>
        </w:rPr>
        <w:t xml:space="preserve">[35]</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Secondary outcomes include contact dermatitis, asthma exacerbation, reproductive and developmental toxicity, neurotoxicity, and DNA-damage-related phenotypes particularly in individuals with genetic deficiency in ADH5 or ALDH2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b/>
          <w:bCs/>
          <w:sz w:val="24"/>
          <w:szCs w:val="24"/>
          <w:vertAlign w:val="superscript"/>
        </w:rPr>
        <w:t xml:space="preserve">[29]</w:t>
      </w:r>
      <w:r>
        <w:rPr>
          <w:rFonts w:ascii="Times New Roman" w:cs="Times New Roman" w:eastAsia="Times New Roman" w:hAnsi="Times New Roman"/>
          <w:b/>
          <w:bCs/>
          <w:sz w:val="24"/>
          <w:szCs w:val="24"/>
          <w:vertAlign w:val="superscript"/>
        </w:rPr>
        <w:t xml:space="preserve">[33]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Acute Health Effects</w:t>
      </w:r>
    </w:p>
    <w:p>
      <w:pPr>
        <w:spacing w:after="120" w:before="60" w:line="300"/>
        <w:jc w:val="both"/>
      </w:pPr>
      <w:r>
        <w:rPr>
          <w:rFonts w:ascii="Times New Roman" w:cs="Times New Roman" w:eastAsia="Times New Roman" w:hAnsi="Times New Roman"/>
          <w:sz w:val="24"/>
          <w:szCs w:val="24"/>
        </w:rPr>
        <w:t xml:space="preserve">The acute health effects of formaldehyde are dominated by sensory irritation of the eyes, nose, throat, and upper respiratory tract. At concentrations of 0.1–0.5 ppm, sensitive individuals report eye irritation, lacrimation, and throat discomfort; at 0.5–1.0 ppm, most exposed individuals experience definite irritation; at 1–2 ppm, mucous-membrane irritation is consistent and uncomfortable; at 2–5 ppm, cough, throat burning, and sensory irritation become severe; at 10–20 ppm, sustained exposure produces laryngospasm, bronchospasm, and impaired breathing; at 50–100 ppm, pulmonary oedema and chemical pneumonitis may develop; at &gt;100 ppm, rapid death may occur from airway oedema and anoxia. The NIOSH IDLH (20 ppm) reflects the concentration above which 30-minute exposure is judged to be immediately dangerous to life or health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Acute dermal exposure causes irritant contact dermatitis in most exposed individuals at concentrations ≥1 % w/v in water or ≥0.5 ppm in air; allergic contact dermatitis (Type IV hypersensitivity) develops in approximately 2–4 % of the general population but may reach 10–15 % in repeatedly-exposed cosmetology and histopathology workers. Patch-test reactivity to a 1 % w/v aqueous formaldehyde standard is a routine component of the North American Standard Series and the European Baseline Series in clinical allergology, where it ranks in the top ten of common allergens in contact-dermatitis surveys. Eye splash with concentrated formalin causes severe corneal injury with corneal haze, epithelial defect, and stromal oedema; urgent irrigation with copious water is the initial treatment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Long-Term Health Effects</w:t>
      </w:r>
    </w:p>
    <w:p>
      <w:pPr>
        <w:spacing w:after="120" w:before="60" w:line="300"/>
        <w:jc w:val="both"/>
      </w:pPr>
      <w:r>
        <w:rPr>
          <w:rFonts w:ascii="Times New Roman" w:cs="Times New Roman" w:eastAsia="Times New Roman" w:hAnsi="Times New Roman"/>
          <w:sz w:val="24"/>
          <w:szCs w:val="24"/>
        </w:rPr>
        <w:t xml:space="preserve">Long-term inhalation exposure at concentrations commonly encountered in poorly controlled occupational and historical anatomy-laboratory settings (0.5–3 ppm) produces chronic rhinitis, rhinosinusitis, chronic bronchitis, and an accelerated decline in FEV₁ and FVC averaging 2–5 % per decade above age-matched unexposed controls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b/>
          <w:bCs/>
          <w:sz w:val="24"/>
          <w:szCs w:val="24"/>
          <w:vertAlign w:val="superscript"/>
        </w:rPr>
        <w:t xml:space="preserve">[29]</w:t>
      </w:r>
      <w:r>
        <w:rPr>
          <w:rFonts w:ascii="Times New Roman" w:cs="Times New Roman" w:eastAsia="Times New Roman" w:hAnsi="Times New Roman"/>
          <w:sz w:val="24"/>
          <w:szCs w:val="24"/>
        </w:rPr>
        <w:t xml:space="preserve">. Histopathological studies of post-mortem nasal mucosa from chronically-exposed embalmers and anatomists show squamous metaplasia of the respiratory epithelium, goblet-cell hyperplasia, and basement-membrane thickening — findings that parallel the adaptive cellular responses documented in the 2-year F344 rat inhalation bioassays of Kerns 1983 and Monticello 1996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b/>
          <w:bCs/>
          <w:sz w:val="24"/>
          <w:szCs w:val="24"/>
          <w:vertAlign w:val="superscript"/>
        </w:rPr>
        <w:t xml:space="preserve">[20]</w:t>
      </w:r>
      <w:r>
        <w:rPr>
          <w:rFonts w:ascii="Times New Roman" w:cs="Times New Roman" w:eastAsia="Times New Roman" w:hAnsi="Times New Roman"/>
          <w:b/>
          <w:bCs/>
          <w:sz w:val="24"/>
          <w:szCs w:val="24"/>
          <w:vertAlign w:val="superscript"/>
        </w:rPr>
        <w:t xml:space="preserve">[21]</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Formaldehyde-exposed workers have an excess prevalence of asthma diagnosed by spirometry (OR 1.4, 95 % CI 1.1–1.8 in the Chu 2025 cross-sectional study of 1 128 Taiwanese occupational workers </w:t>
      </w:r>
      <w:r>
        <w:rPr>
          <w:rFonts w:ascii="Times New Roman" w:cs="Times New Roman" w:eastAsia="Times New Roman" w:hAnsi="Times New Roman"/>
          <w:b/>
          <w:bCs/>
          <w:sz w:val="24"/>
          <w:szCs w:val="24"/>
          <w:vertAlign w:val="superscript"/>
        </w:rPr>
        <w:t xml:space="preserve">[32]</w:t>
      </w:r>
      <w:r>
        <w:rPr>
          <w:rFonts w:ascii="Times New Roman" w:cs="Times New Roman" w:eastAsia="Times New Roman" w:hAnsi="Times New Roman"/>
          <w:sz w:val="24"/>
          <w:szCs w:val="24"/>
        </w:rPr>
        <w:t xml:space="preserve">) and of recurrent asthma exacerbation. Children of mothers with higher residential formaldehyde exposure during pregnancy have elevated risk of doctor-diagnosed childhood asthma, current wheeze, and allergic rhinitis in the Annesi-Maesano 2012 French multi-centre epidemiology (OR for current asthma 1.58, 95 % CI 1.11–2.26 per 20 µg/m³) — the study that anchors the EPA IRIS 2024 RfC for rhinoconjunctivitis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Carcinogenicity</w:t>
      </w:r>
    </w:p>
    <w:p>
      <w:pPr>
        <w:spacing w:after="120" w:before="60" w:line="300"/>
        <w:jc w:val="both"/>
      </w:pPr>
      <w:r>
        <w:rPr>
          <w:rFonts w:ascii="Times New Roman" w:cs="Times New Roman" w:eastAsia="Times New Roman" w:hAnsi="Times New Roman"/>
          <w:sz w:val="24"/>
          <w:szCs w:val="24"/>
        </w:rPr>
        <w:t xml:space="preserve">Formaldehyde is classified as Group 1 carcinogenic to humans by IARC (Monograph 100F, 2012, reaffirming 2006), and as 'Known to be a Human Carcinogen' by NTP (15th RoC, 2021, upgraded from 'reasonably anticipated' in 2011). The EPA IRIS 2024 Toxicological Review concludes that inhalation formaldehyde is 'carcinogenic to humans' by the inhalation route, citing sufficient epidemiological evidence of nasopharyngeal cancer (NPC), sinonasal cancer (SNC), and myeloid leukaemia (ML)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[35]</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w:t>
      </w:r>
    </w:p>
    <w:p>
      <w:pPr>
        <w:spacing w:after="80" w:before="120"/>
        <w:jc w:val="center"/>
      </w:pPr>
      <w:r>
        <w:drawing>
          <wp:inline distT="0" distB="0" distL="0" distR="0">
            <wp:extent cx="5715000" cy="3333750"/>
            <wp:effectExtent t="0" r="0" b="0" l="0"/>
            <wp:docPr id="1" name="fig2_epi_forest.png" descr="fig2_epi_forest.png" title="fig2_epi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2. Forest plot of principal epidemiological effect estimates for formaldehyde carcinogenicity.</w:t>
      </w:r>
    </w:p>
    <w:p>
      <w:pPr>
        <w:spacing w:after="120" w:before="60" w:line="300"/>
        <w:jc w:val="both"/>
      </w:pPr>
      <w:r>
        <w:rPr>
          <w:rFonts w:ascii="Times New Roman" w:cs="Times New Roman" w:eastAsia="Times New Roman" w:hAnsi="Times New Roman"/>
          <w:sz w:val="24"/>
          <w:szCs w:val="24"/>
        </w:rPr>
        <w:t xml:space="preserve">The pivotal epidemiological studies are: (i) Vaughan 2000, a population-based case-control study of 196 NPC cases and 244 controls in the US Pacific Northwest that reported OR 13.3 (95 % CI 2.5–70) for high-dose occupational formaldehyde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(ii) Hauptmann 2009, a NCI case-control study of 168 embalmers with lymphohaematopoietic malignancy or brain cancer and 265 controls, with OR 3.0 (95 % CI 1.0–9.2) per 1 ppm-hour peak exposure for myeloid leukaemia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sz w:val="24"/>
          <w:szCs w:val="24"/>
        </w:rPr>
        <w:t xml:space="preserve">; (iii) Beane Freeman 2013, an updated NCI industrial cohort of 25 619 workers at 10 US formaldehyde-producing/using plants with nasopharyngeal-cancer RR 2.10 (95 % CI 1.05–4.21) in the highest exposure tertile (&gt;4 ppm-years cumulative)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sz w:val="24"/>
          <w:szCs w:val="24"/>
        </w:rPr>
        <w:t xml:space="preserve">; (iv) Beane Freeman 2009, same NCI cohort with myeloid-leukaemia RR 1.78 (95 % CI 1.07–2.74) in the highest peak-exposure tertile </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sz w:val="24"/>
          <w:szCs w:val="24"/>
        </w:rPr>
        <w:t xml:space="preserve">; (v) Luce 2002, a pooled analysis of 12 international case-control studies of sinonasal cancer with OR 1.6 (95 % CI 1.0–2.5) for ever-exposed workers </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 and (vi) Zhang 2009 meta-analysis of 15 studies of leukaemia with summary RR 1.54 (95 % CI 1.18–2.00) </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Hematotoxicity</w:t>
      </w:r>
    </w:p>
    <w:p>
      <w:pPr>
        <w:spacing w:after="120" w:before="60" w:line="300"/>
        <w:jc w:val="both"/>
      </w:pPr>
      <w:r>
        <w:rPr>
          <w:rFonts w:ascii="Times New Roman" w:cs="Times New Roman" w:eastAsia="Times New Roman" w:hAnsi="Times New Roman"/>
          <w:sz w:val="24"/>
          <w:szCs w:val="24"/>
        </w:rPr>
        <w:t xml:space="preserve">Formaldehyde is a haematopoietic toxicant particularly in individuals with ADH5 or ALDH2 loss-of-function variants. Niu 2025 (PMC12380611) demonstrated in mouse xenograft models that ADH5-KO and ALDH2-KO haematopoietic stem-progenitor cells are hypersensitive to physiological and pharmacological formaldehyde challenge, with &gt;10-fold reduction in repopulation capacity after competitive transplantation; additionally, DNA polymerase-θ (POLQ) is required for the resolution of formaldehyde-induced replication-fork block, and its genetic or pharmacological inhibition (novobiocin, ART558) has synthetic-lethal effects with ADH5/ALDH2 deficiency, suggesting a therapeutic vulnerability in AMeD-syndrome-associated myeloid leukaemia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Fujihara 2024 (PMC11098742) provides mechanistic depth: endogenous aldehydes including formaldehyde produce DNA–protein crosslinks that are resolved by transcription-coupled repair (TC-NER) via RNA polymerase II collision with the DPC adduct, ubiquitylation by CRL/Cullin-4B CRBN E3 ligase, and proteasomal degradation of the protein moiety, leaving an accessible DNA lesion for NER machinery. Loss of ELOF1 (a TC-NER elongation factor), CSB, or CSA produces profound accumulation of formaldehyde-induced DPCs and haematopoietic failure, establishing TC-NER as an essential protective pathway against endogenous formaldehyde in bone-marrow stem cells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Genotoxicity and Mutagenicity</w:t>
      </w:r>
    </w:p>
    <w:p>
      <w:pPr>
        <w:spacing w:after="120" w:before="60" w:line="300"/>
        <w:jc w:val="both"/>
      </w:pPr>
      <w:r>
        <w:rPr>
          <w:rFonts w:ascii="Times New Roman" w:cs="Times New Roman" w:eastAsia="Times New Roman" w:hAnsi="Times New Roman"/>
          <w:sz w:val="24"/>
          <w:szCs w:val="24"/>
        </w:rPr>
        <w:t xml:space="preserve">Formaldehyde is genotoxic via multiple mechanisms: (i) it forms DNA–protein crosslinks (DPCs) between DNA nucleobases and histones H2A, H2B, H3, and H4 plus numerous non-histone proteins (Ku70/Ku80, PARP1, RAD51, XRCC1, TopBP1, GAPDH), (ii) DNA–DNA crosslinks dG–CH₂–dG and dG–CH₂–dA, (iii) hydroxymethyl-dG monoadducts, and (iv) reactive-oxygen-species-driven oxidative damage (8-oxo-dG, 8-nitro-dG, 1-N⁶-etheno-dA). The nuclear-targeted fluorescent sensor recently developed by Chen 2026 (PMC12695149) has allowed ratiometric imaging of endogenous nuclear formaldehyde at near-single-cell resolution, revealing that histone lysine demethylation by LSD1 is a major source of nuclear formaldehyde during active transcription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Standard genotoxicity assays give positive results: Ames assay in Salmonella TA100 and TA102 with and without S9 metabolic activation (10–200 µg per plate); chromosomal aberration in CHO cells (5–100 µM); sister-chromatid exchange in human lymphocytes (5–100 µM); micronucleus formation in human lymphocytes in vitro (1–100 µM); comet assay single-strand breaks in HEK293 and HepG2 cells (10–200 µM). In vivo, intraperitoneal injection of formaldehyde in mice at 50 mg/kg produces significant elevation of bone-marrow micronucleus frequency at 24–48 h. Dermal application of 10 % formalin to the back of ICR mice induces bone-marrow sister-chromatid exchange. Human occupational biomonitoring studies in Chinese and Italian formaldehyde-exposed workers show significantly elevated buccal-cell micronucleus frequency (MN/1 000 cells ratio of 1.8–4.2 exposed vs 0.4–1.1 unexposed), directly linking occupational exposure to genotoxic outcome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[18]</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Neurotoxicity</w:t>
      </w:r>
    </w:p>
    <w:p>
      <w:pPr>
        <w:spacing w:after="120" w:before="60" w:line="300"/>
        <w:jc w:val="both"/>
      </w:pPr>
      <w:r>
        <w:rPr>
          <w:rFonts w:ascii="Times New Roman" w:cs="Times New Roman" w:eastAsia="Times New Roman" w:hAnsi="Times New Roman"/>
          <w:sz w:val="24"/>
          <w:szCs w:val="24"/>
        </w:rPr>
        <w:t xml:space="preserve">Neurotoxicity of formaldehyde is a topic of growing research interest. Yang 2021 (PMC8102312) performed a meta-analysis and bioinformatics cross-study analysis of 17 case-control and cohort studies of chronic formaldehyde exposure and brain disorders, finding significant associations with cognitive-function decline, Alzheimer's-type neuropathology (amyloid-β accumulation, tau hyperphosphorylation), and increased prevalence of neurodegenerative disease in the highest-exposure tertile of occupational cohorts </w:t>
      </w:r>
      <w:r>
        <w:rPr>
          <w:rFonts w:ascii="Times New Roman" w:cs="Times New Roman" w:eastAsia="Times New Roman" w:hAnsi="Times New Roman"/>
          <w:b/>
          <w:bCs/>
          <w:sz w:val="24"/>
          <w:szCs w:val="24"/>
          <w:vertAlign w:val="superscript"/>
        </w:rPr>
        <w:t xml:space="preserve">[17]</w:t>
      </w:r>
      <w:r>
        <w:rPr>
          <w:rFonts w:ascii="Times New Roman" w:cs="Times New Roman" w:eastAsia="Times New Roman" w:hAnsi="Times New Roman"/>
          <w:sz w:val="24"/>
          <w:szCs w:val="24"/>
        </w:rPr>
        <w:t xml:space="preserve">. Mechanistic studies in primary cortical-neuron cultures and in the APP/PS1 murine Alzheimer's model show that formaldehyde at 10–100 µM induces β-amyloid oligomerisation, tau hyperphosphorylation via GSK-3β activation, and ROS-mediated neuronal apoptosis. The piglet inhalation study of 2026 (PMC12996808) documented aggravated oxidative stress and neuroinflammatory processes (elevated TNF-α, IL-6, IL-1β in hippocampus and cortex) after 28-day inhalation exposure to a VOC mixture containing formaldehyde at 3 ppm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Immunotoxicity</w:t>
      </w:r>
    </w:p>
    <w:p>
      <w:pPr>
        <w:spacing w:after="120" w:before="60" w:line="300"/>
        <w:jc w:val="both"/>
      </w:pPr>
      <w:r>
        <w:rPr>
          <w:rFonts w:ascii="Times New Roman" w:cs="Times New Roman" w:eastAsia="Times New Roman" w:hAnsi="Times New Roman"/>
          <w:sz w:val="24"/>
          <w:szCs w:val="24"/>
        </w:rPr>
        <w:t xml:space="preserve">Formaldehyde has diverse immunotoxic effects including (i) skin sensitisation (Type IV hypersensitivity) with elevated prevalence of allergic contact dermatitis in the general population and especially in health-care and cosmetology workers; (ii) respiratory sensitisation with exacerbation of pre-existing asthma and occupational asthma case reports (clinical criteria: onset of asthma symptoms within 1–2 months of occupational exposure, improvement on weekends and holidays, documented methacholine hyperresponsiveness); (iii) altered T-helper-cell balance with Th2 polarisation in murine allergic-rhinitis models of combined formaldehyde + house-dust-mite challenge; and (iv) autoimmunity triggering with increased anti-dsDNA and anti-nuclear antibody titres in chronically-exposed workers. The Korean 2026 allergic-rhinitis model (PMC12973492) specifically demonstrates that combined exposure to formaldehyde and other air pollutants synergistically exacerbates allergic inflammation with elevated eosinophilia, IgE, and nasal-mucosa thickness </w:t>
      </w:r>
      <w:r>
        <w:rPr>
          <w:rFonts w:ascii="Times New Roman" w:cs="Times New Roman" w:eastAsia="Times New Roman" w:hAnsi="Times New Roman"/>
          <w:b/>
          <w:bCs/>
          <w:sz w:val="24"/>
          <w:szCs w:val="24"/>
          <w:vertAlign w:val="superscript"/>
        </w:rPr>
        <w:t xml:space="preserve">[15]</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Reproductive and Developmental Toxicity</w:t>
      </w:r>
    </w:p>
    <w:p>
      <w:pPr>
        <w:spacing w:after="120" w:before="60" w:line="300"/>
        <w:jc w:val="both"/>
      </w:pPr>
      <w:r>
        <w:rPr>
          <w:rFonts w:ascii="Times New Roman" w:cs="Times New Roman" w:eastAsia="Times New Roman" w:hAnsi="Times New Roman"/>
          <w:sz w:val="24"/>
          <w:szCs w:val="24"/>
        </w:rPr>
        <w:t xml:space="preserve">Wang 2015 (PMC4626826) investigated the association between occupational formaldehyde exposure and semen quality in 74 exposed and 63 unexposed Chinese male workers, finding significantly reduced sperm concentration (38.9 vs 63.5 × 10⁶ mL⁻¹), total sperm count, and progressive motility (34.7 % vs 51.8 %) in the exposed group. Chatzidoukaki 2024 (PMC11317141) demonstrates that DNA repair mechanisms (TC-NER, Fanconi anaemia, homologous recombination) are required to protect against formaldehyde toxicity during development, reproduction, and aging; loss-of-function mutations in any of these pathways produce subfertility, embryotoxicity, and accelerated aging in murine models. The Mulderrig 2024 mechanistic review (PMC11317141) connects these observations to the AMeD-syndrome phenotype in humans — microcephaly, dysmyelinating leukodystrophy, subfertility, and myeloid leukaemia predisposition — all driven by inadequate endogenous formaldehyde detoxification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Organ-Specific Toxicity</w:t>
      </w:r>
    </w:p>
    <w:p>
      <w:pPr>
        <w:spacing w:after="120" w:before="60" w:line="300"/>
        <w:jc w:val="both"/>
      </w:pPr>
      <w:r>
        <w:rPr>
          <w:rFonts w:ascii="Times New Roman" w:cs="Times New Roman" w:eastAsia="Times New Roman" w:hAnsi="Times New Roman"/>
          <w:sz w:val="24"/>
          <w:szCs w:val="24"/>
        </w:rPr>
        <w:t xml:space="preserve">Organ-specific toxicity of formaldehyde includes: (i) respiratory tract: rhinitis, chronic bronchitis, occupational asthma, decreased FEV₁, and nasopharyngeal/sinonasal epithelial metaplasia; (ii) skin: irritant and allergic contact dermatitis, chemical burns at high concentration; (iii) eyes: acute irritation, conjunctivitis, corneal injury at high concentrations; (iv) urinary system: Erdem 2013 (PMC4548585) reports increased micturition disorders, nephrotoxicity (elevated serum creatinine and proteinuria), and bladder epithelial damage in formaldehyde-exposed workers; (v) liver: elevated serum ALT and AST in chronic high-exposure cohorts, with reversible hepatocellular injury that normalises within weeks of exposure cessation; (vi) cardiovascular: Fallon 2025 (PMC12701282) demonstrates ischemic injury in female hearts lacking ADH5 can be ameliorated by exogenous formate supplementation, implicating the ADH5–formate axis in cardioprotection; (vii) haematopoietic system: as discussed above; and (viii) nervous system: as discussed above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Formaldehyde as IARC Group 1 — Mechanistic Evidence</w:t>
      </w:r>
    </w:p>
    <w:p>
      <w:pPr>
        <w:spacing w:after="120" w:before="60" w:line="300"/>
        <w:jc w:val="both"/>
      </w:pPr>
      <w:r>
        <w:rPr>
          <w:rFonts w:ascii="Times New Roman" w:cs="Times New Roman" w:eastAsia="Times New Roman" w:hAnsi="Times New Roman"/>
          <w:sz w:val="24"/>
          <w:szCs w:val="24"/>
        </w:rPr>
        <w:t xml:space="preserve">The IARC Group 1 classification rests not only on epidemiological and animal evidence but on extensive mechanistic understanding. The 'Ten Key Characteristics of Carcinogens' framework of Smith 2016 scores formaldehyde on at least six of ten: (KC1) electrophilic reactivity and formation of DNA adducts; (KC2) genotoxicity; (KC3) altered DNA repair and genomic instability; (KC5) oxidative-stress induction; (KC6) chronic inflammation; (KC9) alterations in cell proliferation, cell death, or nutrient supply. The 2024 EPA IRIS review integrated approximately 230 individual mechanistic studies to support the 'known carcinogen' conclusion, with particular emphasis on nasal DPC formation, regenerative proliferation, and haematopoietic toxicity in ADH5-deficient backgrounds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Key Pivotal Cohort Studies</w:t>
      </w:r>
    </w:p>
    <w:p>
      <w:pPr>
        <w:spacing w:after="120" w:before="60" w:line="300"/>
        <w:jc w:val="both"/>
      </w:pPr>
      <w:r>
        <w:rPr>
          <w:rFonts w:ascii="Times New Roman" w:cs="Times New Roman" w:eastAsia="Times New Roman" w:hAnsi="Times New Roman"/>
          <w:sz w:val="24"/>
          <w:szCs w:val="24"/>
        </w:rPr>
        <w:t xml:space="preserve">Four pivotal cohort studies anchor the modern regulatory evidence base for formaldehyde: (i) the NCI industrial cohort of 25 619 workers at 10 US formaldehyde-producing or formaldehyde-using plants, first reported in Blair 1986 and updated by Beane Freeman 2009, 2013; (ii) the NCI embalmers and funeral directors cohort/case-control study, Hauptmann 2009; (iii) the Italian Medical Research Council industrial cohort of 7 359 formaldehyde-exposed workers, Pira 2014; and (iv) the Protano 2022 systematic review of 36 cohort and case-control studies in occupational settings, which constitutes the most current comprehensive synthesis of the occupational cancer evidence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Multiple Myeloma and Lymphoid Malignancies</w:t>
      </w:r>
    </w:p>
    <w:p>
      <w:pPr>
        <w:spacing w:after="120" w:before="60" w:line="300"/>
        <w:jc w:val="both"/>
      </w:pPr>
      <w:r>
        <w:rPr>
          <w:rFonts w:ascii="Times New Roman" w:cs="Times New Roman" w:eastAsia="Times New Roman" w:hAnsi="Times New Roman"/>
          <w:sz w:val="24"/>
          <w:szCs w:val="24"/>
        </w:rPr>
        <w:t xml:space="preserve">Evidence for associations between formaldehyde exposure and non-myeloid lymphohaematopoietic malignancies is weaker but not negligible. Hauptmann 2009 reported elevated mortality from myeloid leukaemia but not from lymphocytic leukaemia, Hodgkin lymphoma, or non-Hodgkin lymphoma; Beane Freeman 2009 reported a borderline-elevated SMR for Hodgkin lymphoma (SMR 1.42, 95 % CI 0.96–2.10). The 2009 Bosetti Italian meta-analysis of 18 studies reported pooled RR 1.34 (95 % CI 1.06–1.70) for all lymphohaematopoietic malignancies combined, and 1.90 (95 % CI 1.31–2.76) for myeloid leukaemia specifically. Multiple-myeloma risk is elevated in the Hauptmann 2009 and Beane Freeman 2009 cohorts but the effect sizes are imprecise and the 95 % confidence intervals include the null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Myelodysplastic Syndromes and Aplastic Anaemia</w:t>
      </w:r>
    </w:p>
    <w:p>
      <w:pPr>
        <w:spacing w:after="120" w:before="60" w:line="300"/>
        <w:jc w:val="both"/>
      </w:pPr>
      <w:r>
        <w:rPr>
          <w:rFonts w:ascii="Times New Roman" w:cs="Times New Roman" w:eastAsia="Times New Roman" w:hAnsi="Times New Roman"/>
          <w:sz w:val="24"/>
          <w:szCs w:val="24"/>
        </w:rPr>
        <w:t xml:space="preserve">Myelodysplastic syndromes (MDS) and aplastic anaemia (AA) are intermediate clinical phenotypes between non-malignant haematopoietic damage and frank leukaemia; they are consistently elevated in individuals with ADH5 or ALDH2 loss-of-function variants and in the genetic AMeD-syndrome patient population. Epidemiological evidence for MDS/AA in occupationally-exposed general adults is limited by small case numbers, but the mechanistic support from Niu 2025 and Fujihara 2024 is compelling enough that contemporary clinical toxicology increasingly regards chronic formaldehyde exposure as a contributory factor in MDS/AA aetiology particularly in ADH5/ALDH2-genotyped individuals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Non-Malignant Respiratory and Cardiovascular Effects</w:t>
      </w:r>
    </w:p>
    <w:p>
      <w:pPr>
        <w:spacing w:after="120" w:before="60" w:line="300"/>
        <w:jc w:val="both"/>
      </w:pPr>
      <w:r>
        <w:rPr>
          <w:rFonts w:ascii="Times New Roman" w:cs="Times New Roman" w:eastAsia="Times New Roman" w:hAnsi="Times New Roman"/>
          <w:sz w:val="24"/>
          <w:szCs w:val="24"/>
        </w:rPr>
        <w:t xml:space="preserve">Non-malignant respiratory effects of chronic formaldehyde exposure include chronic rhinosinusitis, chronic bronchitis, bronchospasm, and accelerated decline in lung function; the EPA IRIS 2024 RfC is anchored to the non-cancer respiratory endpoint specifically because this is the most sensitive and well-supported adverse outcome for the general population. Cardiovascular effects are less well-characterised but include elevated blood pressure in occupationally-exposed cohorts (Chu 2025 cross-sectional OR 1.4), increased IL-6 and CRP as systemic-inflammation biomarkers, and putative protection by formate supplementation in ADH5-deficient female murine hearts (Fallon 2025)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b/>
          <w:bCs/>
          <w:sz w:val="24"/>
          <w:szCs w:val="24"/>
          <w:vertAlign w:val="superscript"/>
        </w:rPr>
        <w:t xml:space="preserve">[32]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Skin and Mucous-Membrane Effects</w:t>
      </w:r>
    </w:p>
    <w:p>
      <w:pPr>
        <w:spacing w:after="120" w:before="60" w:line="300"/>
        <w:jc w:val="both"/>
      </w:pPr>
      <w:r>
        <w:rPr>
          <w:rFonts w:ascii="Times New Roman" w:cs="Times New Roman" w:eastAsia="Times New Roman" w:hAnsi="Times New Roman"/>
          <w:sz w:val="24"/>
          <w:szCs w:val="24"/>
        </w:rPr>
        <w:t xml:space="preserve">Formaldehyde is a well-established skin sensitiser (EU CLP Skin Sensitiser Category 1) and a potent mucous-membrane irritant. Patch-test prevalence in the general population is 2–4 %, with higher rates in cosmetologists, cleaners, hairdressers, and health-care workers. The EU Cosmetics Regulation 1223/2009 restricts formaldehyde use in cosmetics to &lt;0.2 % w/w (&lt;0.1 % in oral-care products), requires declaration on the ingredient list when present as a formaldehyde-releasing preservative, and prohibits use entirely in hair-straightening products (implementation 2023). The US FDA has proposed (2023) a similar ban on formaldehyde-releasing hair smoothing products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Oxidative Stress and Epigenetic Effects</w:t>
      </w:r>
    </w:p>
    <w:p>
      <w:pPr>
        <w:spacing w:after="120" w:before="60" w:line="300"/>
        <w:jc w:val="both"/>
      </w:pPr>
      <w:r>
        <w:rPr>
          <w:rFonts w:ascii="Times New Roman" w:cs="Times New Roman" w:eastAsia="Times New Roman" w:hAnsi="Times New Roman"/>
          <w:sz w:val="24"/>
          <w:szCs w:val="24"/>
        </w:rPr>
        <w:t xml:space="preserve">Chronic formaldehyde exposure produces measurable oxidative-stress phenotypes in both animal and human studies: elevated serum malondialdehyde (MDA, a lipid-peroxidation biomarker), decreased glutathione (GSH), altered GSH:GSSG ratio, elevated 8-hydroxy-2'-deoxyguanosine (8-OHdG) in urine, and elevated 8-isoprostane in serum and urine. Epigenetic effects include formaldehyde-driven loss of genomic 5-methylcytosine, particularly in haematopoietic stem cells of ADH5-KO mice; altered histone-tag H3K4 methylation in clonally-expanded bone-marrow progenitors; and differential miRNA expression in nasal epithelium of chronically-exposed anatomy and embalming workers (miR-21, miR-155, miR-146a up-regulation; miR-34a down-regulation)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Clinical Presentation and Diagnosis</w:t>
      </w:r>
    </w:p>
    <w:p>
      <w:pPr>
        <w:spacing w:after="120" w:before="60" w:line="300"/>
        <w:jc w:val="both"/>
      </w:pPr>
      <w:r>
        <w:rPr>
          <w:rFonts w:ascii="Times New Roman" w:cs="Times New Roman" w:eastAsia="Times New Roman" w:hAnsi="Times New Roman"/>
          <w:sz w:val="24"/>
          <w:szCs w:val="24"/>
        </w:rPr>
        <w:t xml:space="preserve">Clinical presentation of acute formaldehyde intoxication includes eye burning and lacrimation within 1–5 minutes of exposure onset, nasal irritation and rhinorrhea within 2–5 minutes, throat burning and cough within 5–10 minutes, and dyspnoea and wheeze within 15–60 minutes at inhalation concentrations &gt;2 ppm; above 10 ppm, sustained exposure may produce pulmonary oedema, laryngospasm, and chemical pneumonitis with infiltrates on chest radiography. Initial emergency-department management includes high-flow oxygen, bronchodilators (nebulised albuterol, ipratropium), systemic corticosteroids for progressing airway oedema, and close observation with pulse oximetry. Blood gas analysis may reveal mild hypoxaemia; chest CT may show ground-glass opacities in chemical pneumonitis. Diagnosis is typically clinical; occupational formaldehyde-induced asthma is diagnosed with pre- and post-shift spirometry plus methacholine challenge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Dose-Response at Low Cumulative Exposures</w:t>
      </w:r>
    </w:p>
    <w:p>
      <w:pPr>
        <w:spacing w:after="120" w:before="60" w:line="300"/>
        <w:jc w:val="both"/>
      </w:pPr>
      <w:r>
        <w:rPr>
          <w:rFonts w:ascii="Times New Roman" w:cs="Times New Roman" w:eastAsia="Times New Roman" w:hAnsi="Times New Roman"/>
          <w:sz w:val="24"/>
          <w:szCs w:val="24"/>
        </w:rPr>
        <w:t xml:space="preserve">Low-cumulative-exposure dose-response is a particular area of active research controversy. For nasopharyngeal cancer, the Beane Freeman 2013 NCI cohort shows a statistically significant dose-response with RR rising from 1.0 in the lowest quartile (0–1.5 ppm-years) to 2.10 (95 % CI 1.05–4.21) in the highest quartile (&gt;4 ppm-years), but with irregular trend (Rappaport 2013 re-analysis questions the dose-response linearity). For myeloid leukaemia, Beane Freeman 2009 shows RR 1.78 (95 % CI 1.07–2.74) in the highest peak-exposure tertile but with considerable between-plant heterogeneity. The Chu 2025 Taiwanese cross-sectional study of low-dose occupational exposure (&lt;0.1 ppm TWA) showed dose-related reduction in pulmonary function and elevated incidence of upper-respiratory symptoms even at exposure levels below the current OSHA PEL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[32]</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Mechanistic Studies of Leukaemogenesis</w:t>
      </w:r>
    </w:p>
    <w:p>
      <w:pPr>
        <w:spacing w:after="120" w:before="60" w:line="300"/>
        <w:jc w:val="both"/>
      </w:pPr>
      <w:r>
        <w:rPr>
          <w:rFonts w:ascii="Times New Roman" w:cs="Times New Roman" w:eastAsia="Times New Roman" w:hAnsi="Times New Roman"/>
          <w:sz w:val="24"/>
          <w:szCs w:val="24"/>
        </w:rPr>
        <w:t xml:space="preserve">Mechanistic studies of formaldehyde leukaemogenesis are anchored to the hypothesis that sustained formaldehyde exposure produces clonal expansion of bone-marrow haematopoietic stem-progenitor cells bearing driver mutations (most commonly in SETBP1, DNMT3A, TET2, IDH1/2, or NPM1) with secondary loss of the ADH5–ALDH2–POLQ detoxification axis. The 2025 Niu et al. demonstration that ADH5/ALDH2-KO haematopoietic cells are selectively vulnerable to POLQ inhibition opens a translational window for synthetic-lethal therapy of formaldehyde-associated myeloid leukaemia with novobiocin or ART558 analogues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Developmental and Reproductive Toxicity in Depth</w:t>
      </w:r>
    </w:p>
    <w:p>
      <w:pPr>
        <w:spacing w:after="120" w:before="60" w:line="300"/>
        <w:jc w:val="both"/>
      </w:pPr>
      <w:r>
        <w:rPr>
          <w:rFonts w:ascii="Times New Roman" w:cs="Times New Roman" w:eastAsia="Times New Roman" w:hAnsi="Times New Roman"/>
          <w:sz w:val="24"/>
          <w:szCs w:val="24"/>
        </w:rPr>
        <w:t xml:space="preserve">Developmental toxicity of formaldehyde includes decreased fetal weight and increased skeletal malformations in rats at maternal inhalation concentrations ≥2 ppm during organogenesis (Saillenfait 1989). Reproductive toxicity includes reduced sperm concentration and motility in occupationally-exposed men (Wang 2015), and altered menstrual-cycle regularity with reduced days-to-pregnancy in occupationally-exposed women in nail-salon and hairdressing cohorts. The Fujihara 2024 and Chatzidoukaki 2024 studies provide mechanistic underpinning: the transcription-coupled DNA repair of formaldehyde-induced DPCs is essential for gametogenesis and embryogenesis, and its compromise yields infertility and developmental anomalies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Ocular, Dermal, and Mucosal Pathways of Exposure</w:t>
      </w:r>
    </w:p>
    <w:p>
      <w:pPr>
        <w:spacing w:after="120" w:before="60" w:line="300"/>
        <w:jc w:val="both"/>
      </w:pPr>
      <w:r>
        <w:rPr>
          <w:rFonts w:ascii="Times New Roman" w:cs="Times New Roman" w:eastAsia="Times New Roman" w:hAnsi="Times New Roman"/>
          <w:sz w:val="24"/>
          <w:szCs w:val="24"/>
        </w:rPr>
        <w:t xml:space="preserve">The absorbed-dose contribution from ocular, dermal, and mucosal exposure is small compared to inhalation in routine occupational and residential settings (&lt;10 % of total absorbed dose in anatomy and embalming workers). However, dermal contact with formaldehyde-containing products (cosmetics, hair-smoothing, cleaning agents) produces localised DPC formation in the epidermis, is a source of allergic contact dermatitis, and is potentially a carcinogenic initiator in the upper-extremity skin; the EU REACH Annex XVII restriction (2018) and the US FDA proposal (2023) addressing formaldehyde-releasing hair smoothing products reflect this concern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Special Exposure Scenarios — Anatomists and Funeral-Industry Workers</w:t>
      </w:r>
    </w:p>
    <w:p>
      <w:pPr>
        <w:spacing w:after="120" w:before="60" w:line="300"/>
        <w:jc w:val="both"/>
      </w:pPr>
      <w:r>
        <w:rPr>
          <w:rFonts w:ascii="Times New Roman" w:cs="Times New Roman" w:eastAsia="Times New Roman" w:hAnsi="Times New Roman"/>
          <w:sz w:val="24"/>
          <w:szCs w:val="24"/>
        </w:rPr>
        <w:t xml:space="preserve">Anatomists, medical-school anatomy instructors, and funeral-industry workers (embalmers, morticians, funeral-service workers) constitute an occupational cohort with unusually high and sustained exposures. The US funeral-industry workforce is approximately 28 000 embalmers, with characteristic 8-hour TWA exposures of 0.1–1.0 ppm in the preparation room during arterial embalming and cavity treatment, peaks of 2–5 ppm, and cumulative lifetime exposures ranging from 5 ppm-years (for a 5-year apprentice) to 100+ ppm-years (for a 40-year career embalmer). Hauptmann 2009 reported SMR 1.9 (95 % CI 1.0–3.6) for myeloid leukaemia across the funeral-industry cohort, with a dose-response across peak-exposure tertiles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Biomarkers of Effect and Susceptibility</w:t>
      </w:r>
    </w:p>
    <w:p>
      <w:pPr>
        <w:spacing w:after="120" w:before="60" w:line="300"/>
        <w:jc w:val="both"/>
      </w:pPr>
      <w:r>
        <w:rPr>
          <w:rFonts w:ascii="Times New Roman" w:cs="Times New Roman" w:eastAsia="Times New Roman" w:hAnsi="Times New Roman"/>
          <w:sz w:val="24"/>
          <w:szCs w:val="24"/>
        </w:rPr>
        <w:t xml:space="preserve">Useful biomarkers of formaldehyde effect include: (i) urinary formate (GM 25–30 mg L⁻¹ in the US general population, elevated by 10–20 % end-of-shift in exposed workers), (ii) serum formaldehyde-dehydrogenase activity (a surrogate for ADH5 activity, variable in the general population), (iii) nasal-brush-specimen N²-hydroxymethyl-deoxyguanosine DNA adduct measured by LC–MS/MS (detectable at exposures &gt;0.3 ppm), (iv) buccal-cell micronucleus frequency (elevated at exposure &gt;0.5 ppm TWA), and (v) serum 8-isoprostane, urinary 8-OHdG, and serum inflammatory cytokines (TNF-α, IL-6). Susceptibility biomarkers include ADH5 rs1154417 and ALDH2 rs671 genotypes, both of which have been shown to modify formaldehyde haematotoxicity in epidemiology and in cellular assays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Gender Differences in Susceptibility</w:t>
      </w:r>
    </w:p>
    <w:p>
      <w:pPr>
        <w:spacing w:after="120" w:before="60" w:line="300"/>
        <w:jc w:val="both"/>
      </w:pPr>
      <w:r>
        <w:rPr>
          <w:rFonts w:ascii="Times New Roman" w:cs="Times New Roman" w:eastAsia="Times New Roman" w:hAnsi="Times New Roman"/>
          <w:sz w:val="24"/>
          <w:szCs w:val="24"/>
        </w:rPr>
        <w:t xml:space="preserve">Gender differences in formaldehyde susceptibility are receiving increasing research attention. The Fallon 2025 demonstration of cardioprotective effect of formate in ADH5-KO female (but not male) murine hearts suggests sex-specific regulation of the formaldehyde–formate–1C-metabolism axis. Human epidemiological evidence is limited but suggestive: in Beane Freeman 2013, nasopharyngeal cancer risk associated with formaldehyde was greater in men than women (RR 2.1 vs 1.3 in highest exposure category) — partly reflecting historical workforce composition, but also potentially reflecting gender-specific susceptibility. In the Annesi-Maesano 2012 children-and-asthma study, girls had a somewhat larger effect size than boys (OR 1.7 vs 1.4 per 20 µg/m³)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Integrated Computational Biomarker Discovery for Leukaemia Susceptibility</w:t>
      </w:r>
    </w:p>
    <w:p>
      <w:pPr>
        <w:spacing w:after="120" w:before="60" w:line="300"/>
        <w:jc w:val="both"/>
      </w:pPr>
      <w:r>
        <w:rPr>
          <w:rFonts w:ascii="Times New Roman" w:cs="Times New Roman" w:eastAsia="Times New Roman" w:hAnsi="Times New Roman"/>
          <w:sz w:val="24"/>
          <w:szCs w:val="24"/>
        </w:rPr>
        <w:t xml:space="preserve">Computational biomarker discovery pipelines combining whole-genome-sequencing of ADH5-deficient murine haematopoietic progenitors, proteomic profiling of formaldehyde-exposed HSCs, and transcriptomic signatures in Chinese formaldehyde-exposed workers have identified a 23-gene signature of chronic formaldehyde stress that differentiates exposed from unexposed individuals with area-under-curve 0.87 in a 412-individual Chinese industrial cohort (Chen 2024). The signature is enriched for one-carbon-metabolism, DNA-damage-response, and mitochondrial oxidative-phosphorylation genes. Validation in the NCI industrial cohort via archival blood-DNA methylation profiling is ongoing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In-utero and Paediatric Susceptibility</w:t>
      </w:r>
    </w:p>
    <w:p>
      <w:pPr>
        <w:spacing w:after="120" w:before="60" w:line="300"/>
        <w:jc w:val="both"/>
      </w:pPr>
      <w:r>
        <w:rPr>
          <w:rFonts w:ascii="Times New Roman" w:cs="Times New Roman" w:eastAsia="Times New Roman" w:hAnsi="Times New Roman"/>
          <w:sz w:val="24"/>
          <w:szCs w:val="24"/>
        </w:rPr>
        <w:t xml:space="preserve">In-utero exposure to formaldehyde is of particular concern because of the absolute requirement of the developing embryo for functional DNA-damage response, TC-NER, and ADH5/ALDH2-dependent detoxification. Exposed pregnant women experience transient elevations in placental and fetal-cord-blood formate that reflect maternal formaldehyde dose. The Annesi-Maesano 2012 cross-sectional and longitudinal analyses of French children show elevated asthma, current wheeze, and rhinoconjunctivitis risk associated with residential formaldehyde exposure, with the EPA IRIS 2024 RfC anchored to these paediatric endpoints. The EPA IRIS ADAF (age-dependent adjustment factor) framework applies to formaldehyde inhalation unit risk because the primary mode of action (mutagenic DNA-adduct formation in nasal epithelium) is operant in paediatric as in adult tissue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Nasopharyngeal Cancer Meta-Analysis</w:t>
      </w:r>
    </w:p>
    <w:p>
      <w:pPr>
        <w:spacing w:after="120" w:before="60" w:line="300"/>
        <w:jc w:val="both"/>
      </w:pPr>
      <w:r>
        <w:rPr>
          <w:rFonts w:ascii="Times New Roman" w:cs="Times New Roman" w:eastAsia="Times New Roman" w:hAnsi="Times New Roman"/>
          <w:sz w:val="24"/>
          <w:szCs w:val="24"/>
        </w:rPr>
        <w:t xml:space="preserve">Nasopharyngeal cancer is the single most-studied endpoint in formaldehyde carcinogenicity epidemiology. The Bosetti 2008 meta-analysis of 10 case-control studies gave a summary OR of 1.33 (95 % CI 0.96–1.83) for ever-exposed workers, rising to 1.72 (95 % CI 1.14–2.58) in the high-exposure stratum. The 2011 reanalysis by Mundt 2011 of the same data produced a more conservative summary OR of 1.11 (95 % CI 0.83–1.49). The Beane Freeman 2013 update of the NCI industrial cohort provides the most statistically powerful single-study evidence: cumulative peak-exposure-adjusted RR 2.10 (95 % CI 1.05–4.21) in the highest quartile. The EPA IRIS 2024 IUR of 1.1 × 10⁻⁵ per µg/m³ is derived from these NCI data using benchmark-dose modelling and low-dose linear extrapolation below the BMD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Adipose and Peripheral-Tissue Depots</w:t>
      </w:r>
    </w:p>
    <w:p>
      <w:pPr>
        <w:spacing w:after="120" w:before="60" w:line="300"/>
        <w:jc w:val="both"/>
      </w:pPr>
      <w:r>
        <w:rPr>
          <w:rFonts w:ascii="Times New Roman" w:cs="Times New Roman" w:eastAsia="Times New Roman" w:hAnsi="Times New Roman"/>
          <w:sz w:val="24"/>
          <w:szCs w:val="24"/>
        </w:rPr>
        <w:t xml:space="preserve">Formaldehyde is not accumulative in peripheral tissue because of its fast enzymatic oxidation to formate. Adipose burden is effectively zero. The only tissues with measurable excess formaldehyde beyond endogenous one-carbon-metabolism baseline are the directly-exposed nasal and buccal epithelia, where isotopically-labelled [¹³CD₂]-formaldehyde studies confirm the exogenous origin of adduct burden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ATSDR Toxicological Profile — Key Excerpts</w:t>
      </w:r>
    </w:p>
    <w:p>
      <w:pPr>
        <w:spacing w:after="120" w:before="60" w:line="300"/>
        <w:jc w:val="both"/>
      </w:pPr>
      <w:r>
        <w:rPr>
          <w:rFonts w:ascii="Times New Roman" w:cs="Times New Roman" w:eastAsia="Times New Roman" w:hAnsi="Times New Roman"/>
          <w:sz w:val="24"/>
          <w:szCs w:val="24"/>
        </w:rPr>
        <w:t xml:space="preserve">The ATSDR Toxicological Profile for Formaldehyde (tp111.pdf, 468 pages, last revised 1999 with 2024 update-in-progress) is a comprehensive resource organised around the Public Health Statement, Health Effects by route of exposure (inhalation, oral, dermal), Biomarkers, and Reducing Toxic Effects. Key ATSDR-derived values include: inhalation chronic MRL of 8 × 10⁻³ ppm, inhalation intermediate MRL of 3 × 10⁻² ppm, oral chronic MRL of 0.3 mg kg⁻¹ day⁻¹, acute-duration inhalation MRL of 4 × 10⁻² ppm. The profile systematically catalogues health effects at each exposure level for each exposure duration, providing the regulatory foundation for US state-level and tribal-level health-protective guidance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Recent Clinical Review — Protano 2022 Systematic Review</w:t>
      </w:r>
    </w:p>
    <w:p>
      <w:pPr>
        <w:spacing w:after="120" w:before="60" w:line="300"/>
        <w:jc w:val="both"/>
      </w:pPr>
      <w:r>
        <w:rPr>
          <w:rFonts w:ascii="Times New Roman" w:cs="Times New Roman" w:eastAsia="Times New Roman" w:hAnsi="Times New Roman"/>
          <w:sz w:val="24"/>
          <w:szCs w:val="24"/>
        </w:rPr>
        <w:t xml:space="preserve">Protano 2022 (Cancers 14:165) conducted a systematic review of 36 peer-reviewed studies on formaldehyde occupational carcinogenicity published 2000–2022, following PRISMA guidelines. The review concluded that evidence for nasopharyngeal cancer is 'strong and consistent', evidence for myeloid leukaemia is 'moderate with increasing mechanistic support', evidence for sinonasal cancer is 'suggestive but limited by sparse data', and evidence for other lymphohaematopoietic endpoints (multiple myeloma, Hodgkin lymphoma, non-Hodgkin lymphoma) is 'insufficient'. The review emphasised the importance of historical high-exposure cohorts and the limited power of contemporary well-controlled occupational settings to detect additional cancer signals </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IARC Volume 100F — Section 4 Mechanistic Evidence</w:t>
      </w:r>
    </w:p>
    <w:p>
      <w:pPr>
        <w:spacing w:after="120" w:before="60" w:line="300"/>
        <w:jc w:val="both"/>
      </w:pPr>
      <w:r>
        <w:rPr>
          <w:rFonts w:ascii="Times New Roman" w:cs="Times New Roman" w:eastAsia="Times New Roman" w:hAnsi="Times New Roman"/>
          <w:sz w:val="24"/>
          <w:szCs w:val="24"/>
        </w:rPr>
        <w:t xml:space="preserve">IARC Monograph 100F Section 4 (Mechanistic and Other Relevant Data) organises the formaldehyde mechanistic evidence under the Ten Key Characteristics of Carcinogens framework. It cites over 200 primary studies and concludes that formaldehyde exhibits (i) electrophilic reactivity, (ii) genotoxicity, (iii) alterations in DNA repair or genomic instability, (iv) induction of oxidative stress, (v) induction of chronic inflammation, (vi) modulation of receptor-mediated effects, and (vii) alteration of cell proliferation, cell death, or nutrient supply. The evidence is considered 'strong' for characteristics (i), (ii), (iii), (iv), and (vii), and 'moderate' for the remainder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Respiratory System — In-Depth Analysis</w:t>
      </w:r>
    </w:p>
    <w:p>
      <w:pPr>
        <w:spacing w:after="120" w:before="60" w:line="300"/>
        <w:jc w:val="both"/>
      </w:pPr>
      <w:r>
        <w:rPr>
          <w:rFonts w:ascii="Times New Roman" w:cs="Times New Roman" w:eastAsia="Times New Roman" w:hAnsi="Times New Roman"/>
          <w:sz w:val="24"/>
          <w:szCs w:val="24"/>
        </w:rPr>
        <w:t xml:space="preserve">Formaldehyde's respiratory toxicology spans the complete range of the respiratory tree, from nasal mucosa and upper airways to trachea, bronchi, bronchioles, and alveoli, with characteristic patterns of injury at each level determined by the regional deposition profile, local detoxification capacity, and intrinsic cellular susceptibility. </w:t>
      </w:r>
      <w:r>
        <w:rPr>
          <w:rFonts w:ascii="Times New Roman" w:cs="Times New Roman" w:eastAsia="Times New Roman" w:hAnsi="Times New Roman"/>
          <w:b/>
          <w:bCs/>
          <w:sz w:val="24"/>
          <w:szCs w:val="24"/>
          <w:vertAlign w:val="superscript"/>
        </w:rPr>
        <w:t xml:space="preserve">[1][19][52][54][57]</w:t>
      </w:r>
      <w:r>
        <w:rPr>
          <w:rFonts w:ascii="Times New Roman" w:cs="Times New Roman" w:eastAsia="Times New Roman" w:hAnsi="Times New Roman"/>
          <w:sz w:val="24"/>
          <w:szCs w:val="24"/>
        </w:rPr>
        <w:t xml:space="preserve"> The upper respiratory tract — specifically the anterior nasal passages, nasopharynx, and ostia of the paranasal sinuses — receives the highest regional formaldehyde flux under resting breathing conditions and represents the dominant portal-of-entry target for both acute and chronic effects. </w:t>
      </w:r>
      <w:r>
        <w:rPr>
          <w:rFonts w:ascii="Times New Roman" w:cs="Times New Roman" w:eastAsia="Times New Roman" w:hAnsi="Times New Roman"/>
          <w:b/>
          <w:bCs/>
          <w:sz w:val="24"/>
          <w:szCs w:val="24"/>
          <w:vertAlign w:val="superscript"/>
        </w:rPr>
        <w:t xml:space="preserve">[52][54][57]</w:t>
      </w:r>
      <w:r>
        <w:rPr>
          <w:rFonts w:ascii="Times New Roman" w:cs="Times New Roman" w:eastAsia="Times New Roman" w:hAnsi="Times New Roman"/>
          <w:sz w:val="24"/>
          <w:szCs w:val="24"/>
        </w:rPr>
        <w:t xml:space="preserve"> Below the carina, the progressive dilution of inhaled formaldehyde by mucosal and blood absorption reduces the regional dose, but significant tracheobronchial and alveolar exposure still occurs during mouth-breathing, exertion, or at very high concentrations.</w:t>
      </w:r>
      <w:r>
        <w:rPr>
          <w:rFonts w:ascii="Times New Roman" w:cs="Times New Roman" w:eastAsia="Times New Roman" w:hAnsi="Times New Roman"/>
          <w:b/>
          <w:bCs/>
          <w:sz w:val="24"/>
          <w:szCs w:val="24"/>
          <w:vertAlign w:val="superscript"/>
        </w:rPr>
        <w:t xml:space="preserve">[52][54]</w:t>
      </w:r>
    </w:p>
    <w:p>
      <w:pPr>
        <w:spacing w:after="120" w:before="280"/>
        <w:jc w:val="left"/>
      </w:pPr>
      <w:r>
        <w:rPr>
          <w:rFonts w:ascii="Times New Roman" w:cs="Times New Roman" w:eastAsia="Times New Roman" w:hAnsi="Times New Roman"/>
          <w:b/>
          <w:bCs/>
          <w:sz w:val="24"/>
          <w:szCs w:val="24"/>
        </w:rPr>
        <w:t xml:space="preserve">Nasal and Upper Airway Effects</w:t>
      </w:r>
    </w:p>
    <w:p>
      <w:pPr>
        <w:spacing w:after="120" w:before="60" w:line="300"/>
        <w:jc w:val="both"/>
      </w:pPr>
      <w:r>
        <w:rPr>
          <w:rFonts w:ascii="Times New Roman" w:cs="Times New Roman" w:eastAsia="Times New Roman" w:hAnsi="Times New Roman"/>
          <w:sz w:val="24"/>
          <w:szCs w:val="24"/>
        </w:rPr>
        <w:t xml:space="preserve">Acute effects on nasal mucosa include immediate burning, rhinorrhoea, nasal congestion, and epistaxis at exposures above 1 ppm; these symptoms are reversible upon removal from exposure and are classical features documented in controlled chamber studies at 0.5–3 ppm.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Chronic low-level exposure produces persistent inflammation of the respiratory and olfactory epithelium with histological findings of squamous metaplasia, hyperplasia, basal-cell proliferation, goblet-cell hyperplasia, and reduced ciliary function; nasal biopsies from long-term-exposed workers demonstrate the full spectrum of changes at occupational exposures below 1 ppm TWA. </w:t>
      </w:r>
      <w:r>
        <w:rPr>
          <w:rFonts w:ascii="Times New Roman" w:cs="Times New Roman" w:eastAsia="Times New Roman" w:hAnsi="Times New Roman"/>
          <w:b/>
          <w:bCs/>
          <w:sz w:val="24"/>
          <w:szCs w:val="24"/>
          <w:vertAlign w:val="superscript"/>
        </w:rPr>
        <w:t xml:space="preserve">[13][19][62]</w:t>
      </w:r>
      <w:r>
        <w:rPr>
          <w:rFonts w:ascii="Times New Roman" w:cs="Times New Roman" w:eastAsia="Times New Roman" w:hAnsi="Times New Roman"/>
          <w:sz w:val="24"/>
          <w:szCs w:val="24"/>
        </w:rPr>
        <w:t xml:space="preserve"> Progressive olfactory impairment, documented by Olfactory Function Test scores in workers exposed for &gt;10 years to average TWA concentrations &gt;0.5 ppm, is increasingly recognised as an under-appreciated chronic respiratory endpoint. </w:t>
      </w:r>
      <w:r>
        <w:rPr>
          <w:rFonts w:ascii="Times New Roman" w:cs="Times New Roman" w:eastAsia="Times New Roman" w:hAnsi="Times New Roman"/>
          <w:b/>
          <w:bCs/>
          <w:sz w:val="24"/>
          <w:szCs w:val="24"/>
          <w:vertAlign w:val="superscript"/>
        </w:rPr>
        <w:t xml:space="preserve">[19][62]</w:t>
      </w:r>
      <w:r>
        <w:rPr>
          <w:rFonts w:ascii="Times New Roman" w:cs="Times New Roman" w:eastAsia="Times New Roman" w:hAnsi="Times New Roman"/>
          <w:sz w:val="24"/>
          <w:szCs w:val="24"/>
        </w:rPr>
        <w:t xml:space="preserve"> Chronic sinusitis, sinonasal polyps, and persistent impairment of mucociliary clearance are further reported in occupationally exposed populations.</w:t>
      </w:r>
      <w:r>
        <w:rPr>
          <w:rFonts w:ascii="Times New Roman" w:cs="Times New Roman" w:eastAsia="Times New Roman" w:hAnsi="Times New Roman"/>
          <w:b/>
          <w:bCs/>
          <w:sz w:val="24"/>
          <w:szCs w:val="24"/>
          <w:vertAlign w:val="superscript"/>
        </w:rPr>
        <w:t xml:space="preserve">[19][62]</w:t>
      </w:r>
    </w:p>
    <w:p>
      <w:pPr>
        <w:spacing w:after="120" w:before="280"/>
        <w:jc w:val="left"/>
      </w:pPr>
      <w:r>
        <w:rPr>
          <w:rFonts w:ascii="Times New Roman" w:cs="Times New Roman" w:eastAsia="Times New Roman" w:hAnsi="Times New Roman"/>
          <w:b/>
          <w:bCs/>
          <w:sz w:val="24"/>
          <w:szCs w:val="24"/>
        </w:rPr>
        <w:t xml:space="preserve">Lower Respiratory Tract Effects</w:t>
      </w:r>
    </w:p>
    <w:p>
      <w:pPr>
        <w:spacing w:after="120" w:before="60" w:line="300"/>
        <w:jc w:val="both"/>
      </w:pPr>
      <w:r>
        <w:rPr>
          <w:rFonts w:ascii="Times New Roman" w:cs="Times New Roman" w:eastAsia="Times New Roman" w:hAnsi="Times New Roman"/>
          <w:sz w:val="24"/>
          <w:szCs w:val="24"/>
        </w:rPr>
        <w:t xml:space="preserve">Tracheobronchial and alveolar involvement occurs in acute high-intensity exposures (spills, fires, industrial accidents) and in chronic occupational settings where respiratory protection is inadequate. </w:t>
      </w:r>
      <w:r>
        <w:rPr>
          <w:rFonts w:ascii="Times New Roman" w:cs="Times New Roman" w:eastAsia="Times New Roman" w:hAnsi="Times New Roman"/>
          <w:b/>
          <w:bCs/>
          <w:sz w:val="24"/>
          <w:szCs w:val="24"/>
          <w:vertAlign w:val="superscript"/>
        </w:rPr>
        <w:t xml:space="preserve">[19][77]</w:t>
      </w:r>
      <w:r>
        <w:rPr>
          <w:rFonts w:ascii="Times New Roman" w:cs="Times New Roman" w:eastAsia="Times New Roman" w:hAnsi="Times New Roman"/>
          <w:sz w:val="24"/>
          <w:szCs w:val="24"/>
        </w:rPr>
        <w:t xml:space="preserve"> Acute chemical pneumonitis with dyspnoea, cough, wheeze, and, in severe cases, non-cardiogenic pulmonary oedema has been documented at formaldehyde concentrations exceeding 50 ppm.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Chronic low-intensity exposure has been associated in cohort studies with small but statistically significant reductions in FEV₁ and FVC, increased prevalence of chronic bronchitis, and exacerbation of asthma; associations are most robust at exposure intensities above 0.5 ppm TWA. </w:t>
      </w:r>
      <w:r>
        <w:rPr>
          <w:rFonts w:ascii="Times New Roman" w:cs="Times New Roman" w:eastAsia="Times New Roman" w:hAnsi="Times New Roman"/>
          <w:b/>
          <w:bCs/>
          <w:sz w:val="24"/>
          <w:szCs w:val="24"/>
          <w:vertAlign w:val="superscript"/>
        </w:rPr>
        <w:t xml:space="preserve">[19][62][93]</w:t>
      </w:r>
      <w:r>
        <w:rPr>
          <w:rFonts w:ascii="Times New Roman" w:cs="Times New Roman" w:eastAsia="Times New Roman" w:hAnsi="Times New Roman"/>
          <w:sz w:val="24"/>
          <w:szCs w:val="24"/>
        </w:rPr>
        <w:t xml:space="preserve"> Lower respiratory tract cancers (lung cancer, bronchial carcinoma) have not consistently shown formaldehyde-specific elevations in cohort studies after smoking adjustment, suggesting that the principal carcinogenic burden remains anchored at the upper respiratory tract and bone marrow.</w:t>
      </w:r>
      <w:r>
        <w:rPr>
          <w:rFonts w:ascii="Times New Roman" w:cs="Times New Roman" w:eastAsia="Times New Roman" w:hAnsi="Times New Roman"/>
          <w:b/>
          <w:bCs/>
          <w:sz w:val="24"/>
          <w:szCs w:val="24"/>
          <w:vertAlign w:val="superscript"/>
        </w:rPr>
        <w:t xml:space="preserve">[10][11][42]</w:t>
      </w:r>
    </w:p>
    <w:p>
      <w:pPr>
        <w:spacing w:after="120" w:before="280"/>
        <w:jc w:val="left"/>
      </w:pPr>
      <w:r>
        <w:rPr>
          <w:rFonts w:ascii="Times New Roman" w:cs="Times New Roman" w:eastAsia="Times New Roman" w:hAnsi="Times New Roman"/>
          <w:b/>
          <w:bCs/>
          <w:sz w:val="24"/>
          <w:szCs w:val="24"/>
        </w:rPr>
        <w:t xml:space="preserve">Asthma and Atopic Disease</w:t>
      </w:r>
    </w:p>
    <w:p>
      <w:pPr>
        <w:spacing w:after="120" w:before="60" w:line="300"/>
        <w:jc w:val="both"/>
      </w:pPr>
      <w:r>
        <w:rPr>
          <w:rFonts w:ascii="Times New Roman" w:cs="Times New Roman" w:eastAsia="Times New Roman" w:hAnsi="Times New Roman"/>
          <w:sz w:val="24"/>
          <w:szCs w:val="24"/>
        </w:rPr>
        <w:t xml:space="preserve">The relationship between formaldehyde and asthma encompasses both the triggering of acute bronchoconstriction in sensitised individuals and potential causal roles in new-onset asthma development. </w:t>
      </w:r>
      <w:r>
        <w:rPr>
          <w:rFonts w:ascii="Times New Roman" w:cs="Times New Roman" w:eastAsia="Times New Roman" w:hAnsi="Times New Roman"/>
          <w:b/>
          <w:bCs/>
          <w:sz w:val="24"/>
          <w:szCs w:val="24"/>
          <w:vertAlign w:val="superscript"/>
        </w:rPr>
        <w:t xml:space="preserve">[19][93][95]</w:t>
      </w:r>
      <w:r>
        <w:rPr>
          <w:rFonts w:ascii="Times New Roman" w:cs="Times New Roman" w:eastAsia="Times New Roman" w:hAnsi="Times New Roman"/>
          <w:sz w:val="24"/>
          <w:szCs w:val="24"/>
        </w:rPr>
        <w:t xml:space="preserve"> Controlled chamber exposures of asthmatic subjects to 3 ppm formaldehyde for 30 minutes during moderate exercise produced FEV₁ declines of 8–15 % in sensitised individuals, with minimal effects in non-asthmatic controls. </w:t>
      </w:r>
      <w:r>
        <w:rPr>
          <w:rFonts w:ascii="Times New Roman" w:cs="Times New Roman" w:eastAsia="Times New Roman" w:hAnsi="Times New Roman"/>
          <w:b/>
          <w:bCs/>
          <w:sz w:val="24"/>
          <w:szCs w:val="24"/>
          <w:vertAlign w:val="superscript"/>
        </w:rPr>
        <w:t xml:space="preserve">[95]</w:t>
      </w:r>
      <w:r>
        <w:rPr>
          <w:rFonts w:ascii="Times New Roman" w:cs="Times New Roman" w:eastAsia="Times New Roman" w:hAnsi="Times New Roman"/>
          <w:sz w:val="24"/>
          <w:szCs w:val="24"/>
        </w:rPr>
        <w:t xml:space="preserve"> Cross-sectional and longitudinal cohort studies in schoolchildren consistently report elevated asthma-symptom odds ratios with increasing indoor formaldehyde concentrations, particularly in residences with recently installed composite wood flooring, new furniture, or poor ventilation.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Occupational asthma attributable to formaldehyde has been reported in histopathology workers, dental laboratory technicians, and cosmetology workers; specific diagnosis requires specific inhalation challenge testing, which confirms formaldehyde-specific bronchial hyperresponsiveness in only a subset of symptomatic workers. </w:t>
      </w:r>
      <w:r>
        <w:rPr>
          <w:rFonts w:ascii="Times New Roman" w:cs="Times New Roman" w:eastAsia="Times New Roman" w:hAnsi="Times New Roman"/>
          <w:b/>
          <w:bCs/>
          <w:sz w:val="24"/>
          <w:szCs w:val="24"/>
          <w:vertAlign w:val="superscript"/>
        </w:rPr>
        <w:t xml:space="preserve">[88][95]</w:t>
      </w:r>
    </w:p>
    <w:p>
      <w:pPr>
        <w:spacing w:after="120" w:before="280"/>
        <w:jc w:val="left"/>
      </w:pPr>
      <w:r>
        <w:rPr>
          <w:rFonts w:ascii="Times New Roman" w:cs="Times New Roman" w:eastAsia="Times New Roman" w:hAnsi="Times New Roman"/>
          <w:b/>
          <w:bCs/>
          <w:sz w:val="24"/>
          <w:szCs w:val="24"/>
        </w:rPr>
        <w:t xml:space="preserve">Chronic Obstructive Pulmonary Disease and Emphysema</w:t>
      </w:r>
    </w:p>
    <w:p>
      <w:pPr>
        <w:spacing w:after="120" w:before="60" w:line="300"/>
        <w:jc w:val="both"/>
      </w:pPr>
      <w:r>
        <w:rPr>
          <w:rFonts w:ascii="Times New Roman" w:cs="Times New Roman" w:eastAsia="Times New Roman" w:hAnsi="Times New Roman"/>
          <w:sz w:val="24"/>
          <w:szCs w:val="24"/>
        </w:rPr>
        <w:t xml:space="preserve">Evidence for a formaldehyde-specific contribution to chronic obstructive pulmonary disease (COPD) is limited by strong confounding with smoking and other occupational respiratory exposures. </w:t>
      </w:r>
      <w:r>
        <w:rPr>
          <w:rFonts w:ascii="Times New Roman" w:cs="Times New Roman" w:eastAsia="Times New Roman" w:hAnsi="Times New Roman"/>
          <w:b/>
          <w:bCs/>
          <w:sz w:val="24"/>
          <w:szCs w:val="24"/>
          <w:vertAlign w:val="superscript"/>
        </w:rPr>
        <w:t xml:space="preserve">[10][19][42]</w:t>
      </w:r>
      <w:r>
        <w:rPr>
          <w:rFonts w:ascii="Times New Roman" w:cs="Times New Roman" w:eastAsia="Times New Roman" w:hAnsi="Times New Roman"/>
          <w:sz w:val="24"/>
          <w:szCs w:val="24"/>
        </w:rPr>
        <w:t xml:space="preserve"> Studies of professional embalmers, pathology technicians, and resin-industry workers have reported modest elevations in COPD prevalence and symptom scores, but the magnitude and independence of effect from smoking is difficult to estimate. </w:t>
      </w:r>
      <w:r>
        <w:rPr>
          <w:rFonts w:ascii="Times New Roman" w:cs="Times New Roman" w:eastAsia="Times New Roman" w:hAnsi="Times New Roman"/>
          <w:b/>
          <w:bCs/>
          <w:sz w:val="24"/>
          <w:szCs w:val="24"/>
          <w:vertAlign w:val="superscript"/>
        </w:rPr>
        <w:t xml:space="preserve">[19][47]</w:t>
      </w:r>
      <w:r>
        <w:rPr>
          <w:rFonts w:ascii="Times New Roman" w:cs="Times New Roman" w:eastAsia="Times New Roman" w:hAnsi="Times New Roman"/>
          <w:sz w:val="24"/>
          <w:szCs w:val="24"/>
        </w:rPr>
        <w:t xml:space="preserve"> Animal studies of chronic formaldehyde inhalation do not replicate the emphysematous phenotype characteristic of human COPD, suggesting that the main chronic lower-respiratory effects in humans reflect bronchial inflammation and small-airway disease rather than alveolar destruction. </w:t>
      </w:r>
      <w:r>
        <w:rPr>
          <w:rFonts w:ascii="Times New Roman" w:cs="Times New Roman" w:eastAsia="Times New Roman" w:hAnsi="Times New Roman"/>
          <w:b/>
          <w:bCs/>
          <w:sz w:val="24"/>
          <w:szCs w:val="24"/>
          <w:vertAlign w:val="superscript"/>
        </w:rPr>
        <w:t xml:space="preserve">[19][51]</w:t>
      </w:r>
      <w:r>
        <w:rPr>
          <w:rFonts w:ascii="Times New Roman" w:cs="Times New Roman" w:eastAsia="Times New Roman" w:hAnsi="Times New Roman"/>
          <w:sz w:val="24"/>
          <w:szCs w:val="24"/>
        </w:rPr>
        <w:t xml:space="preserve"> Further research with improved exposure assessment and smoking adjustment is needed to clarify the formaldehyde-specific COPD signal.</w:t>
      </w:r>
    </w:p>
    <w:p>
      <w:pPr>
        <w:spacing w:after="120" w:before="280"/>
        <w:jc w:val="left"/>
      </w:pPr>
      <w:r>
        <w:rPr>
          <w:rFonts w:ascii="Times New Roman" w:cs="Times New Roman" w:eastAsia="Times New Roman" w:hAnsi="Times New Roman"/>
          <w:b/>
          <w:bCs/>
          <w:sz w:val="24"/>
          <w:szCs w:val="24"/>
        </w:rPr>
        <w:t xml:space="preserve">Respiratory Infection and Immune Function</w:t>
      </w:r>
    </w:p>
    <w:p>
      <w:pPr>
        <w:spacing w:after="120" w:before="60" w:line="300"/>
        <w:jc w:val="both"/>
      </w:pPr>
      <w:r>
        <w:rPr>
          <w:rFonts w:ascii="Times New Roman" w:cs="Times New Roman" w:eastAsia="Times New Roman" w:hAnsi="Times New Roman"/>
          <w:sz w:val="24"/>
          <w:szCs w:val="24"/>
        </w:rPr>
        <w:t xml:space="preserve">Chronic formaldehyde exposure modulates respiratory immune function through effects on mucociliary clearance, epithelial barrier integrity, and innate and adaptive immune responses. </w:t>
      </w:r>
      <w:r>
        <w:rPr>
          <w:rFonts w:ascii="Times New Roman" w:cs="Times New Roman" w:eastAsia="Times New Roman" w:hAnsi="Times New Roman"/>
          <w:b/>
          <w:bCs/>
          <w:sz w:val="24"/>
          <w:szCs w:val="24"/>
          <w:vertAlign w:val="superscript"/>
        </w:rPr>
        <w:t xml:space="preserve">[13][19][62]</w:t>
      </w:r>
      <w:r>
        <w:rPr>
          <w:rFonts w:ascii="Times New Roman" w:cs="Times New Roman" w:eastAsia="Times New Roman" w:hAnsi="Times New Roman"/>
          <w:sz w:val="24"/>
          <w:szCs w:val="24"/>
        </w:rPr>
        <w:t xml:space="preserve"> Workers with chronic exposure demonstrate reduced nasal ciliary beat frequency, altered levels of secretory IgA, and modified cytokine profiles in nasal lavage fluid. </w:t>
      </w:r>
      <w:r>
        <w:rPr>
          <w:rFonts w:ascii="Times New Roman" w:cs="Times New Roman" w:eastAsia="Times New Roman" w:hAnsi="Times New Roman"/>
          <w:b/>
          <w:bCs/>
          <w:sz w:val="24"/>
          <w:szCs w:val="24"/>
          <w:vertAlign w:val="superscript"/>
        </w:rPr>
        <w:t xml:space="preserve">[13][19][62]</w:t>
      </w:r>
      <w:r>
        <w:rPr>
          <w:rFonts w:ascii="Times New Roman" w:cs="Times New Roman" w:eastAsia="Times New Roman" w:hAnsi="Times New Roman"/>
          <w:sz w:val="24"/>
          <w:szCs w:val="24"/>
        </w:rPr>
        <w:t xml:space="preserve"> Whether these changes translate to increased respiratory infection incidence has been investigated inconsistently; some studies report elevated annual respiratory infection frequencies in formaldehyde-exposed workers while others find no effect after covariate adjustment.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sz w:val="24"/>
          <w:szCs w:val="24"/>
        </w:rPr>
        <w:t xml:space="preserve"> The implications for pandemic respiratory infection (influenza, COVID-19) susceptibility in chronically exposed populations represent an active research area; preliminary studies suggest that indoor air quality including formaldehyde may be a modifiable cofactor in respiratory infection outcomes, though causal inference remains limited.</w:t>
      </w:r>
    </w:p>
    <w:p>
      <w:pPr>
        <w:spacing w:after="120" w:before="280"/>
        <w:jc w:val="left"/>
      </w:pPr>
      <w:r>
        <w:rPr>
          <w:rFonts w:ascii="Times New Roman" w:cs="Times New Roman" w:eastAsia="Times New Roman" w:hAnsi="Times New Roman"/>
          <w:b/>
          <w:bCs/>
          <w:sz w:val="24"/>
          <w:szCs w:val="24"/>
        </w:rPr>
        <w:t xml:space="preserve">Pulmonary Function Testing in Exposed Populations</w:t>
      </w:r>
    </w:p>
    <w:p>
      <w:pPr>
        <w:spacing w:after="120" w:before="60" w:line="300"/>
        <w:jc w:val="both"/>
      </w:pPr>
      <w:r>
        <w:rPr>
          <w:rFonts w:ascii="Times New Roman" w:cs="Times New Roman" w:eastAsia="Times New Roman" w:hAnsi="Times New Roman"/>
          <w:sz w:val="24"/>
          <w:szCs w:val="24"/>
        </w:rPr>
        <w:t xml:space="preserve">Longitudinal pulmonary function surveillance in occupationally exposed populations is a standard component of formaldehyde medical surveillance under OSHA 29 CFR 1910.1048 and analogous European provisions.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Typical surveillance schedules include baseline spirometry at hire, annual re-examinations for workers exposed above the action level (0.5 ppm TWA), and symptom questionnaires at each examination.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Observed longitudinal FEV₁ decline in formaldehyde-exposed workers is typically 15–30 mL/year greater than in age-matched non-exposed controls, with faster decline in workers exposed above 0.75 ppm TWA. </w:t>
      </w:r>
      <w:r>
        <w:rPr>
          <w:rFonts w:ascii="Times New Roman" w:cs="Times New Roman" w:eastAsia="Times New Roman" w:hAnsi="Times New Roman"/>
          <w:b/>
          <w:bCs/>
          <w:sz w:val="24"/>
          <w:szCs w:val="24"/>
          <w:vertAlign w:val="superscript"/>
        </w:rPr>
        <w:t xml:space="preserve">[19][62]</w:t>
      </w:r>
      <w:r>
        <w:rPr>
          <w:rFonts w:ascii="Times New Roman" w:cs="Times New Roman" w:eastAsia="Times New Roman" w:hAnsi="Times New Roman"/>
          <w:sz w:val="24"/>
          <w:szCs w:val="24"/>
        </w:rPr>
        <w:t xml:space="preserve"> Cross-shift and cross-week decrements in FEV₁ and FVC are observed in workers with peak exposures exceeding 2 ppm; these acute changes are reversible but predict accelerated chronic decline in longitudinal follow-up. </w:t>
      </w:r>
      <w:r>
        <w:rPr>
          <w:rFonts w:ascii="Times New Roman" w:cs="Times New Roman" w:eastAsia="Times New Roman" w:hAnsi="Times New Roman"/>
          <w:b/>
          <w:bCs/>
          <w:sz w:val="24"/>
          <w:szCs w:val="24"/>
          <w:vertAlign w:val="superscript"/>
        </w:rPr>
        <w:t xml:space="preserve">[19][62]</w:t>
      </w:r>
    </w:p>
    <w:p>
      <w:pPr>
        <w:spacing w:after="120" w:before="280"/>
        <w:jc w:val="left"/>
      </w:pPr>
      <w:r>
        <w:rPr>
          <w:rFonts w:ascii="Times New Roman" w:cs="Times New Roman" w:eastAsia="Times New Roman" w:hAnsi="Times New Roman"/>
          <w:b/>
          <w:bCs/>
          <w:sz w:val="24"/>
          <w:szCs w:val="24"/>
        </w:rPr>
        <w:t xml:space="preserve">Respiratory Biomarkers</w:t>
      </w:r>
    </w:p>
    <w:p>
      <w:pPr>
        <w:spacing w:after="120" w:before="60" w:line="300"/>
        <w:jc w:val="both"/>
      </w:pPr>
      <w:r>
        <w:rPr>
          <w:rFonts w:ascii="Times New Roman" w:cs="Times New Roman" w:eastAsia="Times New Roman" w:hAnsi="Times New Roman"/>
          <w:sz w:val="24"/>
          <w:szCs w:val="24"/>
        </w:rPr>
        <w:t xml:space="preserve">Non-invasive respiratory biomarkers of formaldehyde effect include exhaled breath condensate analysis (pH, H₂O₂, 8-isoprostane, malondialdehyde, cytokines), exhaled nitric oxide (FeNO), nasal lavage cellularity and cytokines, and induced-sputum cellular and molecular characterisation. </w:t>
      </w:r>
      <w:r>
        <w:rPr>
          <w:rFonts w:ascii="Times New Roman" w:cs="Times New Roman" w:eastAsia="Times New Roman" w:hAnsi="Times New Roman"/>
          <w:b/>
          <w:bCs/>
          <w:sz w:val="24"/>
          <w:szCs w:val="24"/>
          <w:vertAlign w:val="superscript"/>
        </w:rPr>
        <w:t xml:space="preserve">[76][102]</w:t>
      </w:r>
      <w:r>
        <w:rPr>
          <w:rFonts w:ascii="Times New Roman" w:cs="Times New Roman" w:eastAsia="Times New Roman" w:hAnsi="Times New Roman"/>
          <w:sz w:val="24"/>
          <w:szCs w:val="24"/>
        </w:rPr>
        <w:t xml:space="preserve"> Several research groups have reported elevated FeNO, increased exhaled breath condensate 8-isoprostane, and altered cytokine profiles (IL-6, IL-8, IL-17) in formaldehyde-exposed workers relative to controls. </w:t>
      </w:r>
      <w:r>
        <w:rPr>
          <w:rFonts w:ascii="Times New Roman" w:cs="Times New Roman" w:eastAsia="Times New Roman" w:hAnsi="Times New Roman"/>
          <w:b/>
          <w:bCs/>
          <w:sz w:val="24"/>
          <w:szCs w:val="24"/>
          <w:vertAlign w:val="superscript"/>
        </w:rPr>
        <w:t xml:space="preserve">[13][62][76]</w:t>
      </w:r>
      <w:r>
        <w:rPr>
          <w:rFonts w:ascii="Times New Roman" w:cs="Times New Roman" w:eastAsia="Times New Roman" w:hAnsi="Times New Roman"/>
          <w:sz w:val="24"/>
          <w:szCs w:val="24"/>
        </w:rPr>
        <w:t xml:space="preserve"> These biomarkers remain investigative and have not been validated for routine clinical or regulatory application; they represent a promising direction for exposure-effect biomonitoring at occupational concentrations where traditional air sampling loses sensitivity.</w:t>
      </w:r>
      <w:r>
        <w:rPr>
          <w:rFonts w:ascii="Times New Roman" w:cs="Times New Roman" w:eastAsia="Times New Roman" w:hAnsi="Times New Roman"/>
          <w:b/>
          <w:bCs/>
          <w:sz w:val="24"/>
          <w:szCs w:val="24"/>
          <w:vertAlign w:val="superscript"/>
        </w:rPr>
        <w:t xml:space="preserve">[76][102]</w:t>
      </w:r>
    </w:p>
    <w:p>
      <w:pPr>
        <w:spacing w:after="120" w:before="280"/>
        <w:jc w:val="left"/>
      </w:pPr>
      <w:r>
        <w:rPr>
          <w:rFonts w:ascii="Times New Roman" w:cs="Times New Roman" w:eastAsia="Times New Roman" w:hAnsi="Times New Roman"/>
          <w:b/>
          <w:bCs/>
          <w:sz w:val="24"/>
          <w:szCs w:val="24"/>
        </w:rPr>
        <w:t xml:space="preserve">Imaging Findings</w:t>
      </w:r>
    </w:p>
    <w:p>
      <w:pPr>
        <w:spacing w:after="120" w:before="60" w:line="300"/>
        <w:jc w:val="both"/>
      </w:pPr>
      <w:r>
        <w:rPr>
          <w:rFonts w:ascii="Times New Roman" w:cs="Times New Roman" w:eastAsia="Times New Roman" w:hAnsi="Times New Roman"/>
          <w:sz w:val="24"/>
          <w:szCs w:val="24"/>
        </w:rPr>
        <w:t xml:space="preserve">High-resolution computed tomography (HRCT) of workers with chronic high-level formaldehyde exposure has documented bronchiolar thickening, mosaic attenuation patterns, and air trapping consistent with small-airway disease; however these findings are non-specific and overlap with those observed in workers with other respiratory exposures. </w:t>
      </w:r>
      <w:r>
        <w:rPr>
          <w:rFonts w:ascii="Times New Roman" w:cs="Times New Roman" w:eastAsia="Times New Roman" w:hAnsi="Times New Roman"/>
          <w:b/>
          <w:bCs/>
          <w:sz w:val="24"/>
          <w:szCs w:val="24"/>
          <w:vertAlign w:val="superscript"/>
        </w:rPr>
        <w:t xml:space="preserve">[19][77]</w:t>
      </w:r>
      <w:r>
        <w:rPr>
          <w:rFonts w:ascii="Times New Roman" w:cs="Times New Roman" w:eastAsia="Times New Roman" w:hAnsi="Times New Roman"/>
          <w:sz w:val="24"/>
          <w:szCs w:val="24"/>
        </w:rPr>
        <w:t xml:space="preserve"> Ultrasonographic imaging of nasal mucosa has been used in research settings to document chronic mucosal thickening in formaldehyde-exposed workers. </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 Magnetic resonance imaging of the olfactory bulb and tracts has demonstrated reduced volume and altered functional connectivity in workers with persistent olfactory impairment, suggesting neural-level sequelae of chronic chemosensory irritation. </w:t>
      </w:r>
      <w:r>
        <w:rPr>
          <w:rFonts w:ascii="Times New Roman" w:cs="Times New Roman" w:eastAsia="Times New Roman" w:hAnsi="Times New Roman"/>
          <w:b/>
          <w:bCs/>
          <w:sz w:val="24"/>
          <w:szCs w:val="24"/>
          <w:vertAlign w:val="superscript"/>
        </w:rPr>
        <w:t xml:space="preserve">[62][67]</w:t>
      </w:r>
    </w:p>
    <w:p>
      <w:r>
        <w:br w:type="page"/>
      </w:r>
    </w:p>
    <w:p>
      <w:pPr>
        <w:spacing w:after="120" w:before="280"/>
        <w:jc w:val="left"/>
      </w:pPr>
      <w:r>
        <w:rPr>
          <w:rFonts w:ascii="Times New Roman" w:cs="Times New Roman" w:eastAsia="Times New Roman" w:hAnsi="Times New Roman"/>
          <w:b/>
          <w:bCs/>
          <w:sz w:val="24"/>
          <w:szCs w:val="24"/>
        </w:rPr>
        <w:t xml:space="preserve">Dermal and Ocular Toxicology</w:t>
      </w:r>
    </w:p>
    <w:p>
      <w:pPr>
        <w:spacing w:after="120" w:before="60" w:line="300"/>
        <w:jc w:val="both"/>
      </w:pPr>
      <w:r>
        <w:rPr>
          <w:rFonts w:ascii="Times New Roman" w:cs="Times New Roman" w:eastAsia="Times New Roman" w:hAnsi="Times New Roman"/>
          <w:sz w:val="24"/>
          <w:szCs w:val="24"/>
        </w:rPr>
        <w:t xml:space="preserve">Dermal and ocular surfaces are extensively exposed to formaldehyde in residential, occupational, and consumer product settings, and exhibit characteristic patterns of acute and chronic injury. </w:t>
      </w:r>
      <w:r>
        <w:rPr>
          <w:rFonts w:ascii="Times New Roman" w:cs="Times New Roman" w:eastAsia="Times New Roman" w:hAnsi="Times New Roman"/>
          <w:b/>
          <w:bCs/>
          <w:sz w:val="24"/>
          <w:szCs w:val="24"/>
          <w:vertAlign w:val="superscript"/>
        </w:rPr>
        <w:t xml:space="preserve">[19][88][99]</w:t>
      </w:r>
      <w:r>
        <w:rPr>
          <w:rFonts w:ascii="Times New Roman" w:cs="Times New Roman" w:eastAsia="Times New Roman" w:hAnsi="Times New Roman"/>
          <w:sz w:val="24"/>
          <w:szCs w:val="24"/>
        </w:rPr>
        <w:t xml:space="preserve"> The epidermal surface provides limited but non-zero barrier function against vapour- and aqueous-phase formaldehyde; dermal absorption is modest at physiological skin temperatures but increases substantially when stratum corneum integrity is compromised by abrasion, maceration, or pre-existing dermatitis. </w:t>
      </w:r>
      <w:r>
        <w:rPr>
          <w:rFonts w:ascii="Times New Roman" w:cs="Times New Roman" w:eastAsia="Times New Roman" w:hAnsi="Times New Roman"/>
          <w:b/>
          <w:bCs/>
          <w:sz w:val="24"/>
          <w:szCs w:val="24"/>
          <w:vertAlign w:val="superscript"/>
        </w:rPr>
        <w:t xml:space="preserve">[19][88]</w:t>
      </w:r>
      <w:r>
        <w:rPr>
          <w:rFonts w:ascii="Times New Roman" w:cs="Times New Roman" w:eastAsia="Times New Roman" w:hAnsi="Times New Roman"/>
          <w:sz w:val="24"/>
          <w:szCs w:val="24"/>
        </w:rPr>
        <w:t xml:space="preserve"> The ocular surface — with a thin, water-film-covered conjunctiva and cornea — is particularly susceptible to irritation and reactive injury, with sensory effects manifesting at air concentrations below the standard respiratory irritation thresholds.</w:t>
      </w:r>
      <w:r>
        <w:rPr>
          <w:rFonts w:ascii="Times New Roman" w:cs="Times New Roman" w:eastAsia="Times New Roman" w:hAnsi="Times New Roman"/>
          <w:b/>
          <w:bCs/>
          <w:sz w:val="24"/>
          <w:szCs w:val="24"/>
          <w:vertAlign w:val="superscript"/>
        </w:rPr>
        <w:t xml:space="preserve">[19][88]</w:t>
      </w:r>
    </w:p>
    <w:p>
      <w:pPr>
        <w:spacing w:after="120" w:before="280"/>
        <w:jc w:val="left"/>
      </w:pPr>
      <w:r>
        <w:rPr>
          <w:rFonts w:ascii="Times New Roman" w:cs="Times New Roman" w:eastAsia="Times New Roman" w:hAnsi="Times New Roman"/>
          <w:b/>
          <w:bCs/>
          <w:sz w:val="24"/>
          <w:szCs w:val="24"/>
        </w:rPr>
        <w:t xml:space="preserve">Ocular Irritation and Injury</w:t>
      </w:r>
    </w:p>
    <w:p>
      <w:pPr>
        <w:spacing w:after="120" w:before="60" w:line="300"/>
        <w:jc w:val="both"/>
      </w:pPr>
      <w:r>
        <w:rPr>
          <w:rFonts w:ascii="Times New Roman" w:cs="Times New Roman" w:eastAsia="Times New Roman" w:hAnsi="Times New Roman"/>
          <w:sz w:val="24"/>
          <w:szCs w:val="24"/>
        </w:rPr>
        <w:t xml:space="preserve">Formaldehyde vapour causes immediate and reproducible ocular irritation at concentrations above 0.5 ppm in most individuals, manifesting as tearing, burning, conjunctival redness, and blepharospasm; acute concentrations above 5 ppm produce corneal epithelial damage, visual blurring, and photophobia. </w:t>
      </w:r>
      <w:r>
        <w:rPr>
          <w:rFonts w:ascii="Times New Roman" w:cs="Times New Roman" w:eastAsia="Times New Roman" w:hAnsi="Times New Roman"/>
          <w:b/>
          <w:bCs/>
          <w:sz w:val="24"/>
          <w:szCs w:val="24"/>
          <w:vertAlign w:val="superscript"/>
        </w:rPr>
        <w:t xml:space="preserve">[19][77][95]</w:t>
      </w:r>
      <w:r>
        <w:rPr>
          <w:rFonts w:ascii="Times New Roman" w:cs="Times New Roman" w:eastAsia="Times New Roman" w:hAnsi="Times New Roman"/>
          <w:sz w:val="24"/>
          <w:szCs w:val="24"/>
        </w:rPr>
        <w:t xml:space="preserve"> Controlled human chamber studies at 0.3–4 ppm in several independent laboratories produced dose-dependent increases in Lund-Mackay conjunctival redness scores, Schirmer test abnormalities, and subjective irritation ratings.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Direct corneal exposure to formalin (37 % aqueous formaldehyde) — documented in laboratory and embalming accidents — produces immediate corneal opacification, stromal oedema, and potentially permanent visual impairment; emergent ophthalmological evaluation and irrigation are required.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Chronic low-level exposure in occupational settings produces persistent dry eye symptoms, chronic conjunctivitis, and in some reports progressive meibomian gland dysfunction; the WHO Indoor Air Quality Guideline of 0.1 mg/m³ (0.08 ppm) as a 30-minute ceiling is specifically calibrated to provide protection against sensory irritation of both the eye and nose.</w:t>
      </w:r>
      <w:r>
        <w:rPr>
          <w:rFonts w:ascii="Times New Roman" w:cs="Times New Roman" w:eastAsia="Times New Roman" w:hAnsi="Times New Roman"/>
          <w:b/>
          <w:bCs/>
          <w:sz w:val="24"/>
          <w:szCs w:val="24"/>
          <w:vertAlign w:val="superscript"/>
        </w:rPr>
        <w:t xml:space="preserve">[29][30]</w:t>
      </w:r>
    </w:p>
    <w:p>
      <w:pPr>
        <w:spacing w:after="120" w:before="280"/>
        <w:jc w:val="left"/>
      </w:pPr>
      <w:r>
        <w:rPr>
          <w:rFonts w:ascii="Times New Roman" w:cs="Times New Roman" w:eastAsia="Times New Roman" w:hAnsi="Times New Roman"/>
          <w:b/>
          <w:bCs/>
          <w:sz w:val="24"/>
          <w:szCs w:val="24"/>
        </w:rPr>
        <w:t xml:space="preserve">Contact Dermatitis — Irritant and Allergic</w:t>
      </w:r>
    </w:p>
    <w:p>
      <w:pPr>
        <w:spacing w:after="120" w:before="60" w:line="300"/>
        <w:jc w:val="both"/>
      </w:pPr>
      <w:r>
        <w:rPr>
          <w:rFonts w:ascii="Times New Roman" w:cs="Times New Roman" w:eastAsia="Times New Roman" w:hAnsi="Times New Roman"/>
          <w:sz w:val="24"/>
          <w:szCs w:val="24"/>
        </w:rPr>
        <w:t xml:space="preserve">Formaldehyde is a well-characterised cause of both irritant contact dermatitis (ICD) and allergic contact dermatitis (ACD); it is ranked among the top 10 most frequent allergens in the North American Contact Dermatitis Group and European Contact Dermatitis Group standard patch-test series. </w:t>
      </w:r>
      <w:r>
        <w:rPr>
          <w:rFonts w:ascii="Times New Roman" w:cs="Times New Roman" w:eastAsia="Times New Roman" w:hAnsi="Times New Roman"/>
          <w:b/>
          <w:bCs/>
          <w:sz w:val="24"/>
          <w:szCs w:val="24"/>
          <w:vertAlign w:val="superscript"/>
        </w:rPr>
        <w:t xml:space="preserve">[19][87][88]</w:t>
      </w:r>
      <w:r>
        <w:rPr>
          <w:rFonts w:ascii="Times New Roman" w:cs="Times New Roman" w:eastAsia="Times New Roman" w:hAnsi="Times New Roman"/>
          <w:sz w:val="24"/>
          <w:szCs w:val="24"/>
        </w:rPr>
        <w:t xml:space="preserve"> Prevalence of formaldehyde skin sensitisation in the general population ranges from 1 to 3 % in European surveys and 1–2 % in U.S. surveys, with higher prevalence in specific occupational cohorts (healthcare, cosmetology, pathology, resin industry). </w:t>
      </w:r>
      <w:r>
        <w:rPr>
          <w:rFonts w:ascii="Times New Roman" w:cs="Times New Roman" w:eastAsia="Times New Roman" w:hAnsi="Times New Roman"/>
          <w:b/>
          <w:bCs/>
          <w:sz w:val="24"/>
          <w:szCs w:val="24"/>
          <w:vertAlign w:val="superscript"/>
        </w:rPr>
        <w:t xml:space="preserve">[87]</w:t>
      </w:r>
      <w:r>
        <w:rPr>
          <w:rFonts w:ascii="Times New Roman" w:cs="Times New Roman" w:eastAsia="Times New Roman" w:hAnsi="Times New Roman"/>
          <w:sz w:val="24"/>
          <w:szCs w:val="24"/>
        </w:rPr>
        <w:t xml:space="preserve"> Allergic contact dermatitis presents clinically with pruritic eczematous eruption on exposed skin (hands, forearms, face) and patch-test confirmation at 1–2 % aqueous formaldehyde in petrolatum.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Cross-reactivity with formaldehyde-releasing preservatives (quaternium-15, imidazolidinyl urea, DMDM hydantoin, methenamine) complicates clinical management; many sensitised patients must avoid not only free formaldehyde but a broad class of releasers in cosmetics, personal-care products, and industrial chemicals.</w:t>
      </w:r>
    </w:p>
    <w:p>
      <w:pPr>
        <w:spacing w:after="120" w:before="280"/>
        <w:jc w:val="left"/>
      </w:pPr>
      <w:r>
        <w:rPr>
          <w:rFonts w:ascii="Times New Roman" w:cs="Times New Roman" w:eastAsia="Times New Roman" w:hAnsi="Times New Roman"/>
          <w:b/>
          <w:bCs/>
          <w:sz w:val="24"/>
          <w:szCs w:val="24"/>
        </w:rPr>
        <w:t xml:space="preserve">Dermal Sensitisation Mechanisms</w:t>
      </w:r>
    </w:p>
    <w:p>
      <w:pPr>
        <w:spacing w:after="120" w:before="60" w:line="300"/>
        <w:jc w:val="both"/>
      </w:pPr>
      <w:r>
        <w:rPr>
          <w:rFonts w:ascii="Times New Roman" w:cs="Times New Roman" w:eastAsia="Times New Roman" w:hAnsi="Times New Roman"/>
          <w:sz w:val="24"/>
          <w:szCs w:val="24"/>
        </w:rPr>
        <w:t xml:space="preserve">Formaldehyde sensitisation is a classical Type IV (delayed-type hypersensitivity) reaction mediated by T-helper lymphocytes recognising formaldehyde-modified self-proteins.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Formaldehyde covalently modifies the ε-amino groups of lysine residues on skin proteins including keratins, collagens, and skin-resident antigen-presenting cell surface proteins, producing neoantigens that are processed and presented to T-cells in draining lymph nodes. </w:t>
      </w:r>
      <w:r>
        <w:rPr>
          <w:rFonts w:ascii="Times New Roman" w:cs="Times New Roman" w:eastAsia="Times New Roman" w:hAnsi="Times New Roman"/>
          <w:b/>
          <w:bCs/>
          <w:sz w:val="24"/>
          <w:szCs w:val="24"/>
          <w:vertAlign w:val="superscript"/>
        </w:rPr>
        <w:t xml:space="preserve">[43][87]</w:t>
      </w:r>
      <w:r>
        <w:rPr>
          <w:rFonts w:ascii="Times New Roman" w:cs="Times New Roman" w:eastAsia="Times New Roman" w:hAnsi="Times New Roman"/>
          <w:sz w:val="24"/>
          <w:szCs w:val="24"/>
        </w:rPr>
        <w:t xml:space="preserve"> Sensitisation develops typically after repeated or prolonged exposures with individual variability reflecting MHC haplotype, co-exposures, barrier integrity, and possibly Th17/IL-17 axis activation. </w:t>
      </w:r>
      <w:r>
        <w:rPr>
          <w:rFonts w:ascii="Times New Roman" w:cs="Times New Roman" w:eastAsia="Times New Roman" w:hAnsi="Times New Roman"/>
          <w:b/>
          <w:bCs/>
          <w:sz w:val="24"/>
          <w:szCs w:val="24"/>
          <w:vertAlign w:val="superscript"/>
        </w:rPr>
        <w:t xml:space="preserve">[87]</w:t>
      </w:r>
      <w:r>
        <w:rPr>
          <w:rFonts w:ascii="Times New Roman" w:cs="Times New Roman" w:eastAsia="Times New Roman" w:hAnsi="Times New Roman"/>
          <w:sz w:val="24"/>
          <w:szCs w:val="24"/>
        </w:rPr>
        <w:t xml:space="preserve"> The local lymph node assay (LLNA, OECD TG 429) and modern in vitro sensitisation assays (DPRA, KeratinoSens, h-CLAT) all classify formaldehyde as a strong skin sensitiser, consistent with the observed human clinical epidemiology.</w:t>
      </w:r>
      <w:r>
        <w:rPr>
          <w:rFonts w:ascii="Times New Roman" w:cs="Times New Roman" w:eastAsia="Times New Roman" w:hAnsi="Times New Roman"/>
          <w:b/>
          <w:bCs/>
          <w:sz w:val="24"/>
          <w:szCs w:val="24"/>
          <w:vertAlign w:val="superscript"/>
        </w:rPr>
        <w:t xml:space="preserve">[72][87]</w:t>
      </w:r>
    </w:p>
    <w:p>
      <w:pPr>
        <w:spacing w:after="120" w:before="280"/>
        <w:jc w:val="left"/>
      </w:pPr>
      <w:r>
        <w:rPr>
          <w:rFonts w:ascii="Times New Roman" w:cs="Times New Roman" w:eastAsia="Times New Roman" w:hAnsi="Times New Roman"/>
          <w:b/>
          <w:bCs/>
          <w:sz w:val="24"/>
          <w:szCs w:val="24"/>
        </w:rPr>
        <w:t xml:space="preserve">Corrosive Injury from Liquid Formalin</w:t>
      </w:r>
    </w:p>
    <w:p>
      <w:pPr>
        <w:spacing w:after="120" w:before="60" w:line="300"/>
        <w:jc w:val="both"/>
      </w:pPr>
      <w:r>
        <w:rPr>
          <w:rFonts w:ascii="Times New Roman" w:cs="Times New Roman" w:eastAsia="Times New Roman" w:hAnsi="Times New Roman"/>
          <w:sz w:val="24"/>
          <w:szCs w:val="24"/>
        </w:rPr>
        <w:t xml:space="preserve">Direct skin contact with concentrated formalin (37 % aqueous formaldehyde) or with formaldehyde/paraformaldehyde-based process chemicals produces chemical burns of varying severity.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Acute exposure typically causes first-degree burn-like erythema and desquamation; prolonged contact or high-concentration exposure results in second- and third-degree burns with full-thickness injury.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Systemic absorption from large-surface-area burns can contribute to systemic toxicity including metabolic acidosis from formate accumulation. </w:t>
      </w:r>
      <w:r>
        <w:rPr>
          <w:rFonts w:ascii="Times New Roman" w:cs="Times New Roman" w:eastAsia="Times New Roman" w:hAnsi="Times New Roman"/>
          <w:b/>
          <w:bCs/>
          <w:sz w:val="24"/>
          <w:szCs w:val="24"/>
          <w:vertAlign w:val="superscript"/>
        </w:rPr>
        <w:t xml:space="preserve">[78]</w:t>
      </w:r>
      <w:r>
        <w:rPr>
          <w:rFonts w:ascii="Times New Roman" w:cs="Times New Roman" w:eastAsia="Times New Roman" w:hAnsi="Times New Roman"/>
          <w:sz w:val="24"/>
          <w:szCs w:val="24"/>
        </w:rPr>
        <w:t xml:space="preserve"> Occupational and industrial safety standards require immediate irrigation with copious water for ≥15 minutes following any dermal contact, removal of contaminated clothing, and burn-specific medical evaluation.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Workers in high-exposure sectors are instructed in emergency eyewash and safety shower use, and facilities must provide accessible emergency equipment per ANSI Z358.1 and OSHA regulatory requirements.</w:t>
      </w:r>
    </w:p>
    <w:p>
      <w:pPr>
        <w:spacing w:after="120" w:before="280"/>
        <w:jc w:val="left"/>
      </w:pPr>
      <w:r>
        <w:rPr>
          <w:rFonts w:ascii="Times New Roman" w:cs="Times New Roman" w:eastAsia="Times New Roman" w:hAnsi="Times New Roman"/>
          <w:b/>
          <w:bCs/>
          <w:sz w:val="24"/>
          <w:szCs w:val="24"/>
        </w:rPr>
        <w:t xml:space="preserve">Hair Product-Related Case Reports</w:t>
      </w:r>
    </w:p>
    <w:p>
      <w:pPr>
        <w:spacing w:after="120" w:before="60" w:line="300"/>
        <w:jc w:val="both"/>
      </w:pPr>
      <w:r>
        <w:rPr>
          <w:rFonts w:ascii="Times New Roman" w:cs="Times New Roman" w:eastAsia="Times New Roman" w:hAnsi="Times New Roman"/>
          <w:sz w:val="24"/>
          <w:szCs w:val="24"/>
        </w:rPr>
        <w:t xml:space="preserve">The Brazilian-style keratin hair-straightening products released through the 2009–2015 window produced a distinctive pattern of dermal-ocular injury clustering in cosmetology workers and clients.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Reported injuries included chemical burns of the scalp, forehead, and periorbital skin; conjunctival injection and corneal irritation; acute respiratory irritation; and contact dermatitis of the hands and forearms of professionals applying the products.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NIOSH Health Hazard Evaluations at affected salons documented formaldehyde exposures in both vapour and aerosol phase, with cumulative daily breathing-zone exposures for cosmetologists routinely exceeding the OSHA short-term exposure limit of 2 ppm.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State-level regulatory action (California, Oregon, Washington) banned or restricted formaldehyde-releasing hair-smoothing products through the 2015–2020 window; FDA enforcement and the 2024 GAO report are driving federal action on remaining imported products.</w:t>
      </w:r>
      <w:r>
        <w:rPr>
          <w:rFonts w:ascii="Times New Roman" w:cs="Times New Roman" w:eastAsia="Times New Roman" w:hAnsi="Times New Roman"/>
          <w:b/>
          <w:bCs/>
          <w:sz w:val="24"/>
          <w:szCs w:val="24"/>
          <w:vertAlign w:val="superscript"/>
        </w:rPr>
        <w:t xml:space="preserve">[88][92]</w:t>
      </w:r>
    </w:p>
    <w:p>
      <w:pPr>
        <w:spacing w:after="120" w:before="280"/>
        <w:jc w:val="left"/>
      </w:pPr>
      <w:r>
        <w:rPr>
          <w:rFonts w:ascii="Times New Roman" w:cs="Times New Roman" w:eastAsia="Times New Roman" w:hAnsi="Times New Roman"/>
          <w:b/>
          <w:bCs/>
          <w:sz w:val="24"/>
          <w:szCs w:val="24"/>
        </w:rPr>
        <w:t xml:space="preserve">Occupational Dermatitis in Specific Industries</w:t>
      </w:r>
    </w:p>
    <w:p>
      <w:pPr>
        <w:spacing w:after="120" w:before="60" w:line="300"/>
        <w:jc w:val="both"/>
      </w:pPr>
      <w:r>
        <w:rPr>
          <w:rFonts w:ascii="Times New Roman" w:cs="Times New Roman" w:eastAsia="Times New Roman" w:hAnsi="Times New Roman"/>
          <w:sz w:val="24"/>
          <w:szCs w:val="24"/>
        </w:rPr>
        <w:t xml:space="preserve">Occupational dermatitis attributable to formaldehyde is well-documented in several high-exposure industries: histopathology technicians with repeated handling of formalin-preserved tissues, embalmers and funeral industry workers, cosmetology and hair-salon workers, resin-manufacturing operators, garment and textile workers handling formaldehyde-treated fabrics, and dental laboratory technicians using acrylic and resin-based dental materials. </w:t>
      </w:r>
      <w:r>
        <w:rPr>
          <w:rFonts w:ascii="Times New Roman" w:cs="Times New Roman" w:eastAsia="Times New Roman" w:hAnsi="Times New Roman"/>
          <w:b/>
          <w:bCs/>
          <w:sz w:val="24"/>
          <w:szCs w:val="24"/>
          <w:vertAlign w:val="superscript"/>
        </w:rPr>
        <w:t xml:space="preserve">[14][15][88][89]</w:t>
      </w:r>
      <w:r>
        <w:rPr>
          <w:rFonts w:ascii="Times New Roman" w:cs="Times New Roman" w:eastAsia="Times New Roman" w:hAnsi="Times New Roman"/>
          <w:sz w:val="24"/>
          <w:szCs w:val="24"/>
        </w:rPr>
        <w:t xml:space="preserve"> Prevalence of formaldehyde-specific sensitisation in these populations ranges from 5 % (general garment industry) to 25 % (cosmetology and histopathology).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Management includes workplace-specific engineering controls, robust glove selection (nitrile or butyl, latex is inadequate), periodic skin examinations, and specialist dermatology referral for sensitised workers.</w:t>
      </w:r>
    </w:p>
    <w:p>
      <w:pPr>
        <w:spacing w:after="120" w:before="280"/>
        <w:jc w:val="left"/>
      </w:pPr>
      <w:r>
        <w:rPr>
          <w:rFonts w:ascii="Times New Roman" w:cs="Times New Roman" w:eastAsia="Times New Roman" w:hAnsi="Times New Roman"/>
          <w:b/>
          <w:bCs/>
          <w:sz w:val="24"/>
          <w:szCs w:val="24"/>
        </w:rPr>
        <w:t xml:space="preserve">Consumer Product Exposure</w:t>
      </w:r>
    </w:p>
    <w:p>
      <w:pPr>
        <w:spacing w:after="120" w:before="60" w:line="300"/>
        <w:jc w:val="both"/>
      </w:pPr>
      <w:r>
        <w:rPr>
          <w:rFonts w:ascii="Times New Roman" w:cs="Times New Roman" w:eastAsia="Times New Roman" w:hAnsi="Times New Roman"/>
          <w:sz w:val="24"/>
          <w:szCs w:val="24"/>
        </w:rPr>
        <w:t xml:space="preserve">Consumer product formaldehyde exposure to skin and eyes occurs through cosmetics, personal-care products, cleaning agents, hair-care products, and textile products. </w:t>
      </w:r>
      <w:r>
        <w:rPr>
          <w:rFonts w:ascii="Times New Roman" w:cs="Times New Roman" w:eastAsia="Times New Roman" w:hAnsi="Times New Roman"/>
          <w:b/>
          <w:bCs/>
          <w:sz w:val="24"/>
          <w:szCs w:val="24"/>
          <w:vertAlign w:val="superscript"/>
        </w:rPr>
        <w:t xml:space="preserve">[85][87][88]</w:t>
      </w:r>
      <w:r>
        <w:rPr>
          <w:rFonts w:ascii="Times New Roman" w:cs="Times New Roman" w:eastAsia="Times New Roman" w:hAnsi="Times New Roman"/>
          <w:sz w:val="24"/>
          <w:szCs w:val="24"/>
        </w:rPr>
        <w:t xml:space="preserve"> The Cosmetic Ingredient Review (CIR) and European Cosmetics Regulation 1223/2009 limit free formaldehyde in cosmetics to 0.1 % in leave-on products and 0.2 % in rinse-off products, with labelling requirements above 0.05 %.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Consumer products that commonly contain formaldehyde-releasing preservatives include shampoos, conditioners, liquid soaps, hand lotions, baby wipes, nail treatments, deodorants, and cleaning products; the cumulative daily exposure from these sources is modest but can exceed the threshold for sensitisation in susceptible individuals.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Textiles treated with formaldehyde-based wrinkle-resistance, shrink-proofing, or antimicrobial finishes can contain up to several hundred µg/g formaldehyde; European REACH Entry 72 limits total formaldehyde in textiles to 75 mg/kg. Infant and toddler clothing, in particular, is subject to additional product-safety oversight in both Europe and the U.S.</w:t>
      </w:r>
      <w:r>
        <w:rPr>
          <w:rFonts w:ascii="Times New Roman" w:cs="Times New Roman" w:eastAsia="Times New Roman" w:hAnsi="Times New Roman"/>
          <w:b/>
          <w:bCs/>
          <w:sz w:val="24"/>
          <w:szCs w:val="24"/>
          <w:vertAlign w:val="superscript"/>
        </w:rPr>
        <w:t xml:space="preserve">[26][85]</w:t>
      </w:r>
    </w:p>
    <w:p>
      <w:pPr>
        <w:spacing w:after="120" w:before="280"/>
        <w:jc w:val="left"/>
      </w:pPr>
      <w:r>
        <w:rPr>
          <w:rFonts w:ascii="Times New Roman" w:cs="Times New Roman" w:eastAsia="Times New Roman" w:hAnsi="Times New Roman"/>
          <w:b/>
          <w:bCs/>
          <w:sz w:val="24"/>
          <w:szCs w:val="24"/>
        </w:rPr>
        <w:t xml:space="preserve">Diagnostic and Management Considerations</w:t>
      </w:r>
    </w:p>
    <w:p>
      <w:pPr>
        <w:spacing w:after="120" w:before="60" w:line="300"/>
        <w:jc w:val="both"/>
      </w:pPr>
      <w:r>
        <w:rPr>
          <w:rFonts w:ascii="Times New Roman" w:cs="Times New Roman" w:eastAsia="Times New Roman" w:hAnsi="Times New Roman"/>
          <w:sz w:val="24"/>
          <w:szCs w:val="24"/>
        </w:rPr>
        <w:t xml:space="preserve">Clinical management of formaldehyde-sensitised patients rests on allergen avoidance and management of co-reactive releaser chemicals.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Patients are advised to review cosmetic and personal-care product ingredient labels and avoid formaldehyde-releasing preservatives (quaternium-15, DMDM hydantoin, imidazolidinyl urea, diazolidinyl urea, 2-bromo-2-nitropropane-1,3-diol, methenamine, sodium hydroxymethylglycinate).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Industrial workers with diagnosed sensitisation require occupational accommodations, enhanced PPE (typically nitrile or butyl gloves, periodically replaced), and in persistent cases job reassignment away from formaldehyde-using processes. </w:t>
      </w:r>
      <w:r>
        <w:rPr>
          <w:rFonts w:ascii="Times New Roman" w:cs="Times New Roman" w:eastAsia="Times New Roman" w:hAnsi="Times New Roman"/>
          <w:b/>
          <w:bCs/>
          <w:sz w:val="24"/>
          <w:szCs w:val="24"/>
          <w:vertAlign w:val="superscript"/>
        </w:rPr>
        <w:t xml:space="preserve">[88][99]</w:t>
      </w:r>
      <w:r>
        <w:rPr>
          <w:rFonts w:ascii="Times New Roman" w:cs="Times New Roman" w:eastAsia="Times New Roman" w:hAnsi="Times New Roman"/>
          <w:sz w:val="24"/>
          <w:szCs w:val="24"/>
        </w:rPr>
        <w:t xml:space="preserve"> Patch-test-confirmed diagnosis, referral to occupational medicine, and documentation for workers' compensation claims are standard clinical practice; systemic corticosteroids may be indicated for severe acute exacerbations.</w:t>
      </w:r>
    </w:p>
    <w:p>
      <w:r>
        <w:br w:type="page"/>
      </w:r>
    </w:p>
    <w:p>
      <w:pPr>
        <w:spacing w:after="120" w:before="280"/>
        <w:jc w:val="left"/>
      </w:pPr>
      <w:r>
        <w:rPr>
          <w:rFonts w:ascii="Times New Roman" w:cs="Times New Roman" w:eastAsia="Times New Roman" w:hAnsi="Times New Roman"/>
          <w:b/>
          <w:bCs/>
          <w:sz w:val="24"/>
          <w:szCs w:val="24"/>
        </w:rPr>
        <w:t xml:space="preserve">Carcinogenicity — Extended Evidence Base</w:t>
      </w:r>
    </w:p>
    <w:p>
      <w:pPr>
        <w:spacing w:after="120" w:before="60" w:line="300"/>
        <w:jc w:val="both"/>
      </w:pPr>
      <w:r>
        <w:rPr>
          <w:rFonts w:ascii="Times New Roman" w:cs="Times New Roman" w:eastAsia="Times New Roman" w:hAnsi="Times New Roman"/>
          <w:sz w:val="24"/>
          <w:szCs w:val="24"/>
        </w:rPr>
        <w:t xml:space="preserve">The carcinogenic hazard posed by inhaled formaldehyde is a defining feature of its modern regulatory profile. The 2006 re-evaluation of formaldehyde by the IARC Working Group concluded that there was sufficient evidence in humans for the carcinogenicity of formaldehyde, with nasopharyngeal carcinoma (NPC) as the primary anchoring tumour. The 2012 and 2023 updates (Monograph 88 and Volume 100F, with supplementary evidence through Volume 132) reaffirmed the Group 1 classification and broadened the tumour spectrum to include sinonasal adenocarcinoma and myeloid leukaemia (sufficient evidence) as well as limited evidence for cancers of the oropharynx and hypopharynx. </w:t>
      </w:r>
      <w:r>
        <w:rPr>
          <w:rFonts w:ascii="Times New Roman" w:cs="Times New Roman" w:eastAsia="Times New Roman" w:hAnsi="Times New Roman"/>
          <w:b/>
          <w:bCs/>
          <w:sz w:val="24"/>
          <w:szCs w:val="24"/>
          <w:vertAlign w:val="superscript"/>
        </w:rPr>
        <w:t xml:space="preserve">[1][2][4][40]</w:t>
      </w:r>
      <w:r>
        <w:rPr>
          <w:rFonts w:ascii="Times New Roman" w:cs="Times New Roman" w:eastAsia="Times New Roman" w:hAnsi="Times New Roman"/>
          <w:sz w:val="24"/>
          <w:szCs w:val="24"/>
        </w:rPr>
        <w:t xml:space="preserve"> The U.S. National Toxicology Program's 14th Report on Carcinogens preserves its listing of formaldehyde as a 'known human carcinogen,' citing the same body of cohort and mechanistic evidence. </w:t>
      </w:r>
      <w:r>
        <w:rPr>
          <w:rFonts w:ascii="Times New Roman" w:cs="Times New Roman" w:eastAsia="Times New Roman" w:hAnsi="Times New Roman"/>
          <w:b/>
          <w:bCs/>
          <w:sz w:val="24"/>
          <w:szCs w:val="24"/>
          <w:vertAlign w:val="superscript"/>
        </w:rPr>
        <w:t xml:space="preserve">[5][41]</w:t>
      </w:r>
      <w:r>
        <w:rPr>
          <w:rFonts w:ascii="Times New Roman" w:cs="Times New Roman" w:eastAsia="Times New Roman" w:hAnsi="Times New Roman"/>
          <w:sz w:val="24"/>
          <w:szCs w:val="24"/>
        </w:rPr>
        <w:t xml:space="preserve"> The U.S. EPA IRIS 2024 TSD integrates newer pooled cohort analyses, updated tumour registry linkages, and additional mode-of-action studies to re-derive oral and inhalation cancer and non-cancer reference values.</w:t>
      </w:r>
      <w:r>
        <w:rPr>
          <w:rFonts w:ascii="Times New Roman" w:cs="Times New Roman" w:eastAsia="Times New Roman" w:hAnsi="Times New Roman"/>
          <w:b/>
          <w:bCs/>
          <w:sz w:val="24"/>
          <w:szCs w:val="24"/>
          <w:vertAlign w:val="superscript"/>
        </w:rPr>
        <w:t xml:space="preserve">[1]</w:t>
      </w:r>
    </w:p>
    <w:p>
      <w:pPr>
        <w:spacing w:after="120" w:before="60" w:line="300"/>
        <w:jc w:val="both"/>
      </w:pPr>
      <w:r>
        <w:rPr>
          <w:rFonts w:ascii="Times New Roman" w:cs="Times New Roman" w:eastAsia="Times New Roman" w:hAnsi="Times New Roman"/>
          <w:sz w:val="24"/>
          <w:szCs w:val="24"/>
        </w:rPr>
        <w:t xml:space="preserve">At a population level, the disease burden attributable to formaldehyde is dominated by two occupational cohorts: the U.S. National Cancer Institute (NCI) industrial worker cohort (Beane Freeman et al., 2009; Checkoway et al., 2015) and the U.S. National Institute for Occupational Safety and Health (NIOSH) embalmers and funeral directors cohort (Hauptmann et al., 2009; Meyers et al., 2013). Both demonstrated exposure-response relationships for NPC and for myeloid leukaemia when indexed against peak, average, or cumulative formaldehyde exposure. </w:t>
      </w:r>
      <w:r>
        <w:rPr>
          <w:rFonts w:ascii="Times New Roman" w:cs="Times New Roman" w:eastAsia="Times New Roman" w:hAnsi="Times New Roman"/>
          <w:b/>
          <w:bCs/>
          <w:sz w:val="24"/>
          <w:szCs w:val="24"/>
          <w:vertAlign w:val="superscript"/>
        </w:rPr>
        <w:t xml:space="preserve">[10][11][12][13]</w:t>
      </w:r>
      <w:r>
        <w:rPr>
          <w:rFonts w:ascii="Times New Roman" w:cs="Times New Roman" w:eastAsia="Times New Roman" w:hAnsi="Times New Roman"/>
          <w:sz w:val="24"/>
          <w:szCs w:val="24"/>
        </w:rPr>
        <w:t xml:space="preserve"> Replication is seen in Garment Workers' Study cohorts (Pinkerton et al., 2004, re-examined by Meyers 2013) and in pooled European studies of professional anatomists and pathologists.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Taken together, the three hallmark industrial cohorts now encompass over 70,000 workers with peak formaldehyde exposures historically exceeding 4 ppm and cumulative exposures exceeding 7 ppm-years, providing statistical power sufficient to detect relative risks of 1.2 at the 80% level.</w:t>
      </w:r>
      <w:r>
        <w:rPr>
          <w:rFonts w:ascii="Times New Roman" w:cs="Times New Roman" w:eastAsia="Times New Roman" w:hAnsi="Times New Roman"/>
          <w:b/>
          <w:bCs/>
          <w:sz w:val="24"/>
          <w:szCs w:val="24"/>
          <w:vertAlign w:val="superscript"/>
        </w:rPr>
        <w:t xml:space="preserve">[11]</w:t>
      </w:r>
    </w:p>
    <w:p>
      <w:pPr>
        <w:spacing w:after="120" w:before="60" w:line="300"/>
        <w:jc w:val="both"/>
      </w:pPr>
      <w:r>
        <w:rPr>
          <w:rFonts w:ascii="Times New Roman" w:cs="Times New Roman" w:eastAsia="Times New Roman" w:hAnsi="Times New Roman"/>
          <w:sz w:val="24"/>
          <w:szCs w:val="24"/>
        </w:rPr>
        <w:t xml:space="preserve">Nasopharyngeal carcinoma remains the most consistently elevated tumour outcome in studies with peak exposures above 4 ppm. In the NCI cohort, workers with the highest peak exposures showed standardized mortality ratios (SMR) for NPC approaching 4.0 relative to the U.S. general population, with monotonic exposure-response across five exposure strata. </w:t>
      </w:r>
      <w:r>
        <w:rPr>
          <w:rFonts w:ascii="Times New Roman" w:cs="Times New Roman" w:eastAsia="Times New Roman" w:hAnsi="Times New Roman"/>
          <w:b/>
          <w:bCs/>
          <w:sz w:val="24"/>
          <w:szCs w:val="24"/>
          <w:vertAlign w:val="superscript"/>
        </w:rPr>
        <w:t xml:space="preserve">[10][42]</w:t>
      </w:r>
      <w:r>
        <w:rPr>
          <w:rFonts w:ascii="Times New Roman" w:cs="Times New Roman" w:eastAsia="Times New Roman" w:hAnsi="Times New Roman"/>
          <w:sz w:val="24"/>
          <w:szCs w:val="24"/>
        </w:rPr>
        <w:t xml:space="preserve"> Sensitivity analyses restricted to workers with verifiable exposure histories and to deaths occurring &gt;15 years after first exposure preserved the magnitude of the association.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 The latency structure is consistent with a two-stage carcinogenesis model in which formaldehyde-induced DNA-protein crosslinks and replication-associated mutagenesis at the respiratory epithelium mediate early initiation events, while chronic inflammation and regenerative proliferation drive progression.</w:t>
      </w:r>
      <w:r>
        <w:rPr>
          <w:rFonts w:ascii="Times New Roman" w:cs="Times New Roman" w:eastAsia="Times New Roman" w:hAnsi="Times New Roman"/>
          <w:b/>
          <w:bCs/>
          <w:sz w:val="24"/>
          <w:szCs w:val="24"/>
          <w:vertAlign w:val="superscript"/>
        </w:rPr>
        <w:t xml:space="preserve">[20][21][43]</w:t>
      </w:r>
    </w:p>
    <w:p>
      <w:pPr>
        <w:spacing w:after="120" w:before="60" w:line="300"/>
        <w:jc w:val="both"/>
      </w:pPr>
      <w:r>
        <w:rPr>
          <w:rFonts w:ascii="Times New Roman" w:cs="Times New Roman" w:eastAsia="Times New Roman" w:hAnsi="Times New Roman"/>
          <w:sz w:val="24"/>
          <w:szCs w:val="24"/>
        </w:rPr>
        <w:t xml:space="preserve">Myeloid leukaemia associations — in particular acute myeloid leukaemia (AML) and myelodysplastic syndromes transitioning to AML — are more heterogeneous but have strengthened in the most recent pooled analyses. In the NCI cohort, peak-exposure hazard ratios for myeloid leukaemia were 2.0 to 3.4 in the highest category, with a positive exposure-response trend (p-trend = 0.02–0.09 across sensitivity analyses). </w:t>
      </w:r>
      <w:r>
        <w:rPr>
          <w:rFonts w:ascii="Times New Roman" w:cs="Times New Roman" w:eastAsia="Times New Roman" w:hAnsi="Times New Roman"/>
          <w:b/>
          <w:bCs/>
          <w:sz w:val="24"/>
          <w:szCs w:val="24"/>
          <w:vertAlign w:val="superscript"/>
        </w:rPr>
        <w:t xml:space="preserve">[11][16][44]</w:t>
      </w:r>
      <w:r>
        <w:rPr>
          <w:rFonts w:ascii="Times New Roman" w:cs="Times New Roman" w:eastAsia="Times New Roman" w:hAnsi="Times New Roman"/>
          <w:sz w:val="24"/>
          <w:szCs w:val="24"/>
        </w:rPr>
        <w:t xml:space="preserve"> Beane Freeman (2009) reported a relative risk of 1.78 (95% CI 1.08–2.93) for myeloid leukaemia in the highest peak group; the 2015 Checkoway update extended follow-up by nine years and preserved the signal.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NIOSH embalmers' study observed an odds ratio of 11.2 (95% CI 1.3–95.6) for mortality from myeloid leukaemia at the highest tertile of peak formaldehyde exposure, the highest reported effect size in the occupational literature.</w:t>
      </w:r>
      <w:r>
        <w:rPr>
          <w:rFonts w:ascii="Times New Roman" w:cs="Times New Roman" w:eastAsia="Times New Roman" w:hAnsi="Times New Roman"/>
          <w:b/>
          <w:bCs/>
          <w:sz w:val="24"/>
          <w:szCs w:val="24"/>
          <w:vertAlign w:val="superscript"/>
        </w:rPr>
        <w:t xml:space="preserve">[12]</w:t>
      </w:r>
    </w:p>
    <w:p>
      <w:pPr>
        <w:spacing w:after="120" w:before="60" w:line="300"/>
        <w:jc w:val="both"/>
      </w:pPr>
      <w:r>
        <w:rPr>
          <w:rFonts w:ascii="Times New Roman" w:cs="Times New Roman" w:eastAsia="Times New Roman" w:hAnsi="Times New Roman"/>
          <w:sz w:val="24"/>
          <w:szCs w:val="24"/>
        </w:rPr>
        <w:t xml:space="preserve">Sinonasal adenocarcinoma is a rare tumour but has been consistently associated with formaldehyde exposure in joint analyses of European case-control studies and in cohort data from Nordic workers.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Meta-analytic pooling by Bosetti et al. and by the Collins/Acquavella panels estimated relative risks in the 2.0–3.5 range for the highest cumulative exposure categories, with attenuation when wood-dust co-exposure was adjusted. </w:t>
      </w:r>
      <w:r>
        <w:rPr>
          <w:rFonts w:ascii="Times New Roman" w:cs="Times New Roman" w:eastAsia="Times New Roman" w:hAnsi="Times New Roman"/>
          <w:b/>
          <w:bCs/>
          <w:sz w:val="24"/>
          <w:szCs w:val="24"/>
          <w:vertAlign w:val="superscript"/>
        </w:rPr>
        <w:t xml:space="preserve">[7][22][45]</w:t>
      </w:r>
      <w:r>
        <w:rPr>
          <w:rFonts w:ascii="Times New Roman" w:cs="Times New Roman" w:eastAsia="Times New Roman" w:hAnsi="Times New Roman"/>
          <w:sz w:val="24"/>
          <w:szCs w:val="24"/>
        </w:rPr>
        <w:t xml:space="preserve"> IARC Monograph 100F concluded that the evidence for sinonasal cancer remained consistent with formaldehyde being a causal agent though confounded in certain industries by concurrent wood-dust exposure, and graded the evidence as sufficient when pooled across well-characterised occupational settings.</w:t>
      </w:r>
      <w:r>
        <w:rPr>
          <w:rFonts w:ascii="Times New Roman" w:cs="Times New Roman" w:eastAsia="Times New Roman" w:hAnsi="Times New Roman"/>
          <w:b/>
          <w:bCs/>
          <w:sz w:val="24"/>
          <w:szCs w:val="24"/>
          <w:vertAlign w:val="superscript"/>
        </w:rPr>
        <w:t xml:space="preserve">[2]</w:t>
      </w:r>
    </w:p>
    <w:p>
      <w:pPr>
        <w:spacing w:after="120" w:before="60" w:line="300"/>
        <w:jc w:val="both"/>
      </w:pPr>
      <w:r>
        <w:rPr>
          <w:rFonts w:ascii="Times New Roman" w:cs="Times New Roman" w:eastAsia="Times New Roman" w:hAnsi="Times New Roman"/>
          <w:sz w:val="24"/>
          <w:szCs w:val="24"/>
        </w:rPr>
        <w:t xml:space="preserve">Beyond the three index tumours, epidemiological investigations have examined oropharyngeal, laryngeal, lung, pancreatic, brain, and haematopoietic malignancies. Evidence for oropharyngeal and hypopharyngeal cancers is considered limited but suggestive, with pooled odds ratios of 1.3–1.8 across case-control studies.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 Lung cancer findings have been null or weakly positive in most cohorts after adjustment for smoking, a well-known confounder in worker populations. </w:t>
      </w:r>
      <w:r>
        <w:rPr>
          <w:rFonts w:ascii="Times New Roman" w:cs="Times New Roman" w:eastAsia="Times New Roman" w:hAnsi="Times New Roman"/>
          <w:b/>
          <w:bCs/>
          <w:sz w:val="24"/>
          <w:szCs w:val="24"/>
          <w:vertAlign w:val="superscript"/>
        </w:rPr>
        <w:t xml:space="preserve">[10][42]</w:t>
      </w:r>
      <w:r>
        <w:rPr>
          <w:rFonts w:ascii="Times New Roman" w:cs="Times New Roman" w:eastAsia="Times New Roman" w:hAnsi="Times New Roman"/>
          <w:sz w:val="24"/>
          <w:szCs w:val="24"/>
        </w:rPr>
        <w:t xml:space="preserve"> A 2024 meta-analysis by Protano et al. examined occupational cohorts of anatomists, pathologists, and funeral workers and reported significantly elevated relative risks for brain cancer (RR 1.51, 95% CI 1.15–1.99), leukaemia (RR 1.32, 95% CI 1.08–1.61), and NPC (RR 1.89, 95% CI 1.24–2.87), while reinforcing the leukaemia association.</w:t>
      </w:r>
      <w:r>
        <w:rPr>
          <w:rFonts w:ascii="Times New Roman" w:cs="Times New Roman" w:eastAsia="Times New Roman" w:hAnsi="Times New Roman"/>
          <w:b/>
          <w:bCs/>
          <w:sz w:val="24"/>
          <w:szCs w:val="24"/>
          <w:vertAlign w:val="superscript"/>
        </w:rPr>
        <w:t xml:space="preserve">[47]</w:t>
      </w:r>
    </w:p>
    <w:p>
      <w:pPr>
        <w:spacing w:after="120" w:before="280"/>
        <w:jc w:val="left"/>
      </w:pPr>
      <w:r>
        <w:rPr>
          <w:rFonts w:ascii="Times New Roman" w:cs="Times New Roman" w:eastAsia="Times New Roman" w:hAnsi="Times New Roman"/>
          <w:b/>
          <w:bCs/>
          <w:sz w:val="24"/>
          <w:szCs w:val="24"/>
        </w:rPr>
        <w:t xml:space="preserve">Figure 3 — Kerns Two-Year Rat Dose-Response</w:t>
      </w:r>
    </w:p>
    <w:p>
      <w:pPr>
        <w:spacing w:after="80" w:before="120"/>
        <w:jc w:val="center"/>
      </w:pPr>
      <w:r>
        <w:drawing>
          <wp:inline distT="0" distB="0" distL="0" distR="0">
            <wp:extent cx="5143500" cy="3429000"/>
            <wp:effectExtent t="0" r="0" b="0" l="0"/>
            <wp:docPr id="1" name="fig3_kerns_doseresponse.png" descr="fig3_kerns_doseresponse.png" title="fig3_kerns_dose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29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3. Nasal squamous-cell carcinoma incidence in male F344 rats exposed to formaldehyde vapour for two years (Kerns et al., 1983). The supra-linear rise above 6 ppm is the pivotal toxicological anchor for cancer risk assessment.</w:t>
      </w:r>
    </w:p>
    <w:p>
      <w:pPr>
        <w:spacing w:after="80" w:before="120"/>
        <w:jc w:val="center"/>
      </w:pPr>
      <w:r>
        <w:drawing>
          <wp:inline distT="0" distB="0" distL="0" distR="0">
            <wp:extent cx="4762500" cy="2762250"/>
            <wp:effectExtent t="0" r="0" b="0" l="0"/>
            <wp:docPr id="1" name="fig12_kerns_tumors.png" descr="fig12_kerns_tumors.png" title="fig12_kerns_tum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762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C1. Re-derived dose-response with polynomial best-fit to the Kerns 1983 observations (0, 2, 6, 15 ppm). The curve illustrates the steep response beyond 6 ppm used for benchmark-dose derivation in EPA IRIS and IARC assessments.</w:t>
      </w:r>
    </w:p>
    <w:p>
      <w:pPr>
        <w:spacing w:after="120" w:before="60" w:line="300"/>
        <w:jc w:val="both"/>
      </w:pPr>
      <w:r>
        <w:rPr>
          <w:rFonts w:ascii="Times New Roman" w:cs="Times New Roman" w:eastAsia="Times New Roman" w:hAnsi="Times New Roman"/>
          <w:sz w:val="24"/>
          <w:szCs w:val="24"/>
        </w:rPr>
        <w:t xml:space="preserve">The Kerns et al. (1983) two-year rat inhalation bioassay remains the pivotal animal experiment underpinning regulatory cancer potency estimates for formaldehyde. F344 rats exposed to 0, 2, 5.6, or 14.3 ppm formaldehyde vapour for 6 h/day, 5 d/week for 24 months developed nasal squamous cell carcinoma with incidences of 0/232, 0/236, 2/235, and 103/232 respectively, producing one of the steepest dose-response curves in the chronic bioassay literature. </w:t>
      </w:r>
      <w:r>
        <w:rPr>
          <w:rFonts w:ascii="Times New Roman" w:cs="Times New Roman" w:eastAsia="Times New Roman" w:hAnsi="Times New Roman"/>
          <w:b/>
          <w:bCs/>
          <w:sz w:val="24"/>
          <w:szCs w:val="24"/>
          <w:vertAlign w:val="superscript"/>
        </w:rPr>
        <w:t xml:space="preserve">[48][49]</w:t>
      </w:r>
      <w:r>
        <w:rPr>
          <w:rFonts w:ascii="Times New Roman" w:cs="Times New Roman" w:eastAsia="Times New Roman" w:hAnsi="Times New Roman"/>
          <w:sz w:val="24"/>
          <w:szCs w:val="24"/>
        </w:rPr>
        <w:t xml:space="preserve"> The supra-linear transition between 5.6 ppm and 14.3 ppm is attributable to saturation of glutathione-dependent detoxification and to the onset of sustained regenerative hyperplasia; it defines the threshold-like behaviour observed in rodents. </w:t>
      </w:r>
      <w:r>
        <w:rPr>
          <w:rFonts w:ascii="Times New Roman" w:cs="Times New Roman" w:eastAsia="Times New Roman" w:hAnsi="Times New Roman"/>
          <w:b/>
          <w:bCs/>
          <w:sz w:val="24"/>
          <w:szCs w:val="24"/>
          <w:vertAlign w:val="superscript"/>
        </w:rPr>
        <w:t xml:space="preserve">[20][50]</w:t>
      </w:r>
      <w:r>
        <w:rPr>
          <w:rFonts w:ascii="Times New Roman" w:cs="Times New Roman" w:eastAsia="Times New Roman" w:hAnsi="Times New Roman"/>
          <w:sz w:val="24"/>
          <w:szCs w:val="24"/>
        </w:rPr>
        <w:t xml:space="preserve"> Monticello et al. (1996) expanded the bioassay with additional dose-groups (0.7, 2, 6, 10, 15 ppm) and confirmed the hyperplasia–neoplasia transition at 6 ppm in rats, informing the current EPA IRIS derivation of an oral and inhalation unit risk factor.</w:t>
      </w:r>
      <w:r>
        <w:rPr>
          <w:rFonts w:ascii="Times New Roman" w:cs="Times New Roman" w:eastAsia="Times New Roman" w:hAnsi="Times New Roman"/>
          <w:b/>
          <w:bCs/>
          <w:sz w:val="24"/>
          <w:szCs w:val="24"/>
          <w:vertAlign w:val="superscript"/>
        </w:rPr>
        <w:t xml:space="preserve">[1][51]</w:t>
      </w:r>
    </w:p>
    <w:p>
      <w:pPr>
        <w:spacing w:after="120" w:before="60" w:line="300"/>
        <w:jc w:val="both"/>
      </w:pPr>
      <w:r>
        <w:rPr>
          <w:rFonts w:ascii="Times New Roman" w:cs="Times New Roman" w:eastAsia="Times New Roman" w:hAnsi="Times New Roman"/>
          <w:sz w:val="24"/>
          <w:szCs w:val="24"/>
        </w:rPr>
        <w:t xml:space="preserve">Inter-species extrapolation from rats to humans is complicated by differences in nasal anatomy, uptake patterns, and mucus-clearance dynamics. Computational fluid dynamics (CFD) models developed by Kimbell, Morgan, and CIIT investigators predict that the regional deposition of inhaled formaldehyde at the respiratory epithelium of rats is several-fold greater than at the equivalent nasopharyngeal surfaces of humans for a given inhaled concentration. </w:t>
      </w:r>
      <w:r>
        <w:rPr>
          <w:rFonts w:ascii="Times New Roman" w:cs="Times New Roman" w:eastAsia="Times New Roman" w:hAnsi="Times New Roman"/>
          <w:b/>
          <w:bCs/>
          <w:sz w:val="24"/>
          <w:szCs w:val="24"/>
          <w:vertAlign w:val="superscript"/>
        </w:rPr>
        <w:t xml:space="preserve">[52][53]</w:t>
      </w:r>
      <w:r>
        <w:rPr>
          <w:rFonts w:ascii="Times New Roman" w:cs="Times New Roman" w:eastAsia="Times New Roman" w:hAnsi="Times New Roman"/>
          <w:sz w:val="24"/>
          <w:szCs w:val="24"/>
        </w:rPr>
        <w:t xml:space="preserve"> When tumour incidence is plotted against CFD-derived regional dose rather than inhaled concentration, the exposure-response relationships between rat and human data converge substantially, supporting the biological plausibility of the human cohort findings at peak exposures in the 1–4 ppm range.</w:t>
      </w:r>
      <w:r>
        <w:rPr>
          <w:rFonts w:ascii="Times New Roman" w:cs="Times New Roman" w:eastAsia="Times New Roman" w:hAnsi="Times New Roman"/>
          <w:b/>
          <w:bCs/>
          <w:sz w:val="24"/>
          <w:szCs w:val="24"/>
          <w:vertAlign w:val="superscript"/>
        </w:rPr>
        <w:t xml:space="preserve">[52][54]</w:t>
      </w:r>
    </w:p>
    <w:p>
      <w:pPr>
        <w:spacing w:after="120" w:before="60" w:line="300"/>
        <w:jc w:val="both"/>
      </w:pPr>
      <w:r>
        <w:rPr>
          <w:rFonts w:ascii="Times New Roman" w:cs="Times New Roman" w:eastAsia="Times New Roman" w:hAnsi="Times New Roman"/>
          <w:sz w:val="24"/>
          <w:szCs w:val="24"/>
        </w:rPr>
        <w:t xml:space="preserve">Benchmark dose modelling of the Kerns and Monticello data using the U.S. EPA BMDS software produced a BMDL10 (lower 95% confidence limit on the dose corresponding to a 10% extra risk) in the range 1.2–2.8 ppm, with point-of-departure values sensitive to choice of dose metric (inhaled concentration vs. CFD-derived regional flux). </w:t>
      </w:r>
      <w:r>
        <w:rPr>
          <w:rFonts w:ascii="Times New Roman" w:cs="Times New Roman" w:eastAsia="Times New Roman" w:hAnsi="Times New Roman"/>
          <w:b/>
          <w:bCs/>
          <w:sz w:val="24"/>
          <w:szCs w:val="24"/>
          <w:vertAlign w:val="superscript"/>
        </w:rPr>
        <w:t xml:space="preserve">[1][55]</w:t>
      </w:r>
      <w:r>
        <w:rPr>
          <w:rFonts w:ascii="Times New Roman" w:cs="Times New Roman" w:eastAsia="Times New Roman" w:hAnsi="Times New Roman"/>
          <w:sz w:val="24"/>
          <w:szCs w:val="24"/>
        </w:rPr>
        <w:t xml:space="preserve"> The IRIS 2024 assessment adopts a central estimate of the inhalation unit risk (IUR) of 1.1 × 10⁻⁵ per µg/m³ (equivalent to 1.3 × 10⁻² per ppm), giving a one-in-a-million excess cancer risk at approximately 0.09 µg/m³ or 75 ppt.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RfC of 0.007 mg/m³ (0.006 ppm) is based on a NOAEL for nasal histopathology and incorporates a composite uncertainty factor of 30 for interspecies extrapolation, intraspecies variability, and database adequacy.</w:t>
      </w:r>
      <w:r>
        <w:rPr>
          <w:rFonts w:ascii="Times New Roman" w:cs="Times New Roman" w:eastAsia="Times New Roman" w:hAnsi="Times New Roman"/>
          <w:b/>
          <w:bCs/>
          <w:sz w:val="24"/>
          <w:szCs w:val="24"/>
          <w:vertAlign w:val="superscript"/>
        </w:rPr>
        <w:t xml:space="preserve">[1]</w:t>
      </w:r>
    </w:p>
    <w:p>
      <w:pPr>
        <w:spacing w:after="120" w:before="60" w:line="300"/>
        <w:jc w:val="both"/>
      </w:pPr>
      <w:r>
        <w:rPr>
          <w:rFonts w:ascii="Times New Roman" w:cs="Times New Roman" w:eastAsia="Times New Roman" w:hAnsi="Times New Roman"/>
          <w:sz w:val="24"/>
          <w:szCs w:val="24"/>
        </w:rPr>
        <w:t xml:space="preserve">Mechanistic anchoring of the epidemiological signal invokes the Key Characteristics of Carcinogens framework articulated by Smith and colleagues. Formaldehyde is considered to satisfy at least six of the ten key characteristics: electrophilicity and metabolic activation (Characteristic 1 and 2), genotoxicity including DNA-protein and DNA-DNA crosslinks (Characteristic 3), oxidative stress (Characteristic 5), induction of chronic inflammation (Characteristic 6), and alteration of cell proliferation, cell death, or nutrient supply in the target tissue (Characteristic 10). </w:t>
      </w:r>
      <w:r>
        <w:rPr>
          <w:rFonts w:ascii="Times New Roman" w:cs="Times New Roman" w:eastAsia="Times New Roman" w:hAnsi="Times New Roman"/>
          <w:b/>
          <w:bCs/>
          <w:sz w:val="24"/>
          <w:szCs w:val="24"/>
          <w:vertAlign w:val="superscript"/>
        </w:rPr>
        <w:t xml:space="preserve">[23][24][56]</w:t>
      </w:r>
      <w:r>
        <w:rPr>
          <w:rFonts w:ascii="Times New Roman" w:cs="Times New Roman" w:eastAsia="Times New Roman" w:hAnsi="Times New Roman"/>
          <w:sz w:val="24"/>
          <w:szCs w:val="24"/>
        </w:rPr>
        <w:t xml:space="preserve"> The 2019 IARC Monograph Volume 100F preamble, reinforced by the 2023 Volume 132 review, makes explicit the role of these key characteristics in buttressing the Group 1 classification. The ADH5/ALDH2/POLQ/RAD51 repair axis and the interactions between formaldehyde-DNA adducts and replication fork progression add to the biological plausibility, linking gene-environment interactions in Fanconi anaemia-related pathways to leukaemogenesis.</w:t>
      </w:r>
      <w:r>
        <w:rPr>
          <w:rFonts w:ascii="Times New Roman" w:cs="Times New Roman" w:eastAsia="Times New Roman" w:hAnsi="Times New Roman"/>
          <w:b/>
          <w:bCs/>
          <w:sz w:val="24"/>
          <w:szCs w:val="24"/>
          <w:vertAlign w:val="superscript"/>
        </w:rPr>
        <w:t xml:space="preserve">[20][21][24][43][56]</w:t>
      </w:r>
    </w:p>
    <w:p>
      <w:pPr>
        <w:spacing w:after="120" w:before="280"/>
        <w:jc w:val="left"/>
      </w:pPr>
      <w:r>
        <w:rPr>
          <w:rFonts w:ascii="Times New Roman" w:cs="Times New Roman" w:eastAsia="Times New Roman" w:hAnsi="Times New Roman"/>
          <w:b/>
          <w:bCs/>
          <w:sz w:val="24"/>
          <w:szCs w:val="24"/>
        </w:rPr>
        <w:t xml:space="preserve">Histopathology and Target-Tissue Dosimetry</w:t>
      </w:r>
    </w:p>
    <w:p>
      <w:pPr>
        <w:spacing w:after="120" w:before="60" w:line="300"/>
        <w:jc w:val="both"/>
      </w:pPr>
      <w:r>
        <w:rPr>
          <w:rFonts w:ascii="Times New Roman" w:cs="Times New Roman" w:eastAsia="Times New Roman" w:hAnsi="Times New Roman"/>
          <w:sz w:val="24"/>
          <w:szCs w:val="24"/>
        </w:rPr>
        <w:t xml:space="preserve">Histopathological lesions induced by chronic formaldehyde inhalation in rodents follow a stereotyped progression: squamous metaplasia, hyperplasia of the respiratory and olfactory epithelium, basal cell atypia, dysplasia, papilloma, and eventually invasive squamous-cell carcinoma of the anterior nasal cavity. </w:t>
      </w:r>
      <w:r>
        <w:rPr>
          <w:rFonts w:ascii="Times New Roman" w:cs="Times New Roman" w:eastAsia="Times New Roman" w:hAnsi="Times New Roman"/>
          <w:b/>
          <w:bCs/>
          <w:sz w:val="24"/>
          <w:szCs w:val="24"/>
          <w:vertAlign w:val="superscript"/>
        </w:rPr>
        <w:t xml:space="preserve">[48][51][57]</w:t>
      </w:r>
      <w:r>
        <w:rPr>
          <w:rFonts w:ascii="Times New Roman" w:cs="Times New Roman" w:eastAsia="Times New Roman" w:hAnsi="Times New Roman"/>
          <w:sz w:val="24"/>
          <w:szCs w:val="24"/>
        </w:rPr>
        <w:t xml:space="preserve"> These lesions co-localise with the CFD-predicted maximum regional deposition, consistent with the hypothesis that cumulative DNA-protein crosslink burden, sustained regenerative proliferation, and reduced repair capacity converge at the nasal respiratory epithelium to drive tumour initiation and progression.</w:t>
      </w:r>
      <w:r>
        <w:rPr>
          <w:rFonts w:ascii="Times New Roman" w:cs="Times New Roman" w:eastAsia="Times New Roman" w:hAnsi="Times New Roman"/>
          <w:b/>
          <w:bCs/>
          <w:sz w:val="24"/>
          <w:szCs w:val="24"/>
          <w:vertAlign w:val="superscript"/>
        </w:rPr>
        <w:t xml:space="preserve">[52][54]</w:t>
      </w:r>
    </w:p>
    <w:p>
      <w:pPr>
        <w:spacing w:after="120" w:before="60" w:line="300"/>
        <w:jc w:val="both"/>
      </w:pPr>
      <w:r>
        <w:rPr>
          <w:rFonts w:ascii="Times New Roman" w:cs="Times New Roman" w:eastAsia="Times New Roman" w:hAnsi="Times New Roman"/>
          <w:sz w:val="24"/>
          <w:szCs w:val="24"/>
        </w:rPr>
        <w:t xml:space="preserve">In humans, biomarker studies by Swenberg and colleagues demonstrated that N⁶-(hydroxymethyl)deoxyadenosine adducts derived from endogenous formaldehyde dominate the global adduct burden measured in nasal cells, liver, and leukocytes of control subjects, with exogenous exposure producing an incremental rise detectable only in the respiratory epithelium proximal to the inhalation portal.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Stable-isotope labelling ([¹³CD₂]-formaldehyde) allowed direct resolution of the exogenous and endogenous contributions, confirming that at environmentally relevant exposure concentrations endogenous formation dominates systemic adduct burden while exogenous exposure dominates nasal epithelial adduct burden.</w:t>
      </w:r>
      <w:r>
        <w:rPr>
          <w:rFonts w:ascii="Times New Roman" w:cs="Times New Roman" w:eastAsia="Times New Roman" w:hAnsi="Times New Roman"/>
          <w:b/>
          <w:bCs/>
          <w:sz w:val="24"/>
          <w:szCs w:val="24"/>
          <w:vertAlign w:val="superscript"/>
        </w:rPr>
        <w:t xml:space="preserve">[17][58]</w:t>
      </w:r>
    </w:p>
    <w:p>
      <w:pPr>
        <w:spacing w:after="120" w:before="280"/>
        <w:jc w:val="left"/>
      </w:pPr>
      <w:r>
        <w:rPr>
          <w:rFonts w:ascii="Times New Roman" w:cs="Times New Roman" w:eastAsia="Times New Roman" w:hAnsi="Times New Roman"/>
          <w:b/>
          <w:bCs/>
          <w:sz w:val="24"/>
          <w:szCs w:val="24"/>
        </w:rPr>
        <w:t xml:space="preserve">Benchmark Dose Derivation and Uncertainty</w:t>
      </w:r>
    </w:p>
    <w:p>
      <w:pPr>
        <w:spacing w:after="120" w:before="60" w:line="300"/>
        <w:jc w:val="both"/>
      </w:pPr>
      <w:r>
        <w:rPr>
          <w:rFonts w:ascii="Times New Roman" w:cs="Times New Roman" w:eastAsia="Times New Roman" w:hAnsi="Times New Roman"/>
          <w:sz w:val="24"/>
          <w:szCs w:val="24"/>
        </w:rPr>
        <w:t xml:space="preserve">Benchmark dose analyses of the pivotal Kerns and Monticello bioassays were conducted independently by the U.S. EPA, Health Canada, the World Health Organization, and California OEHHA. The central estimate of the cancer slope factor per ppm-year ranges from 3 × 10⁻³ (Health Canada) to 1.3 × 10⁻² (U.S. EPA), spanning a four-fold range largely attributable to the choice of dose metric, the modelled tumour endpoint (squamous-cell carcinoma alone versus combined respiratory tumours), and the extrapolation method from the point-of-departure to environmental exposure. </w:t>
      </w:r>
      <w:r>
        <w:rPr>
          <w:rFonts w:ascii="Times New Roman" w:cs="Times New Roman" w:eastAsia="Times New Roman" w:hAnsi="Times New Roman"/>
          <w:b/>
          <w:bCs/>
          <w:sz w:val="24"/>
          <w:szCs w:val="24"/>
          <w:vertAlign w:val="superscript"/>
        </w:rPr>
        <w:t xml:space="preserve">[1][55][59][60]</w:t>
      </w:r>
      <w:r>
        <w:rPr>
          <w:rFonts w:ascii="Times New Roman" w:cs="Times New Roman" w:eastAsia="Times New Roman" w:hAnsi="Times New Roman"/>
          <w:sz w:val="24"/>
          <w:szCs w:val="24"/>
        </w:rPr>
        <w:t xml:space="preserve"> All derived potency estimates indicate that lifetime exposure below 0.1 µg/m³ corresponds to a de minimis excess cancer risk, while occupational TWAs of 0.75 ppm (OSHA PEL) maintained over 45-year careers predict several-fold exceedance of one-in-ten-thousand lifetime excess risk levels.</w:t>
      </w:r>
      <w:r>
        <w:rPr>
          <w:rFonts w:ascii="Times New Roman" w:cs="Times New Roman" w:eastAsia="Times New Roman" w:hAnsi="Times New Roman"/>
          <w:b/>
          <w:bCs/>
          <w:sz w:val="24"/>
          <w:szCs w:val="24"/>
          <w:vertAlign w:val="superscript"/>
        </w:rPr>
        <w:t xml:space="preserve">[27][59]</w:t>
      </w:r>
    </w:p>
    <w:p>
      <w:pPr>
        <w:spacing w:after="120" w:before="60" w:line="300"/>
        <w:jc w:val="both"/>
      </w:pPr>
      <w:r>
        <w:rPr>
          <w:rFonts w:ascii="Times New Roman" w:cs="Times New Roman" w:eastAsia="Times New Roman" w:hAnsi="Times New Roman"/>
          <w:sz w:val="24"/>
          <w:szCs w:val="24"/>
        </w:rPr>
        <w:t xml:space="preserve">Uncertainty in the cancer risk estimate is dominated by three axes: rodent-to-human dose-metric extrapolation, intra-human pharmacokinetic variability, and the low-dose extrapolation model. Monte Carlo uncertainty analyses by Sarigiannis and colleagues, and by Allen/Andersen (2022), concluded that plausible cancer slope factors span approximately one order of magnitude around the central estimate, placing the IRIS 2024 IUR within the middle of the credibility distribution. </w:t>
      </w:r>
      <w:r>
        <w:rPr>
          <w:rFonts w:ascii="Times New Roman" w:cs="Times New Roman" w:eastAsia="Times New Roman" w:hAnsi="Times New Roman"/>
          <w:b/>
          <w:bCs/>
          <w:sz w:val="24"/>
          <w:szCs w:val="24"/>
          <w:vertAlign w:val="superscript"/>
        </w:rPr>
        <w:t xml:space="preserve">[56][60]</w:t>
      </w:r>
      <w:r>
        <w:rPr>
          <w:rFonts w:ascii="Times New Roman" w:cs="Times New Roman" w:eastAsia="Times New Roman" w:hAnsi="Times New Roman"/>
          <w:sz w:val="24"/>
          <w:szCs w:val="24"/>
        </w:rPr>
        <w:t xml:space="preserve"> Policymakers have adopted different positions along this axis: OSHA's 1987 rulemaking selected a PEL of 0.75 ppm TWA; NIOSH maintains a ceiling recommendation of 0.016 ppm TWA reflecting carcinogenic hazard with unquantifiable dose-response at low concentrations (Ca/TWA designation); and WHO Air Quality Guideline 2010 set 0.1 mg/m³ as a 30-minute average for sensory irritation protection that is also protective against cancer risk at the 10⁻⁶ level.</w:t>
      </w:r>
      <w:r>
        <w:rPr>
          <w:rFonts w:ascii="Times New Roman" w:cs="Times New Roman" w:eastAsia="Times New Roman" w:hAnsi="Times New Roman"/>
          <w:b/>
          <w:bCs/>
          <w:sz w:val="24"/>
          <w:szCs w:val="24"/>
          <w:vertAlign w:val="superscript"/>
        </w:rPr>
        <w:t xml:space="preserve">[26][27][28][29][30]</w:t>
      </w:r>
    </w:p>
    <w:p>
      <w:pPr>
        <w:spacing w:after="120" w:before="280"/>
        <w:jc w:val="left"/>
      </w:pPr>
      <w:r>
        <w:rPr>
          <w:rFonts w:ascii="Times New Roman" w:cs="Times New Roman" w:eastAsia="Times New Roman" w:hAnsi="Times New Roman"/>
          <w:b/>
          <w:bCs/>
          <w:sz w:val="24"/>
          <w:szCs w:val="24"/>
        </w:rPr>
        <w:t xml:space="preserve">Evidence Synthesis — IARC Key Characteristics Framework</w:t>
      </w:r>
    </w:p>
    <w:p>
      <w:pPr>
        <w:spacing w:after="120" w:before="60" w:line="300"/>
        <w:jc w:val="both"/>
      </w:pPr>
      <w:r>
        <w:rPr>
          <w:rFonts w:ascii="Times New Roman" w:cs="Times New Roman" w:eastAsia="Times New Roman" w:hAnsi="Times New Roman"/>
          <w:sz w:val="24"/>
          <w:szCs w:val="24"/>
        </w:rPr>
        <w:t xml:space="preserve">The ten Key Characteristics of Carcinogens (KCC) framework of Smith, Guyton, and the IARC Monograph Programme provides a systematic evaluation grid for the mechanistic evidence underlying a Group 1 classification. Formaldehyde demonstrates strong evidence for seven of ten characteristics.  KCC-1 (electrophilicity, acts as an electrophile): formaldehyde's aldehyde carbon is a reactive electrophile that covalently modifies nucleophilic sites in DNA, RNA, and protein. </w:t>
      </w:r>
      <w:r>
        <w:rPr>
          <w:rFonts w:ascii="Times New Roman" w:cs="Times New Roman" w:eastAsia="Times New Roman" w:hAnsi="Times New Roman"/>
          <w:b/>
          <w:bCs/>
          <w:sz w:val="24"/>
          <w:szCs w:val="24"/>
          <w:vertAlign w:val="superscript"/>
        </w:rPr>
        <w:t xml:space="preserve">[17][23]</w:t>
      </w:r>
      <w:r>
        <w:rPr>
          <w:rFonts w:ascii="Times New Roman" w:cs="Times New Roman" w:eastAsia="Times New Roman" w:hAnsi="Times New Roman"/>
          <w:sz w:val="24"/>
          <w:szCs w:val="24"/>
        </w:rPr>
        <w:t xml:space="preserve"> KCC-2 (is genotoxic): formaldehyde induces chromosomal aberrations, micronuclei, sister-chromatid exchanges, and DNA-protein crosslinks in vivo and in vitro. </w:t>
      </w:r>
      <w:r>
        <w:rPr>
          <w:rFonts w:ascii="Times New Roman" w:cs="Times New Roman" w:eastAsia="Times New Roman" w:hAnsi="Times New Roman"/>
          <w:b/>
          <w:bCs/>
          <w:sz w:val="24"/>
          <w:szCs w:val="24"/>
          <w:vertAlign w:val="superscript"/>
        </w:rPr>
        <w:t xml:space="preserve">[20][43][50]</w:t>
      </w:r>
      <w:r>
        <w:rPr>
          <w:rFonts w:ascii="Times New Roman" w:cs="Times New Roman" w:eastAsia="Times New Roman" w:hAnsi="Times New Roman"/>
          <w:sz w:val="24"/>
          <w:szCs w:val="24"/>
        </w:rPr>
        <w:t xml:space="preserve"> KCC-3 (alters DNA repair or causes genomic instability): formaldehyde burden is modulated by the ADH5/ALDH2/POLQ/FANC axis; defects in these pathways confer leukaemia susceptibility. </w:t>
      </w:r>
      <w:r>
        <w:rPr>
          <w:rFonts w:ascii="Times New Roman" w:cs="Times New Roman" w:eastAsia="Times New Roman" w:hAnsi="Times New Roman"/>
          <w:b/>
          <w:bCs/>
          <w:sz w:val="24"/>
          <w:szCs w:val="24"/>
          <w:vertAlign w:val="superscript"/>
        </w:rPr>
        <w:t xml:space="preserve">[21][24][56]</w:t>
      </w:r>
      <w:r>
        <w:rPr>
          <w:rFonts w:ascii="Times New Roman" w:cs="Times New Roman" w:eastAsia="Times New Roman" w:hAnsi="Times New Roman"/>
          <w:sz w:val="24"/>
          <w:szCs w:val="24"/>
        </w:rPr>
        <w:t xml:space="preserve"> KCC-5 (induces oxidative stress): formaldehyde generates reactive oxygen species through glutathione depletion and mitochondrial dysfunction. </w:t>
      </w:r>
      <w:r>
        <w:rPr>
          <w:rFonts w:ascii="Times New Roman" w:cs="Times New Roman" w:eastAsia="Times New Roman" w:hAnsi="Times New Roman"/>
          <w:b/>
          <w:bCs/>
          <w:sz w:val="24"/>
          <w:szCs w:val="24"/>
          <w:vertAlign w:val="superscript"/>
        </w:rPr>
        <w:t xml:space="preserve">[50][61]</w:t>
      </w:r>
      <w:r>
        <w:rPr>
          <w:rFonts w:ascii="Times New Roman" w:cs="Times New Roman" w:eastAsia="Times New Roman" w:hAnsi="Times New Roman"/>
          <w:sz w:val="24"/>
          <w:szCs w:val="24"/>
        </w:rPr>
        <w:t xml:space="preserve"> KCC-6 (induces chronic inflammation): nasal mucosa biopsies from exposed workers demonstrate persistent inflammatory infiltrates and increased NF-κB signalling. </w:t>
      </w:r>
      <w:r>
        <w:rPr>
          <w:rFonts w:ascii="Times New Roman" w:cs="Times New Roman" w:eastAsia="Times New Roman" w:hAnsi="Times New Roman"/>
          <w:b/>
          <w:bCs/>
          <w:sz w:val="24"/>
          <w:szCs w:val="24"/>
          <w:vertAlign w:val="superscript"/>
        </w:rPr>
        <w:t xml:space="preserve">[13][62]</w:t>
      </w:r>
      <w:r>
        <w:rPr>
          <w:rFonts w:ascii="Times New Roman" w:cs="Times New Roman" w:eastAsia="Times New Roman" w:hAnsi="Times New Roman"/>
          <w:sz w:val="24"/>
          <w:szCs w:val="24"/>
        </w:rPr>
        <w:t xml:space="preserve"> KCC-10 (alters cell proliferation, death, or nutrient supply): sustained regenerative hyperplasia in the respiratory epithelium is a dominant mode-of-action feature.</w:t>
      </w:r>
      <w:r>
        <w:rPr>
          <w:rFonts w:ascii="Times New Roman" w:cs="Times New Roman" w:eastAsia="Times New Roman" w:hAnsi="Times New Roman"/>
          <w:b/>
          <w:bCs/>
          <w:sz w:val="24"/>
          <w:szCs w:val="24"/>
          <w:vertAlign w:val="superscript"/>
        </w:rPr>
        <w:t xml:space="preserve">[48][51]</w:t>
      </w:r>
    </w:p>
    <w:p>
      <w:pPr>
        <w:spacing w:after="120" w:before="60" w:line="300"/>
        <w:jc w:val="both"/>
      </w:pPr>
      <w:r>
        <w:rPr>
          <w:rFonts w:ascii="Times New Roman" w:cs="Times New Roman" w:eastAsia="Times New Roman" w:hAnsi="Times New Roman"/>
          <w:sz w:val="24"/>
          <w:szCs w:val="24"/>
        </w:rPr>
        <w:t xml:space="preserve">Critical appraisal tools recognised in systematic-review guidance from the U.S. Environmental Protection Agency, the National Academies of Sciences, and the Navigation Guide were applied by the IARC Working Group and the EPA IRIS team to grade the quality of the occupational cohorts, case-control studies, and animal bioassays. The three hallmark cohorts (NCI industrial workers, NIOSH embalmers, British Rubber workers) scored in the 'good' to 'excellent' range across domains of exposure assessment, confounding control, outcome ascertainment, and sensitivity analyses. </w:t>
      </w:r>
      <w:r>
        <w:rPr>
          <w:rFonts w:ascii="Times New Roman" w:cs="Times New Roman" w:eastAsia="Times New Roman" w:hAnsi="Times New Roman"/>
          <w:b/>
          <w:bCs/>
          <w:sz w:val="24"/>
          <w:szCs w:val="24"/>
          <w:vertAlign w:val="superscript"/>
        </w:rPr>
        <w:t xml:space="preserve">[1][2][10][11][12]</w:t>
      </w:r>
      <w:r>
        <w:rPr>
          <w:rFonts w:ascii="Times New Roman" w:cs="Times New Roman" w:eastAsia="Times New Roman" w:hAnsi="Times New Roman"/>
          <w:sz w:val="24"/>
          <w:szCs w:val="24"/>
        </w:rPr>
        <w:t xml:space="preserve"> The animal bioassays of Kerns and Monticello satisfy modern criteria for 'high confidence' Key Study classification under the EPA IRIS framework, with full compliance to Good Laboratory Practice standards, replicated histopathology review, and dose-response richness sufficient for benchmark dose modelling.</w:t>
      </w:r>
      <w:r>
        <w:rPr>
          <w:rFonts w:ascii="Times New Roman" w:cs="Times New Roman" w:eastAsia="Times New Roman" w:hAnsi="Times New Roman"/>
          <w:b/>
          <w:bCs/>
          <w:sz w:val="24"/>
          <w:szCs w:val="24"/>
          <w:vertAlign w:val="superscript"/>
        </w:rPr>
        <w:t xml:space="preserve">[1][48][51]</w:t>
      </w:r>
    </w:p>
    <w:p>
      <w:pPr>
        <w:spacing w:after="120" w:before="280"/>
        <w:jc w:val="left"/>
      </w:pPr>
      <w:r>
        <w:rPr>
          <w:rFonts w:ascii="Times New Roman" w:cs="Times New Roman" w:eastAsia="Times New Roman" w:hAnsi="Times New Roman"/>
          <w:b/>
          <w:bCs/>
          <w:sz w:val="24"/>
          <w:szCs w:val="24"/>
        </w:rPr>
        <w:t xml:space="preserve">Quantitative Cancer Risk Summary</w:t>
      </w:r>
    </w:p>
    <w:p>
      <w:pPr>
        <w:spacing w:after="120" w:before="60" w:line="300"/>
        <w:jc w:val="both"/>
      </w:pPr>
      <w:r>
        <w:rPr>
          <w:rFonts w:ascii="Times New Roman" w:cs="Times New Roman" w:eastAsia="Times New Roman" w:hAnsi="Times New Roman"/>
          <w:sz w:val="24"/>
          <w:szCs w:val="24"/>
        </w:rPr>
        <w:t xml:space="preserve">Integrating the U.S. EPA IRIS 2024 IUR of 1.1 × 10⁻⁵ per µg/m³, the environmental exposures most frequently encountered in residential and ambient settings (1–20 µg/m³ indoor, 0.1–5 µg/m³ ambient) correspond to lifetime excess cancer risk estimates of 1 × 10⁻⁵ to 2 × 10⁻⁴. At occupational exposures representative of modern compliance (0.1–0.5 mg/m³ TWA), lifetime excess risk ranges from 1 × 10⁻³ to 5 × 10⁻³, exceeding the one-in-one-thousand threshold used by many agencies as an action level. </w:t>
      </w:r>
      <w:r>
        <w:rPr>
          <w:rFonts w:ascii="Times New Roman" w:cs="Times New Roman" w:eastAsia="Times New Roman" w:hAnsi="Times New Roman"/>
          <w:b/>
          <w:bCs/>
          <w:sz w:val="24"/>
          <w:szCs w:val="24"/>
          <w:vertAlign w:val="superscript"/>
        </w:rPr>
        <w:t xml:space="preserve">[1][27][28]</w:t>
      </w:r>
      <w:r>
        <w:rPr>
          <w:rFonts w:ascii="Times New Roman" w:cs="Times New Roman" w:eastAsia="Times New Roman" w:hAnsi="Times New Roman"/>
          <w:sz w:val="24"/>
          <w:szCs w:val="24"/>
        </w:rPr>
        <w:t xml:space="preserve"> These risk estimates justify the trend toward lower occupational exposure limits across Europe (Scientific Committee on Occupational Exposure Limits, SCOEL, 0.37 mg/m³ TWA) and the maintenance of NIOSH's ceiling recommendation at 0.016 ppm. </w:t>
      </w:r>
      <w:r>
        <w:rPr>
          <w:rFonts w:ascii="Times New Roman" w:cs="Times New Roman" w:eastAsia="Times New Roman" w:hAnsi="Times New Roman"/>
          <w:b/>
          <w:bCs/>
          <w:sz w:val="24"/>
          <w:szCs w:val="24"/>
          <w:vertAlign w:val="superscript"/>
        </w:rPr>
        <w:t xml:space="preserve">[26][28][29]</w:t>
      </w:r>
      <w:r>
        <w:rPr>
          <w:rFonts w:ascii="Times New Roman" w:cs="Times New Roman" w:eastAsia="Times New Roman" w:hAnsi="Times New Roman"/>
          <w:sz w:val="24"/>
          <w:szCs w:val="24"/>
        </w:rPr>
        <w:t xml:space="preserve"> In the residential setting, product standards for formaldehyde emission from composite wood products (U.S. EPA TSCA Title VI, California CARB Phase 2, European E1/E0) and ventilation requirements remain the principal policy levers for risk reduction.</w:t>
      </w:r>
      <w:r>
        <w:rPr>
          <w:rFonts w:ascii="Times New Roman" w:cs="Times New Roman" w:eastAsia="Times New Roman" w:hAnsi="Times New Roman"/>
          <w:b/>
          <w:bCs/>
          <w:sz w:val="24"/>
          <w:szCs w:val="24"/>
          <w:vertAlign w:val="superscript"/>
        </w:rPr>
        <w:t xml:space="preserve">[31][63]</w:t>
      </w:r>
    </w:p>
    <w:p>
      <w:r>
        <w:br w:type="page"/>
      </w:r>
    </w:p>
    <w:p>
      <w:pPr>
        <w:spacing w:after="120" w:before="280"/>
        <w:jc w:val="left"/>
      </w:pPr>
      <w:r>
        <w:rPr>
          <w:rFonts w:ascii="Times New Roman" w:cs="Times New Roman" w:eastAsia="Times New Roman" w:hAnsi="Times New Roman"/>
          <w:b/>
          <w:bCs/>
          <w:sz w:val="24"/>
          <w:szCs w:val="24"/>
        </w:rPr>
        <w:t xml:space="preserve">Cancer-Site-Specific Evidence Review</w:t>
      </w:r>
    </w:p>
    <w:p>
      <w:pPr>
        <w:spacing w:after="120" w:before="60" w:line="300"/>
        <w:jc w:val="both"/>
      </w:pPr>
      <w:r>
        <w:rPr>
          <w:rFonts w:ascii="Times New Roman" w:cs="Times New Roman" w:eastAsia="Times New Roman" w:hAnsi="Times New Roman"/>
          <w:sz w:val="24"/>
          <w:szCs w:val="24"/>
        </w:rPr>
        <w:t xml:space="preserve">This section systematically reviews the site-specific epidemiological and mechanistic evidence for each cancer type evaluated in the IARC Monograph and EPA IRIS 2024 assessments. </w:t>
      </w:r>
      <w:r>
        <w:rPr>
          <w:rFonts w:ascii="Times New Roman" w:cs="Times New Roman" w:eastAsia="Times New Roman" w:hAnsi="Times New Roman"/>
          <w:b/>
          <w:bCs/>
          <w:sz w:val="24"/>
          <w:szCs w:val="24"/>
          <w:vertAlign w:val="superscript"/>
        </w:rPr>
        <w:t xml:space="preserve">[1][2][4][10][11][12][47]</w:t>
      </w:r>
      <w:r>
        <w:rPr>
          <w:rFonts w:ascii="Times New Roman" w:cs="Times New Roman" w:eastAsia="Times New Roman" w:hAnsi="Times New Roman"/>
          <w:sz w:val="24"/>
          <w:szCs w:val="24"/>
        </w:rPr>
        <w:t xml:space="preserve"> Three tumour types are classified with sufficient evidence of causation: nasopharyngeal carcinoma (NPC), sinonasal adenocarcinoma and squamous-cell carcinoma, and myeloid leukaemia; additional cancers show limited or suggestive evidence including oropharyngeal, hypopharyngeal, brain, pancreatic, and Hodgkin/non-Hodgkin lymphoma, with ongoing research activity refining the exposure-response relationships.</w:t>
      </w:r>
    </w:p>
    <w:p>
      <w:pPr>
        <w:spacing w:after="120" w:before="280"/>
        <w:jc w:val="left"/>
      </w:pPr>
      <w:r>
        <w:rPr>
          <w:rFonts w:ascii="Times New Roman" w:cs="Times New Roman" w:eastAsia="Times New Roman" w:hAnsi="Times New Roman"/>
          <w:b/>
          <w:bCs/>
          <w:sz w:val="24"/>
          <w:szCs w:val="24"/>
        </w:rPr>
        <w:t xml:space="preserve">Nasopharyngeal Carcinoma</w:t>
      </w:r>
    </w:p>
    <w:p>
      <w:pPr>
        <w:spacing w:after="80" w:before="120"/>
        <w:jc w:val="center"/>
      </w:pPr>
      <w:r>
        <w:drawing>
          <wp:inline distT="0" distB="0" distL="0" distR="0">
            <wp:extent cx="4953000" cy="3238500"/>
            <wp:effectExtent t="0" r="0" b="0" l="0"/>
            <wp:docPr id="1" name="fig7_npc_forest.png" descr="fig7_npc_forest.png" title="fig7_npc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CS1. Forest plot of cohort and meta-analytic estimates for formaldehyde exposure and nasopharyngeal carcinoma. Squares indicate point estimate (RR / SMR), horizontal lines 95% confidence intervals.</w:t>
      </w:r>
    </w:p>
    <w:p>
      <w:pPr>
        <w:spacing w:after="120" w:before="60" w:line="300"/>
        <w:jc w:val="both"/>
      </w:pPr>
      <w:r>
        <w:rPr>
          <w:rFonts w:ascii="Times New Roman" w:cs="Times New Roman" w:eastAsia="Times New Roman" w:hAnsi="Times New Roman"/>
          <w:sz w:val="24"/>
          <w:szCs w:val="24"/>
        </w:rPr>
        <w:t xml:space="preserve">NPC is the primary tumour associated with formaldehyde in the classification rationale of IARC (2006, 2012, 2023), NTP (2011, 2021), and U.S. EPA IRIS (2024). </w:t>
      </w:r>
      <w:r>
        <w:rPr>
          <w:rFonts w:ascii="Times New Roman" w:cs="Times New Roman" w:eastAsia="Times New Roman" w:hAnsi="Times New Roman"/>
          <w:b/>
          <w:bCs/>
          <w:sz w:val="24"/>
          <w:szCs w:val="24"/>
          <w:vertAlign w:val="superscript"/>
        </w:rPr>
        <w:t xml:space="preserve">[1][2][4][5][10]</w:t>
      </w:r>
      <w:r>
        <w:rPr>
          <w:rFonts w:ascii="Times New Roman" w:cs="Times New Roman" w:eastAsia="Times New Roman" w:hAnsi="Times New Roman"/>
          <w:sz w:val="24"/>
          <w:szCs w:val="24"/>
        </w:rPr>
        <w:t xml:space="preserve"> Histologically, NPC can present as keratinising squamous-cell carcinoma, non-keratinising differentiated carcinoma, or non-keratinising undifferentiated carcinoma; formaldehyde exposure appears to be associated with all three subtypes, with strongest evidence for the squamous-cell variants. </w:t>
      </w:r>
      <w:r>
        <w:rPr>
          <w:rFonts w:ascii="Times New Roman" w:cs="Times New Roman" w:eastAsia="Times New Roman" w:hAnsi="Times New Roman"/>
          <w:b/>
          <w:bCs/>
          <w:sz w:val="24"/>
          <w:szCs w:val="24"/>
          <w:vertAlign w:val="superscript"/>
        </w:rPr>
        <w:t xml:space="preserve">[10][42][45]</w:t>
      </w:r>
      <w:r>
        <w:rPr>
          <w:rFonts w:ascii="Times New Roman" w:cs="Times New Roman" w:eastAsia="Times New Roman" w:hAnsi="Times New Roman"/>
          <w:sz w:val="24"/>
          <w:szCs w:val="24"/>
        </w:rPr>
        <w:t xml:space="preserve"> The NCI industrial cohort (25,619 workers) reported NPC SMR of 2.10 overall and peak-exposure-based HR 1.97 in the highest quartile; pooled relative risks across cohort studies range from 1.33 to 2.10 with p-for-trend &lt;0.05 for peak exposure. </w:t>
      </w:r>
      <w:r>
        <w:rPr>
          <w:rFonts w:ascii="Times New Roman" w:cs="Times New Roman" w:eastAsia="Times New Roman" w:hAnsi="Times New Roman"/>
          <w:b/>
          <w:bCs/>
          <w:sz w:val="24"/>
          <w:szCs w:val="24"/>
          <w:vertAlign w:val="superscript"/>
        </w:rPr>
        <w:t xml:space="preserve">[10][11][22]</w:t>
      </w:r>
      <w:r>
        <w:rPr>
          <w:rFonts w:ascii="Times New Roman" w:cs="Times New Roman" w:eastAsia="Times New Roman" w:hAnsi="Times New Roman"/>
          <w:sz w:val="24"/>
          <w:szCs w:val="24"/>
        </w:rPr>
        <w:t xml:space="preserve"> Latency analyses demonstrate a minimum induction period of approximately 10–15 years between first exposure and NPC mortality, consistent with a multi-stage carcinogenesis mechanism.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Co-exposures (wood dust, Epstein-Barr virus infection, nitrosamines) are recognised additional NPC risk factors; sensitivity analyses adjusting for these confounders preserve the formaldehyde-specific signal.</w:t>
      </w:r>
    </w:p>
    <w:p>
      <w:pPr>
        <w:spacing w:after="120" w:before="280"/>
        <w:jc w:val="left"/>
      </w:pPr>
      <w:r>
        <w:rPr>
          <w:rFonts w:ascii="Times New Roman" w:cs="Times New Roman" w:eastAsia="Times New Roman" w:hAnsi="Times New Roman"/>
          <w:b/>
          <w:bCs/>
          <w:sz w:val="24"/>
          <w:szCs w:val="24"/>
        </w:rPr>
        <w:t xml:space="preserve">Sinonasal Cancer</w:t>
      </w:r>
    </w:p>
    <w:p>
      <w:pPr>
        <w:spacing w:after="120" w:before="60" w:line="300"/>
        <w:jc w:val="both"/>
      </w:pPr>
      <w:r>
        <w:rPr>
          <w:rFonts w:ascii="Times New Roman" w:cs="Times New Roman" w:eastAsia="Times New Roman" w:hAnsi="Times New Roman"/>
          <w:sz w:val="24"/>
          <w:szCs w:val="24"/>
        </w:rPr>
        <w:t xml:space="preserve">Sinonasal cancers — including adenocarcinoma of the ethmoid sinuses, squamous-cell carcinoma, and rare undifferentiated carcinomas — have been associated with formaldehyde exposure across multiple case-control and cohort studies.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The Luce et al. pooled case-control analysis of 12 European studies (1,385 cases, 2,074 controls) reported odds ratios of 1.7 to 2.5 for formaldehyde exposure at highest cumulative levels, with greater attenuation for adenocarcinoma when wood-dust co-exposure was adjusted.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 Meta-analytic pooling by Binazzi et al. confirmed the association across 40 published studies. </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 The critical methodological challenge in sinonasal cancer analysis is separating formaldehyde and wood-dust effects, given the frequent co-occurrence in furniture manufacturing, millwork, and woodworking industries.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IARC's 2012 classification reached sufficient evidence based on the consistency of association across non-woodworking cohorts and exposure-response gradient within formaldehyde-specific exposure strata.</w:t>
      </w:r>
    </w:p>
    <w:p>
      <w:pPr>
        <w:spacing w:after="120" w:before="280"/>
        <w:jc w:val="left"/>
      </w:pPr>
      <w:r>
        <w:rPr>
          <w:rFonts w:ascii="Times New Roman" w:cs="Times New Roman" w:eastAsia="Times New Roman" w:hAnsi="Times New Roman"/>
          <w:b/>
          <w:bCs/>
          <w:sz w:val="24"/>
          <w:szCs w:val="24"/>
        </w:rPr>
        <w:t xml:space="preserve">Myeloid Leukaemia (Acute and Chronic)</w:t>
      </w:r>
    </w:p>
    <w:p>
      <w:pPr>
        <w:spacing w:after="80" w:before="120"/>
        <w:jc w:val="center"/>
      </w:pPr>
      <w:r>
        <w:drawing>
          <wp:inline distT="0" distB="0" distL="0" distR="0">
            <wp:extent cx="4953000" cy="3238500"/>
            <wp:effectExtent t="0" r="0" b="0" l="0"/>
            <wp:docPr id="1" name="fig8_aml_forest.png" descr="fig8_aml_forest.png" title="fig8_aml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CS2. Forest plot of cohort and meta-analytic estimates for formaldehyde exposure and myeloid leukaemia. Meta-analyses (Zhang 2009; Schwilk 2010; Bassig 2024) integrate embalmer case-control and industrial cohort studies.</w:t>
      </w:r>
    </w:p>
    <w:p>
      <w:pPr>
        <w:spacing w:after="120" w:before="60" w:line="300"/>
        <w:jc w:val="both"/>
      </w:pPr>
      <w:r>
        <w:rPr>
          <w:rFonts w:ascii="Times New Roman" w:cs="Times New Roman" w:eastAsia="Times New Roman" w:hAnsi="Times New Roman"/>
          <w:sz w:val="24"/>
          <w:szCs w:val="24"/>
        </w:rPr>
        <w:t xml:space="preserve">Acute myeloid leukaemia (AML) is the leukaemia subtype most consistently associated with formaldehyde exposure across cohort studies. </w:t>
      </w:r>
      <w:r>
        <w:rPr>
          <w:rFonts w:ascii="Times New Roman" w:cs="Times New Roman" w:eastAsia="Times New Roman" w:hAnsi="Times New Roman"/>
          <w:b/>
          <w:bCs/>
          <w:sz w:val="24"/>
          <w:szCs w:val="24"/>
          <w:vertAlign w:val="superscript"/>
        </w:rPr>
        <w:t xml:space="preserve">[10][11][12][16]</w:t>
      </w:r>
      <w:r>
        <w:rPr>
          <w:rFonts w:ascii="Times New Roman" w:cs="Times New Roman" w:eastAsia="Times New Roman" w:hAnsi="Times New Roman"/>
          <w:sz w:val="24"/>
          <w:szCs w:val="24"/>
        </w:rPr>
        <w:t xml:space="preserve"> The NCI cohort reported myeloid leukaemia hazard ratios of 1.78 to 1.96 in the highest peak exposure category across successive follow-up updates.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NIOSH embalmers cohort reported the largest effect estimate (OR 11.2) for myeloid leukaemia at the highest tertile of peak exposure.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The garment workers cohort reports progressive strengthening of the myeloid leukaemia signal with extended follow-up, confirming the exposure-response relationship in a non-male-predominant workforce.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Meta-analytic pooling by Schwilk et al., by Zhang et al., and by Protano et al. consistently reports pooled AML relative risks of 1.3 to 1.9 for formaldehyde-exposed occupational cohorts. </w:t>
      </w:r>
      <w:r>
        <w:rPr>
          <w:rFonts w:ascii="Times New Roman" w:cs="Times New Roman" w:eastAsia="Times New Roman" w:hAnsi="Times New Roman"/>
          <w:b/>
          <w:bCs/>
          <w:sz w:val="24"/>
          <w:szCs w:val="24"/>
          <w:vertAlign w:val="superscript"/>
        </w:rPr>
        <w:t xml:space="preserve">[16][47]</w:t>
      </w:r>
      <w:r>
        <w:rPr>
          <w:rFonts w:ascii="Times New Roman" w:cs="Times New Roman" w:eastAsia="Times New Roman" w:hAnsi="Times New Roman"/>
          <w:sz w:val="24"/>
          <w:szCs w:val="24"/>
        </w:rPr>
        <w:t xml:space="preserve"> The mechanistic underpinning for the myeloid leukaemia association — endogenous formaldehyde as a genotoxin acting on haematopoietic stem cells, ADH5/ALDH2/FANC axis interactions, and epigenetic perturbations — provides biological plausibility that bolsters the epidemiological findings.</w:t>
      </w:r>
    </w:p>
    <w:p>
      <w:pPr>
        <w:spacing w:after="120" w:before="280"/>
        <w:jc w:val="left"/>
      </w:pPr>
      <w:r>
        <w:rPr>
          <w:rFonts w:ascii="Times New Roman" w:cs="Times New Roman" w:eastAsia="Times New Roman" w:hAnsi="Times New Roman"/>
          <w:b/>
          <w:bCs/>
          <w:sz w:val="24"/>
          <w:szCs w:val="24"/>
        </w:rPr>
        <w:t xml:space="preserve">Acute Myeloid Leukaemia Subtypes</w:t>
      </w:r>
    </w:p>
    <w:p>
      <w:pPr>
        <w:spacing w:after="120" w:before="60" w:line="300"/>
        <w:jc w:val="both"/>
      </w:pPr>
      <w:r>
        <w:rPr>
          <w:rFonts w:ascii="Times New Roman" w:cs="Times New Roman" w:eastAsia="Times New Roman" w:hAnsi="Times New Roman"/>
          <w:sz w:val="24"/>
          <w:szCs w:val="24"/>
        </w:rPr>
        <w:t xml:space="preserve">Detailed subtype analyses of AML in formaldehyde-exposed workers have been limited by the small absolute number of cases within any individual cohort, but pooled analyses suggest over-representation of AML with monosomy 7, trisomy 8, and complex karyotype — subtypes associated with therapy-related myelodysplasia and with environmental carcinogen exposures including benzene and ionising radiation. </w:t>
      </w:r>
      <w:r>
        <w:rPr>
          <w:rFonts w:ascii="Times New Roman" w:cs="Times New Roman" w:eastAsia="Times New Roman" w:hAnsi="Times New Roman"/>
          <w:b/>
          <w:bCs/>
          <w:sz w:val="24"/>
          <w:szCs w:val="24"/>
          <w:vertAlign w:val="superscript"/>
        </w:rPr>
        <w:t xml:space="preserve">[13][16]</w:t>
      </w:r>
      <w:r>
        <w:rPr>
          <w:rFonts w:ascii="Times New Roman" w:cs="Times New Roman" w:eastAsia="Times New Roman" w:hAnsi="Times New Roman"/>
          <w:sz w:val="24"/>
          <w:szCs w:val="24"/>
        </w:rPr>
        <w:t xml:space="preserve"> Zhang et al. (2010) cross-sectional study of Chinese formaldehyde-exposed workers reported elevated frequency of chromosome 7 monosomy and trisomy 8 in cultured myeloid progenitor cells at exposures in the 1–2 ppm TWA range, providing direct cellular-level evidence of formaldehyde-associated myeloid genotoxicity.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Prospective cytogenetic monitoring of occupational cohorts using high-resolution karyotyping, fluorescence in situ hybridisation, and single-cell sequencing approaches is likely to further refine the molecular epidemiology of formaldehyde-associated AML over the coming decade.</w:t>
      </w:r>
    </w:p>
    <w:p>
      <w:pPr>
        <w:spacing w:after="120" w:before="280"/>
        <w:jc w:val="left"/>
      </w:pPr>
      <w:r>
        <w:rPr>
          <w:rFonts w:ascii="Times New Roman" w:cs="Times New Roman" w:eastAsia="Times New Roman" w:hAnsi="Times New Roman"/>
          <w:b/>
          <w:bCs/>
          <w:sz w:val="24"/>
          <w:szCs w:val="24"/>
        </w:rPr>
        <w:t xml:space="preserve">Multiple Myeloma and Plasma Cell Disorders</w:t>
      </w:r>
    </w:p>
    <w:p>
      <w:pPr>
        <w:spacing w:after="120" w:before="60" w:line="300"/>
        <w:jc w:val="both"/>
      </w:pPr>
      <w:r>
        <w:rPr>
          <w:rFonts w:ascii="Times New Roman" w:cs="Times New Roman" w:eastAsia="Times New Roman" w:hAnsi="Times New Roman"/>
          <w:sz w:val="24"/>
          <w:szCs w:val="24"/>
        </w:rPr>
        <w:t xml:space="preserve">Multiple myeloma associations with formaldehyde are inconsistent across cohorts.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The NCI cohort shows a modest SMR elevation (~1.5) for multiple myeloma without clear exposure-response gradient; the NIOSH embalmers study reports no significant elevation; the garment workers study does not report significant multiple myeloma findings. </w:t>
      </w:r>
      <w:r>
        <w:rPr>
          <w:rFonts w:ascii="Times New Roman" w:cs="Times New Roman" w:eastAsia="Times New Roman" w:hAnsi="Times New Roman"/>
          <w:b/>
          <w:bCs/>
          <w:sz w:val="24"/>
          <w:szCs w:val="24"/>
          <w:vertAlign w:val="superscript"/>
        </w:rPr>
        <w:t xml:space="preserve">[11][12][14]</w:t>
      </w:r>
      <w:r>
        <w:rPr>
          <w:rFonts w:ascii="Times New Roman" w:cs="Times New Roman" w:eastAsia="Times New Roman" w:hAnsi="Times New Roman"/>
          <w:sz w:val="24"/>
          <w:szCs w:val="24"/>
        </w:rPr>
        <w:t xml:space="preserve"> Meta-analytic pooling by Kane et al. and by Protano et al. reports non-significant pooled relative risks of approximately 1.1–1.3.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The biological plausibility of multiple myeloma induction by formaldehyde is uncertain; the plasma cell origin of myeloma and its relatively late-stage haematopoietic differentiation argue against a direct formaldehyde-myeloma mechanism, though indirect effects through bone marrow microenvironment perturbation remain possible.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Current IARC and EPA assessments do not classify multiple myeloma as a confirmed formaldehyde-associated endpoint but note the inconsistent positive findings and the need for continued surveillance.</w:t>
      </w:r>
    </w:p>
    <w:p>
      <w:pPr>
        <w:spacing w:after="120" w:before="280"/>
        <w:jc w:val="left"/>
      </w:pPr>
      <w:r>
        <w:rPr>
          <w:rFonts w:ascii="Times New Roman" w:cs="Times New Roman" w:eastAsia="Times New Roman" w:hAnsi="Times New Roman"/>
          <w:b/>
          <w:bCs/>
          <w:sz w:val="24"/>
          <w:szCs w:val="24"/>
        </w:rPr>
        <w:t xml:space="preserve">Non-Hodgkin Lymphoma and Hodgkin Disease</w:t>
      </w:r>
    </w:p>
    <w:p>
      <w:pPr>
        <w:spacing w:after="120" w:before="60" w:line="300"/>
        <w:jc w:val="both"/>
      </w:pPr>
      <w:r>
        <w:rPr>
          <w:rFonts w:ascii="Times New Roman" w:cs="Times New Roman" w:eastAsia="Times New Roman" w:hAnsi="Times New Roman"/>
          <w:sz w:val="24"/>
          <w:szCs w:val="24"/>
        </w:rPr>
        <w:t xml:space="preserve">Non-Hodgkin lymphoma (NHL) associations with formaldehyde across the major cohorts have been weak to null.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Sub-type analyses (follicular lymphoma, diffuse large B-cell lymphoma, chronic lymphocytic leukaemia) have not identified specific subtypes with clear formaldehyde association.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Hodgkin disease shows similar patterns of non-significant findings in the pooled epidemiological evidence.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 Current IARC and EPA classifications do not designate NHL or Hodgkin as formaldehyde-associated endpoints, though the NTP 14th Report on Carcinogens notes the evidence as suggestive but not definitive.</w:t>
      </w:r>
    </w:p>
    <w:p>
      <w:pPr>
        <w:spacing w:after="120" w:before="280"/>
        <w:jc w:val="left"/>
      </w:pPr>
      <w:r>
        <w:rPr>
          <w:rFonts w:ascii="Times New Roman" w:cs="Times New Roman" w:eastAsia="Times New Roman" w:hAnsi="Times New Roman"/>
          <w:b/>
          <w:bCs/>
          <w:sz w:val="24"/>
          <w:szCs w:val="24"/>
        </w:rPr>
        <w:t xml:space="preserve">Brain and Central Nervous System Cancers</w:t>
      </w:r>
    </w:p>
    <w:p>
      <w:pPr>
        <w:spacing w:after="120" w:before="60" w:line="300"/>
        <w:jc w:val="both"/>
      </w:pPr>
      <w:r>
        <w:rPr>
          <w:rFonts w:ascii="Times New Roman" w:cs="Times New Roman" w:eastAsia="Times New Roman" w:hAnsi="Times New Roman"/>
          <w:sz w:val="24"/>
          <w:szCs w:val="24"/>
        </w:rPr>
        <w:t xml:space="preserve">Brain cancer associations with formaldehyde have been reported in the NIOSH embalmers cohort, some smaller pathology and anatomy cohorts, and the Protano meta-analysis. </w:t>
      </w:r>
      <w:r>
        <w:rPr>
          <w:rFonts w:ascii="Times New Roman" w:cs="Times New Roman" w:eastAsia="Times New Roman" w:hAnsi="Times New Roman"/>
          <w:b/>
          <w:bCs/>
          <w:sz w:val="24"/>
          <w:szCs w:val="24"/>
          <w:vertAlign w:val="superscript"/>
        </w:rPr>
        <w:t xml:space="preserve">[12][47]</w:t>
      </w:r>
      <w:r>
        <w:rPr>
          <w:rFonts w:ascii="Times New Roman" w:cs="Times New Roman" w:eastAsia="Times New Roman" w:hAnsi="Times New Roman"/>
          <w:sz w:val="24"/>
          <w:szCs w:val="24"/>
        </w:rPr>
        <w:t xml:space="preserve"> Protano et al. (2022) pooled relative risk for brain cancer across 16 occupational cohorts was 1.51 (95% CI 1.15–1.99).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The NIOSH embalmers study reports brain cancer RR of 1.94 (95% CI 1.29–2.90).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Biological plausibility for a direct formaldehyde-brain cancer mechanism is limited by the poor blood-brain barrier penetration of formaldehyde at environmentally relevant exposure concentrations; most systemic formaldehyde is metabolised before reaching the central nervous system.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Indirect mechanisms (haematogenous delivery of formaldehyde-modified macromolecules, peripheral nervous system effects, co-exposure confounders in funeral industry) represent possible explanatory pathways. </w:t>
      </w:r>
      <w:r>
        <w:rPr>
          <w:rFonts w:ascii="Times New Roman" w:cs="Times New Roman" w:eastAsia="Times New Roman" w:hAnsi="Times New Roman"/>
          <w:b/>
          <w:bCs/>
          <w:sz w:val="24"/>
          <w:szCs w:val="24"/>
          <w:vertAlign w:val="superscript"/>
        </w:rPr>
        <w:t xml:space="preserve">[12][47]</w:t>
      </w:r>
      <w:r>
        <w:rPr>
          <w:rFonts w:ascii="Times New Roman" w:cs="Times New Roman" w:eastAsia="Times New Roman" w:hAnsi="Times New Roman"/>
          <w:sz w:val="24"/>
          <w:szCs w:val="24"/>
        </w:rPr>
        <w:t xml:space="preserve"> Current IARC classification of brain cancer evidence is 'limited', reflecting the positive but mechanism-uncertain findings.</w:t>
      </w:r>
    </w:p>
    <w:p>
      <w:pPr>
        <w:spacing w:after="120" w:before="280"/>
        <w:jc w:val="left"/>
      </w:pPr>
      <w:r>
        <w:rPr>
          <w:rFonts w:ascii="Times New Roman" w:cs="Times New Roman" w:eastAsia="Times New Roman" w:hAnsi="Times New Roman"/>
          <w:b/>
          <w:bCs/>
          <w:sz w:val="24"/>
          <w:szCs w:val="24"/>
        </w:rPr>
        <w:t xml:space="preserve">Oropharyngeal and Laryngeal Cancer</w:t>
      </w:r>
    </w:p>
    <w:p>
      <w:pPr>
        <w:spacing w:after="120" w:before="60" w:line="300"/>
        <w:jc w:val="both"/>
      </w:pPr>
      <w:r>
        <w:rPr>
          <w:rFonts w:ascii="Times New Roman" w:cs="Times New Roman" w:eastAsia="Times New Roman" w:hAnsi="Times New Roman"/>
          <w:sz w:val="24"/>
          <w:szCs w:val="24"/>
        </w:rPr>
        <w:t xml:space="preserve">Oropharyngeal, hypopharyngeal, and laryngeal cancers occupy an intermediate evidence position, with IARC classifying the evidence for oropharyngeal as 'limited' and for the other sites as 'inadequate'.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 Pooled odds ratios across case-control studies of oropharyngeal cancer range from 1.3 to 1.8 for formaldehyde exposure; consistency with a regional dose-response mechanism is supported by the anatomical proximity of oropharynx to the nasopharyngeal primary target site.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 Laryngeal cancer findings are less consistent across cohorts, confounded more severely by smoking and alcohol co-exposure.</w:t>
      </w:r>
    </w:p>
    <w:p>
      <w:pPr>
        <w:spacing w:after="120" w:before="280"/>
        <w:jc w:val="left"/>
      </w:pPr>
      <w:r>
        <w:rPr>
          <w:rFonts w:ascii="Times New Roman" w:cs="Times New Roman" w:eastAsia="Times New Roman" w:hAnsi="Times New Roman"/>
          <w:b/>
          <w:bCs/>
          <w:sz w:val="24"/>
          <w:szCs w:val="24"/>
        </w:rPr>
        <w:t xml:space="preserve">Pancreatic and Other Cancers</w:t>
      </w:r>
    </w:p>
    <w:p>
      <w:pPr>
        <w:spacing w:after="120" w:before="60" w:line="300"/>
        <w:jc w:val="both"/>
      </w:pPr>
      <w:r>
        <w:rPr>
          <w:rFonts w:ascii="Times New Roman" w:cs="Times New Roman" w:eastAsia="Times New Roman" w:hAnsi="Times New Roman"/>
          <w:sz w:val="24"/>
          <w:szCs w:val="24"/>
        </w:rPr>
        <w:t xml:space="preserve">Elevated pancreatic cancer mortality has been reported in some formaldehyde-exposed cohorts (NIOSH embalmers, certain anatomist and pathologist cohorts), but the findings lack consistent exposure-response gradient and are not considered adequate for a causal inference. </w:t>
      </w:r>
      <w:r>
        <w:rPr>
          <w:rFonts w:ascii="Times New Roman" w:cs="Times New Roman" w:eastAsia="Times New Roman" w:hAnsi="Times New Roman"/>
          <w:b/>
          <w:bCs/>
          <w:sz w:val="24"/>
          <w:szCs w:val="24"/>
          <w:vertAlign w:val="superscript"/>
        </w:rPr>
        <w:t xml:space="preserve">[12][47]</w:t>
      </w:r>
      <w:r>
        <w:rPr>
          <w:rFonts w:ascii="Times New Roman" w:cs="Times New Roman" w:eastAsia="Times New Roman" w:hAnsi="Times New Roman"/>
          <w:sz w:val="24"/>
          <w:szCs w:val="24"/>
        </w:rPr>
        <w:t xml:space="preserve"> Other cancer types (skin, bladder, kidney, prostate, breast) have not shown consistent formaldehyde-specific associations in the major cohorts and are not classified as formaldehyde-associated endpoints by IARC or EPA. </w:t>
      </w:r>
      <w:r>
        <w:rPr>
          <w:rFonts w:ascii="Times New Roman" w:cs="Times New Roman" w:eastAsia="Times New Roman" w:hAnsi="Times New Roman"/>
          <w:b/>
          <w:bCs/>
          <w:sz w:val="24"/>
          <w:szCs w:val="24"/>
          <w:vertAlign w:val="superscript"/>
        </w:rPr>
        <w:t xml:space="preserve">[1][2][4][47]</w:t>
      </w:r>
      <w:r>
        <w:rPr>
          <w:rFonts w:ascii="Times New Roman" w:cs="Times New Roman" w:eastAsia="Times New Roman" w:hAnsi="Times New Roman"/>
          <w:sz w:val="24"/>
          <w:szCs w:val="24"/>
        </w:rPr>
        <w:t xml:space="preserve"> Continued surveillance in the major cohorts and in newly assembled occupational databases may refine the estimates for these less-associated sites.</w:t>
      </w:r>
    </w:p>
    <w:p>
      <w:r>
        <w:br w:type="page"/>
      </w:r>
    </w:p>
    <w:p>
      <w:pPr>
        <w:spacing w:after="120" w:before="280"/>
        <w:jc w:val="left"/>
      </w:pPr>
      <w:r>
        <w:rPr>
          <w:rFonts w:ascii="Times New Roman" w:cs="Times New Roman" w:eastAsia="Times New Roman" w:hAnsi="Times New Roman"/>
          <w:b/>
          <w:bCs/>
          <w:sz w:val="24"/>
          <w:szCs w:val="24"/>
        </w:rPr>
        <w:t xml:space="preserve">Pivotal Occupational Cohorts — Deep Dive</w:t>
      </w:r>
    </w:p>
    <w:p>
      <w:pPr>
        <w:spacing w:after="80" w:before="120"/>
        <w:jc w:val="center"/>
      </w:pPr>
      <w:r>
        <w:drawing>
          <wp:inline distT="0" distB="0" distL="0" distR="0">
            <wp:extent cx="4953000" cy="3048000"/>
            <wp:effectExtent t="0" r="0" b="0" l="0"/>
            <wp:docPr id="1" name="fig24_cohort_sizes.png" descr="fig24_cohort_sizes.png" title="fig24_cohort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048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CD1. Enrolment size comparison across the major formaldehyde occupational cohorts informing international classifications (NCI, NIOSH garment, British Chemical, Danish Population, Italian Plywood, Embalmers, Finnish Woodworkers, Chinese Workers).</w:t>
      </w:r>
    </w:p>
    <w:p>
      <w:pPr>
        <w:spacing w:after="120" w:before="60" w:line="300"/>
        <w:jc w:val="both"/>
      </w:pPr>
      <w:r>
        <w:rPr>
          <w:rFonts w:ascii="Times New Roman" w:cs="Times New Roman" w:eastAsia="Times New Roman" w:hAnsi="Times New Roman"/>
          <w:sz w:val="24"/>
          <w:szCs w:val="24"/>
        </w:rPr>
        <w:t xml:space="preserve">Three large industrial cohorts anchor the epidemiological evidence base for formaldehyde's human carcinogenicity: the U.S. National Cancer Institute (NCI) cohort of 25,619 industrial workers exposed to formaldehyde at ten plants across the United States; the U.S. National Institute for Occupational Safety and Health (NIOSH) cohort of 11,039 funeral industry workers and embalmers; and the NIOSH/NCI cohort of 11,098 garment industry workers originally assembled by Stayner and updated by Pinkerton and Meyers.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These three cohorts, representing collectively more than 47,000 workers and several million person-years of follow-up, provide the overwhelming majority of the human quantitative dose-response data.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Supporting cohorts of British chemical workers (Coggon et al.), European anatomists/pathologists, and regional cosmetology/resin-industry workforces provide convergent but lower-power confirmation of the principal exposure-outcome relationships.</w:t>
      </w:r>
    </w:p>
    <w:p>
      <w:pPr>
        <w:spacing w:after="120" w:before="280"/>
        <w:jc w:val="left"/>
      </w:pPr>
      <w:r>
        <w:rPr>
          <w:rFonts w:ascii="Times New Roman" w:cs="Times New Roman" w:eastAsia="Times New Roman" w:hAnsi="Times New Roman"/>
          <w:b/>
          <w:bCs/>
          <w:sz w:val="24"/>
          <w:szCs w:val="24"/>
        </w:rPr>
        <w:t xml:space="preserve">NCI Cohort — Design and Findings</w:t>
      </w:r>
    </w:p>
    <w:p>
      <w:pPr>
        <w:spacing w:after="120" w:before="60" w:line="300"/>
        <w:jc w:val="both"/>
      </w:pPr>
      <w:r>
        <w:rPr>
          <w:rFonts w:ascii="Times New Roman" w:cs="Times New Roman" w:eastAsia="Times New Roman" w:hAnsi="Times New Roman"/>
          <w:sz w:val="24"/>
          <w:szCs w:val="24"/>
        </w:rPr>
        <w:t xml:space="preserve">The NCI cohort originated in a 1966 survey of workers in ten U.S. industrial plants manufacturing formaldehyde or formaldehyde-based resins (Blair et al. 1986 initial mortality report, Hauptmann 2003 cancer update, Beane Freeman 2009 and 2013 further updates, Checkoway 2015 extended follow-up). </w:t>
      </w:r>
      <w:r>
        <w:rPr>
          <w:rFonts w:ascii="Times New Roman" w:cs="Times New Roman" w:eastAsia="Times New Roman" w:hAnsi="Times New Roman"/>
          <w:b/>
          <w:bCs/>
          <w:sz w:val="24"/>
          <w:szCs w:val="24"/>
          <w:vertAlign w:val="superscript"/>
        </w:rPr>
        <w:t xml:space="preserve">[10][11][42]</w:t>
      </w:r>
      <w:r>
        <w:rPr>
          <w:rFonts w:ascii="Times New Roman" w:cs="Times New Roman" w:eastAsia="Times New Roman" w:hAnsi="Times New Roman"/>
          <w:sz w:val="24"/>
          <w:szCs w:val="24"/>
        </w:rPr>
        <w:t xml:space="preserve"> The cohort was restricted to workers employed ≥12 months between 1934 and 1980 with detectable formaldehyde exposure; vital status was ascertained through 2004 (Beane Freeman) and 2013 (Checkoway), yielding &gt;850,000 person-years and more than 8,500 deaths.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Formaldehyde exposure assessment employed quantitative industrial hygiene measurements (&gt;11,000 personal samples) in combination with job-exposure matrices; peak, average, and cumulative exposures were estimated at the individual-worker level and stratified into quartiles or quintiles for exposure-response modelling.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Median cumulative exposure across the cohort was 1.3 ppm-years, with the highest-exposure decile exceeding 20 ppm-years; peak exposures in the highest quintile exceeded 4 ppm in most exposed workers.</w:t>
      </w:r>
      <w:r>
        <w:rPr>
          <w:rFonts w:ascii="Times New Roman" w:cs="Times New Roman" w:eastAsia="Times New Roman" w:hAnsi="Times New Roman"/>
          <w:b/>
          <w:bCs/>
          <w:sz w:val="24"/>
          <w:szCs w:val="24"/>
          <w:vertAlign w:val="superscript"/>
        </w:rPr>
        <w:t xml:space="preserve">[10][11]</w:t>
      </w:r>
    </w:p>
    <w:p>
      <w:pPr>
        <w:spacing w:after="120" w:before="60" w:line="300"/>
        <w:jc w:val="both"/>
      </w:pPr>
      <w:r>
        <w:rPr>
          <w:rFonts w:ascii="Times New Roman" w:cs="Times New Roman" w:eastAsia="Times New Roman" w:hAnsi="Times New Roman"/>
          <w:sz w:val="24"/>
          <w:szCs w:val="24"/>
        </w:rPr>
        <w:t xml:space="preserve">Key cancer findings from the NCI cohort updates include: mortality from nasopharyngeal carcinoma (NPC) showed a strong exposure-response relationship by peak exposure (SMR 1.97 in highest peak quartile, p-trend &lt;0.05), with pooled analysis across peak, average, and cumulative exposure indices yielding consistent signals. </w:t>
      </w:r>
      <w:r>
        <w:rPr>
          <w:rFonts w:ascii="Times New Roman" w:cs="Times New Roman" w:eastAsia="Times New Roman" w:hAnsi="Times New Roman"/>
          <w:b/>
          <w:bCs/>
          <w:sz w:val="24"/>
          <w:szCs w:val="24"/>
          <w:vertAlign w:val="superscript"/>
        </w:rPr>
        <w:t xml:space="preserve">[10][11][42]</w:t>
      </w:r>
      <w:r>
        <w:rPr>
          <w:rFonts w:ascii="Times New Roman" w:cs="Times New Roman" w:eastAsia="Times New Roman" w:hAnsi="Times New Roman"/>
          <w:sz w:val="24"/>
          <w:szCs w:val="24"/>
        </w:rPr>
        <w:t xml:space="preserve"> Myeloid leukaemia mortality showed elevated relative risk in the highest peak exposure quartile (HR 1.78, 95% CI 1.08–2.93; updated HR 1.96, 95% CI 1.18–3.25 in the 2015 Checkoway extension), with acute myeloid leukaemia (AML) providing the majority of the signal.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Specific lymphohaematopoietic subtypes (Hodgkin lymphoma, multiple myeloma, non-Hodgkin lymphoma) showed weaker or null associations, with multiple myeloma showing a modestly elevated SMR but without monotonic exposure-response.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 Oral-pharyngeal, laryngeal, lung, and other cancer outcomes did not show consistent dose-response relationships after confounder adjustment.</w:t>
      </w:r>
      <w:r>
        <w:rPr>
          <w:rFonts w:ascii="Times New Roman" w:cs="Times New Roman" w:eastAsia="Times New Roman" w:hAnsi="Times New Roman"/>
          <w:b/>
          <w:bCs/>
          <w:sz w:val="24"/>
          <w:szCs w:val="24"/>
          <w:vertAlign w:val="superscript"/>
        </w:rPr>
        <w:t xml:space="preserve">[11]</w:t>
      </w:r>
    </w:p>
    <w:p>
      <w:pPr>
        <w:spacing w:after="120" w:before="280"/>
        <w:jc w:val="left"/>
      </w:pPr>
      <w:r>
        <w:rPr>
          <w:rFonts w:ascii="Times New Roman" w:cs="Times New Roman" w:eastAsia="Times New Roman" w:hAnsi="Times New Roman"/>
          <w:b/>
          <w:bCs/>
          <w:sz w:val="24"/>
          <w:szCs w:val="24"/>
        </w:rPr>
        <w:t xml:space="preserve">NIOSH Embalmers Cohort — Design and Findings</w:t>
      </w:r>
    </w:p>
    <w:p>
      <w:pPr>
        <w:spacing w:after="120" w:before="60" w:line="300"/>
        <w:jc w:val="both"/>
      </w:pPr>
      <w:r>
        <w:rPr>
          <w:rFonts w:ascii="Times New Roman" w:cs="Times New Roman" w:eastAsia="Times New Roman" w:hAnsi="Times New Roman"/>
          <w:sz w:val="24"/>
          <w:szCs w:val="24"/>
        </w:rPr>
        <w:t xml:space="preserve">The NIOSH embalmers and funeral directors cohort of 11,039 men, originally assembled by Walrath and Fraumeni (1983) and extended with further follow-up and exposure characterisation by Hauptmann et al. (2009), represents the highest-intensity formaldehyde exposure profile among the major cohorts: median peak exposures during embalming procedures were estimated at 1.5–4 ppm and cumulative exposures at 9 ppm-years. </w:t>
      </w:r>
      <w:r>
        <w:rPr>
          <w:rFonts w:ascii="Times New Roman" w:cs="Times New Roman" w:eastAsia="Times New Roman" w:hAnsi="Times New Roman"/>
          <w:b/>
          <w:bCs/>
          <w:sz w:val="24"/>
          <w:szCs w:val="24"/>
          <w:vertAlign w:val="superscript"/>
        </w:rPr>
        <w:t xml:space="preserve">[12][15]</w:t>
      </w:r>
      <w:r>
        <w:rPr>
          <w:rFonts w:ascii="Times New Roman" w:cs="Times New Roman" w:eastAsia="Times New Roman" w:hAnsi="Times New Roman"/>
          <w:sz w:val="24"/>
          <w:szCs w:val="24"/>
        </w:rPr>
        <w:t xml:space="preserve"> Vital status was ascertained through 2001, yielding approximately 360,000 person-years of follow-up. Death certificate-based cancer classification was supplemented by detailed exposure reconstruction incorporating number of embalming procedures, use of protective equipment, and ventilation practice. </w:t>
      </w:r>
      <w:r>
        <w:rPr>
          <w:rFonts w:ascii="Times New Roman" w:cs="Times New Roman" w:eastAsia="Times New Roman" w:hAnsi="Times New Roman"/>
          <w:b/>
          <w:bCs/>
          <w:sz w:val="24"/>
          <w:szCs w:val="24"/>
          <w:vertAlign w:val="superscript"/>
        </w:rPr>
        <w:t xml:space="preserve">[12][15]</w:t>
      </w:r>
      <w:r>
        <w:rPr>
          <w:rFonts w:ascii="Times New Roman" w:cs="Times New Roman" w:eastAsia="Times New Roman" w:hAnsi="Times New Roman"/>
          <w:sz w:val="24"/>
          <w:szCs w:val="24"/>
        </w:rPr>
        <w:t xml:space="preserve"> Key findings include the largest reported association for myeloid leukaemia across the major cohorts (odds ratio 11.2, 95% CI 1.3–95.6 at highest tertile of peak exposure), a significant elevation of NPC (OR 4.0, 95% CI 1.1–14.5), and modest elevations of oropharyngeal and brain cancer mortality.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Subsequent meta-analytic pooling incorporating this cohort has placed it at the centre of regulatory quantitative derivation of leukaemia unit risk estimates.</w:t>
      </w:r>
      <w:r>
        <w:rPr>
          <w:rFonts w:ascii="Times New Roman" w:cs="Times New Roman" w:eastAsia="Times New Roman" w:hAnsi="Times New Roman"/>
          <w:b/>
          <w:bCs/>
          <w:sz w:val="24"/>
          <w:szCs w:val="24"/>
          <w:vertAlign w:val="superscript"/>
        </w:rPr>
        <w:t xml:space="preserve">[11][47]</w:t>
      </w:r>
    </w:p>
    <w:p>
      <w:pPr>
        <w:spacing w:after="120" w:before="280"/>
        <w:jc w:val="left"/>
      </w:pPr>
      <w:r>
        <w:rPr>
          <w:rFonts w:ascii="Times New Roman" w:cs="Times New Roman" w:eastAsia="Times New Roman" w:hAnsi="Times New Roman"/>
          <w:b/>
          <w:bCs/>
          <w:sz w:val="24"/>
          <w:szCs w:val="24"/>
        </w:rPr>
        <w:t xml:space="preserve">Garment Worker Cohort — Design and Findings</w:t>
      </w:r>
    </w:p>
    <w:p>
      <w:pPr>
        <w:spacing w:after="120" w:before="60" w:line="300"/>
        <w:jc w:val="both"/>
      </w:pPr>
      <w:r>
        <w:rPr>
          <w:rFonts w:ascii="Times New Roman" w:cs="Times New Roman" w:eastAsia="Times New Roman" w:hAnsi="Times New Roman"/>
          <w:sz w:val="24"/>
          <w:szCs w:val="24"/>
        </w:rPr>
        <w:t xml:space="preserve">The garment industry cohort, initially 11,098 workers (mostly women) employed for ≥3 months between 1955 and 1977 at three garment manufacturing plants using formaldehyde-treated fabrics, provides complementary exposure profile characterised by moderate continuous exposure (~0.15–0.20 ppm TWA) over extended periods.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Pinkerton et al. (2004) first reported elevated mortality from myeloid leukaemia (SMR 1.09 overall, SMR 1.54 in workers with ≥10 years of exposure and ≥20 years since first exposure).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 Meyers et al. (2013) extended follow-up through 2008 with updated internal comparison analyses: continued elevation of myeloid leukaemia mortality (RR 2.5 in workers with &gt;7.5 years of exposure), an exposure-response by duration of employment, and a latency pattern consistent with carcinogenic mode of action. </w:t>
      </w:r>
      <w:r>
        <w:rPr>
          <w:rFonts w:ascii="Times New Roman" w:cs="Times New Roman" w:eastAsia="Times New Roman" w:hAnsi="Times New Roman"/>
          <w:b/>
          <w:bCs/>
          <w:sz w:val="24"/>
          <w:szCs w:val="24"/>
          <w:vertAlign w:val="superscript"/>
        </w:rPr>
        <w:t xml:space="preserve">[15]</w:t>
      </w:r>
      <w:r>
        <w:rPr>
          <w:rFonts w:ascii="Times New Roman" w:cs="Times New Roman" w:eastAsia="Times New Roman" w:hAnsi="Times New Roman"/>
          <w:sz w:val="24"/>
          <w:szCs w:val="24"/>
        </w:rPr>
        <w:t xml:space="preserve"> The garment cohort provides critical corroborative evidence for the leukaemia association in a different industrial setting with a female-predominant workforce, reducing concerns about male-specific lifestyle confounders in the other major cohorts.</w:t>
      </w:r>
    </w:p>
    <w:p>
      <w:pPr>
        <w:spacing w:after="120" w:before="280"/>
        <w:jc w:val="left"/>
      </w:pPr>
      <w:r>
        <w:rPr>
          <w:rFonts w:ascii="Times New Roman" w:cs="Times New Roman" w:eastAsia="Times New Roman" w:hAnsi="Times New Roman"/>
          <w:b/>
          <w:bCs/>
          <w:sz w:val="24"/>
          <w:szCs w:val="24"/>
        </w:rPr>
        <w:t xml:space="preserve">Statistical Methodology and Exposure-Response Modelling</w:t>
      </w:r>
    </w:p>
    <w:p>
      <w:pPr>
        <w:spacing w:after="120" w:before="60" w:line="300"/>
        <w:jc w:val="both"/>
      </w:pPr>
      <w:r>
        <w:rPr>
          <w:rFonts w:ascii="Times New Roman" w:cs="Times New Roman" w:eastAsia="Times New Roman" w:hAnsi="Times New Roman"/>
          <w:sz w:val="24"/>
          <w:szCs w:val="24"/>
        </w:rPr>
        <w:t xml:space="preserve">Exposure-response modelling across the three main cohorts has employed Cox proportional hazards regression (for mortality with external comparator reference rates), Poisson regression (for internal relative risk comparisons), and time-dependent exposure variables to accommodate latency.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Exposure indices compared include: peak exposure (maximum 15-minute concentration ever experienced), average exposure (time-weighted mean over working life), cumulative exposure (integral of concentration × duration), and duration of exposure.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Peak exposure has consistently provided the clearest dose-response signal for NPC, consistent with an initiation mechanism at high-intensity events; cumulative exposure is often the best predictor for myeloid leukaemia, consistent with a stem-cell-accumulation mechanism. </w:t>
      </w:r>
      <w:r>
        <w:rPr>
          <w:rFonts w:ascii="Times New Roman" w:cs="Times New Roman" w:eastAsia="Times New Roman" w:hAnsi="Times New Roman"/>
          <w:b/>
          <w:bCs/>
          <w:sz w:val="24"/>
          <w:szCs w:val="24"/>
          <w:vertAlign w:val="superscript"/>
        </w:rPr>
        <w:t xml:space="preserve">[10][11][12]</w:t>
      </w:r>
      <w:r>
        <w:rPr>
          <w:rFonts w:ascii="Times New Roman" w:cs="Times New Roman" w:eastAsia="Times New Roman" w:hAnsi="Times New Roman"/>
          <w:sz w:val="24"/>
          <w:szCs w:val="24"/>
        </w:rPr>
        <w:t xml:space="preserve"> Sensitivity analyses restricted to verified exposure histories, excluding cancer cases within the first 10 or 15 years of first exposure (latency restriction), and incorporating smoking-adjusted analyses where possible have preserved the magnitude of the principal associations.</w:t>
      </w:r>
    </w:p>
    <w:p>
      <w:pPr>
        <w:spacing w:after="120" w:before="280"/>
        <w:jc w:val="left"/>
      </w:pPr>
      <w:r>
        <w:rPr>
          <w:rFonts w:ascii="Times New Roman" w:cs="Times New Roman" w:eastAsia="Times New Roman" w:hAnsi="Times New Roman"/>
          <w:b/>
          <w:bCs/>
          <w:sz w:val="24"/>
          <w:szCs w:val="24"/>
        </w:rPr>
        <w:t xml:space="preserve">Critical Appraisal and Residual Uncertainty</w:t>
      </w:r>
    </w:p>
    <w:p>
      <w:pPr>
        <w:spacing w:after="120" w:before="60" w:line="300"/>
        <w:jc w:val="both"/>
      </w:pPr>
      <w:r>
        <w:rPr>
          <w:rFonts w:ascii="Times New Roman" w:cs="Times New Roman" w:eastAsia="Times New Roman" w:hAnsi="Times New Roman"/>
          <w:sz w:val="24"/>
          <w:szCs w:val="24"/>
        </w:rPr>
        <w:t xml:space="preserve">Independent critical appraisals of the three main cohorts have been conducted by the IARC Monograph Working Groups, the U.S. EPA IRIS peer-review panels, the National Academies of Sciences consensus reports, and several industry-sponsored reviews. </w:t>
      </w:r>
      <w:r>
        <w:rPr>
          <w:rFonts w:ascii="Times New Roman" w:cs="Times New Roman" w:eastAsia="Times New Roman" w:hAnsi="Times New Roman"/>
          <w:b/>
          <w:bCs/>
          <w:sz w:val="24"/>
          <w:szCs w:val="24"/>
          <w:vertAlign w:val="superscript"/>
        </w:rPr>
        <w:t xml:space="preserve">[1][2][4][22][44]</w:t>
      </w:r>
      <w:r>
        <w:rPr>
          <w:rFonts w:ascii="Times New Roman" w:cs="Times New Roman" w:eastAsia="Times New Roman" w:hAnsi="Times New Roman"/>
          <w:sz w:val="24"/>
          <w:szCs w:val="24"/>
        </w:rPr>
        <w:t xml:space="preserve"> Concerns raised include: potential exposure misclassification in older historical periods where industrial hygiene sampling was sparse, uncertain quantification of peak exposure events, limited individual-level smoking data in some analytical strata, and the possibility of co-exposure confounding by other carcinogens in the industrial settings (benzene, wood dust, pesticides, other aldehydes). </w:t>
      </w:r>
      <w:r>
        <w:rPr>
          <w:rFonts w:ascii="Times New Roman" w:cs="Times New Roman" w:eastAsia="Times New Roman" w:hAnsi="Times New Roman"/>
          <w:b/>
          <w:bCs/>
          <w:sz w:val="24"/>
          <w:szCs w:val="24"/>
          <w:vertAlign w:val="superscript"/>
        </w:rPr>
        <w:t xml:space="preserve">[22][44]</w:t>
      </w:r>
      <w:r>
        <w:rPr>
          <w:rFonts w:ascii="Times New Roman" w:cs="Times New Roman" w:eastAsia="Times New Roman" w:hAnsi="Times New Roman"/>
          <w:sz w:val="24"/>
          <w:szCs w:val="24"/>
        </w:rPr>
        <w:t xml:space="preserve"> Sensitivity analyses addressing each of these concerns have preserved the substantive signal for NPC and myeloid leukaemia in both the pooled and individual cohort analyses. </w:t>
      </w:r>
      <w:r>
        <w:rPr>
          <w:rFonts w:ascii="Times New Roman" w:cs="Times New Roman" w:eastAsia="Times New Roman" w:hAnsi="Times New Roman"/>
          <w:b/>
          <w:bCs/>
          <w:sz w:val="24"/>
          <w:szCs w:val="24"/>
          <w:vertAlign w:val="superscript"/>
        </w:rPr>
        <w:t xml:space="preserve">[10][11][47]</w:t>
      </w:r>
      <w:r>
        <w:rPr>
          <w:rFonts w:ascii="Times New Roman" w:cs="Times New Roman" w:eastAsia="Times New Roman" w:hAnsi="Times New Roman"/>
          <w:sz w:val="24"/>
          <w:szCs w:val="24"/>
        </w:rPr>
        <w:t xml:space="preserve"> The convergence of three demographically and industrially diverse cohorts on consistent effect estimates, reinforced by the mechanistic evidence for both nasal and haematopoietic target tissue carcinogenicity, has led IARC, NTP, EPA, and most international agencies to assess the evidence as sufficient to anchor the Group 1 / Known Human Carcinogen classification.</w:t>
      </w:r>
    </w:p>
    <w:p>
      <w:pPr>
        <w:spacing w:after="120" w:before="280"/>
        <w:jc w:val="left"/>
      </w:pPr>
      <w:r>
        <w:rPr>
          <w:rFonts w:ascii="Times New Roman" w:cs="Times New Roman" w:eastAsia="Times New Roman" w:hAnsi="Times New Roman"/>
          <w:b/>
          <w:bCs/>
          <w:sz w:val="24"/>
          <w:szCs w:val="24"/>
        </w:rPr>
        <w:t xml:space="preserve">Additional Occupational Cohorts</w:t>
      </w:r>
    </w:p>
    <w:p>
      <w:pPr>
        <w:spacing w:after="120" w:before="60" w:line="300"/>
        <w:jc w:val="both"/>
      </w:pPr>
      <w:r>
        <w:rPr>
          <w:rFonts w:ascii="Times New Roman" w:cs="Times New Roman" w:eastAsia="Times New Roman" w:hAnsi="Times New Roman"/>
          <w:sz w:val="24"/>
          <w:szCs w:val="24"/>
        </w:rPr>
        <w:t xml:space="preserve">Beyond the three principal cohorts, several smaller studies provide replication or extension of specific findings. </w:t>
      </w:r>
      <w:r>
        <w:rPr>
          <w:rFonts w:ascii="Times New Roman" w:cs="Times New Roman" w:eastAsia="Times New Roman" w:hAnsi="Times New Roman"/>
          <w:b/>
          <w:bCs/>
          <w:sz w:val="24"/>
          <w:szCs w:val="24"/>
          <w:vertAlign w:val="superscript"/>
        </w:rPr>
        <w:t xml:space="preserve">[46][47]</w:t>
      </w:r>
      <w:r>
        <w:rPr>
          <w:rFonts w:ascii="Times New Roman" w:cs="Times New Roman" w:eastAsia="Times New Roman" w:hAnsi="Times New Roman"/>
          <w:sz w:val="24"/>
          <w:szCs w:val="24"/>
        </w:rPr>
        <w:t xml:space="preserve"> The Coggon et al. cohort of British chemical workers (14,014 men employed in six chemical industry plants 1937–2000) was updated through 2012 and reports elevated mortality from NPC (SMR 1.48) and lung cancer (SMR 1.58), with a plausible exposure-response trend by cumulative formaldehyde exposure. </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 Regional cohorts of European pathologists and anatomists (Andjelkovich, Hayes, Stroup, Wong et al.) provide generally consistent evidence for elevated brain cancer and leukaemia risk; the meta-analytic pooling by Protano et al. (2022) across these cohorts estimates brain cancer RR 1.51 (95% CI 1.15–1.99) and all leukaemia RR 1.32 (95% CI 1.08–1.61).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Smaller cohorts of cosmetology workers, garment and textile workers, laboratory technicians, and dental professionals provide individual-study evidence but are typically underpowered for rare cancer endpoints. </w:t>
      </w:r>
      <w:r>
        <w:rPr>
          <w:rFonts w:ascii="Times New Roman" w:cs="Times New Roman" w:eastAsia="Times New Roman" w:hAnsi="Times New Roman"/>
          <w:b/>
          <w:bCs/>
          <w:sz w:val="24"/>
          <w:szCs w:val="24"/>
          <w:vertAlign w:val="superscript"/>
        </w:rPr>
        <w:t xml:space="preserve">[94][97]</w:t>
      </w:r>
      <w:r>
        <w:rPr>
          <w:rFonts w:ascii="Times New Roman" w:cs="Times New Roman" w:eastAsia="Times New Roman" w:hAnsi="Times New Roman"/>
          <w:sz w:val="24"/>
          <w:szCs w:val="24"/>
        </w:rPr>
        <w:t xml:space="preserve"> Case-control studies of sinonasal cancer pooled by Luce and colleagues provide the principal epidemiological support for the sinonasal carcinoma classification.</w:t>
      </w:r>
      <w:r>
        <w:rPr>
          <w:rFonts w:ascii="Times New Roman" w:cs="Times New Roman" w:eastAsia="Times New Roman" w:hAnsi="Times New Roman"/>
          <w:b/>
          <w:bCs/>
          <w:sz w:val="24"/>
          <w:szCs w:val="24"/>
          <w:vertAlign w:val="superscript"/>
        </w:rPr>
        <w:t xml:space="preserve">[7][45]</w:t>
      </w:r>
    </w:p>
    <w:p>
      <w:pPr>
        <w:spacing w:after="120" w:before="280"/>
        <w:jc w:val="left"/>
      </w:pPr>
      <w:r>
        <w:rPr>
          <w:rFonts w:ascii="Times New Roman" w:cs="Times New Roman" w:eastAsia="Times New Roman" w:hAnsi="Times New Roman"/>
          <w:b/>
          <w:bCs/>
          <w:sz w:val="24"/>
          <w:szCs w:val="24"/>
        </w:rPr>
        <w:t xml:space="preserve">Biomonitoring and Molecular Epidemiology</w:t>
      </w:r>
    </w:p>
    <w:p>
      <w:pPr>
        <w:spacing w:after="120" w:before="60" w:line="300"/>
        <w:jc w:val="both"/>
      </w:pPr>
      <w:r>
        <w:rPr>
          <w:rFonts w:ascii="Times New Roman" w:cs="Times New Roman" w:eastAsia="Times New Roman" w:hAnsi="Times New Roman"/>
          <w:sz w:val="24"/>
          <w:szCs w:val="24"/>
        </w:rPr>
        <w:t xml:space="preserve">Molecular epidemiology integrating biomonitoring with cancer outcome ascertainment has advanced beyond the hallmark cohorts through targeted sub-studies. </w:t>
      </w:r>
      <w:r>
        <w:rPr>
          <w:rFonts w:ascii="Times New Roman" w:cs="Times New Roman" w:eastAsia="Times New Roman" w:hAnsi="Times New Roman"/>
          <w:b/>
          <w:bCs/>
          <w:sz w:val="24"/>
          <w:szCs w:val="24"/>
          <w:vertAlign w:val="superscript"/>
        </w:rPr>
        <w:t xml:space="preserve">[13][76][96]</w:t>
      </w:r>
      <w:r>
        <w:rPr>
          <w:rFonts w:ascii="Times New Roman" w:cs="Times New Roman" w:eastAsia="Times New Roman" w:hAnsi="Times New Roman"/>
          <w:sz w:val="24"/>
          <w:szCs w:val="24"/>
        </w:rPr>
        <w:t xml:space="preserve"> The Zhang et al. (2010) cross-sectional study of 43 Chinese formaldehyde-exposed workers reported reduced absolute lymphocyte count, elevated lymphocyte micronucleus frequency, and monosomy of chromosome 7 in peripheral myeloid progenitor cells — a haematological signature consistent with the myelodysplastic-to-AML progression observed in leukaemogenesis.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Costa et al. (2011) reported elevated micronucleus frequency and altered T-cell receptor gene rearrangement patterns in pathology workers. </w:t>
      </w:r>
      <w:r>
        <w:rPr>
          <w:rFonts w:ascii="Times New Roman" w:cs="Times New Roman" w:eastAsia="Times New Roman" w:hAnsi="Times New Roman"/>
          <w:b/>
          <w:bCs/>
          <w:sz w:val="24"/>
          <w:szCs w:val="24"/>
          <w:vertAlign w:val="superscript"/>
        </w:rPr>
        <w:t xml:space="preserve">[76]</w:t>
      </w:r>
      <w:r>
        <w:rPr>
          <w:rFonts w:ascii="Times New Roman" w:cs="Times New Roman" w:eastAsia="Times New Roman" w:hAnsi="Times New Roman"/>
          <w:sz w:val="24"/>
          <w:szCs w:val="24"/>
        </w:rPr>
        <w:t xml:space="preserve"> Bollati et al. (2010) documented altered DNA methylation patterns in formaldehyde-exposed workers, with enrichment of demethylation at imprinted loci and immune-related genes. </w:t>
      </w:r>
      <w:r>
        <w:rPr>
          <w:rFonts w:ascii="Times New Roman" w:cs="Times New Roman" w:eastAsia="Times New Roman" w:hAnsi="Times New Roman"/>
          <w:b/>
          <w:bCs/>
          <w:sz w:val="24"/>
          <w:szCs w:val="24"/>
          <w:vertAlign w:val="superscript"/>
        </w:rPr>
        <w:t xml:space="preserve">[70]</w:t>
      </w:r>
      <w:r>
        <w:rPr>
          <w:rFonts w:ascii="Times New Roman" w:cs="Times New Roman" w:eastAsia="Times New Roman" w:hAnsi="Times New Roman"/>
          <w:sz w:val="24"/>
          <w:szCs w:val="24"/>
        </w:rPr>
        <w:t xml:space="preserve"> These molecular epidemiological findings provide biological plausibility for the Group 1 classification and support the proposed AOP for haematopoietic toxicity.</w:t>
      </w:r>
    </w:p>
    <w:p>
      <w:r>
        <w:br w:type="page"/>
      </w:r>
    </w:p>
    <w:p>
      <w:pPr>
        <w:spacing w:after="120" w:before="280"/>
        <w:jc w:val="left"/>
      </w:pPr>
      <w:r>
        <w:rPr>
          <w:rFonts w:ascii="Times New Roman" w:cs="Times New Roman" w:eastAsia="Times New Roman" w:hAnsi="Times New Roman"/>
          <w:b/>
          <w:bCs/>
          <w:sz w:val="24"/>
          <w:szCs w:val="24"/>
        </w:rPr>
        <w:t xml:space="preserve">Epidemiological Methodology in Formaldehyde Research</w:t>
      </w:r>
    </w:p>
    <w:p>
      <w:pPr>
        <w:spacing w:after="80" w:before="120"/>
        <w:jc w:val="center"/>
      </w:pPr>
      <w:r>
        <w:drawing>
          <wp:inline distT="0" distB="0" distL="0" distR="0">
            <wp:extent cx="5143500" cy="1714500"/>
            <wp:effectExtent t="0" r="0" b="0" l="0"/>
            <wp:docPr id="1" name="fig6_iarc_timeline.png" descr="fig6_iarc_timeline.png" title="fig6_iarc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714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EM1. Timeline of IARC classifications of formaldehyde, from Monograph 29 (1981) through Monograph 130 (2022). Upgrade to Group 1 in 2004 was anchored on sufficient evidence for nasopharyngeal cancer; myeloid leukaemia was added in Monograph 100F (2012).</w:t>
      </w:r>
    </w:p>
    <w:p>
      <w:pPr>
        <w:spacing w:after="120" w:before="60" w:line="300"/>
        <w:jc w:val="both"/>
      </w:pPr>
      <w:r>
        <w:rPr>
          <w:rFonts w:ascii="Times New Roman" w:cs="Times New Roman" w:eastAsia="Times New Roman" w:hAnsi="Times New Roman"/>
          <w:sz w:val="24"/>
          <w:szCs w:val="24"/>
        </w:rPr>
        <w:t xml:space="preserve">The epidemiological evidence base for formaldehyde has been built over four decades through occupational cohort studies, case-control studies, cross-sectional surveys, and latterly molecular epidemiology investigations. </w:t>
      </w:r>
      <w:r>
        <w:rPr>
          <w:rFonts w:ascii="Times New Roman" w:cs="Times New Roman" w:eastAsia="Times New Roman" w:hAnsi="Times New Roman"/>
          <w:b/>
          <w:bCs/>
          <w:sz w:val="24"/>
          <w:szCs w:val="24"/>
          <w:vertAlign w:val="superscript"/>
        </w:rPr>
        <w:t xml:space="preserve">[10][11][12][14][15][16][22][47]</w:t>
      </w:r>
      <w:r>
        <w:rPr>
          <w:rFonts w:ascii="Times New Roman" w:cs="Times New Roman" w:eastAsia="Times New Roman" w:hAnsi="Times New Roman"/>
          <w:sz w:val="24"/>
          <w:szCs w:val="24"/>
        </w:rPr>
        <w:t xml:space="preserve"> Each design brings characteristic strengths and limitations: cohort studies provide robust exposure-response evidence but require large populations and lengthy follow-up; case-control designs offer efficiency for rare cancers but are vulnerable to recall bias; molecular epidemiology bridges mechanistic and population-level evidence but is constrained by biomarker validity. </w:t>
      </w:r>
      <w:r>
        <w:rPr>
          <w:rFonts w:ascii="Times New Roman" w:cs="Times New Roman" w:eastAsia="Times New Roman" w:hAnsi="Times New Roman"/>
          <w:b/>
          <w:bCs/>
          <w:sz w:val="24"/>
          <w:szCs w:val="24"/>
          <w:vertAlign w:val="superscript"/>
        </w:rPr>
        <w:t xml:space="preserve">[10][16][22]</w:t>
      </w:r>
      <w:r>
        <w:rPr>
          <w:rFonts w:ascii="Times New Roman" w:cs="Times New Roman" w:eastAsia="Times New Roman" w:hAnsi="Times New Roman"/>
          <w:sz w:val="24"/>
          <w:szCs w:val="24"/>
        </w:rPr>
        <w:t xml:space="preserve"> Understanding the methodological nuances of each study type is essential for interpreting the formaldehyde evidence and for designing future investigations that address residual uncertainties.</w:t>
      </w:r>
    </w:p>
    <w:p>
      <w:pPr>
        <w:spacing w:after="120" w:before="280"/>
        <w:jc w:val="left"/>
      </w:pPr>
      <w:r>
        <w:rPr>
          <w:rFonts w:ascii="Times New Roman" w:cs="Times New Roman" w:eastAsia="Times New Roman" w:hAnsi="Times New Roman"/>
          <w:b/>
          <w:bCs/>
          <w:sz w:val="24"/>
          <w:szCs w:val="24"/>
        </w:rPr>
        <w:t xml:space="preserve">Retrospective Cohort Design</w:t>
      </w:r>
    </w:p>
    <w:p>
      <w:pPr>
        <w:spacing w:after="120" w:before="60" w:line="300"/>
        <w:jc w:val="both"/>
      </w:pPr>
      <w:r>
        <w:rPr>
          <w:rFonts w:ascii="Times New Roman" w:cs="Times New Roman" w:eastAsia="Times New Roman" w:hAnsi="Times New Roman"/>
          <w:sz w:val="24"/>
          <w:szCs w:val="24"/>
        </w:rPr>
        <w:t xml:space="preserve">Retrospective occupational cohort studies form the backbone of the formaldehyde carcinogenicity evidence base. </w:t>
      </w:r>
      <w:r>
        <w:rPr>
          <w:rFonts w:ascii="Times New Roman" w:cs="Times New Roman" w:eastAsia="Times New Roman" w:hAnsi="Times New Roman"/>
          <w:b/>
          <w:bCs/>
          <w:sz w:val="24"/>
          <w:szCs w:val="24"/>
          <w:vertAlign w:val="superscript"/>
        </w:rPr>
        <w:t xml:space="preserve">[10][11][12]</w:t>
      </w:r>
      <w:r>
        <w:rPr>
          <w:rFonts w:ascii="Times New Roman" w:cs="Times New Roman" w:eastAsia="Times New Roman" w:hAnsi="Times New Roman"/>
          <w:sz w:val="24"/>
          <w:szCs w:val="24"/>
        </w:rPr>
        <w:t xml:space="preserve"> The design requires identification of a workforce with historical formaldehyde exposure, reconstruction of individual-level exposure histories spanning decades, vital status follow-up through national death registries, and standardised cause-of-death classification.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three pivotal cohorts — the NCI industrial workers (Hauptmann et al.), the NIOSH embalmers (Hauptmann/Stewart), and the NIOSH garment workers (Meyers/Pinkerton) — collectively contributed over 30,000 workers with follow-up extending to 2004 and beyond.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Vital status ascertainment through the National Death Index achieves &gt;95% completeness in the U.S. cohorts; cause-of-death coding is typically based on ICD-9 or ICD-10 with expert-level review for rare endpoints (nasopharyngeal carcinoma, myeloid leukaemia subtypes).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 Person-years at risk are computed from employment date to end of follow-up, censoring at death, emigration, or loss to follow-up. Standardised mortality ratios (SMRs) compare observed to expected deaths using national or regional reference rates; internal dose-response analyses use cumulative exposure or peak exposure as continuous or categorical variables with Cox proportional hazards or Poisson regression models.</w:t>
      </w:r>
    </w:p>
    <w:p>
      <w:pPr>
        <w:spacing w:after="120" w:before="280"/>
        <w:jc w:val="left"/>
      </w:pPr>
      <w:r>
        <w:rPr>
          <w:rFonts w:ascii="Times New Roman" w:cs="Times New Roman" w:eastAsia="Times New Roman" w:hAnsi="Times New Roman"/>
          <w:b/>
          <w:bCs/>
          <w:sz w:val="24"/>
          <w:szCs w:val="24"/>
        </w:rPr>
        <w:t xml:space="preserve">Exposure Reconstruction Strategies</w:t>
      </w:r>
    </w:p>
    <w:p>
      <w:pPr>
        <w:spacing w:after="120" w:before="60" w:line="300"/>
        <w:jc w:val="both"/>
      </w:pPr>
      <w:r>
        <w:rPr>
          <w:rFonts w:ascii="Times New Roman" w:cs="Times New Roman" w:eastAsia="Times New Roman" w:hAnsi="Times New Roman"/>
          <w:sz w:val="24"/>
          <w:szCs w:val="24"/>
        </w:rPr>
        <w:t xml:space="preserve">Historical exposure reconstruction is the critical methodological challenge in formaldehyde cohort research. </w:t>
      </w:r>
      <w:r>
        <w:rPr>
          <w:rFonts w:ascii="Times New Roman" w:cs="Times New Roman" w:eastAsia="Times New Roman" w:hAnsi="Times New Roman"/>
          <w:b/>
          <w:bCs/>
          <w:sz w:val="24"/>
          <w:szCs w:val="24"/>
          <w:vertAlign w:val="superscript"/>
        </w:rPr>
        <w:t xml:space="preserve">[10][11][12][22]</w:t>
      </w:r>
      <w:r>
        <w:rPr>
          <w:rFonts w:ascii="Times New Roman" w:cs="Times New Roman" w:eastAsia="Times New Roman" w:hAnsi="Times New Roman"/>
          <w:sz w:val="24"/>
          <w:szCs w:val="24"/>
        </w:rPr>
        <w:t xml:space="preserve"> Contemporary air monitoring is rarely available for the full historical span of cohort employment periods (1930s–1980s); reconstruction relies on job-exposure matrices built from available monitoring data, industrial hygiene surveys, process and ventilation histories, and expert judgment. </w:t>
      </w:r>
      <w:r>
        <w:rPr>
          <w:rFonts w:ascii="Times New Roman" w:cs="Times New Roman" w:eastAsia="Times New Roman" w:hAnsi="Times New Roman"/>
          <w:b/>
          <w:bCs/>
          <w:sz w:val="24"/>
          <w:szCs w:val="24"/>
          <w:vertAlign w:val="superscript"/>
        </w:rPr>
        <w:t xml:space="preserve">[10][22]</w:t>
      </w:r>
      <w:r>
        <w:rPr>
          <w:rFonts w:ascii="Times New Roman" w:cs="Times New Roman" w:eastAsia="Times New Roman" w:hAnsi="Times New Roman"/>
          <w:sz w:val="24"/>
          <w:szCs w:val="24"/>
        </w:rPr>
        <w:t xml:space="preserve"> The NCI cohort exposure matrix classified individual jobs across 10 plants by 8-hour TWA formaldehyde concentration (&lt;0.1, 0.1–0.5, 0.5–2.0, &gt;2.0 ppm) and by peak exposure (brief exposures exceeding 4 ppm), with plant-specific and era-specific adjustments.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NIOSH embalmers cohort used detailed work-practice questionnaires and task-level exposure inference based on contemporary embalming chamber measurements.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Validation of historical exposure estimates against bio-monitoring (urinary formate, DNA adduct levels, chromosomal aberration frequency) has confirmed reasonable agreement with industrial hygiene-based estimates. Non-differential exposure misclassification would bias toward the null, suggesting that observed positive associations likely represent true effects or are underestimates.</w:t>
      </w:r>
    </w:p>
    <w:p>
      <w:pPr>
        <w:spacing w:after="120" w:before="280"/>
        <w:jc w:val="left"/>
      </w:pPr>
      <w:r>
        <w:rPr>
          <w:rFonts w:ascii="Times New Roman" w:cs="Times New Roman" w:eastAsia="Times New Roman" w:hAnsi="Times New Roman"/>
          <w:b/>
          <w:bCs/>
          <w:sz w:val="24"/>
          <w:szCs w:val="24"/>
        </w:rPr>
        <w:t xml:space="preserve">Case-Control Designs and Pooled Analyses</w:t>
      </w:r>
    </w:p>
    <w:p>
      <w:pPr>
        <w:spacing w:after="120" w:before="60" w:line="300"/>
        <w:jc w:val="both"/>
      </w:pPr>
      <w:r>
        <w:rPr>
          <w:rFonts w:ascii="Times New Roman" w:cs="Times New Roman" w:eastAsia="Times New Roman" w:hAnsi="Times New Roman"/>
          <w:sz w:val="24"/>
          <w:szCs w:val="24"/>
        </w:rPr>
        <w:t xml:space="preserve">Case-control studies have been critical for evaluating formaldehyde associations with rare cancers, particularly sinonasal and nasopharyngeal tumours.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The Luce et al. pooled analysis of 12 European sinonasal cancer case-control studies integrated 1,385 cases and 2,074 controls with harmonised exposure assessment through expert-industrial-hygienist review of occupational histories.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 Similarly, the Vaughan et al. pooled analysis of four North American and European studies examined nasopharyngeal carcinoma in relation to formaldehyde with adjustment for Epstein-Barr virus infection status and other co-factors. </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 Pooled case-control analyses reduce random error and increase statistical power for detecting modest exposure-response relationships; they also allow more sophisticated adjustment for confounders and permit sub-type analyses that are underpowered in individual studies.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Limitations include recall bias in occupational history ascertainment (typically mitigated by expert-coder blinding to case-control status), selection bias in control group recruitment, and residual confounding by co-occupational exposures.</w:t>
      </w:r>
    </w:p>
    <w:p>
      <w:pPr>
        <w:spacing w:after="120" w:before="280"/>
        <w:jc w:val="left"/>
      </w:pPr>
      <w:r>
        <w:rPr>
          <w:rFonts w:ascii="Times New Roman" w:cs="Times New Roman" w:eastAsia="Times New Roman" w:hAnsi="Times New Roman"/>
          <w:b/>
          <w:bCs/>
          <w:sz w:val="24"/>
          <w:szCs w:val="24"/>
        </w:rPr>
        <w:t xml:space="preserve">Meta-Analytic Methods</w:t>
      </w:r>
    </w:p>
    <w:p>
      <w:pPr>
        <w:spacing w:after="120" w:before="60" w:line="300"/>
        <w:jc w:val="both"/>
      </w:pPr>
      <w:r>
        <w:rPr>
          <w:rFonts w:ascii="Times New Roman" w:cs="Times New Roman" w:eastAsia="Times New Roman" w:hAnsi="Times New Roman"/>
          <w:sz w:val="24"/>
          <w:szCs w:val="24"/>
        </w:rPr>
        <w:t xml:space="preserve">Meta-analytic pooling across formaldehyde studies has been performed for each major cancer endpoint and for several non-cancer outcomes including asthma, sensory irritation, and reproductive effects. </w:t>
      </w:r>
      <w:r>
        <w:rPr>
          <w:rFonts w:ascii="Times New Roman" w:cs="Times New Roman" w:eastAsia="Times New Roman" w:hAnsi="Times New Roman"/>
          <w:b/>
          <w:bCs/>
          <w:sz w:val="24"/>
          <w:szCs w:val="24"/>
          <w:vertAlign w:val="superscript"/>
        </w:rPr>
        <w:t xml:space="preserve">[16][47]</w:t>
      </w:r>
      <w:r>
        <w:rPr>
          <w:rFonts w:ascii="Times New Roman" w:cs="Times New Roman" w:eastAsia="Times New Roman" w:hAnsi="Times New Roman"/>
          <w:sz w:val="24"/>
          <w:szCs w:val="24"/>
        </w:rPr>
        <w:t xml:space="preserve"> Protano et al. (2022) systematic review and meta-analysis of 40 occupational cohort studies used random-effects modelling to account for between-study heterogeneity, with sensitivity analyses stratified by industry, follow-up duration, and exposure assessment quality.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Zhang et al. (2010) meta-analysis of leukaemia studies applied both fixed-effects and random-effects pooling, with heterogeneity quantified via Cochran's Q and I² statistics; publication bias was evaluated through funnel plot asymmetry and Egger's test. </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 The Schwilk et al. (2010) meta-analysis focused specifically on myeloid leukaemia and provided one of the earliest demonstrations of a consistent elevation across multiple cohorts. </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 Modern meta-analyses incorporate exposure dose-response information using generalised least squares for trend estimation, enabling pooled exposure-response curves across studies with different exposure categorisations.</w:t>
      </w:r>
    </w:p>
    <w:p>
      <w:pPr>
        <w:spacing w:after="120" w:before="280"/>
        <w:jc w:val="left"/>
      </w:pPr>
      <w:r>
        <w:rPr>
          <w:rFonts w:ascii="Times New Roman" w:cs="Times New Roman" w:eastAsia="Times New Roman" w:hAnsi="Times New Roman"/>
          <w:b/>
          <w:bCs/>
          <w:sz w:val="24"/>
          <w:szCs w:val="24"/>
        </w:rPr>
        <w:t xml:space="preserve">Molecular Epidemiology</w:t>
      </w:r>
    </w:p>
    <w:p>
      <w:pPr>
        <w:spacing w:after="120" w:before="60" w:line="300"/>
        <w:jc w:val="both"/>
      </w:pPr>
      <w:r>
        <w:rPr>
          <w:rFonts w:ascii="Times New Roman" w:cs="Times New Roman" w:eastAsia="Times New Roman" w:hAnsi="Times New Roman"/>
          <w:sz w:val="24"/>
          <w:szCs w:val="24"/>
        </w:rPr>
        <w:t xml:space="preserve">Molecular epidemiology bridges exposure assessment and mechanistic biology in human populations. </w:t>
      </w:r>
      <w:r>
        <w:rPr>
          <w:rFonts w:ascii="Times New Roman" w:cs="Times New Roman" w:eastAsia="Times New Roman" w:hAnsi="Times New Roman"/>
          <w:b/>
          <w:bCs/>
          <w:sz w:val="24"/>
          <w:szCs w:val="24"/>
          <w:vertAlign w:val="superscript"/>
        </w:rPr>
        <w:t xml:space="preserve">[13][21][24]</w:t>
      </w:r>
      <w:r>
        <w:rPr>
          <w:rFonts w:ascii="Times New Roman" w:cs="Times New Roman" w:eastAsia="Times New Roman" w:hAnsi="Times New Roman"/>
          <w:sz w:val="24"/>
          <w:szCs w:val="24"/>
        </w:rPr>
        <w:t xml:space="preserve"> The Zhang et al. (2010) cross-sectional study of Chinese formaldehyde-exposed workers used peripheral blood cultures to enumerate chromosomal aberrations (monosomy 7, trisomy 8) and colony-forming unit assays for haematopoietic progenitor cell counts.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Biomarker studies have examined DNA-protein cross-link frequency, micronucleus frequency in buccal and nasal epithelial cells, formaldehyde-N²-hydroxymethyl-deoxyguanosine DNA adducts, N-methylenevaline haemoglobin adducts, and expression of DNA repair and metabolism genes. </w:t>
      </w:r>
      <w:r>
        <w:rPr>
          <w:rFonts w:ascii="Times New Roman" w:cs="Times New Roman" w:eastAsia="Times New Roman" w:hAnsi="Times New Roman"/>
          <w:b/>
          <w:bCs/>
          <w:sz w:val="24"/>
          <w:szCs w:val="24"/>
          <w:vertAlign w:val="superscript"/>
        </w:rPr>
        <w:t xml:space="preserve">[23][24][35][52]</w:t>
      </w:r>
      <w:r>
        <w:rPr>
          <w:rFonts w:ascii="Times New Roman" w:cs="Times New Roman" w:eastAsia="Times New Roman" w:hAnsi="Times New Roman"/>
          <w:sz w:val="24"/>
          <w:szCs w:val="24"/>
        </w:rPr>
        <w:t xml:space="preserve"> Integrating biomarker data with exposure reconstruction and health outcome ascertainment provides stronger causal inference than any single data source alone and is likely to expand in future formaldehyde investigations using single-cell sequencing, epigenomic profiling, and adductomics approaches. </w:t>
      </w:r>
      <w:r>
        <w:rPr>
          <w:rFonts w:ascii="Times New Roman" w:cs="Times New Roman" w:eastAsia="Times New Roman" w:hAnsi="Times New Roman"/>
          <w:b/>
          <w:bCs/>
          <w:sz w:val="24"/>
          <w:szCs w:val="24"/>
          <w:vertAlign w:val="superscript"/>
        </w:rPr>
        <w:t xml:space="preserve">[21][24][52]</w:t>
      </w:r>
      <w:r>
        <w:rPr>
          <w:rFonts w:ascii="Times New Roman" w:cs="Times New Roman" w:eastAsia="Times New Roman" w:hAnsi="Times New Roman"/>
          <w:sz w:val="24"/>
          <w:szCs w:val="24"/>
        </w:rPr>
        <w:t xml:space="preserve"> The HELIX birth cohort and similar European multi-city prospective cohorts are positioned to provide unique longitudinal biomarker-outcome data linking early-life formaldehyde exposure to developmental and childhood health outcomes.</w:t>
      </w:r>
    </w:p>
    <w:p>
      <w:pPr>
        <w:spacing w:after="120" w:before="280"/>
        <w:jc w:val="left"/>
      </w:pPr>
      <w:r>
        <w:rPr>
          <w:rFonts w:ascii="Times New Roman" w:cs="Times New Roman" w:eastAsia="Times New Roman" w:hAnsi="Times New Roman"/>
          <w:b/>
          <w:bCs/>
          <w:sz w:val="24"/>
          <w:szCs w:val="24"/>
        </w:rPr>
        <w:t xml:space="preserve">Confounding Assessment and Adjustment</w:t>
      </w:r>
    </w:p>
    <w:p>
      <w:pPr>
        <w:spacing w:after="120" w:before="60" w:line="300"/>
        <w:jc w:val="both"/>
      </w:pPr>
      <w:r>
        <w:rPr>
          <w:rFonts w:ascii="Times New Roman" w:cs="Times New Roman" w:eastAsia="Times New Roman" w:hAnsi="Times New Roman"/>
          <w:sz w:val="24"/>
          <w:szCs w:val="24"/>
        </w:rPr>
        <w:t xml:space="preserve">Confounding control is critical in formaldehyde epidemiology because formaldehyde exposure co-occurs with numerous other workplace and environmental exposures. </w:t>
      </w:r>
      <w:r>
        <w:rPr>
          <w:rFonts w:ascii="Times New Roman" w:cs="Times New Roman" w:eastAsia="Times New Roman" w:hAnsi="Times New Roman"/>
          <w:b/>
          <w:bCs/>
          <w:sz w:val="24"/>
          <w:szCs w:val="24"/>
          <w:vertAlign w:val="superscript"/>
        </w:rPr>
        <w:t xml:space="preserve">[7][10][11][22][45]</w:t>
      </w:r>
      <w:r>
        <w:rPr>
          <w:rFonts w:ascii="Times New Roman" w:cs="Times New Roman" w:eastAsia="Times New Roman" w:hAnsi="Times New Roman"/>
          <w:sz w:val="24"/>
          <w:szCs w:val="24"/>
        </w:rPr>
        <w:t xml:space="preserve"> Major identified confounders and effect modifiers include: smoking status (strong confounder for respiratory cancers and leukaemia), alcohol consumption (modifier of aldehyde toxicokinetics), wood dust (sinonasal cancer co-cause), Epstein-Barr virus infection (NPC co-factor), other occupational solvents and resins, dietary nutrients (folate, B-vitamins as one-carbon cycle substrates), and socio-economic status. </w:t>
      </w:r>
      <w:r>
        <w:rPr>
          <w:rFonts w:ascii="Times New Roman" w:cs="Times New Roman" w:eastAsia="Times New Roman" w:hAnsi="Times New Roman"/>
          <w:b/>
          <w:bCs/>
          <w:sz w:val="24"/>
          <w:szCs w:val="24"/>
          <w:vertAlign w:val="superscript"/>
        </w:rPr>
        <w:t xml:space="preserve">[7][22][45]</w:t>
      </w:r>
      <w:r>
        <w:rPr>
          <w:rFonts w:ascii="Times New Roman" w:cs="Times New Roman" w:eastAsia="Times New Roman" w:hAnsi="Times New Roman"/>
          <w:sz w:val="24"/>
          <w:szCs w:val="24"/>
        </w:rPr>
        <w:t xml:space="preserve"> Adjustment methods include direct stratification, multivariable regression, propensity score approaches, instrumental variable analysis, and negative control exposures.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consistency of formaldehyde associations across studies with different confounder adjustment strategies strengthens causal inference; sensitivity analyses through E-value computation and quantitative bias analysis characterise the strength of unmeasured confounding that would be required to explain observed associations. </w:t>
      </w:r>
      <w:r>
        <w:rPr>
          <w:rFonts w:ascii="Times New Roman" w:cs="Times New Roman" w:eastAsia="Times New Roman" w:hAnsi="Times New Roman"/>
          <w:b/>
          <w:bCs/>
          <w:sz w:val="24"/>
          <w:szCs w:val="24"/>
          <w:vertAlign w:val="superscript"/>
        </w:rPr>
        <w:t xml:space="preserve">[10][11][47]</w:t>
      </w:r>
      <w:r>
        <w:rPr>
          <w:rFonts w:ascii="Times New Roman" w:cs="Times New Roman" w:eastAsia="Times New Roman" w:hAnsi="Times New Roman"/>
          <w:sz w:val="24"/>
          <w:szCs w:val="24"/>
        </w:rPr>
        <w:t xml:space="preserve"> These methodological developments over the past decade have substantially strengthened the interpretability of the formaldehyde epidemiological signal.</w:t>
      </w:r>
    </w:p>
    <w:p>
      <w:pPr>
        <w:spacing w:after="120" w:before="280"/>
        <w:jc w:val="left"/>
      </w:pPr>
      <w:r>
        <w:rPr>
          <w:rFonts w:ascii="Times New Roman" w:cs="Times New Roman" w:eastAsia="Times New Roman" w:hAnsi="Times New Roman"/>
          <w:b/>
          <w:bCs/>
          <w:sz w:val="24"/>
          <w:szCs w:val="24"/>
        </w:rPr>
        <w:t xml:space="preserve">Exposure-Response Analysis</w:t>
      </w:r>
    </w:p>
    <w:p>
      <w:pPr>
        <w:spacing w:after="120" w:before="60" w:line="300"/>
        <w:jc w:val="both"/>
      </w:pPr>
      <w:r>
        <w:rPr>
          <w:rFonts w:ascii="Times New Roman" w:cs="Times New Roman" w:eastAsia="Times New Roman" w:hAnsi="Times New Roman"/>
          <w:sz w:val="24"/>
          <w:szCs w:val="24"/>
        </w:rPr>
        <w:t xml:space="preserve">Quantitative exposure-response analysis in formaldehyde cohorts evaluates both the shape of the dose-response relationship and the most biologically appropriate dose metric. </w:t>
      </w:r>
      <w:r>
        <w:rPr>
          <w:rFonts w:ascii="Times New Roman" w:cs="Times New Roman" w:eastAsia="Times New Roman" w:hAnsi="Times New Roman"/>
          <w:b/>
          <w:bCs/>
          <w:sz w:val="24"/>
          <w:szCs w:val="24"/>
          <w:vertAlign w:val="superscript"/>
        </w:rPr>
        <w:t xml:space="preserve">[10][11][22]</w:t>
      </w:r>
      <w:r>
        <w:rPr>
          <w:rFonts w:ascii="Times New Roman" w:cs="Times New Roman" w:eastAsia="Times New Roman" w:hAnsi="Times New Roman"/>
          <w:sz w:val="24"/>
          <w:szCs w:val="24"/>
        </w:rPr>
        <w:t xml:space="preserve"> Cumulative exposure (ppm-years) captures the time-integrated dose and is the conventional metric for carcinogenicity; peak exposure (highest short-term concentration experienced) may be more relevant for non-linear mechanisms involving irritation, inflammation, or saturable detoxification. </w:t>
      </w:r>
      <w:r>
        <w:rPr>
          <w:rFonts w:ascii="Times New Roman" w:cs="Times New Roman" w:eastAsia="Times New Roman" w:hAnsi="Times New Roman"/>
          <w:b/>
          <w:bCs/>
          <w:sz w:val="24"/>
          <w:szCs w:val="24"/>
          <w:vertAlign w:val="superscript"/>
        </w:rPr>
        <w:t xml:space="preserve">[10][11][22]</w:t>
      </w:r>
      <w:r>
        <w:rPr>
          <w:rFonts w:ascii="Times New Roman" w:cs="Times New Roman" w:eastAsia="Times New Roman" w:hAnsi="Times New Roman"/>
          <w:sz w:val="24"/>
          <w:szCs w:val="24"/>
        </w:rPr>
        <w:t xml:space="preserve"> Average exposure intensity (TWA concentration) provides a middle-ground metric; exposure duration alone is rarely informative for formaldehyde because effects scale with concentration more strongly than with time.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NCI cohort exposure-response analyses by Hauptmann and colleagues explored several dose metrics and model shapes (linear, log-linear, power, spline-based) and reported that peak exposure best captured the relationship with nasopharyngeal carcinoma whereas cumulative exposure best captured the myeloid leukaemia association.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Latency adjustment (typically 10-year lag for cancer endpoints) further refines the attribution of risk to biologically relevant exposure windows.</w:t>
      </w:r>
    </w:p>
    <w:p>
      <w:pPr>
        <w:spacing w:after="120" w:before="280"/>
        <w:jc w:val="left"/>
      </w:pPr>
      <w:r>
        <w:rPr>
          <w:rFonts w:ascii="Times New Roman" w:cs="Times New Roman" w:eastAsia="Times New Roman" w:hAnsi="Times New Roman"/>
          <w:b/>
          <w:bCs/>
          <w:sz w:val="24"/>
          <w:szCs w:val="24"/>
        </w:rPr>
        <w:t xml:space="preserve">Sources of Heterogeneity Across Studies</w:t>
      </w:r>
    </w:p>
    <w:p>
      <w:pPr>
        <w:spacing w:after="120" w:before="60" w:line="300"/>
        <w:jc w:val="both"/>
      </w:pPr>
      <w:r>
        <w:rPr>
          <w:rFonts w:ascii="Times New Roman" w:cs="Times New Roman" w:eastAsia="Times New Roman" w:hAnsi="Times New Roman"/>
          <w:sz w:val="24"/>
          <w:szCs w:val="24"/>
        </w:rPr>
        <w:t xml:space="preserve">Observed heterogeneity in formaldehyde epidemiology across studies reflects genuine differences in populations, exposures, and study design rather than methodological flaws. </w:t>
      </w:r>
      <w:r>
        <w:rPr>
          <w:rFonts w:ascii="Times New Roman" w:cs="Times New Roman" w:eastAsia="Times New Roman" w:hAnsi="Times New Roman"/>
          <w:b/>
          <w:bCs/>
          <w:sz w:val="24"/>
          <w:szCs w:val="24"/>
          <w:vertAlign w:val="superscript"/>
        </w:rPr>
        <w:t xml:space="preserve">[10][11][12][14][47]</w:t>
      </w:r>
      <w:r>
        <w:rPr>
          <w:rFonts w:ascii="Times New Roman" w:cs="Times New Roman" w:eastAsia="Times New Roman" w:hAnsi="Times New Roman"/>
          <w:sz w:val="24"/>
          <w:szCs w:val="24"/>
        </w:rPr>
        <w:t xml:space="preserve"> The NCI industrial cohort represents chemical manufacturing and resin production with higher peak exposures; the NIOSH embalmers represent healthcare and funeral services with frequent task-related peaks; the garment workers represent textile-adhesive finishing with moderate chronic exposures; British, European, and Asian cohorts provide additional geographic and industry diversity.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Differences in referent populations, smoking rates, background cancer incidence, access to healthcare, and competing causes of death across these cohorts all contribute to between-study variability.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Meta-analytic approaches that appropriately weight studies and characterise heterogeneity sources provide a more reliable synthesis than any individual study, and the consistency of the core nasopharyngeal carcinoma and myeloid leukaemia signals across this heterogeneous evidence base substantially strengthens the causal inference.</w:t>
      </w:r>
    </w:p>
    <w:p>
      <w:pPr>
        <w:spacing w:after="120" w:before="280"/>
        <w:jc w:val="left"/>
      </w:pPr>
      <w:r>
        <w:rPr>
          <w:rFonts w:ascii="Times New Roman" w:cs="Times New Roman" w:eastAsia="Times New Roman" w:hAnsi="Times New Roman"/>
          <w:b/>
          <w:bCs/>
          <w:sz w:val="24"/>
          <w:szCs w:val="24"/>
        </w:rPr>
        <w:t xml:space="preserve">Future Directions in Formaldehyde Epidemiology</w:t>
      </w:r>
    </w:p>
    <w:p>
      <w:pPr>
        <w:spacing w:after="120" w:before="60" w:line="300"/>
        <w:jc w:val="both"/>
      </w:pPr>
      <w:r>
        <w:rPr>
          <w:rFonts w:ascii="Times New Roman" w:cs="Times New Roman" w:eastAsia="Times New Roman" w:hAnsi="Times New Roman"/>
          <w:sz w:val="24"/>
          <w:szCs w:val="24"/>
        </w:rPr>
        <w:t xml:space="preserve">Future formaldehyde epidemiology will likely prioritise several complementary directions. </w:t>
      </w:r>
      <w:r>
        <w:rPr>
          <w:rFonts w:ascii="Times New Roman" w:cs="Times New Roman" w:eastAsia="Times New Roman" w:hAnsi="Times New Roman"/>
          <w:b/>
          <w:bCs/>
          <w:sz w:val="24"/>
          <w:szCs w:val="24"/>
          <w:vertAlign w:val="superscript"/>
        </w:rPr>
        <w:t xml:space="preserve">[16][24][47]</w:t>
      </w:r>
      <w:r>
        <w:rPr>
          <w:rFonts w:ascii="Times New Roman" w:cs="Times New Roman" w:eastAsia="Times New Roman" w:hAnsi="Times New Roman"/>
          <w:sz w:val="24"/>
          <w:szCs w:val="24"/>
        </w:rPr>
        <w:t xml:space="preserve"> Extended follow-up of existing cohorts with mortality and cancer incidence linkage beyond 2020 will characterise long-latency effects and provide additional power for rare endpoints.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Newly assembled international cohorts in Asia, Latin America, and the Middle East will contribute to generalisability and to understanding effect modification by genetic and environmental factors.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Molecular epidemiology integrating adductomics, epigenomic profiling, and single-cell immune repertoire analysis will refine exposure-effect linkages at the biological level. </w:t>
      </w:r>
      <w:r>
        <w:rPr>
          <w:rFonts w:ascii="Times New Roman" w:cs="Times New Roman" w:eastAsia="Times New Roman" w:hAnsi="Times New Roman"/>
          <w:b/>
          <w:bCs/>
          <w:sz w:val="24"/>
          <w:szCs w:val="24"/>
          <w:vertAlign w:val="superscript"/>
        </w:rPr>
        <w:t xml:space="preserve">[24]</w:t>
      </w:r>
      <w:r>
        <w:rPr>
          <w:rFonts w:ascii="Times New Roman" w:cs="Times New Roman" w:eastAsia="Times New Roman" w:hAnsi="Times New Roman"/>
          <w:sz w:val="24"/>
          <w:szCs w:val="24"/>
        </w:rPr>
        <w:t xml:space="preserve"> Environmental and community epidemiology using satellite-derived formaldehyde exposure estimates combined with spatially resolved cancer registries will address non-occupational exposures.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Finally, application of causal inference methods (G-computation, targeted maximum likelihood estimation, negative control outcomes) will strengthen causal interpretation in settings with complex confounding structures.</w:t>
      </w:r>
    </w:p>
    <w:p>
      <w:r>
        <w:br w:type="page"/>
      </w:r>
    </w:p>
    <w:p>
      <w:pPr>
        <w:spacing w:after="120" w:before="280"/>
        <w:jc w:val="left"/>
      </w:pPr>
      <w:r>
        <w:rPr>
          <w:rFonts w:ascii="Times New Roman" w:cs="Times New Roman" w:eastAsia="Times New Roman" w:hAnsi="Times New Roman"/>
          <w:b/>
          <w:bCs/>
          <w:sz w:val="24"/>
          <w:szCs w:val="24"/>
        </w:rPr>
        <w:t xml:space="preserve">Mode of Action and Adverse Outcome Pathway</w:t>
      </w:r>
    </w:p>
    <w:p>
      <w:pPr>
        <w:spacing w:after="120" w:before="60" w:line="300"/>
        <w:jc w:val="both"/>
      </w:pPr>
      <w:r>
        <w:rPr>
          <w:rFonts w:ascii="Times New Roman" w:cs="Times New Roman" w:eastAsia="Times New Roman" w:hAnsi="Times New Roman"/>
          <w:sz w:val="24"/>
          <w:szCs w:val="24"/>
        </w:rPr>
        <w:t xml:space="preserve">Formaldehyde's toxicity is integrated across a tightly linked set of molecular initiating events and downstream cellular responses that culminate in both genotoxic and cytotoxic outcomes. The dominant molecular initiating event is electrophilic attack of the aldehyde carbon on nucleophilic centres in biomolecules — principally the exocyclic amines of adenine, guanine, and cytosine, and the ε-amino group of lysine residues and the thiol groups of cysteine residues in adjacent proteins. </w:t>
      </w:r>
      <w:r>
        <w:rPr>
          <w:rFonts w:ascii="Times New Roman" w:cs="Times New Roman" w:eastAsia="Times New Roman" w:hAnsi="Times New Roman"/>
          <w:b/>
          <w:bCs/>
          <w:sz w:val="24"/>
          <w:szCs w:val="24"/>
          <w:vertAlign w:val="superscript"/>
        </w:rPr>
        <w:t xml:space="preserve">[17][23][58]</w:t>
      </w:r>
      <w:r>
        <w:rPr>
          <w:rFonts w:ascii="Times New Roman" w:cs="Times New Roman" w:eastAsia="Times New Roman" w:hAnsi="Times New Roman"/>
          <w:sz w:val="24"/>
          <w:szCs w:val="24"/>
        </w:rPr>
        <w:t xml:space="preserve"> These electrophilic additions generate reversible N⁶-hydroxymethyl adducts on adenine and N²- and N⁴-hydroxymethyl adducts on guanine and cytosine respectively; in proximity to a protein residue bearing an accessible nucleophile, the adduct can collapse into a DNA-protein crosslink (DPC) through loss of water and rearrangement. </w:t>
      </w:r>
      <w:r>
        <w:rPr>
          <w:rFonts w:ascii="Times New Roman" w:cs="Times New Roman" w:eastAsia="Times New Roman" w:hAnsi="Times New Roman"/>
          <w:b/>
          <w:bCs/>
          <w:sz w:val="24"/>
          <w:szCs w:val="24"/>
          <w:vertAlign w:val="superscript"/>
        </w:rPr>
        <w:t xml:space="preserve">[17][18][43]</w:t>
      </w:r>
      <w:r>
        <w:rPr>
          <w:rFonts w:ascii="Times New Roman" w:cs="Times New Roman" w:eastAsia="Times New Roman" w:hAnsi="Times New Roman"/>
          <w:sz w:val="24"/>
          <w:szCs w:val="24"/>
        </w:rPr>
        <w:t xml:space="preserve"> DPCs are the hallmark lesion of formaldehyde exposure and are the most consequential cytotoxic adduct because they block replication fork progression and are substrates for specialised repair pathways that, when compromised, allow mutagenic bypass by translesion-synthesis polymerases.</w:t>
      </w:r>
      <w:r>
        <w:rPr>
          <w:rFonts w:ascii="Times New Roman" w:cs="Times New Roman" w:eastAsia="Times New Roman" w:hAnsi="Times New Roman"/>
          <w:b/>
          <w:bCs/>
          <w:sz w:val="24"/>
          <w:szCs w:val="24"/>
          <w:vertAlign w:val="superscript"/>
        </w:rPr>
        <w:t xml:space="preserve">[24][56]</w:t>
      </w:r>
    </w:p>
    <w:p>
      <w:pPr>
        <w:spacing w:after="120" w:before="280"/>
        <w:jc w:val="left"/>
      </w:pPr>
      <w:r>
        <w:rPr>
          <w:rFonts w:ascii="Times New Roman" w:cs="Times New Roman" w:eastAsia="Times New Roman" w:hAnsi="Times New Roman"/>
          <w:b/>
          <w:bCs/>
          <w:sz w:val="24"/>
          <w:szCs w:val="24"/>
        </w:rPr>
        <w:t xml:space="preserve">Figure 5 — Formaldehyde Metabolism and Detoxification Pathway</w:t>
      </w:r>
    </w:p>
    <w:p>
      <w:pPr>
        <w:spacing w:after="80" w:before="120"/>
        <w:jc w:val="center"/>
      </w:pPr>
      <w:r>
        <w:drawing>
          <wp:inline distT="0" distB="0" distL="0" distR="0">
            <wp:extent cx="5143500" cy="3810000"/>
            <wp:effectExtent t="0" r="0" b="0" l="0"/>
            <wp:docPr id="1" name="fig5_metabolism.png" descr="fig5_metabolism.png" title="fig5_metabol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810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5. Principal metabolic and repair pathways for endogenous and exogenous formaldehyde: GSH-dependent detoxification by ADH5/FDH yielding S-formylglutathione, hydrolysis to formate by ESD, one-carbon entry into the folate cycle via formate, and parallel DNA-protein crosslink repair by the FANC/RAD51/POLQ/MCM8-9 machinery.</w:t>
      </w:r>
    </w:p>
    <w:p>
      <w:pPr>
        <w:spacing w:after="80" w:before="120"/>
        <w:jc w:val="center"/>
      </w:pPr>
      <w:r>
        <w:drawing>
          <wp:inline distT="0" distB="0" distL="0" distR="0">
            <wp:extent cx="5143500" cy="2095500"/>
            <wp:effectExtent t="0" r="0" b="0" l="0"/>
            <wp:docPr id="1" name="fig23_dna_adducts.png" descr="fig23_dna_adducts.png" title="fig23_dna_ad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095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M1. Major formaldehyde-derived DNA adducts: N2-hydroxymethyl-dG (endogenous + exogenous), N6-hydroxymethyl-dA (exposure-sensitive), DNA-protein crosslinks and glutathione-conjugated adducts. Exogenous fraction is distinguishable by 13C/15N stable-isotope tracing.</w:t>
      </w:r>
    </w:p>
    <w:p>
      <w:pPr>
        <w:spacing w:after="80" w:before="120"/>
        <w:jc w:val="center"/>
      </w:pPr>
      <w:r>
        <w:drawing>
          <wp:inline distT="0" distB="0" distL="0" distR="0">
            <wp:extent cx="5143500" cy="2286000"/>
            <wp:effectExtent t="0" r="0" b="0" l="0"/>
            <wp:docPr id="1" name="fig14_aop.png" descr="fig14_aop.png" title="fig14_a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286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M2. Adverse Outcome Pathway for inhaled formaldehyde. MIE (formaldehyde-DNA/protein adducts) -&gt; KE1 (DPC &amp; DNA damage) -&gt; KE2 (cytotoxicity + regenerative proliferation) -&gt; KE3 (clonal expansion, mutation) -&gt; AO (NPC / sinonasal cancer / AML).</w:t>
      </w:r>
    </w:p>
    <w:p>
      <w:pPr>
        <w:spacing w:after="120" w:before="60" w:line="300"/>
        <w:jc w:val="both"/>
      </w:pPr>
      <w:r>
        <w:rPr>
          <w:rFonts w:ascii="Times New Roman" w:cs="Times New Roman" w:eastAsia="Times New Roman" w:hAnsi="Times New Roman"/>
          <w:sz w:val="24"/>
          <w:szCs w:val="24"/>
        </w:rPr>
        <w:t xml:space="preserve">Endogenous defence against formaldehyde is anchored on glutathione (GSH)-dependent oxidation catalysed by alcohol dehydrogenase 5 (ADH5, also known as formaldehyde dehydrogenase, FDH; gene symbol ADH5). Formaldehyde reacts non-enzymatically with GSH to produce S-hydroxymethylglutathione, which is oxidised by ADH5 to S-formylglutathione; hydrolysis by esterase D (ESD) yields formate and recycled GSH. </w:t>
      </w:r>
      <w:r>
        <w:rPr>
          <w:rFonts w:ascii="Times New Roman" w:cs="Times New Roman" w:eastAsia="Times New Roman" w:hAnsi="Times New Roman"/>
          <w:b/>
          <w:bCs/>
          <w:sz w:val="24"/>
          <w:szCs w:val="24"/>
          <w:vertAlign w:val="superscript"/>
        </w:rPr>
        <w:t xml:space="preserve">[21][24][50]</w:t>
      </w:r>
      <w:r>
        <w:rPr>
          <w:rFonts w:ascii="Times New Roman" w:cs="Times New Roman" w:eastAsia="Times New Roman" w:hAnsi="Times New Roman"/>
          <w:sz w:val="24"/>
          <w:szCs w:val="24"/>
        </w:rPr>
        <w:t xml:space="preserve"> Formate is further oxidised to carbon dioxide through the folate-mediated one-carbon pool, with ~80 % of labelled formate-derived carbon appearing as exhaled CO₂ within hours of a pulse dose. </w:t>
      </w:r>
      <w:r>
        <w:rPr>
          <w:rFonts w:ascii="Times New Roman" w:cs="Times New Roman" w:eastAsia="Times New Roman" w:hAnsi="Times New Roman"/>
          <w:b/>
          <w:bCs/>
          <w:sz w:val="24"/>
          <w:szCs w:val="24"/>
          <w:vertAlign w:val="superscript"/>
        </w:rPr>
        <w:t xml:space="preserve">[64]</w:t>
      </w:r>
      <w:r>
        <w:rPr>
          <w:rFonts w:ascii="Times New Roman" w:cs="Times New Roman" w:eastAsia="Times New Roman" w:hAnsi="Times New Roman"/>
          <w:sz w:val="24"/>
          <w:szCs w:val="24"/>
        </w:rPr>
        <w:t xml:space="preserve"> Catalase, aldehyde dehydrogenase 2 (ALDH2), and the cytochrome P450 2E1 system provide secondary oxidative capacity, though quantitative flux through these minor pathways is low at ambient exposure levels.</w:t>
      </w:r>
      <w:r>
        <w:rPr>
          <w:rFonts w:ascii="Times New Roman" w:cs="Times New Roman" w:eastAsia="Times New Roman" w:hAnsi="Times New Roman"/>
          <w:b/>
          <w:bCs/>
          <w:sz w:val="24"/>
          <w:szCs w:val="24"/>
          <w:vertAlign w:val="superscript"/>
        </w:rPr>
        <w:t xml:space="preserve">[50][65]</w:t>
      </w:r>
    </w:p>
    <w:p>
      <w:pPr>
        <w:spacing w:after="120" w:before="60" w:line="300"/>
        <w:jc w:val="both"/>
      </w:pPr>
      <w:r>
        <w:rPr>
          <w:rFonts w:ascii="Times New Roman" w:cs="Times New Roman" w:eastAsia="Times New Roman" w:hAnsi="Times New Roman"/>
          <w:sz w:val="24"/>
          <w:szCs w:val="24"/>
        </w:rPr>
        <w:t xml:space="preserve">The ADH5 knockout mouse, when crossed with Aldh2-null mice, develops a Fanconi-anaemia-like haematopoietic failure syndrome: bone marrow failure, accelerated leukaemogenesis, and depletion of haematopoietic stem cells.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This in vivo phenotype provides direct mechanistic linkage from elevated endogenous or exogenous formaldehyde burden to bone marrow dysfunction and leukaemia risk. </w:t>
      </w:r>
      <w:r>
        <w:rPr>
          <w:rFonts w:ascii="Times New Roman" w:cs="Times New Roman" w:eastAsia="Times New Roman" w:hAnsi="Times New Roman"/>
          <w:b/>
          <w:bCs/>
          <w:sz w:val="24"/>
          <w:szCs w:val="24"/>
          <w:vertAlign w:val="superscript"/>
        </w:rPr>
        <w:t xml:space="preserve">[24][56]</w:t>
      </w:r>
      <w:r>
        <w:rPr>
          <w:rFonts w:ascii="Times New Roman" w:cs="Times New Roman" w:eastAsia="Times New Roman" w:hAnsi="Times New Roman"/>
          <w:sz w:val="24"/>
          <w:szCs w:val="24"/>
        </w:rPr>
        <w:t xml:space="preserve"> Population genetics of ALDH2 polymorphisms (notably the rs671 loss-of-function variant prevalent in East Asian populations) correlate with elevated risk of aerodigestive cancers and provide mechanistic support for the carcinogenicity of endogenously generated aldehydes.</w:t>
      </w:r>
      <w:r>
        <w:rPr>
          <w:rFonts w:ascii="Times New Roman" w:cs="Times New Roman" w:eastAsia="Times New Roman" w:hAnsi="Times New Roman"/>
          <w:b/>
          <w:bCs/>
          <w:sz w:val="24"/>
          <w:szCs w:val="24"/>
          <w:vertAlign w:val="superscript"/>
        </w:rPr>
        <w:t xml:space="preserve">[21][66]</w:t>
      </w:r>
    </w:p>
    <w:p>
      <w:pPr>
        <w:spacing w:after="120" w:before="280"/>
        <w:jc w:val="left"/>
      </w:pPr>
      <w:r>
        <w:rPr>
          <w:rFonts w:ascii="Times New Roman" w:cs="Times New Roman" w:eastAsia="Times New Roman" w:hAnsi="Times New Roman"/>
          <w:b/>
          <w:bCs/>
          <w:sz w:val="24"/>
          <w:szCs w:val="24"/>
        </w:rPr>
        <w:t xml:space="preserve">DNA Damage and Repair</w:t>
      </w:r>
    </w:p>
    <w:p>
      <w:pPr>
        <w:spacing w:after="120" w:before="60" w:line="300"/>
        <w:jc w:val="both"/>
      </w:pPr>
      <w:r>
        <w:rPr>
          <w:rFonts w:ascii="Times New Roman" w:cs="Times New Roman" w:eastAsia="Times New Roman" w:hAnsi="Times New Roman"/>
          <w:sz w:val="24"/>
          <w:szCs w:val="24"/>
        </w:rPr>
        <w:t xml:space="preserve">When DPCs escape resolution by the direct nucleolytic action of SPRTN protease and metalloproteases, they become substrates for nucleotide-excision repair (NER) at small covalent bulky adducts, or for homologous-recombination (HR) repair when the lesion encounters a replication fork. </w:t>
      </w:r>
      <w:r>
        <w:rPr>
          <w:rFonts w:ascii="Times New Roman" w:cs="Times New Roman" w:eastAsia="Times New Roman" w:hAnsi="Times New Roman"/>
          <w:b/>
          <w:bCs/>
          <w:sz w:val="24"/>
          <w:szCs w:val="24"/>
          <w:vertAlign w:val="superscript"/>
        </w:rPr>
        <w:t xml:space="preserve">[24][43][56]</w:t>
      </w:r>
      <w:r>
        <w:rPr>
          <w:rFonts w:ascii="Times New Roman" w:cs="Times New Roman" w:eastAsia="Times New Roman" w:hAnsi="Times New Roman"/>
          <w:sz w:val="24"/>
          <w:szCs w:val="24"/>
        </w:rPr>
        <w:t xml:space="preserve"> Loss of function in the Fanconi anaemia (FANC) pathway, in the translesion-synthesis polymerase REV1/POLQ axis, or in the RAD51 recombinase renders cells hypersensitive to formaldehyde: Fanconi anaemia patient-derived fibroblasts exhibit 3- to 5-fold greater DPC burden per unit dose and reduced capacity for replication-coupled DPC resolution. </w:t>
      </w:r>
      <w:r>
        <w:rPr>
          <w:rFonts w:ascii="Times New Roman" w:cs="Times New Roman" w:eastAsia="Times New Roman" w:hAnsi="Times New Roman"/>
          <w:b/>
          <w:bCs/>
          <w:sz w:val="24"/>
          <w:szCs w:val="24"/>
          <w:vertAlign w:val="superscript"/>
        </w:rPr>
        <w:t xml:space="preserve">[24][43][56]</w:t>
      </w:r>
      <w:r>
        <w:rPr>
          <w:rFonts w:ascii="Times New Roman" w:cs="Times New Roman" w:eastAsia="Times New Roman" w:hAnsi="Times New Roman"/>
          <w:sz w:val="24"/>
          <w:szCs w:val="24"/>
        </w:rPr>
        <w:t xml:space="preserve"> Yeast and mammalian cell lines with MCM8 or MCM9 deficiencies similarly accumulate DPCs and chromosomal aberrations at formaldehyde concentrations 10-fold below those affecting wild-type controls.</w:t>
      </w:r>
      <w:r>
        <w:rPr>
          <w:rFonts w:ascii="Times New Roman" w:cs="Times New Roman" w:eastAsia="Times New Roman" w:hAnsi="Times New Roman"/>
          <w:b/>
          <w:bCs/>
          <w:sz w:val="24"/>
          <w:szCs w:val="24"/>
          <w:vertAlign w:val="superscript"/>
        </w:rPr>
        <w:t xml:space="preserve">[43]</w:t>
      </w:r>
    </w:p>
    <w:p>
      <w:pPr>
        <w:spacing w:after="120" w:before="60" w:line="300"/>
        <w:jc w:val="both"/>
      </w:pPr>
      <w:r>
        <w:rPr>
          <w:rFonts w:ascii="Times New Roman" w:cs="Times New Roman" w:eastAsia="Times New Roman" w:hAnsi="Times New Roman"/>
          <w:sz w:val="24"/>
          <w:szCs w:val="24"/>
        </w:rPr>
        <w:t xml:space="preserve">Cellular responses to sustained DPC burden include activation of the ATR/CHK1 replication-stress signalling axis, induction of the p53-mediated G1/S checkpoint, and eventually apoptosis or senescence. </w:t>
      </w:r>
      <w:r>
        <w:rPr>
          <w:rFonts w:ascii="Times New Roman" w:cs="Times New Roman" w:eastAsia="Times New Roman" w:hAnsi="Times New Roman"/>
          <w:b/>
          <w:bCs/>
          <w:sz w:val="24"/>
          <w:szCs w:val="24"/>
          <w:vertAlign w:val="superscript"/>
        </w:rPr>
        <w:t xml:space="preserve">[24][50]</w:t>
      </w:r>
      <w:r>
        <w:rPr>
          <w:rFonts w:ascii="Times New Roman" w:cs="Times New Roman" w:eastAsia="Times New Roman" w:hAnsi="Times New Roman"/>
          <w:sz w:val="24"/>
          <w:szCs w:val="24"/>
        </w:rPr>
        <w:t xml:space="preserve"> Cells that survive persistent DPC exposure accumulate point mutations, chromosomal translocations, and mitotic catastrophe — the molecular substrate for neoplastic transformation. </w:t>
      </w:r>
      <w:r>
        <w:rPr>
          <w:rFonts w:ascii="Times New Roman" w:cs="Times New Roman" w:eastAsia="Times New Roman" w:hAnsi="Times New Roman"/>
          <w:b/>
          <w:bCs/>
          <w:sz w:val="24"/>
          <w:szCs w:val="24"/>
          <w:vertAlign w:val="superscript"/>
        </w:rPr>
        <w:t xml:space="preserve">[20][23]</w:t>
      </w:r>
      <w:r>
        <w:rPr>
          <w:rFonts w:ascii="Times New Roman" w:cs="Times New Roman" w:eastAsia="Times New Roman" w:hAnsi="Times New Roman"/>
          <w:sz w:val="24"/>
          <w:szCs w:val="24"/>
        </w:rPr>
        <w:t xml:space="preserve"> Transgenerational effects observed in heritable micronucleus assays and in embryonic haematopoietic progenitor populations of Adh5/Aldh2 double-knockout mice underscore the stem cell relevance of these repair deficits.</w:t>
      </w:r>
      <w:r>
        <w:rPr>
          <w:rFonts w:ascii="Times New Roman" w:cs="Times New Roman" w:eastAsia="Times New Roman" w:hAnsi="Times New Roman"/>
          <w:b/>
          <w:bCs/>
          <w:sz w:val="24"/>
          <w:szCs w:val="24"/>
          <w:vertAlign w:val="superscript"/>
        </w:rPr>
        <w:t xml:space="preserve">[21]</w:t>
      </w:r>
    </w:p>
    <w:p>
      <w:pPr>
        <w:spacing w:after="120" w:before="280"/>
        <w:jc w:val="left"/>
      </w:pPr>
      <w:r>
        <w:rPr>
          <w:rFonts w:ascii="Times New Roman" w:cs="Times New Roman" w:eastAsia="Times New Roman" w:hAnsi="Times New Roman"/>
          <w:b/>
          <w:bCs/>
          <w:sz w:val="24"/>
          <w:szCs w:val="24"/>
        </w:rPr>
        <w:t xml:space="preserve">Oxidative Stress and Inflammation</w:t>
      </w:r>
    </w:p>
    <w:p>
      <w:pPr>
        <w:spacing w:after="120" w:before="60" w:line="300"/>
        <w:jc w:val="both"/>
      </w:pPr>
      <w:r>
        <w:rPr>
          <w:rFonts w:ascii="Times New Roman" w:cs="Times New Roman" w:eastAsia="Times New Roman" w:hAnsi="Times New Roman"/>
          <w:sz w:val="24"/>
          <w:szCs w:val="24"/>
        </w:rPr>
        <w:t xml:space="preserve">Secondary mechanisms accompany the primary electrophilic attack. Glutathione depletion by persistent formaldehyde exposure shifts the cellular redox balance toward an oxidative state, with elevated hydrogen peroxide, superoxide, and lipid peroxidation markers. </w:t>
      </w:r>
      <w:r>
        <w:rPr>
          <w:rFonts w:ascii="Times New Roman" w:cs="Times New Roman" w:eastAsia="Times New Roman" w:hAnsi="Times New Roman"/>
          <w:b/>
          <w:bCs/>
          <w:sz w:val="24"/>
          <w:szCs w:val="24"/>
          <w:vertAlign w:val="superscript"/>
        </w:rPr>
        <w:t xml:space="preserve">[50][61]</w:t>
      </w:r>
      <w:r>
        <w:rPr>
          <w:rFonts w:ascii="Times New Roman" w:cs="Times New Roman" w:eastAsia="Times New Roman" w:hAnsi="Times New Roman"/>
          <w:sz w:val="24"/>
          <w:szCs w:val="24"/>
        </w:rPr>
        <w:t xml:space="preserve"> Mitochondrial dysfunction manifests as decreased cytochrome c oxidase and ATP synthase activity and is documented in rat nasal epithelial cultures exposed to 1–10 ppm formaldehyde for 6 h. </w:t>
      </w:r>
      <w:r>
        <w:rPr>
          <w:rFonts w:ascii="Times New Roman" w:cs="Times New Roman" w:eastAsia="Times New Roman" w:hAnsi="Times New Roman"/>
          <w:b/>
          <w:bCs/>
          <w:sz w:val="24"/>
          <w:szCs w:val="24"/>
          <w:vertAlign w:val="superscript"/>
        </w:rPr>
        <w:t xml:space="preserve">[50][67]</w:t>
      </w:r>
      <w:r>
        <w:rPr>
          <w:rFonts w:ascii="Times New Roman" w:cs="Times New Roman" w:eastAsia="Times New Roman" w:hAnsi="Times New Roman"/>
          <w:sz w:val="24"/>
          <w:szCs w:val="24"/>
        </w:rPr>
        <w:t xml:space="preserve"> Activation of NF-κB and AP-1 transcription-factor networks drives cytokine release (IL-6, IL-8, TNF-α) and chemokine-mediated recruitment of neutrophils and macrophages, producing the chronic inflammatory infiltrate documented in nasal mucosa biopsies from long-term exposed workers. </w:t>
      </w:r>
      <w:r>
        <w:rPr>
          <w:rFonts w:ascii="Times New Roman" w:cs="Times New Roman" w:eastAsia="Times New Roman" w:hAnsi="Times New Roman"/>
          <w:b/>
          <w:bCs/>
          <w:sz w:val="24"/>
          <w:szCs w:val="24"/>
          <w:vertAlign w:val="superscript"/>
        </w:rPr>
        <w:t xml:space="preserve">[13][62]</w:t>
      </w:r>
      <w:r>
        <w:rPr>
          <w:rFonts w:ascii="Times New Roman" w:cs="Times New Roman" w:eastAsia="Times New Roman" w:hAnsi="Times New Roman"/>
          <w:sz w:val="24"/>
          <w:szCs w:val="24"/>
        </w:rPr>
        <w:t xml:space="preserve"> Chronic inflammation is itself a Key Characteristic of Carcinogens (KCC-6), and its persistence in the formaldehyde target tissues is a plausible mechanism for sustained regenerative hyperplasia and the acquisition of pre-neoplastic changes.</w:t>
      </w:r>
      <w:r>
        <w:rPr>
          <w:rFonts w:ascii="Times New Roman" w:cs="Times New Roman" w:eastAsia="Times New Roman" w:hAnsi="Times New Roman"/>
          <w:b/>
          <w:bCs/>
          <w:sz w:val="24"/>
          <w:szCs w:val="24"/>
          <w:vertAlign w:val="superscript"/>
        </w:rPr>
        <w:t xml:space="preserve">[23][56]</w:t>
      </w:r>
    </w:p>
    <w:p>
      <w:pPr>
        <w:spacing w:after="120" w:before="280"/>
        <w:jc w:val="left"/>
      </w:pPr>
      <w:r>
        <w:rPr>
          <w:rFonts w:ascii="Times New Roman" w:cs="Times New Roman" w:eastAsia="Times New Roman" w:hAnsi="Times New Roman"/>
          <w:b/>
          <w:bCs/>
          <w:sz w:val="24"/>
          <w:szCs w:val="24"/>
        </w:rPr>
        <w:t xml:space="preserve">Epigenetic Effects</w:t>
      </w:r>
    </w:p>
    <w:p>
      <w:pPr>
        <w:spacing w:after="120" w:before="60" w:line="300"/>
        <w:jc w:val="both"/>
      </w:pPr>
      <w:r>
        <w:rPr>
          <w:rFonts w:ascii="Times New Roman" w:cs="Times New Roman" w:eastAsia="Times New Roman" w:hAnsi="Times New Roman"/>
          <w:sz w:val="24"/>
          <w:szCs w:val="24"/>
        </w:rPr>
        <w:t xml:space="preserve">Formaldehyde alters the epigenome through several routes. First, formaldehyde is consumed by the folate-mediated one-carbon cycle feeding into S-adenosylmethionine (SAM) synthesis, the universal methyl-donor for DNA and histone methylation; imbalance of SAM:SAH ratios perturbs methyl-transferase activity. </w:t>
      </w:r>
      <w:r>
        <w:rPr>
          <w:rFonts w:ascii="Times New Roman" w:cs="Times New Roman" w:eastAsia="Times New Roman" w:hAnsi="Times New Roman"/>
          <w:b/>
          <w:bCs/>
          <w:sz w:val="24"/>
          <w:szCs w:val="24"/>
          <w:vertAlign w:val="superscript"/>
        </w:rPr>
        <w:t xml:space="preserve">[64][68]</w:t>
      </w:r>
      <w:r>
        <w:rPr>
          <w:rFonts w:ascii="Times New Roman" w:cs="Times New Roman" w:eastAsia="Times New Roman" w:hAnsi="Times New Roman"/>
          <w:sz w:val="24"/>
          <w:szCs w:val="24"/>
        </w:rPr>
        <w:t xml:space="preserve"> Second, formaldehyde directly modifies histone tails (lysine formylation) and DNA (N⁶-formyl-lysine, 5-formylcytosine), producing 'formyl-lysine' and 'formyl-cytosine' marks that interfere with reader-writer-eraser complexes of the chromatin machinery. </w:t>
      </w:r>
      <w:r>
        <w:rPr>
          <w:rFonts w:ascii="Times New Roman" w:cs="Times New Roman" w:eastAsia="Times New Roman" w:hAnsi="Times New Roman"/>
          <w:b/>
          <w:bCs/>
          <w:sz w:val="24"/>
          <w:szCs w:val="24"/>
          <w:vertAlign w:val="superscript"/>
        </w:rPr>
        <w:t xml:space="preserve">[68][69]</w:t>
      </w:r>
      <w:r>
        <w:rPr>
          <w:rFonts w:ascii="Times New Roman" w:cs="Times New Roman" w:eastAsia="Times New Roman" w:hAnsi="Times New Roman"/>
          <w:sz w:val="24"/>
          <w:szCs w:val="24"/>
        </w:rPr>
        <w:t xml:space="preserve"> Third, formaldehyde is produced endogenously by the LSD1/LSD2 histone demethylase cascade and by the TET family of 5-methylcytosine dioxygenases; this coupling implies that perturbations in histone and DNA demethylation directly alter local formaldehyde micro-environments within the nucleus. </w:t>
      </w:r>
      <w:r>
        <w:rPr>
          <w:rFonts w:ascii="Times New Roman" w:cs="Times New Roman" w:eastAsia="Times New Roman" w:hAnsi="Times New Roman"/>
          <w:b/>
          <w:bCs/>
          <w:sz w:val="24"/>
          <w:szCs w:val="24"/>
          <w:vertAlign w:val="superscript"/>
        </w:rPr>
        <w:t xml:space="preserve">[68][70]</w:t>
      </w:r>
      <w:r>
        <w:rPr>
          <w:rFonts w:ascii="Times New Roman" w:cs="Times New Roman" w:eastAsia="Times New Roman" w:hAnsi="Times New Roman"/>
          <w:sz w:val="24"/>
          <w:szCs w:val="24"/>
        </w:rPr>
        <w:t xml:space="preserve"> Epigenome-wide association studies in workers exposed to formaldehyde have identified differentially methylated regions enriched for immune- and haematopoiesis-related genes, including HOX cluster loci relevant to myeloid differentiation.</w:t>
      </w:r>
      <w:r>
        <w:rPr>
          <w:rFonts w:ascii="Times New Roman" w:cs="Times New Roman" w:eastAsia="Times New Roman" w:hAnsi="Times New Roman"/>
          <w:b/>
          <w:bCs/>
          <w:sz w:val="24"/>
          <w:szCs w:val="24"/>
          <w:vertAlign w:val="superscript"/>
        </w:rPr>
        <w:t xml:space="preserve">[70]</w:t>
      </w:r>
    </w:p>
    <w:p>
      <w:pPr>
        <w:spacing w:after="120" w:before="280"/>
        <w:jc w:val="left"/>
      </w:pPr>
      <w:r>
        <w:rPr>
          <w:rFonts w:ascii="Times New Roman" w:cs="Times New Roman" w:eastAsia="Times New Roman" w:hAnsi="Times New Roman"/>
          <w:b/>
          <w:bCs/>
          <w:sz w:val="24"/>
          <w:szCs w:val="24"/>
        </w:rPr>
        <w:t xml:space="preserve">Reactive Intermediates and Protein Adducts</w:t>
      </w:r>
    </w:p>
    <w:p>
      <w:pPr>
        <w:spacing w:after="120" w:before="60" w:line="300"/>
        <w:jc w:val="both"/>
      </w:pPr>
      <w:r>
        <w:rPr>
          <w:rFonts w:ascii="Times New Roman" w:cs="Times New Roman" w:eastAsia="Times New Roman" w:hAnsi="Times New Roman"/>
          <w:sz w:val="24"/>
          <w:szCs w:val="24"/>
        </w:rPr>
        <w:t xml:space="preserve">Beyond DNA adducts, formaldehyde forms covalent adducts with serum albumin, haemoglobin, and glutathione at rates that allow their use as pharmacokinetic biomarkers in human populations. </w:t>
      </w:r>
      <w:r>
        <w:rPr>
          <w:rFonts w:ascii="Times New Roman" w:cs="Times New Roman" w:eastAsia="Times New Roman" w:hAnsi="Times New Roman"/>
          <w:b/>
          <w:bCs/>
          <w:sz w:val="24"/>
          <w:szCs w:val="24"/>
          <w:vertAlign w:val="superscript"/>
        </w:rPr>
        <w:t xml:space="preserve">[17][58][71]</w:t>
      </w:r>
      <w:r>
        <w:rPr>
          <w:rFonts w:ascii="Times New Roman" w:cs="Times New Roman" w:eastAsia="Times New Roman" w:hAnsi="Times New Roman"/>
          <w:sz w:val="24"/>
          <w:szCs w:val="24"/>
        </w:rPr>
        <w:t xml:space="preserve"> Mass-spectrometric quantification of N⁶-(carboxymethyl)lysine and N-methyl-histidine adducts in urine and blood has been validated as biomarkers of recent (24–48 h) formaldehyde exposure, while stable-isotope dilution of endogenous [¹²CD₂]-adduct markers enables differentiation from exogenous exposure.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These biomarkers are beginning to be deployed in epidemiological studies to refine exposure misclassification, particularly in low-exposure settings where traditional air-monitoring approaches lose sensitivity.</w:t>
      </w:r>
      <w:r>
        <w:rPr>
          <w:rFonts w:ascii="Times New Roman" w:cs="Times New Roman" w:eastAsia="Times New Roman" w:hAnsi="Times New Roman"/>
          <w:b/>
          <w:bCs/>
          <w:sz w:val="24"/>
          <w:szCs w:val="24"/>
          <w:vertAlign w:val="superscript"/>
        </w:rPr>
        <w:t xml:space="preserve">[18][58]</w:t>
      </w:r>
    </w:p>
    <w:p>
      <w:pPr>
        <w:spacing w:after="120" w:before="280"/>
        <w:jc w:val="left"/>
      </w:pPr>
      <w:r>
        <w:rPr>
          <w:rFonts w:ascii="Times New Roman" w:cs="Times New Roman" w:eastAsia="Times New Roman" w:hAnsi="Times New Roman"/>
          <w:b/>
          <w:bCs/>
          <w:sz w:val="24"/>
          <w:szCs w:val="24"/>
        </w:rPr>
        <w:t xml:space="preserve">Adverse Outcome Pathways and Dose-Response Anchoring</w:t>
      </w:r>
    </w:p>
    <w:p>
      <w:pPr>
        <w:spacing w:after="120" w:before="60" w:line="300"/>
        <w:jc w:val="both"/>
      </w:pPr>
      <w:r>
        <w:rPr>
          <w:rFonts w:ascii="Times New Roman" w:cs="Times New Roman" w:eastAsia="Times New Roman" w:hAnsi="Times New Roman"/>
          <w:sz w:val="24"/>
          <w:szCs w:val="24"/>
        </w:rPr>
        <w:t xml:space="preserve">Formalised adverse outcome pathway (AOP) representations for formaldehyde have been proposed under the OECD AOP framework. The key AOP for nasal respiratory tumourigenesis links a molecular initiating event (electrophilic attack producing DPCs) through key events (replication fork stalling; inhibition of DNA repair; activation of replication-stress signalling; sustained regenerative proliferation; accumulation of mutations; clonal expansion; neoplastic transformation) to the adverse outcome (nasal squamous cell carcinoma). </w:t>
      </w:r>
      <w:r>
        <w:rPr>
          <w:rFonts w:ascii="Times New Roman" w:cs="Times New Roman" w:eastAsia="Times New Roman" w:hAnsi="Times New Roman"/>
          <w:b/>
          <w:bCs/>
          <w:sz w:val="24"/>
          <w:szCs w:val="24"/>
          <w:vertAlign w:val="superscript"/>
        </w:rPr>
        <w:t xml:space="preserve">[24][43][72]</w:t>
      </w:r>
      <w:r>
        <w:rPr>
          <w:rFonts w:ascii="Times New Roman" w:cs="Times New Roman" w:eastAsia="Times New Roman" w:hAnsi="Times New Roman"/>
          <w:sz w:val="24"/>
          <w:szCs w:val="24"/>
        </w:rPr>
        <w:t xml:space="preserve"> A parallel AOP for myeloid leukaemia invokes DPC formation at haematopoietic progenitor cells, ADH5/ALDH2-dependent detoxification, Fanconi anaemia pathway interactions, clonal haematopoiesis, and progression through myelodysplasia to acute myeloid leukaemia. </w:t>
      </w:r>
      <w:r>
        <w:rPr>
          <w:rFonts w:ascii="Times New Roman" w:cs="Times New Roman" w:eastAsia="Times New Roman" w:hAnsi="Times New Roman"/>
          <w:b/>
          <w:bCs/>
          <w:sz w:val="24"/>
          <w:szCs w:val="24"/>
          <w:vertAlign w:val="superscript"/>
        </w:rPr>
        <w:t xml:space="preserve">[21][24][56]</w:t>
      </w:r>
      <w:r>
        <w:rPr>
          <w:rFonts w:ascii="Times New Roman" w:cs="Times New Roman" w:eastAsia="Times New Roman" w:hAnsi="Times New Roman"/>
          <w:sz w:val="24"/>
          <w:szCs w:val="24"/>
        </w:rPr>
        <w:t xml:space="preserve"> Quantitative AOP (qAOP) efforts seek to parameterise the key-event relationships to allow dose-response modelling across species and exposure scenarios, supporting the biological plausibility of low-dose extrapolation of the cancer unit risk estimate.</w:t>
      </w:r>
      <w:r>
        <w:rPr>
          <w:rFonts w:ascii="Times New Roman" w:cs="Times New Roman" w:eastAsia="Times New Roman" w:hAnsi="Times New Roman"/>
          <w:b/>
          <w:bCs/>
          <w:sz w:val="24"/>
          <w:szCs w:val="24"/>
          <w:vertAlign w:val="superscript"/>
        </w:rPr>
        <w:t xml:space="preserve">[60][72]</w:t>
      </w:r>
    </w:p>
    <w:p>
      <w:pPr>
        <w:spacing w:after="120" w:before="280"/>
        <w:jc w:val="left"/>
      </w:pPr>
      <w:r>
        <w:rPr>
          <w:rFonts w:ascii="Times New Roman" w:cs="Times New Roman" w:eastAsia="Times New Roman" w:hAnsi="Times New Roman"/>
          <w:b/>
          <w:bCs/>
          <w:sz w:val="24"/>
          <w:szCs w:val="24"/>
        </w:rPr>
        <w:t xml:space="preserve">Species and Tissue Specificity</w:t>
      </w:r>
    </w:p>
    <w:p>
      <w:pPr>
        <w:spacing w:after="120" w:before="60" w:line="300"/>
        <w:jc w:val="both"/>
      </w:pPr>
      <w:r>
        <w:rPr>
          <w:rFonts w:ascii="Times New Roman" w:cs="Times New Roman" w:eastAsia="Times New Roman" w:hAnsi="Times New Roman"/>
          <w:sz w:val="24"/>
          <w:szCs w:val="24"/>
        </w:rPr>
        <w:t xml:space="preserve">The mode-of-action framework accounts for the tight localisation of observed pathology to the nasal epithelium: high regional deposition in the anterior respiratory turbinates of rodents produces a concentrated electrophilic burden that exceeds the local detoxification and repair capacity. </w:t>
      </w:r>
      <w:r>
        <w:rPr>
          <w:rFonts w:ascii="Times New Roman" w:cs="Times New Roman" w:eastAsia="Times New Roman" w:hAnsi="Times New Roman"/>
          <w:b/>
          <w:bCs/>
          <w:sz w:val="24"/>
          <w:szCs w:val="24"/>
          <w:vertAlign w:val="superscript"/>
        </w:rPr>
        <w:t xml:space="preserve">[52][54][57]</w:t>
      </w:r>
      <w:r>
        <w:rPr>
          <w:rFonts w:ascii="Times New Roman" w:cs="Times New Roman" w:eastAsia="Times New Roman" w:hAnsi="Times New Roman"/>
          <w:sz w:val="24"/>
          <w:szCs w:val="24"/>
        </w:rPr>
        <w:t xml:space="preserve"> Human nasal anatomy and breathing pattern redirect the majority of inhaled formaldehyde to a smaller target surface area per unit minute volume, yielding lower target-tissue dose rates at equivalent airborne concentrations.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CFD models consistently reproduce these species differences; when tumour incidence is indexed to regional flux rather than inhaled concentration, the rat-to-human divergence in apparent sensitivity narrows by at least a factor of five.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These inter-species dosimetry corrections underlie the current IRIS approach to setting the inhalation unit risk and the RfC and form one of the foundations of the EPA's 2024 quantitative risk framework.</w:t>
      </w:r>
      <w:r>
        <w:rPr>
          <w:rFonts w:ascii="Times New Roman" w:cs="Times New Roman" w:eastAsia="Times New Roman" w:hAnsi="Times New Roman"/>
          <w:b/>
          <w:bCs/>
          <w:sz w:val="24"/>
          <w:szCs w:val="24"/>
          <w:vertAlign w:val="superscript"/>
        </w:rPr>
        <w:t xml:space="preserve">[1]</w:t>
      </w:r>
    </w:p>
    <w:p>
      <w:pPr>
        <w:spacing w:after="120" w:before="280"/>
        <w:jc w:val="left"/>
      </w:pPr>
      <w:r>
        <w:rPr>
          <w:rFonts w:ascii="Times New Roman" w:cs="Times New Roman" w:eastAsia="Times New Roman" w:hAnsi="Times New Roman"/>
          <w:b/>
          <w:bCs/>
          <w:sz w:val="24"/>
          <w:szCs w:val="24"/>
        </w:rPr>
        <w:t xml:space="preserve">Mechanistic Implications for Low-Dose Risk</w:t>
      </w:r>
    </w:p>
    <w:p>
      <w:pPr>
        <w:spacing w:after="120" w:before="60" w:line="300"/>
        <w:jc w:val="both"/>
      </w:pPr>
      <w:r>
        <w:rPr>
          <w:rFonts w:ascii="Times New Roman" w:cs="Times New Roman" w:eastAsia="Times New Roman" w:hAnsi="Times New Roman"/>
          <w:sz w:val="24"/>
          <w:szCs w:val="24"/>
        </w:rPr>
        <w:t xml:space="preserve">Low-dose extrapolation of cancer risk rests on the integration of the AOP across key-event dose-response curves and on the saturability of endogenous detoxification and repair. Below the saturation threshold of GSH-dependent ADH5 metabolism, a linear low-dose relationship is biologically plausible; above the threshold, supra-linear behaviour dominates due to tissue damage and chronic inflammation feedback. </w:t>
      </w:r>
      <w:r>
        <w:rPr>
          <w:rFonts w:ascii="Times New Roman" w:cs="Times New Roman" w:eastAsia="Times New Roman" w:hAnsi="Times New Roman"/>
          <w:b/>
          <w:bCs/>
          <w:sz w:val="24"/>
          <w:szCs w:val="24"/>
          <w:vertAlign w:val="superscript"/>
        </w:rPr>
        <w:t xml:space="preserve">[50][56][60]</w:t>
      </w:r>
      <w:r>
        <w:rPr>
          <w:rFonts w:ascii="Times New Roman" w:cs="Times New Roman" w:eastAsia="Times New Roman" w:hAnsi="Times New Roman"/>
          <w:sz w:val="24"/>
          <w:szCs w:val="24"/>
        </w:rPr>
        <w:t xml:space="preserve"> Because endogenous formaldehyde concentrations in the nasal mucosa are in the micromolar range and ambient/occupational exogenous exposures are additive, the chronic-stress tail of the dose-response is of particular regulatory interest. </w:t>
      </w:r>
      <w:r>
        <w:rPr>
          <w:rFonts w:ascii="Times New Roman" w:cs="Times New Roman" w:eastAsia="Times New Roman" w:hAnsi="Times New Roman"/>
          <w:b/>
          <w:bCs/>
          <w:sz w:val="24"/>
          <w:szCs w:val="24"/>
          <w:vertAlign w:val="superscript"/>
        </w:rPr>
        <w:t xml:space="preserve">[58][60]</w:t>
      </w:r>
      <w:r>
        <w:rPr>
          <w:rFonts w:ascii="Times New Roman" w:cs="Times New Roman" w:eastAsia="Times New Roman" w:hAnsi="Times New Roman"/>
          <w:sz w:val="24"/>
          <w:szCs w:val="24"/>
        </w:rPr>
        <w:t xml:space="preserve"> The EPA IRIS 2024 adopted a linear low-dose extrapolation for cancer risk consistent with the default approach recommended by the 2005 Carcinogen Guidelines; several European agencies have used a practical threshold approach anchored at the rodent NOAEL for nasal histopathology with large uncertainty factors.</w:t>
      </w:r>
      <w:r>
        <w:rPr>
          <w:rFonts w:ascii="Times New Roman" w:cs="Times New Roman" w:eastAsia="Times New Roman" w:hAnsi="Times New Roman"/>
          <w:b/>
          <w:bCs/>
          <w:sz w:val="24"/>
          <w:szCs w:val="24"/>
          <w:vertAlign w:val="superscript"/>
        </w:rPr>
        <w:t xml:space="preserve">[1][26][28]</w:t>
      </w:r>
    </w:p>
    <w:p>
      <w:r>
        <w:br w:type="page"/>
      </w:r>
    </w:p>
    <w:p>
      <w:pPr>
        <w:spacing w:after="120" w:before="280"/>
        <w:jc w:val="left"/>
      </w:pPr>
      <w:r>
        <w:rPr>
          <w:rFonts w:ascii="Times New Roman" w:cs="Times New Roman" w:eastAsia="Times New Roman" w:hAnsi="Times New Roman"/>
          <w:b/>
          <w:bCs/>
          <w:sz w:val="24"/>
          <w:szCs w:val="24"/>
        </w:rPr>
        <w:t xml:space="preserve">In Vitro Toxicology of Formaldehyde</w:t>
      </w:r>
    </w:p>
    <w:p>
      <w:pPr>
        <w:spacing w:after="120" w:before="60" w:line="300"/>
        <w:jc w:val="both"/>
      </w:pPr>
      <w:r>
        <w:rPr>
          <w:rFonts w:ascii="Times New Roman" w:cs="Times New Roman" w:eastAsia="Times New Roman" w:hAnsi="Times New Roman"/>
          <w:sz w:val="24"/>
          <w:szCs w:val="24"/>
        </w:rPr>
        <w:t xml:space="preserve">Extensive in vitro toxicological characterisation of formaldehyde has been conducted across bacterial, yeast, mammalian cell, organotypic, and three-dimensional tissue-engineered systems, providing mechanistic underpinning for the whole-animal and epidemiological findings. </w:t>
      </w:r>
      <w:r>
        <w:rPr>
          <w:rFonts w:ascii="Times New Roman" w:cs="Times New Roman" w:eastAsia="Times New Roman" w:hAnsi="Times New Roman"/>
          <w:b/>
          <w:bCs/>
          <w:sz w:val="24"/>
          <w:szCs w:val="24"/>
          <w:vertAlign w:val="superscript"/>
        </w:rPr>
        <w:t xml:space="preserve">[20][43][50][56][84]</w:t>
      </w:r>
      <w:r>
        <w:rPr>
          <w:rFonts w:ascii="Times New Roman" w:cs="Times New Roman" w:eastAsia="Times New Roman" w:hAnsi="Times New Roman"/>
          <w:sz w:val="24"/>
          <w:szCs w:val="24"/>
        </w:rPr>
        <w:t xml:space="preserve"> Cytotoxicity assays in primary and immortalised nasal, tracheal, bronchial, alveolar, hepatocyte, and lymphocyte cell lines consistently demonstrate dose-dependent cell death with IC₅₀ values typically in the 20–200 µM range for 24-hour exposures; mitochondrial membrane depolarisation, GSH depletion, reactive oxygen species generation, and DNA-protein crosslink formation are detectable at sub-cytotoxic exposure concentrations. </w:t>
      </w:r>
      <w:r>
        <w:rPr>
          <w:rFonts w:ascii="Times New Roman" w:cs="Times New Roman" w:eastAsia="Times New Roman" w:hAnsi="Times New Roman"/>
          <w:b/>
          <w:bCs/>
          <w:sz w:val="24"/>
          <w:szCs w:val="24"/>
          <w:vertAlign w:val="superscript"/>
        </w:rPr>
        <w:t xml:space="preserve">[50][61][67]</w:t>
      </w:r>
      <w:r>
        <w:rPr>
          <w:rFonts w:ascii="Times New Roman" w:cs="Times New Roman" w:eastAsia="Times New Roman" w:hAnsi="Times New Roman"/>
          <w:sz w:val="24"/>
          <w:szCs w:val="24"/>
        </w:rPr>
        <w:t xml:space="preserve"> Chronic low-dose in vitro exposure studies documenting premature senescence, altered proliferation kinetics, and adaptive stress response are beginning to accumulate and inform the interpretation of environmental residual exposures.</w:t>
      </w:r>
      <w:r>
        <w:rPr>
          <w:rFonts w:ascii="Times New Roman" w:cs="Times New Roman" w:eastAsia="Times New Roman" w:hAnsi="Times New Roman"/>
          <w:b/>
          <w:bCs/>
          <w:sz w:val="24"/>
          <w:szCs w:val="24"/>
          <w:vertAlign w:val="superscript"/>
        </w:rPr>
        <w:t xml:space="preserve">[50][84]</w:t>
      </w:r>
    </w:p>
    <w:p>
      <w:pPr>
        <w:spacing w:after="120" w:before="280"/>
        <w:jc w:val="left"/>
      </w:pPr>
      <w:r>
        <w:rPr>
          <w:rFonts w:ascii="Times New Roman" w:cs="Times New Roman" w:eastAsia="Times New Roman" w:hAnsi="Times New Roman"/>
          <w:b/>
          <w:bCs/>
          <w:sz w:val="24"/>
          <w:szCs w:val="24"/>
        </w:rPr>
        <w:t xml:space="preserve">Cytotoxicity and Cell Viability</w:t>
      </w:r>
    </w:p>
    <w:p>
      <w:pPr>
        <w:spacing w:after="120" w:before="60" w:line="300"/>
        <w:jc w:val="both"/>
      </w:pPr>
      <w:r>
        <w:rPr>
          <w:rFonts w:ascii="Times New Roman" w:cs="Times New Roman" w:eastAsia="Times New Roman" w:hAnsi="Times New Roman"/>
          <w:sz w:val="24"/>
          <w:szCs w:val="24"/>
        </w:rPr>
        <w:t xml:space="preserve">Cell-type-specific sensitivity to formaldehyde varies substantially. </w:t>
      </w:r>
      <w:r>
        <w:rPr>
          <w:rFonts w:ascii="Times New Roman" w:cs="Times New Roman" w:eastAsia="Times New Roman" w:hAnsi="Times New Roman"/>
          <w:b/>
          <w:bCs/>
          <w:sz w:val="24"/>
          <w:szCs w:val="24"/>
          <w:vertAlign w:val="superscript"/>
        </w:rPr>
        <w:t xml:space="preserve">[50][56][67]</w:t>
      </w:r>
      <w:r>
        <w:rPr>
          <w:rFonts w:ascii="Times New Roman" w:cs="Times New Roman" w:eastAsia="Times New Roman" w:hAnsi="Times New Roman"/>
          <w:sz w:val="24"/>
          <w:szCs w:val="24"/>
        </w:rPr>
        <w:t xml:space="preserve"> Primary human nasal epithelial cells (hNECs) exhibit the highest sensitivity, with IC₅₀ values of 20–40 µM for 24-h exposure, consistent with their role as the principal portal-of-entry target tissue. </w:t>
      </w:r>
      <w:r>
        <w:rPr>
          <w:rFonts w:ascii="Times New Roman" w:cs="Times New Roman" w:eastAsia="Times New Roman" w:hAnsi="Times New Roman"/>
          <w:b/>
          <w:bCs/>
          <w:sz w:val="24"/>
          <w:szCs w:val="24"/>
          <w:vertAlign w:val="superscript"/>
        </w:rPr>
        <w:t xml:space="preserve">[50][56]</w:t>
      </w:r>
      <w:r>
        <w:rPr>
          <w:rFonts w:ascii="Times New Roman" w:cs="Times New Roman" w:eastAsia="Times New Roman" w:hAnsi="Times New Roman"/>
          <w:sz w:val="24"/>
          <w:szCs w:val="24"/>
        </w:rPr>
        <w:t xml:space="preserve"> Primary bronchial and alveolar epithelial cells (NHBE, SAEC) follow with IC₅₀ of 40–80 µM; hepatocytes (HepG2, HepaRG, primary human hepatocytes) 60–120 µM; fibroblasts (NIH3T3, IMR-90) 100–200 µM; and lymphocytes (TK6, Jurkat, primary PBMC) 80–150 µM. </w:t>
      </w:r>
      <w:r>
        <w:rPr>
          <w:rFonts w:ascii="Times New Roman" w:cs="Times New Roman" w:eastAsia="Times New Roman" w:hAnsi="Times New Roman"/>
          <w:b/>
          <w:bCs/>
          <w:sz w:val="24"/>
          <w:szCs w:val="24"/>
          <w:vertAlign w:val="superscript"/>
        </w:rPr>
        <w:t xml:space="preserve">[50][56][67]</w:t>
      </w:r>
      <w:r>
        <w:rPr>
          <w:rFonts w:ascii="Times New Roman" w:cs="Times New Roman" w:eastAsia="Times New Roman" w:hAnsi="Times New Roman"/>
          <w:sz w:val="24"/>
          <w:szCs w:val="24"/>
        </w:rPr>
        <w:t xml:space="preserve"> Fanconi-anaemia patient-derived fibroblasts and ALDH2-deficient haematopoietic progenitors exhibit 10–30 fold enhanced sensitivity, recapitulating the in vivo phenotype observed in the Adh5/Aldh2 double-knockout mouse model. </w:t>
      </w:r>
      <w:r>
        <w:rPr>
          <w:rFonts w:ascii="Times New Roman" w:cs="Times New Roman" w:eastAsia="Times New Roman" w:hAnsi="Times New Roman"/>
          <w:b/>
          <w:bCs/>
          <w:sz w:val="24"/>
          <w:szCs w:val="24"/>
          <w:vertAlign w:val="superscript"/>
        </w:rPr>
        <w:t xml:space="preserve">[21][24][43]</w:t>
      </w:r>
      <w:r>
        <w:rPr>
          <w:rFonts w:ascii="Times New Roman" w:cs="Times New Roman" w:eastAsia="Times New Roman" w:hAnsi="Times New Roman"/>
          <w:sz w:val="24"/>
          <w:szCs w:val="24"/>
        </w:rPr>
        <w:t xml:space="preserve"> Cytotoxicity endpoints include MTT reduction, LDH release, Annexin V / PI staining for apoptosis-necrosis discrimination, and clonogenic assay for long-term survival.</w:t>
      </w:r>
    </w:p>
    <w:p>
      <w:pPr>
        <w:spacing w:after="120" w:before="280"/>
        <w:jc w:val="left"/>
      </w:pPr>
      <w:r>
        <w:rPr>
          <w:rFonts w:ascii="Times New Roman" w:cs="Times New Roman" w:eastAsia="Times New Roman" w:hAnsi="Times New Roman"/>
          <w:b/>
          <w:bCs/>
          <w:sz w:val="24"/>
          <w:szCs w:val="24"/>
        </w:rPr>
        <w:t xml:space="preserve">Genotoxicity Endpoints</w:t>
      </w:r>
    </w:p>
    <w:p>
      <w:pPr>
        <w:spacing w:after="120" w:before="60" w:line="300"/>
        <w:jc w:val="both"/>
      </w:pPr>
      <w:r>
        <w:rPr>
          <w:rFonts w:ascii="Times New Roman" w:cs="Times New Roman" w:eastAsia="Times New Roman" w:hAnsi="Times New Roman"/>
          <w:sz w:val="24"/>
          <w:szCs w:val="24"/>
        </w:rPr>
        <w:t xml:space="preserve">Formaldehyde is a well-characterised genotoxicant in vitro across multiple assay formats. </w:t>
      </w:r>
      <w:r>
        <w:rPr>
          <w:rFonts w:ascii="Times New Roman" w:cs="Times New Roman" w:eastAsia="Times New Roman" w:hAnsi="Times New Roman"/>
          <w:b/>
          <w:bCs/>
          <w:sz w:val="24"/>
          <w:szCs w:val="24"/>
          <w:vertAlign w:val="superscript"/>
        </w:rPr>
        <w:t xml:space="preserve">[2][20][43][56]</w:t>
      </w:r>
      <w:r>
        <w:rPr>
          <w:rFonts w:ascii="Times New Roman" w:cs="Times New Roman" w:eastAsia="Times New Roman" w:hAnsi="Times New Roman"/>
          <w:sz w:val="24"/>
          <w:szCs w:val="24"/>
        </w:rPr>
        <w:t xml:space="preserve"> Bacterial reverse mutation (Ames assay) shows consistent mutagenicity in Salmonella typhimurium strains TA100 and TA98 both with and without S9 metabolic activation. </w:t>
      </w:r>
      <w:r>
        <w:rPr>
          <w:rFonts w:ascii="Times New Roman" w:cs="Times New Roman" w:eastAsia="Times New Roman" w:hAnsi="Times New Roman"/>
          <w:b/>
          <w:bCs/>
          <w:sz w:val="24"/>
          <w:szCs w:val="24"/>
          <w:vertAlign w:val="superscript"/>
        </w:rPr>
        <w:t xml:space="preserve">[2][20]</w:t>
      </w:r>
      <w:r>
        <w:rPr>
          <w:rFonts w:ascii="Times New Roman" w:cs="Times New Roman" w:eastAsia="Times New Roman" w:hAnsi="Times New Roman"/>
          <w:sz w:val="24"/>
          <w:szCs w:val="24"/>
        </w:rPr>
        <w:t xml:space="preserve"> Mammalian cell gene mutation assays (HPRT in CHO and V79 cells, TK in L5178Y mouse lymphoma cells) demonstrate dose-dependent mutagenicity at non-cytotoxic concentrations (≥ 30 µM). </w:t>
      </w:r>
      <w:r>
        <w:rPr>
          <w:rFonts w:ascii="Times New Roman" w:cs="Times New Roman" w:eastAsia="Times New Roman" w:hAnsi="Times New Roman"/>
          <w:b/>
          <w:bCs/>
          <w:sz w:val="24"/>
          <w:szCs w:val="24"/>
          <w:vertAlign w:val="superscript"/>
        </w:rPr>
        <w:t xml:space="preserve">[20][43]</w:t>
      </w:r>
      <w:r>
        <w:rPr>
          <w:rFonts w:ascii="Times New Roman" w:cs="Times New Roman" w:eastAsia="Times New Roman" w:hAnsi="Times New Roman"/>
          <w:sz w:val="24"/>
          <w:szCs w:val="24"/>
        </w:rPr>
        <w:t xml:space="preserve"> Chromosomal aberration assays, micronucleus assays, and sister-chromatid exchange assays uniformly show positive results in human lymphocytes and Chinese hamster cells at concentrations above 50 µM. </w:t>
      </w:r>
      <w:r>
        <w:rPr>
          <w:rFonts w:ascii="Times New Roman" w:cs="Times New Roman" w:eastAsia="Times New Roman" w:hAnsi="Times New Roman"/>
          <w:b/>
          <w:bCs/>
          <w:sz w:val="24"/>
          <w:szCs w:val="24"/>
          <w:vertAlign w:val="superscript"/>
        </w:rPr>
        <w:t xml:space="preserve">[20][43][96]</w:t>
      </w:r>
      <w:r>
        <w:rPr>
          <w:rFonts w:ascii="Times New Roman" w:cs="Times New Roman" w:eastAsia="Times New Roman" w:hAnsi="Times New Roman"/>
          <w:sz w:val="24"/>
          <w:szCs w:val="24"/>
        </w:rPr>
        <w:t xml:space="preserve"> Comet assay (single-cell gel electrophoresis) demonstrates dose-dependent DNA damage with characteristic tail moment increase at 10–50 µM exposures; modified lysis protocols using lithium dodecyl sulphate or proteinase K improve detection of DNA-protein crosslinks specifically. </w:t>
      </w:r>
      <w:r>
        <w:rPr>
          <w:rFonts w:ascii="Times New Roman" w:cs="Times New Roman" w:eastAsia="Times New Roman" w:hAnsi="Times New Roman"/>
          <w:b/>
          <w:bCs/>
          <w:sz w:val="24"/>
          <w:szCs w:val="24"/>
          <w:vertAlign w:val="superscript"/>
        </w:rPr>
        <w:t xml:space="preserve">[56][76]</w:t>
      </w:r>
    </w:p>
    <w:p>
      <w:pPr>
        <w:spacing w:after="120" w:before="280"/>
        <w:jc w:val="left"/>
      </w:pPr>
      <w:r>
        <w:rPr>
          <w:rFonts w:ascii="Times New Roman" w:cs="Times New Roman" w:eastAsia="Times New Roman" w:hAnsi="Times New Roman"/>
          <w:b/>
          <w:bCs/>
          <w:sz w:val="24"/>
          <w:szCs w:val="24"/>
        </w:rPr>
        <w:t xml:space="preserve">DNA-Protein Crosslink Quantification</w:t>
      </w:r>
    </w:p>
    <w:p>
      <w:pPr>
        <w:spacing w:after="120" w:before="60" w:line="300"/>
        <w:jc w:val="both"/>
      </w:pPr>
      <w:r>
        <w:rPr>
          <w:rFonts w:ascii="Times New Roman" w:cs="Times New Roman" w:eastAsia="Times New Roman" w:hAnsi="Times New Roman"/>
          <w:sz w:val="24"/>
          <w:szCs w:val="24"/>
        </w:rPr>
        <w:t xml:space="preserve">Direct quantification of DNA-protein crosslinks (DPCs) in cellular DNA has advanced through several distinct analytical approaches. </w:t>
      </w:r>
      <w:r>
        <w:rPr>
          <w:rFonts w:ascii="Times New Roman" w:cs="Times New Roman" w:eastAsia="Times New Roman" w:hAnsi="Times New Roman"/>
          <w:b/>
          <w:bCs/>
          <w:sz w:val="24"/>
          <w:szCs w:val="24"/>
          <w:vertAlign w:val="superscript"/>
        </w:rPr>
        <w:t xml:space="preserve">[43][56]</w:t>
      </w:r>
      <w:r>
        <w:rPr>
          <w:rFonts w:ascii="Times New Roman" w:cs="Times New Roman" w:eastAsia="Times New Roman" w:hAnsi="Times New Roman"/>
          <w:sz w:val="24"/>
          <w:szCs w:val="24"/>
        </w:rPr>
        <w:t xml:space="preserve"> The classical alkaline elution method, coupled to radio-labelled DNA loading, provides semi-quantitative DPC detection at the 0.5–1.0 DPCs per 10⁷ bp sensitivity range. </w:t>
      </w:r>
      <w:r>
        <w:rPr>
          <w:rFonts w:ascii="Times New Roman" w:cs="Times New Roman" w:eastAsia="Times New Roman" w:hAnsi="Times New Roman"/>
          <w:b/>
          <w:bCs/>
          <w:sz w:val="24"/>
          <w:szCs w:val="24"/>
          <w:vertAlign w:val="superscript"/>
        </w:rPr>
        <w:t xml:space="preserve">[50][56]</w:t>
      </w:r>
      <w:r>
        <w:rPr>
          <w:rFonts w:ascii="Times New Roman" w:cs="Times New Roman" w:eastAsia="Times New Roman" w:hAnsi="Times New Roman"/>
          <w:sz w:val="24"/>
          <w:szCs w:val="24"/>
        </w:rPr>
        <w:t xml:space="preserve"> Modified comet assay with proteinase K or lithium dodecyl sulphate digestion discriminates DPCs from other classes of DNA damage based on the differential migration of DNA following enzymatic or chemical removal of the crosslinked protein. </w:t>
      </w:r>
      <w:r>
        <w:rPr>
          <w:rFonts w:ascii="Times New Roman" w:cs="Times New Roman" w:eastAsia="Times New Roman" w:hAnsi="Times New Roman"/>
          <w:b/>
          <w:bCs/>
          <w:sz w:val="24"/>
          <w:szCs w:val="24"/>
          <w:vertAlign w:val="superscript"/>
        </w:rPr>
        <w:t xml:space="preserve">[56][76]</w:t>
      </w:r>
      <w:r>
        <w:rPr>
          <w:rFonts w:ascii="Times New Roman" w:cs="Times New Roman" w:eastAsia="Times New Roman" w:hAnsi="Times New Roman"/>
          <w:sz w:val="24"/>
          <w:szCs w:val="24"/>
        </w:rPr>
        <w:t xml:space="preserve"> Recent approaches include immunoprecipitation-based enrichment of protein-DNA complexes followed by quantitative mass spectrometry (Chip-MS) and cellular imaging using click-chemistry probes that label formaldehyde-induced crosslinks with fluorescent tags. </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 These methods have established that formaldehyde produces a characteristic DPC signature enriched for histone H3, H4, and HMGB1 protein partners in nasal respiratory epithelium cells, consistent with the chromatin context of the primary DNA adducts.</w:t>
      </w:r>
      <w:r>
        <w:rPr>
          <w:rFonts w:ascii="Times New Roman" w:cs="Times New Roman" w:eastAsia="Times New Roman" w:hAnsi="Times New Roman"/>
          <w:b/>
          <w:bCs/>
          <w:sz w:val="24"/>
          <w:szCs w:val="24"/>
          <w:vertAlign w:val="superscript"/>
        </w:rPr>
        <w:t xml:space="preserve">[43][56]</w:t>
      </w:r>
    </w:p>
    <w:p>
      <w:pPr>
        <w:spacing w:after="120" w:before="280"/>
        <w:jc w:val="left"/>
      </w:pPr>
      <w:r>
        <w:rPr>
          <w:rFonts w:ascii="Times New Roman" w:cs="Times New Roman" w:eastAsia="Times New Roman" w:hAnsi="Times New Roman"/>
          <w:b/>
          <w:bCs/>
          <w:sz w:val="24"/>
          <w:szCs w:val="24"/>
        </w:rPr>
        <w:t xml:space="preserve">Three-Dimensional Tissue Models</w:t>
      </w:r>
    </w:p>
    <w:p>
      <w:pPr>
        <w:spacing w:after="120" w:before="60" w:line="300"/>
        <w:jc w:val="both"/>
      </w:pPr>
      <w:r>
        <w:rPr>
          <w:rFonts w:ascii="Times New Roman" w:cs="Times New Roman" w:eastAsia="Times New Roman" w:hAnsi="Times New Roman"/>
          <w:sz w:val="24"/>
          <w:szCs w:val="24"/>
        </w:rPr>
        <w:t xml:space="preserve">Advanced three-dimensional tissue models have increasingly supplemented conventional monolayer cell culture for formaldehyde toxicology. </w:t>
      </w:r>
      <w:r>
        <w:rPr>
          <w:rFonts w:ascii="Times New Roman" w:cs="Times New Roman" w:eastAsia="Times New Roman" w:hAnsi="Times New Roman"/>
          <w:b/>
          <w:bCs/>
          <w:sz w:val="24"/>
          <w:szCs w:val="24"/>
          <w:vertAlign w:val="superscript"/>
        </w:rPr>
        <w:t xml:space="preserve">[84][101]</w:t>
      </w:r>
      <w:r>
        <w:rPr>
          <w:rFonts w:ascii="Times New Roman" w:cs="Times New Roman" w:eastAsia="Times New Roman" w:hAnsi="Times New Roman"/>
          <w:sz w:val="24"/>
          <w:szCs w:val="24"/>
        </w:rPr>
        <w:t xml:space="preserve"> EpiAirway (MatTek) and MucilAir (Epithelix) are fully differentiated air-liquid-interface models of the human bronchial-tracheal epithelium with intact ciliated, goblet, and basal cell populations; exposure to formaldehyde vapour at physiologically relevant concentrations (0.1–1 ppm) produces ciliary dysfunction, transient trans-epithelial resistance decrease, and cytokine release without overt cytotoxicity at the lower exposures.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SmallAir and EpiNasal models provide nasal-specific equivalents that have been used to characterise the regional vulnerability of the respiratory epithelium to formaldehyde in physiologically relevant flux conditions.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Liver-on-chip, kidney-on-chip, and bone-marrow-on-chip platforms are emerging for chemical-specific toxicology; preliminary formaldehyde studies in bone-marrow-on-chip platforms have reported haematopoietic progenitor dysfunction at formaldehyde concentrations relevant to endogenous and exogenous exposure.</w:t>
      </w:r>
      <w:r>
        <w:rPr>
          <w:rFonts w:ascii="Times New Roman" w:cs="Times New Roman" w:eastAsia="Times New Roman" w:hAnsi="Times New Roman"/>
          <w:b/>
          <w:bCs/>
          <w:sz w:val="24"/>
          <w:szCs w:val="24"/>
          <w:vertAlign w:val="superscript"/>
        </w:rPr>
        <w:t xml:space="preserve">[24][84]</w:t>
      </w:r>
    </w:p>
    <w:p>
      <w:pPr>
        <w:spacing w:after="120" w:before="280"/>
        <w:jc w:val="left"/>
      </w:pPr>
      <w:r>
        <w:rPr>
          <w:rFonts w:ascii="Times New Roman" w:cs="Times New Roman" w:eastAsia="Times New Roman" w:hAnsi="Times New Roman"/>
          <w:b/>
          <w:bCs/>
          <w:sz w:val="24"/>
          <w:szCs w:val="24"/>
        </w:rPr>
        <w:t xml:space="preserve">High-Throughput Screening Programmes</w:t>
      </w:r>
    </w:p>
    <w:p>
      <w:pPr>
        <w:spacing w:after="120" w:before="60" w:line="300"/>
        <w:jc w:val="both"/>
      </w:pPr>
      <w:r>
        <w:rPr>
          <w:rFonts w:ascii="Times New Roman" w:cs="Times New Roman" w:eastAsia="Times New Roman" w:hAnsi="Times New Roman"/>
          <w:sz w:val="24"/>
          <w:szCs w:val="24"/>
        </w:rPr>
        <w:t xml:space="preserve">Formaldehyde has been included as a reference chemical in the U.S. EPA ToxCast programme, the NIH Tox21 consortium, and the European SEURAT-1 initiative. </w:t>
      </w:r>
      <w:r>
        <w:rPr>
          <w:rFonts w:ascii="Times New Roman" w:cs="Times New Roman" w:eastAsia="Times New Roman" w:hAnsi="Times New Roman"/>
          <w:b/>
          <w:bCs/>
          <w:sz w:val="24"/>
          <w:szCs w:val="24"/>
          <w:vertAlign w:val="superscript"/>
        </w:rPr>
        <w:t xml:space="preserve">[72][84]</w:t>
      </w:r>
      <w:r>
        <w:rPr>
          <w:rFonts w:ascii="Times New Roman" w:cs="Times New Roman" w:eastAsia="Times New Roman" w:hAnsi="Times New Roman"/>
          <w:sz w:val="24"/>
          <w:szCs w:val="24"/>
        </w:rPr>
        <w:t xml:space="preserve"> ToxCast Phase I through Phase III testing evaluated formaldehyde across approximately 800 distinct high-throughput in vitro assays probing cytotoxicity, nuclear receptor activation, transcription factor binding, enzyme inhibition, and cellular stress response pathways.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The integrated profile identifies strong hits for genotoxicity-pathway activation (p53, ATM, ATR), oxidative stress response (Nrf2/ARE, NF-κB), and hepatocyte-specific cytotoxicity endpoints.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The integration of ToxCast/Tox21 results with targeted AOP-aligned assays is supporting the development of in vitro-based risk assessment frameworks; formaldehyde has served as a case study for the validation of qAOP approaches linking in vitro endpoints to in vivo adverse outcomes.</w:t>
      </w:r>
      <w:r>
        <w:rPr>
          <w:rFonts w:ascii="Times New Roman" w:cs="Times New Roman" w:eastAsia="Times New Roman" w:hAnsi="Times New Roman"/>
          <w:b/>
          <w:bCs/>
          <w:sz w:val="24"/>
          <w:szCs w:val="24"/>
          <w:vertAlign w:val="superscript"/>
        </w:rPr>
        <w:t xml:space="preserve">[72][84]</w:t>
      </w:r>
    </w:p>
    <w:p>
      <w:pPr>
        <w:spacing w:after="120" w:before="280"/>
        <w:jc w:val="left"/>
      </w:pPr>
      <w:r>
        <w:rPr>
          <w:rFonts w:ascii="Times New Roman" w:cs="Times New Roman" w:eastAsia="Times New Roman" w:hAnsi="Times New Roman"/>
          <w:b/>
          <w:bCs/>
          <w:sz w:val="24"/>
          <w:szCs w:val="24"/>
        </w:rPr>
        <w:t xml:space="preserve">Organotypic and Stem-Cell-Derived Models</w:t>
      </w:r>
    </w:p>
    <w:p>
      <w:pPr>
        <w:spacing w:after="120" w:before="60" w:line="300"/>
        <w:jc w:val="both"/>
      </w:pPr>
      <w:r>
        <w:rPr>
          <w:rFonts w:ascii="Times New Roman" w:cs="Times New Roman" w:eastAsia="Times New Roman" w:hAnsi="Times New Roman"/>
          <w:sz w:val="24"/>
          <w:szCs w:val="24"/>
        </w:rPr>
        <w:t xml:space="preserve">Induced pluripotent stem cell (iPSC)-derived models provide human-relevant, polymorphism-stratified assessment systems for formaldehyde toxicity. </w:t>
      </w:r>
      <w:r>
        <w:rPr>
          <w:rFonts w:ascii="Times New Roman" w:cs="Times New Roman" w:eastAsia="Times New Roman" w:hAnsi="Times New Roman"/>
          <w:b/>
          <w:bCs/>
          <w:sz w:val="24"/>
          <w:szCs w:val="24"/>
          <w:vertAlign w:val="superscript"/>
        </w:rPr>
        <w:t xml:space="preserve">[21][24][84]</w:t>
      </w:r>
      <w:r>
        <w:rPr>
          <w:rFonts w:ascii="Times New Roman" w:cs="Times New Roman" w:eastAsia="Times New Roman" w:hAnsi="Times New Roman"/>
          <w:sz w:val="24"/>
          <w:szCs w:val="24"/>
        </w:rPr>
        <w:t xml:space="preserve"> Haematopoietic progenitors differentiated from iPSCs carrying Fanconi anaemia mutations (FANCA, FANCD2, FANCI), ALDH2*2 alleles, or ADH5 loss-of-function variants recapitulate the cellular sensitivity phenotypes observed in patient-derived cells, enabling systematic polymorphism-stratified dose-response characterisation. </w:t>
      </w:r>
      <w:r>
        <w:rPr>
          <w:rFonts w:ascii="Times New Roman" w:cs="Times New Roman" w:eastAsia="Times New Roman" w:hAnsi="Times New Roman"/>
          <w:b/>
          <w:bCs/>
          <w:sz w:val="24"/>
          <w:szCs w:val="24"/>
          <w:vertAlign w:val="superscript"/>
        </w:rPr>
        <w:t xml:space="preserve">[21][24][43]</w:t>
      </w:r>
      <w:r>
        <w:rPr>
          <w:rFonts w:ascii="Times New Roman" w:cs="Times New Roman" w:eastAsia="Times New Roman" w:hAnsi="Times New Roman"/>
          <w:sz w:val="24"/>
          <w:szCs w:val="24"/>
        </w:rPr>
        <w:t xml:space="preserve"> Neural organoids derived from iPSCs have been used to evaluate formaldehyde neurotoxicity; preliminary studies document dose-dependent disruption of cortical neuron differentiation and glial-neuronal network function at formaldehyde exposures below overt cytotoxicity.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These platforms are advancing the ability to conduct gene-environment interaction studies with human-relevant cellular physiology.</w:t>
      </w:r>
    </w:p>
    <w:p>
      <w:pPr>
        <w:spacing w:after="120" w:before="280"/>
        <w:jc w:val="left"/>
      </w:pPr>
      <w:r>
        <w:rPr>
          <w:rFonts w:ascii="Times New Roman" w:cs="Times New Roman" w:eastAsia="Times New Roman" w:hAnsi="Times New Roman"/>
          <w:b/>
          <w:bCs/>
          <w:sz w:val="24"/>
          <w:szCs w:val="24"/>
        </w:rPr>
        <w:t xml:space="preserve">Non-Mammalian In Vivo Models</w:t>
      </w:r>
    </w:p>
    <w:p>
      <w:pPr>
        <w:spacing w:after="120" w:before="60" w:line="300"/>
        <w:jc w:val="both"/>
      </w:pPr>
      <w:r>
        <w:rPr>
          <w:rFonts w:ascii="Times New Roman" w:cs="Times New Roman" w:eastAsia="Times New Roman" w:hAnsi="Times New Roman"/>
          <w:sz w:val="24"/>
          <w:szCs w:val="24"/>
        </w:rPr>
        <w:t xml:space="preserve">Zebrafish (Danio rerio), Caenorhabditis elegans, and Drosophila melanogaster serve as tractable non-mammalian whole-organism models for formaldehyde toxicity. </w:t>
      </w:r>
      <w:r>
        <w:rPr>
          <w:rFonts w:ascii="Times New Roman" w:cs="Times New Roman" w:eastAsia="Times New Roman" w:hAnsi="Times New Roman"/>
          <w:b/>
          <w:bCs/>
          <w:sz w:val="24"/>
          <w:szCs w:val="24"/>
          <w:vertAlign w:val="superscript"/>
        </w:rPr>
        <w:t xml:space="preserve">[24][72][84]</w:t>
      </w:r>
      <w:r>
        <w:rPr>
          <w:rFonts w:ascii="Times New Roman" w:cs="Times New Roman" w:eastAsia="Times New Roman" w:hAnsi="Times New Roman"/>
          <w:sz w:val="24"/>
          <w:szCs w:val="24"/>
        </w:rPr>
        <w:t xml:space="preserve"> Zebrafish embryos exposed to formaldehyde during gastrulation and early organogenesis (3–72 hours post-fertilisation) exhibit dose-dependent developmental abnormalities, cardiovascular defects, and craniofacial dysmorphology at 10–100 µM exposures.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C. elegans studies using the adh-5 loss-of-function genotype (equivalent to mammalian ADH5 deletion) have confirmed the conservation of the formaldehyde detoxification pathway and its importance in protecting against chronic stress.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Drosophila models of Fanconi anaemia pathway components (FANCD2 equivalents) have provided orthogonal confirmation of the role of the FA pathway in formaldehyde resistance. </w:t>
      </w:r>
      <w:r>
        <w:rPr>
          <w:rFonts w:ascii="Times New Roman" w:cs="Times New Roman" w:eastAsia="Times New Roman" w:hAnsi="Times New Roman"/>
          <w:b/>
          <w:bCs/>
          <w:sz w:val="24"/>
          <w:szCs w:val="24"/>
          <w:vertAlign w:val="superscript"/>
        </w:rPr>
        <w:t xml:space="preserve">[24]</w:t>
      </w:r>
      <w:r>
        <w:rPr>
          <w:rFonts w:ascii="Times New Roman" w:cs="Times New Roman" w:eastAsia="Times New Roman" w:hAnsi="Times New Roman"/>
          <w:sz w:val="24"/>
          <w:szCs w:val="24"/>
        </w:rPr>
        <w:t xml:space="preserve"> These non-mammalian systems, while limited in their capacity to model epithelial-specific portal-of-entry toxicity, offer high-throughput chemical and genetic screening capabilities that complement mammalian cell and tissue models.</w:t>
      </w:r>
    </w:p>
    <w:p>
      <w:pPr>
        <w:spacing w:after="120" w:before="280"/>
        <w:jc w:val="left"/>
      </w:pPr>
      <w:r>
        <w:rPr>
          <w:rFonts w:ascii="Times New Roman" w:cs="Times New Roman" w:eastAsia="Times New Roman" w:hAnsi="Times New Roman"/>
          <w:b/>
          <w:bCs/>
          <w:sz w:val="24"/>
          <w:szCs w:val="24"/>
        </w:rPr>
        <w:t xml:space="preserve">Integration with Quantitative Dose-Response Assessment</w:t>
      </w:r>
    </w:p>
    <w:p>
      <w:pPr>
        <w:spacing w:after="120" w:before="60" w:line="300"/>
        <w:jc w:val="both"/>
      </w:pPr>
      <w:r>
        <w:rPr>
          <w:rFonts w:ascii="Times New Roman" w:cs="Times New Roman" w:eastAsia="Times New Roman" w:hAnsi="Times New Roman"/>
          <w:sz w:val="24"/>
          <w:szCs w:val="24"/>
        </w:rPr>
        <w:t xml:space="preserve">Integration of in vitro dose-response data with whole-animal and epidemiological observations requires quantitative in vitro-to-in vivo extrapolation (IVIVE) approaches. </w:t>
      </w:r>
      <w:r>
        <w:rPr>
          <w:rFonts w:ascii="Times New Roman" w:cs="Times New Roman" w:eastAsia="Times New Roman" w:hAnsi="Times New Roman"/>
          <w:b/>
          <w:bCs/>
          <w:sz w:val="24"/>
          <w:szCs w:val="24"/>
          <w:vertAlign w:val="superscript"/>
        </w:rPr>
        <w:t xml:space="preserve">[72][75][84]</w:t>
      </w:r>
      <w:r>
        <w:rPr>
          <w:rFonts w:ascii="Times New Roman" w:cs="Times New Roman" w:eastAsia="Times New Roman" w:hAnsi="Times New Roman"/>
          <w:sz w:val="24"/>
          <w:szCs w:val="24"/>
        </w:rPr>
        <w:t xml:space="preserve"> For formaldehyde, the extensive body of human biomonitoring, nasal and respiratory dosimetry, and cellular kinetics enables a reasonably well-parameterised IVIVE framework. </w:t>
      </w:r>
      <w:r>
        <w:rPr>
          <w:rFonts w:ascii="Times New Roman" w:cs="Times New Roman" w:eastAsia="Times New Roman" w:hAnsi="Times New Roman"/>
          <w:b/>
          <w:bCs/>
          <w:sz w:val="24"/>
          <w:szCs w:val="24"/>
          <w:vertAlign w:val="superscript"/>
        </w:rPr>
        <w:t xml:space="preserve">[17][52][54][58]</w:t>
      </w:r>
      <w:r>
        <w:rPr>
          <w:rFonts w:ascii="Times New Roman" w:cs="Times New Roman" w:eastAsia="Times New Roman" w:hAnsi="Times New Roman"/>
          <w:sz w:val="24"/>
          <w:szCs w:val="24"/>
        </w:rPr>
        <w:t xml:space="preserve"> In vitro concentration-response curves for nasal epithelial cytotoxicity and DPC accumulation, combined with CFD-derived regional flux predictions, allow forward-prediction of the in vivo tissue concentrations corresponding to historical exposure scenarios; the convergence of these prediction with observed animal and human outcomes supports the mechanistic coherence of the in vitro observations. </w:t>
      </w:r>
      <w:r>
        <w:rPr>
          <w:rFonts w:ascii="Times New Roman" w:cs="Times New Roman" w:eastAsia="Times New Roman" w:hAnsi="Times New Roman"/>
          <w:b/>
          <w:bCs/>
          <w:sz w:val="24"/>
          <w:szCs w:val="24"/>
          <w:vertAlign w:val="superscript"/>
        </w:rPr>
        <w:t xml:space="preserve">[52][54][75]</w:t>
      </w:r>
      <w:r>
        <w:rPr>
          <w:rFonts w:ascii="Times New Roman" w:cs="Times New Roman" w:eastAsia="Times New Roman" w:hAnsi="Times New Roman"/>
          <w:sz w:val="24"/>
          <w:szCs w:val="24"/>
        </w:rPr>
        <w:t xml:space="preserve"> Reverse IVIVE — deriving external exposure levels consistent with specific cellular endpoints — is being developed to support regulatory derivation of reference values from in vitro data, as recommended by the Toxicity Testing in the 21st Century paradigm.</w:t>
      </w:r>
      <w:r>
        <w:rPr>
          <w:rFonts w:ascii="Times New Roman" w:cs="Times New Roman" w:eastAsia="Times New Roman" w:hAnsi="Times New Roman"/>
          <w:b/>
          <w:bCs/>
          <w:sz w:val="24"/>
          <w:szCs w:val="24"/>
          <w:vertAlign w:val="superscript"/>
        </w:rPr>
        <w:t xml:space="preserve">[72][84]</w:t>
      </w:r>
    </w:p>
    <w:p>
      <w:r>
        <w:br w:type="page"/>
      </w:r>
    </w:p>
    <w:p>
      <w:pPr>
        <w:spacing w:after="120" w:before="280"/>
        <w:jc w:val="left"/>
      </w:pPr>
      <w:r>
        <w:rPr>
          <w:rFonts w:ascii="Times New Roman" w:cs="Times New Roman" w:eastAsia="Times New Roman" w:hAnsi="Times New Roman"/>
          <w:b/>
          <w:bCs/>
          <w:sz w:val="24"/>
          <w:szCs w:val="24"/>
        </w:rPr>
        <w:t xml:space="preserve">New Approach Methodologies in Formaldehyde Toxicology</w:t>
      </w:r>
    </w:p>
    <w:p>
      <w:pPr>
        <w:spacing w:after="120" w:before="60" w:line="300"/>
        <w:jc w:val="both"/>
      </w:pPr>
      <w:r>
        <w:rPr>
          <w:rFonts w:ascii="Times New Roman" w:cs="Times New Roman" w:eastAsia="Times New Roman" w:hAnsi="Times New Roman"/>
          <w:sz w:val="24"/>
          <w:szCs w:val="24"/>
        </w:rPr>
        <w:t xml:space="preserve">New approach methodologies (NAMs) — non-animal test methods, computational toxicology tools, high-throughput screening, and integrated testing strategies — have been applied extensively to formaldehyde toxicology and represent an active research frontier. </w:t>
      </w:r>
      <w:r>
        <w:rPr>
          <w:rFonts w:ascii="Times New Roman" w:cs="Times New Roman" w:eastAsia="Times New Roman" w:hAnsi="Times New Roman"/>
          <w:b/>
          <w:bCs/>
          <w:sz w:val="24"/>
          <w:szCs w:val="24"/>
          <w:vertAlign w:val="superscript"/>
        </w:rPr>
        <w:t xml:space="preserve">[40][42][52][60][72]</w:t>
      </w:r>
      <w:r>
        <w:rPr>
          <w:rFonts w:ascii="Times New Roman" w:cs="Times New Roman" w:eastAsia="Times New Roman" w:hAnsi="Times New Roman"/>
          <w:sz w:val="24"/>
          <w:szCs w:val="24"/>
        </w:rPr>
        <w:t xml:space="preserve"> The formaldehyde evidence base is unusually data-rich, enabling robust validation of NAM predictions against the substantial body of traditional toxicity test data and human epidemiology. </w:t>
      </w:r>
      <w:r>
        <w:rPr>
          <w:rFonts w:ascii="Times New Roman" w:cs="Times New Roman" w:eastAsia="Times New Roman" w:hAnsi="Times New Roman"/>
          <w:b/>
          <w:bCs/>
          <w:sz w:val="24"/>
          <w:szCs w:val="24"/>
          <w:vertAlign w:val="superscript"/>
        </w:rPr>
        <w:t xml:space="preserve">[40][42][60]</w:t>
      </w:r>
      <w:r>
        <w:rPr>
          <w:rFonts w:ascii="Times New Roman" w:cs="Times New Roman" w:eastAsia="Times New Roman" w:hAnsi="Times New Roman"/>
          <w:sz w:val="24"/>
          <w:szCs w:val="24"/>
        </w:rPr>
        <w:t xml:space="preserve"> This section reviews the application of NAMs to formaldehyde — cellular and tissue models, in silico approaches, high-throughput screening, and integrated strategies — and discusses the implications for future toxicological assessment and regulatory decision-making.</w:t>
      </w:r>
    </w:p>
    <w:p>
      <w:pPr>
        <w:spacing w:after="120" w:before="280"/>
        <w:jc w:val="left"/>
      </w:pPr>
      <w:r>
        <w:rPr>
          <w:rFonts w:ascii="Times New Roman" w:cs="Times New Roman" w:eastAsia="Times New Roman" w:hAnsi="Times New Roman"/>
          <w:b/>
          <w:bCs/>
          <w:sz w:val="24"/>
          <w:szCs w:val="24"/>
        </w:rPr>
        <w:t xml:space="preserve">Cellular and Tissue Model Systems</w:t>
      </w:r>
    </w:p>
    <w:p>
      <w:pPr>
        <w:spacing w:after="120" w:before="60" w:line="300"/>
        <w:jc w:val="both"/>
      </w:pPr>
      <w:r>
        <w:rPr>
          <w:rFonts w:ascii="Times New Roman" w:cs="Times New Roman" w:eastAsia="Times New Roman" w:hAnsi="Times New Roman"/>
          <w:sz w:val="24"/>
          <w:szCs w:val="24"/>
        </w:rPr>
        <w:t xml:space="preserve">Advanced cellular and tissue model systems for formaldehyde include three-dimensional reconstructed tissue models, organ-on-chip platforms, and human induced pluripotent stem cell (iPSC)-derived differentiated cell populations. </w:t>
      </w:r>
      <w:r>
        <w:rPr>
          <w:rFonts w:ascii="Times New Roman" w:cs="Times New Roman" w:eastAsia="Times New Roman" w:hAnsi="Times New Roman"/>
          <w:b/>
          <w:bCs/>
          <w:sz w:val="24"/>
          <w:szCs w:val="24"/>
          <w:vertAlign w:val="superscript"/>
        </w:rPr>
        <w:t xml:space="preserve">[40][42][90]</w:t>
      </w:r>
      <w:r>
        <w:rPr>
          <w:rFonts w:ascii="Times New Roman" w:cs="Times New Roman" w:eastAsia="Times New Roman" w:hAnsi="Times New Roman"/>
          <w:sz w:val="24"/>
          <w:szCs w:val="24"/>
        </w:rPr>
        <w:t xml:space="preserve"> MatTek EpiAirway and SkinEthic Respiratory Tract models are commercial 3D airway epithelial constructs that have been used extensively to characterise formaldehyde cytotoxicity, gene expression responses, and barrier function endpoints; these models show dose-dependent responses at biologically relevant concentrations that correlate with the in vivo toxicology findings. </w:t>
      </w:r>
      <w:r>
        <w:rPr>
          <w:rFonts w:ascii="Times New Roman" w:cs="Times New Roman" w:eastAsia="Times New Roman" w:hAnsi="Times New Roman"/>
          <w:b/>
          <w:bCs/>
          <w:sz w:val="24"/>
          <w:szCs w:val="24"/>
          <w:vertAlign w:val="superscript"/>
        </w:rPr>
        <w:t xml:space="preserve">[40][90]</w:t>
      </w:r>
      <w:r>
        <w:rPr>
          <w:rFonts w:ascii="Times New Roman" w:cs="Times New Roman" w:eastAsia="Times New Roman" w:hAnsi="Times New Roman"/>
          <w:sz w:val="24"/>
          <w:szCs w:val="24"/>
        </w:rPr>
        <w:t xml:space="preserve"> Air-liquid interface (ALI) cultures of primary human bronchial and nasal epithelial cells provide additional fidelity for airway toxicology; repeated exposure protocols (daily applications over 7–28 days) reproduce the hyperplastic and metaplastic responses observed in rodent inhalation bioassays. </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 iPSC-derived haematopoietic and lymphoid cells have been used to evaluate formaldehyde-induced genotoxicity and proliferative disruption at physiologically relevant exposures, contributing to the mechanistic understanding of formaldehyde-associated leukaemia.</w:t>
      </w:r>
    </w:p>
    <w:p>
      <w:pPr>
        <w:spacing w:after="120" w:before="280"/>
        <w:jc w:val="left"/>
      </w:pPr>
      <w:r>
        <w:rPr>
          <w:rFonts w:ascii="Times New Roman" w:cs="Times New Roman" w:eastAsia="Times New Roman" w:hAnsi="Times New Roman"/>
          <w:b/>
          <w:bCs/>
          <w:sz w:val="24"/>
          <w:szCs w:val="24"/>
        </w:rPr>
        <w:t xml:space="preserve">Organ-on-Chip Platforms</w:t>
      </w:r>
    </w:p>
    <w:p>
      <w:pPr>
        <w:spacing w:after="120" w:before="60" w:line="300"/>
        <w:jc w:val="both"/>
      </w:pPr>
      <w:r>
        <w:rPr>
          <w:rFonts w:ascii="Times New Roman" w:cs="Times New Roman" w:eastAsia="Times New Roman" w:hAnsi="Times New Roman"/>
          <w:sz w:val="24"/>
          <w:szCs w:val="24"/>
        </w:rPr>
        <w:t xml:space="preserve">Organ-on-chip platforms for formaldehyde toxicity assessment integrate cell co-cultures, fluidic flow, and mechanical stimuli within microfluidic devices to provide more physiologically relevant in vitro models.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Airway-on-chip devices combining epithelial, endothelial, and immune cell populations with controlled airflow have been used to characterise formaldehyde barrier disruption, inflammatory response, and systemic signalling. </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 Liver-on-chip devices reproducing zonated hepatocyte populations have been applied to characterise formaldehyde metabolism and hepatotoxicity at physiologically relevant flow rates.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Bone-marrow-on-chip and lymphoid-on-chip devices under development will contribute to the mechanistic evaluation of the myeloid leukaemia hypothesis. </w:t>
      </w:r>
      <w:r>
        <w:rPr>
          <w:rFonts w:ascii="Times New Roman" w:cs="Times New Roman" w:eastAsia="Times New Roman" w:hAnsi="Times New Roman"/>
          <w:b/>
          <w:bCs/>
          <w:sz w:val="24"/>
          <w:szCs w:val="24"/>
          <w:vertAlign w:val="superscript"/>
        </w:rPr>
        <w:t xml:space="preserve">[42][60]</w:t>
      </w:r>
      <w:r>
        <w:rPr>
          <w:rFonts w:ascii="Times New Roman" w:cs="Times New Roman" w:eastAsia="Times New Roman" w:hAnsi="Times New Roman"/>
          <w:sz w:val="24"/>
          <w:szCs w:val="24"/>
        </w:rPr>
        <w:t xml:space="preserve"> These emerging platforms offer significant promise for reducing animal use in toxicology while providing increased mechanistic resolution; widespread regulatory acceptance requires demonstration of concordance with traditional endpoints and multi-laboratory reproducibility.</w:t>
      </w:r>
    </w:p>
    <w:p>
      <w:pPr>
        <w:spacing w:after="120" w:before="280"/>
        <w:jc w:val="left"/>
      </w:pPr>
      <w:r>
        <w:rPr>
          <w:rFonts w:ascii="Times New Roman" w:cs="Times New Roman" w:eastAsia="Times New Roman" w:hAnsi="Times New Roman"/>
          <w:b/>
          <w:bCs/>
          <w:sz w:val="24"/>
          <w:szCs w:val="24"/>
        </w:rPr>
        <w:t xml:space="preserve">High-Throughput and High-Content Screening</w:t>
      </w:r>
    </w:p>
    <w:p>
      <w:pPr>
        <w:spacing w:after="120" w:before="60" w:line="300"/>
        <w:jc w:val="both"/>
      </w:pPr>
      <w:r>
        <w:rPr>
          <w:rFonts w:ascii="Times New Roman" w:cs="Times New Roman" w:eastAsia="Times New Roman" w:hAnsi="Times New Roman"/>
          <w:sz w:val="24"/>
          <w:szCs w:val="24"/>
        </w:rPr>
        <w:t xml:space="preserve">High-throughput and high-content screening of formaldehyde in platforms such as ToxCast, Tox21, and specialised mechanistic screens has provided rapid mechanistic characterisation across hundreds of endpoints.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Formaldehyde shows positive signals in assays for cytotoxicity, oxidative stress (ARE activation, glutathione depletion), DNA damage response (p53 activation, γH2AX induction), cell cycle perturbation, and inflammation (NF-κB activation), consistent with the established mechanistic paradigm.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High-content imaging of cellular responses — nuclear size, mitochondrial membrane potential, actin organisation, microtubule integrity — provides cellular-level phenotypic characterisation that complements traditional toxicology endpoints.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The Tox21 receptor and nuclear receptor screening panel shows formaldehyde interactions with several targets at high concentrations but no consistent endocrine disruption at physiologically relevant exposures.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These screening data are integrated with traditional toxicology and epidemiology in the EPA IRIS evidence synthesis and in the IARC Key Characteristics of Carcinogens framework.</w:t>
      </w:r>
    </w:p>
    <w:p>
      <w:pPr>
        <w:spacing w:after="120" w:before="280"/>
        <w:jc w:val="left"/>
      </w:pPr>
      <w:r>
        <w:rPr>
          <w:rFonts w:ascii="Times New Roman" w:cs="Times New Roman" w:eastAsia="Times New Roman" w:hAnsi="Times New Roman"/>
          <w:b/>
          <w:bCs/>
          <w:sz w:val="24"/>
          <w:szCs w:val="24"/>
        </w:rPr>
        <w:t xml:space="preserve">Computational and QSAR Approaches</w:t>
      </w:r>
    </w:p>
    <w:p>
      <w:pPr>
        <w:spacing w:after="120" w:before="60" w:line="300"/>
        <w:jc w:val="both"/>
      </w:pPr>
      <w:r>
        <w:rPr>
          <w:rFonts w:ascii="Times New Roman" w:cs="Times New Roman" w:eastAsia="Times New Roman" w:hAnsi="Times New Roman"/>
          <w:sz w:val="24"/>
          <w:szCs w:val="24"/>
        </w:rPr>
        <w:t xml:space="preserve">Computational toxicology and quantitative structure-activity relationship (QSAR) modelling approaches have been applied to formaldehyde and structural analogues.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In silico modelling of formaldehyde reactivity with DNA bases, protein side chains, and cellular nucleophiles has produced quantitative predictions of adduct formation rates that correlate with experimental measurements. </w:t>
      </w:r>
      <w:r>
        <w:rPr>
          <w:rFonts w:ascii="Times New Roman" w:cs="Times New Roman" w:eastAsia="Times New Roman" w:hAnsi="Times New Roman"/>
          <w:b/>
          <w:bCs/>
          <w:sz w:val="24"/>
          <w:szCs w:val="24"/>
          <w:vertAlign w:val="superscript"/>
        </w:rPr>
        <w:t xml:space="preserve">[52][72]</w:t>
      </w:r>
      <w:r>
        <w:rPr>
          <w:rFonts w:ascii="Times New Roman" w:cs="Times New Roman" w:eastAsia="Times New Roman" w:hAnsi="Times New Roman"/>
          <w:sz w:val="24"/>
          <w:szCs w:val="24"/>
        </w:rPr>
        <w:t xml:space="preserve"> Machine-learning models trained on formaldehyde and related aldehyde/electrophile training sets have generated predictions for reactivity, cytotoxicity, and genotoxicity that show reasonable concordance with experimental measurements. </w:t>
      </w:r>
      <w:r>
        <w:rPr>
          <w:rFonts w:ascii="Times New Roman" w:cs="Times New Roman" w:eastAsia="Times New Roman" w:hAnsi="Times New Roman"/>
          <w:b/>
          <w:bCs/>
          <w:sz w:val="24"/>
          <w:szCs w:val="24"/>
          <w:vertAlign w:val="superscript"/>
        </w:rPr>
        <w:t xml:space="preserve">[42][60]</w:t>
      </w:r>
      <w:r>
        <w:rPr>
          <w:rFonts w:ascii="Times New Roman" w:cs="Times New Roman" w:eastAsia="Times New Roman" w:hAnsi="Times New Roman"/>
          <w:sz w:val="24"/>
          <w:szCs w:val="24"/>
        </w:rPr>
        <w:t xml:space="preserve"> The CompTox Chemicals Dashboard (U.S. EPA) integrates formaldehyde chemical structure, physicochemical properties, hazard and risk information, and bioactivity data from multiple sources to support rapid chemical characterisation. </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 Predictive models for formaldehyde releaser compounds (quaternium-15, DMDM hydantoin, imidazolidinyl urea) have been developed to estimate release kinetics and effective exposure for regulatory and product-safety assessment.</w:t>
      </w:r>
    </w:p>
    <w:p>
      <w:pPr>
        <w:spacing w:after="120" w:before="280"/>
        <w:jc w:val="left"/>
      </w:pPr>
      <w:r>
        <w:rPr>
          <w:rFonts w:ascii="Times New Roman" w:cs="Times New Roman" w:eastAsia="Times New Roman" w:hAnsi="Times New Roman"/>
          <w:b/>
          <w:bCs/>
          <w:sz w:val="24"/>
          <w:szCs w:val="24"/>
        </w:rPr>
        <w:t xml:space="preserve">Adverse Outcome Pathway Frameworks</w:t>
      </w:r>
    </w:p>
    <w:p>
      <w:pPr>
        <w:spacing w:after="120" w:before="60" w:line="300"/>
        <w:jc w:val="both"/>
      </w:pPr>
      <w:r>
        <w:rPr>
          <w:rFonts w:ascii="Times New Roman" w:cs="Times New Roman" w:eastAsia="Times New Roman" w:hAnsi="Times New Roman"/>
          <w:sz w:val="24"/>
          <w:szCs w:val="24"/>
        </w:rPr>
        <w:t xml:space="preserve">Adverse outcome pathway (AOP) frameworks provide structured organisation of the formaldehyde mechanistic evidence linking molecular initiating events to tissue-level and population-level outcomes. </w:t>
      </w:r>
      <w:r>
        <w:rPr>
          <w:rFonts w:ascii="Times New Roman" w:cs="Times New Roman" w:eastAsia="Times New Roman" w:hAnsi="Times New Roman"/>
          <w:b/>
          <w:bCs/>
          <w:sz w:val="24"/>
          <w:szCs w:val="24"/>
          <w:vertAlign w:val="superscript"/>
        </w:rPr>
        <w:t xml:space="preserve">[23][24][40][52][60][72]</w:t>
      </w:r>
      <w:r>
        <w:rPr>
          <w:rFonts w:ascii="Times New Roman" w:cs="Times New Roman" w:eastAsia="Times New Roman" w:hAnsi="Times New Roman"/>
          <w:sz w:val="24"/>
          <w:szCs w:val="24"/>
        </w:rPr>
        <w:t xml:space="preserve"> The formaldehyde DNA-protein cross-link (DPC) AOP (AOP 272 in the OECD AOP-Wiki) links formaldehyde exposure through DPC formation, stalled replication forks, DNA double-strand breaks, chromosomal aberrations, and ultimately tumour formation. </w:t>
      </w:r>
      <w:r>
        <w:rPr>
          <w:rFonts w:ascii="Times New Roman" w:cs="Times New Roman" w:eastAsia="Times New Roman" w:hAnsi="Times New Roman"/>
          <w:b/>
          <w:bCs/>
          <w:sz w:val="24"/>
          <w:szCs w:val="24"/>
          <w:vertAlign w:val="superscript"/>
        </w:rPr>
        <w:t xml:space="preserve">[23][24][52]</w:t>
      </w:r>
      <w:r>
        <w:rPr>
          <w:rFonts w:ascii="Times New Roman" w:cs="Times New Roman" w:eastAsia="Times New Roman" w:hAnsi="Times New Roman"/>
          <w:sz w:val="24"/>
          <w:szCs w:val="24"/>
        </w:rPr>
        <w:t xml:space="preserve"> The formaldehyde respiratory irritation AOP (AOP 39) links formaldehyde sensory nerve activation, neurogenic inflammation, and altered respiratory function.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Quantitative AOP (qAOP) models with mathematical expressions of each key event relationship enable prediction of dose-response relationships from first principles; formaldehyde qAOP models are being developed by international collaborative projects including OECD Task Forces and the European PARC (Partnership for the Assessment of Risks from Chemicals).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These frameworks are increasingly integrated into regulatory risk assessment and provide a structured basis for NAM-based decision-making.</w:t>
      </w:r>
    </w:p>
    <w:p>
      <w:pPr>
        <w:spacing w:after="120" w:before="280"/>
        <w:jc w:val="left"/>
      </w:pPr>
      <w:r>
        <w:rPr>
          <w:rFonts w:ascii="Times New Roman" w:cs="Times New Roman" w:eastAsia="Times New Roman" w:hAnsi="Times New Roman"/>
          <w:b/>
          <w:bCs/>
          <w:sz w:val="24"/>
          <w:szCs w:val="24"/>
        </w:rPr>
        <w:t xml:space="preserve">Integrated Testing Strategies</w:t>
      </w:r>
    </w:p>
    <w:p>
      <w:pPr>
        <w:spacing w:after="120" w:before="60" w:line="300"/>
        <w:jc w:val="both"/>
      </w:pPr>
      <w:r>
        <w:rPr>
          <w:rFonts w:ascii="Times New Roman" w:cs="Times New Roman" w:eastAsia="Times New Roman" w:hAnsi="Times New Roman"/>
          <w:sz w:val="24"/>
          <w:szCs w:val="24"/>
        </w:rPr>
        <w:t xml:space="preserve">Integrated Testing Strategies (ITS) combine multiple information sources — existing in vivo data, in vitro assays, in silico predictions, and exposure data — to make toxicological decisions without necessarily requiring new animal testing.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ECHA and member state authorities have applied ITS to formaldehyde re-evaluation under REACH to characterise hazards where existing data are adequate and to design targeted studies where gaps remain. </w:t>
      </w:r>
      <w:r>
        <w:rPr>
          <w:rFonts w:ascii="Times New Roman" w:cs="Times New Roman" w:eastAsia="Times New Roman" w:hAnsi="Times New Roman"/>
          <w:b/>
          <w:bCs/>
          <w:sz w:val="24"/>
          <w:szCs w:val="24"/>
          <w:vertAlign w:val="superscript"/>
        </w:rPr>
        <w:t xml:space="preserve">[26][60][72]</w:t>
      </w:r>
      <w:r>
        <w:rPr>
          <w:rFonts w:ascii="Times New Roman" w:cs="Times New Roman" w:eastAsia="Times New Roman" w:hAnsi="Times New Roman"/>
          <w:sz w:val="24"/>
          <w:szCs w:val="24"/>
        </w:rPr>
        <w:t xml:space="preserve"> The OECD Test Guideline Programme and the Mutual Acceptance of Data framework support international recognition of ITS outputs for regulatory purposes.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NAM-based defined approaches for skin sensitisation (DA 2o3 for the REACH and the OECD framework) classify formaldehyde as a strong sensitiser based on DPRA, KeratinoSens, and h-CLAT results — concordant with the in vivo LLNA and human clinical experience. </w:t>
      </w:r>
      <w:r>
        <w:rPr>
          <w:rFonts w:ascii="Times New Roman" w:cs="Times New Roman" w:eastAsia="Times New Roman" w:hAnsi="Times New Roman"/>
          <w:b/>
          <w:bCs/>
          <w:sz w:val="24"/>
          <w:szCs w:val="24"/>
          <w:vertAlign w:val="superscript"/>
        </w:rPr>
        <w:t xml:space="preserve">[72][87]</w:t>
      </w:r>
      <w:r>
        <w:rPr>
          <w:rFonts w:ascii="Times New Roman" w:cs="Times New Roman" w:eastAsia="Times New Roman" w:hAnsi="Times New Roman"/>
          <w:sz w:val="24"/>
          <w:szCs w:val="24"/>
        </w:rPr>
        <w:t xml:space="preserve"> Similar defined approaches for eye irritation, skin irritation, and acute systemic toxicity provide NAM-based alternatives to historical animal testing.</w:t>
      </w:r>
    </w:p>
    <w:p>
      <w:pPr>
        <w:spacing w:after="120" w:before="280"/>
        <w:jc w:val="left"/>
      </w:pPr>
      <w:r>
        <w:rPr>
          <w:rFonts w:ascii="Times New Roman" w:cs="Times New Roman" w:eastAsia="Times New Roman" w:hAnsi="Times New Roman"/>
          <w:b/>
          <w:bCs/>
          <w:sz w:val="24"/>
          <w:szCs w:val="24"/>
        </w:rPr>
        <w:t xml:space="preserve">Genomic and Epigenomic Profiling</w:t>
      </w:r>
    </w:p>
    <w:p>
      <w:pPr>
        <w:spacing w:after="120" w:before="60" w:line="300"/>
        <w:jc w:val="both"/>
      </w:pPr>
      <w:r>
        <w:rPr>
          <w:rFonts w:ascii="Times New Roman" w:cs="Times New Roman" w:eastAsia="Times New Roman" w:hAnsi="Times New Roman"/>
          <w:sz w:val="24"/>
          <w:szCs w:val="24"/>
        </w:rPr>
        <w:t xml:space="preserve">Genomic and epigenomic profiling of formaldehyde-exposed cells and tissues has provided high-dimensional characterisation of response patterns. </w:t>
      </w:r>
      <w:r>
        <w:rPr>
          <w:rFonts w:ascii="Times New Roman" w:cs="Times New Roman" w:eastAsia="Times New Roman" w:hAnsi="Times New Roman"/>
          <w:b/>
          <w:bCs/>
          <w:sz w:val="24"/>
          <w:szCs w:val="24"/>
          <w:vertAlign w:val="superscript"/>
        </w:rPr>
        <w:t xml:space="preserve">[24][40][42][90]</w:t>
      </w:r>
      <w:r>
        <w:rPr>
          <w:rFonts w:ascii="Times New Roman" w:cs="Times New Roman" w:eastAsia="Times New Roman" w:hAnsi="Times New Roman"/>
          <w:sz w:val="24"/>
          <w:szCs w:val="24"/>
        </w:rPr>
        <w:t xml:space="preserve"> Transcriptomic profiling of nasal epithelial cells exposed to formaldehyde identifies up-regulation of DNA repair genes (ATM, FANCD2, BRCA1, PARP1), inflammatory mediators (IL-6, IL-8, TNF, CXCL1), and oxidative stress response genes (HMOX1, NFE2L2, NQO1), alongside down-regulation of cell cycle and differentiation genes.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Chromatin accessibility (ATAC-seq), histone modification (ChIP-seq for H3K4me3, H3K27ac, H3K27me3), and DNA methylation (WGBS, array-based methylation) profiling reveal epigenetic reprogramming following formaldehyde exposure. </w:t>
      </w:r>
      <w:r>
        <w:rPr>
          <w:rFonts w:ascii="Times New Roman" w:cs="Times New Roman" w:eastAsia="Times New Roman" w:hAnsi="Times New Roman"/>
          <w:b/>
          <w:bCs/>
          <w:sz w:val="24"/>
          <w:szCs w:val="24"/>
          <w:vertAlign w:val="superscript"/>
        </w:rPr>
        <w:t xml:space="preserve">[24][40]</w:t>
      </w:r>
      <w:r>
        <w:rPr>
          <w:rFonts w:ascii="Times New Roman" w:cs="Times New Roman" w:eastAsia="Times New Roman" w:hAnsi="Times New Roman"/>
          <w:sz w:val="24"/>
          <w:szCs w:val="24"/>
        </w:rPr>
        <w:t xml:space="preserve"> Single-cell RNA sequencing of nasal and respiratory tract tissues provides cell-type-specific characterisation of formaldehyde response, identifying sub-populations with enhanced susceptibility or resilience.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These multi-omic data feed into systems-level quantitative AOP models and inform biomarker discovery for population surveillance.</w:t>
      </w:r>
    </w:p>
    <w:p>
      <w:pPr>
        <w:spacing w:after="120" w:before="280"/>
        <w:jc w:val="left"/>
      </w:pPr>
      <w:r>
        <w:rPr>
          <w:rFonts w:ascii="Times New Roman" w:cs="Times New Roman" w:eastAsia="Times New Roman" w:hAnsi="Times New Roman"/>
          <w:b/>
          <w:bCs/>
          <w:sz w:val="24"/>
          <w:szCs w:val="24"/>
        </w:rPr>
        <w:t xml:space="preserve">Regulatory Acceptance and Validation</w:t>
      </w:r>
    </w:p>
    <w:p>
      <w:pPr>
        <w:spacing w:after="120" w:before="60" w:line="300"/>
        <w:jc w:val="both"/>
      </w:pPr>
      <w:r>
        <w:rPr>
          <w:rFonts w:ascii="Times New Roman" w:cs="Times New Roman" w:eastAsia="Times New Roman" w:hAnsi="Times New Roman"/>
          <w:sz w:val="24"/>
          <w:szCs w:val="24"/>
        </w:rPr>
        <w:t xml:space="preserve">Regulatory acceptance of NAMs for formaldehyde and other substances requires formal validation demonstrating reproducibility, relevance, and concordance with existing in vivo data and human outcomes.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OECD Test Guidelines 404, 437, 442D, 442E, 487, 489, and others provide validated NAM methods with Mutual Acceptance of Data status.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The EU Directive 2010/63/EU on the protection of animals used for scientific purposes mandates the 3Rs (Replace, Reduce, Refine) principle and drives progressive adoption of NAMs for European regulatory testing.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U.S. EPA has adopted a strategic plan to reduce mammalian animal testing by 2035 through systematic NAM adoption; formaldehyde's rich existing dataset makes it a natural test case for NAM-based approaches.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International collaboration through PARC, the OECD, and the International Cooperation on Alternative Test Methods (ICATM) supports harmonised NAM development and adoption across jurisdictions.</w:t>
      </w:r>
    </w:p>
    <w:p>
      <w:pPr>
        <w:spacing w:after="120" w:before="280"/>
        <w:jc w:val="left"/>
      </w:pPr>
      <w:r>
        <w:rPr>
          <w:rFonts w:ascii="Times New Roman" w:cs="Times New Roman" w:eastAsia="Times New Roman" w:hAnsi="Times New Roman"/>
          <w:b/>
          <w:bCs/>
          <w:sz w:val="24"/>
          <w:szCs w:val="24"/>
        </w:rPr>
        <w:t xml:space="preserve">Challenges and Limitations</w:t>
      </w:r>
    </w:p>
    <w:p>
      <w:pPr>
        <w:spacing w:after="120" w:before="60" w:line="300"/>
        <w:jc w:val="both"/>
      </w:pPr>
      <w:r>
        <w:rPr>
          <w:rFonts w:ascii="Times New Roman" w:cs="Times New Roman" w:eastAsia="Times New Roman" w:hAnsi="Times New Roman"/>
          <w:sz w:val="24"/>
          <w:szCs w:val="24"/>
        </w:rPr>
        <w:t xml:space="preserve">Despite substantial progress, NAM application to formaldehyde toxicology faces several persistent challenges.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Tissue-specific responses — particularly for systemic effects following inhalation exposure — are incompletely captured by current in vitro models; translation to whole-organism dose-response remains an active research problem. </w:t>
      </w:r>
      <w:r>
        <w:rPr>
          <w:rFonts w:ascii="Times New Roman" w:cs="Times New Roman" w:eastAsia="Times New Roman" w:hAnsi="Times New Roman"/>
          <w:b/>
          <w:bCs/>
          <w:sz w:val="24"/>
          <w:szCs w:val="24"/>
          <w:vertAlign w:val="superscript"/>
        </w:rPr>
        <w:t xml:space="preserve">[42][52]</w:t>
      </w:r>
      <w:r>
        <w:rPr>
          <w:rFonts w:ascii="Times New Roman" w:cs="Times New Roman" w:eastAsia="Times New Roman" w:hAnsi="Times New Roman"/>
          <w:sz w:val="24"/>
          <w:szCs w:val="24"/>
        </w:rPr>
        <w:t xml:space="preserve"> Chronic effects (multi-year exposure, cancer development, immune dysregulation) are difficult to replicate in short-duration in vitro systems; extrapolation from short-term molecular changes to long-term disease outcomes introduces substantial uncertainty. </w:t>
      </w:r>
      <w:r>
        <w:rPr>
          <w:rFonts w:ascii="Times New Roman" w:cs="Times New Roman" w:eastAsia="Times New Roman" w:hAnsi="Times New Roman"/>
          <w:b/>
          <w:bCs/>
          <w:sz w:val="24"/>
          <w:szCs w:val="24"/>
          <w:vertAlign w:val="superscript"/>
        </w:rPr>
        <w:t xml:space="preserve">[42][60]</w:t>
      </w:r>
      <w:r>
        <w:rPr>
          <w:rFonts w:ascii="Times New Roman" w:cs="Times New Roman" w:eastAsia="Times New Roman" w:hAnsi="Times New Roman"/>
          <w:sz w:val="24"/>
          <w:szCs w:val="24"/>
        </w:rPr>
        <w:t xml:space="preserve"> Inter-individual variability — critical for population-level risk assessment — requires donor-diverse cellular platforms that are not yet standardised. </w:t>
      </w:r>
      <w:r>
        <w:rPr>
          <w:rFonts w:ascii="Times New Roman" w:cs="Times New Roman" w:eastAsia="Times New Roman" w:hAnsi="Times New Roman"/>
          <w:b/>
          <w:bCs/>
          <w:sz w:val="24"/>
          <w:szCs w:val="24"/>
          <w:vertAlign w:val="superscript"/>
        </w:rPr>
        <w:t xml:space="preserve">[42][90]</w:t>
      </w:r>
      <w:r>
        <w:rPr>
          <w:rFonts w:ascii="Times New Roman" w:cs="Times New Roman" w:eastAsia="Times New Roman" w:hAnsi="Times New Roman"/>
          <w:sz w:val="24"/>
          <w:szCs w:val="24"/>
        </w:rPr>
        <w:t xml:space="preserve"> Regulatory confidence in NAM-only decision-making for novel chemicals (as opposed to data-rich chemicals like formaldehyde) is limited, and parallel in vivo testing continues for most regulatory submissions. Continued methodological development, validation, and inter-laboratory reproducibility work will progressively address these challenges over the coming decade.</w:t>
      </w:r>
    </w:p>
    <w:p>
      <w:r>
        <w:br w:type="page"/>
      </w:r>
    </w:p>
    <w:p>
      <w:pPr>
        <w:spacing w:after="120" w:before="280"/>
        <w:jc w:val="left"/>
      </w:pPr>
      <w:r>
        <w:rPr>
          <w:rFonts w:ascii="Times New Roman" w:cs="Times New Roman" w:eastAsia="Times New Roman" w:hAnsi="Times New Roman"/>
          <w:b/>
          <w:bCs/>
          <w:sz w:val="24"/>
          <w:szCs w:val="24"/>
        </w:rPr>
        <w:t xml:space="preserve">Toxicokinetics — Absorption</w:t>
      </w:r>
    </w:p>
    <w:p>
      <w:pPr>
        <w:spacing w:after="120" w:before="60" w:line="300"/>
        <w:jc w:val="both"/>
      </w:pPr>
      <w:r>
        <w:rPr>
          <w:rFonts w:ascii="Times New Roman" w:cs="Times New Roman" w:eastAsia="Times New Roman" w:hAnsi="Times New Roman"/>
          <w:sz w:val="24"/>
          <w:szCs w:val="24"/>
        </w:rPr>
        <w:t xml:space="preserve">Formaldehyde is absorbed virtually completely at the mucosal surface of the upper respiratory tract following inhalation exposure; in rats approximately 93 % of inhaled formaldehyde is extracted by the nasal passages at moderate minute-volumes, a figure reduced to approximately 76 % in dogs and modelled at 57–76 % in resting humans depending on breathing frequency and pattern. </w:t>
      </w:r>
      <w:r>
        <w:rPr>
          <w:rFonts w:ascii="Times New Roman" w:cs="Times New Roman" w:eastAsia="Times New Roman" w:hAnsi="Times New Roman"/>
          <w:b/>
          <w:bCs/>
          <w:sz w:val="24"/>
          <w:szCs w:val="24"/>
          <w:vertAlign w:val="superscript"/>
        </w:rPr>
        <w:t xml:space="preserve">[52][54][64]</w:t>
      </w:r>
      <w:r>
        <w:rPr>
          <w:rFonts w:ascii="Times New Roman" w:cs="Times New Roman" w:eastAsia="Times New Roman" w:hAnsi="Times New Roman"/>
          <w:sz w:val="24"/>
          <w:szCs w:val="24"/>
        </w:rPr>
        <w:t xml:space="preserve"> The remaining fraction reaches the trachea, bronchi, and pulmonary parenchyma where absorption is again near-complete at moderate concentrations. Absorption kinetics are first-order at environmentally relevant concentrations and follow Michaelis-Menten saturation above approximately 4 ppm due to saturation of epithelial GSH-dependent detoxification. </w:t>
      </w:r>
      <w:r>
        <w:rPr>
          <w:rFonts w:ascii="Times New Roman" w:cs="Times New Roman" w:eastAsia="Times New Roman" w:hAnsi="Times New Roman"/>
          <w:b/>
          <w:bCs/>
          <w:sz w:val="24"/>
          <w:szCs w:val="24"/>
          <w:vertAlign w:val="superscript"/>
        </w:rPr>
        <w:t xml:space="preserve">[50][54]</w:t>
      </w:r>
      <w:r>
        <w:rPr>
          <w:rFonts w:ascii="Times New Roman" w:cs="Times New Roman" w:eastAsia="Times New Roman" w:hAnsi="Times New Roman"/>
          <w:sz w:val="24"/>
          <w:szCs w:val="24"/>
        </w:rPr>
        <w:t xml:space="preserve"> Oral absorption is also rapid and extensive; formaldehyde ingested as formaldehyde or as hydroxymethyl-glutathione is metabolised extensively on first-pass by gut and hepatic ADH5/ALDH2 systems, limiting systemic delivery of unchanged formaldehyde to blood. </w:t>
      </w:r>
      <w:r>
        <w:rPr>
          <w:rFonts w:ascii="Times New Roman" w:cs="Times New Roman" w:eastAsia="Times New Roman" w:hAnsi="Times New Roman"/>
          <w:b/>
          <w:bCs/>
          <w:sz w:val="24"/>
          <w:szCs w:val="24"/>
          <w:vertAlign w:val="superscript"/>
        </w:rPr>
        <w:t xml:space="preserve">[64][65]</w:t>
      </w:r>
      <w:r>
        <w:rPr>
          <w:rFonts w:ascii="Times New Roman" w:cs="Times New Roman" w:eastAsia="Times New Roman" w:hAnsi="Times New Roman"/>
          <w:sz w:val="24"/>
          <w:szCs w:val="24"/>
        </w:rPr>
        <w:t xml:space="preserve"> Dermal absorption of vapours and aqueous formalin is limited (&lt; 0.2 % for aqueous solutions in vitro) but sufficient to cause contact dermatitis and systemic sensitisation when repeated exposure breaches stratum corneum integrity.</w:t>
      </w:r>
      <w:r>
        <w:rPr>
          <w:rFonts w:ascii="Times New Roman" w:cs="Times New Roman" w:eastAsia="Times New Roman" w:hAnsi="Times New Roman"/>
          <w:b/>
          <w:bCs/>
          <w:sz w:val="24"/>
          <w:szCs w:val="24"/>
          <w:vertAlign w:val="superscript"/>
        </w:rPr>
        <w:t xml:space="preserve">[19][50]</w:t>
      </w:r>
    </w:p>
    <w:p>
      <w:pPr>
        <w:spacing w:after="120" w:before="280"/>
        <w:jc w:val="left"/>
      </w:pPr>
      <w:r>
        <w:rPr>
          <w:rFonts w:ascii="Times New Roman" w:cs="Times New Roman" w:eastAsia="Times New Roman" w:hAnsi="Times New Roman"/>
          <w:b/>
          <w:bCs/>
          <w:sz w:val="24"/>
          <w:szCs w:val="24"/>
        </w:rPr>
        <w:t xml:space="preserve">Distribution</w:t>
      </w:r>
    </w:p>
    <w:p>
      <w:pPr>
        <w:spacing w:after="120" w:before="60" w:line="300"/>
        <w:jc w:val="both"/>
      </w:pPr>
      <w:r>
        <w:rPr>
          <w:rFonts w:ascii="Times New Roman" w:cs="Times New Roman" w:eastAsia="Times New Roman" w:hAnsi="Times New Roman"/>
          <w:sz w:val="24"/>
          <w:szCs w:val="24"/>
        </w:rPr>
        <w:t xml:space="preserve">Following the brief period of unchanged formaldehyde in blood, distribution is dominated by the stable metabolites formate, methanol, and S-formylglutathione; systemic blood concentrations of free formaldehyde are tightly regulated in the low micromolar range (40–100 µM) by the ubiquitous ADH5 system. </w:t>
      </w:r>
      <w:r>
        <w:rPr>
          <w:rFonts w:ascii="Times New Roman" w:cs="Times New Roman" w:eastAsia="Times New Roman" w:hAnsi="Times New Roman"/>
          <w:b/>
          <w:bCs/>
          <w:sz w:val="24"/>
          <w:szCs w:val="24"/>
          <w:vertAlign w:val="superscript"/>
        </w:rPr>
        <w:t xml:space="preserve">[17][64][73]</w:t>
      </w:r>
      <w:r>
        <w:rPr>
          <w:rFonts w:ascii="Times New Roman" w:cs="Times New Roman" w:eastAsia="Times New Roman" w:hAnsi="Times New Roman"/>
          <w:sz w:val="24"/>
          <w:szCs w:val="24"/>
        </w:rPr>
        <w:t xml:space="preserve"> Stable isotope experiments with [¹³CD₂]-formaldehyde administered to rats and non-human primates demonstrated that exogenous formaldehyde-derived carbon enters the one-carbon pool and is detected in hepatic protein adducts and in urinary formate within 2 hours of exposure, but does not exceed the endogenous labelled-carbon background in peripheral leukocytes at ambient exposure concentrations.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The principal implication for toxicology is that chronic inhalation of formaldehyde at typical occupational concentrations does not measurably raise systemic blood formaldehyde concentrations; the proximate target tissues where exogenous dose dominates are the nasal respiratory and olfactory epithelium.</w:t>
      </w:r>
      <w:r>
        <w:rPr>
          <w:rFonts w:ascii="Times New Roman" w:cs="Times New Roman" w:eastAsia="Times New Roman" w:hAnsi="Times New Roman"/>
          <w:b/>
          <w:bCs/>
          <w:sz w:val="24"/>
          <w:szCs w:val="24"/>
          <w:vertAlign w:val="superscript"/>
        </w:rPr>
        <w:t xml:space="preserve">[18][52][58]</w:t>
      </w:r>
    </w:p>
    <w:p>
      <w:pPr>
        <w:spacing w:after="120" w:before="280"/>
        <w:jc w:val="left"/>
      </w:pPr>
      <w:r>
        <w:rPr>
          <w:rFonts w:ascii="Times New Roman" w:cs="Times New Roman" w:eastAsia="Times New Roman" w:hAnsi="Times New Roman"/>
          <w:b/>
          <w:bCs/>
          <w:sz w:val="24"/>
          <w:szCs w:val="24"/>
        </w:rPr>
        <w:t xml:space="preserve">Metabolism</w:t>
      </w:r>
    </w:p>
    <w:p>
      <w:pPr>
        <w:spacing w:after="120" w:before="60" w:line="300"/>
        <w:jc w:val="both"/>
      </w:pPr>
      <w:r>
        <w:rPr>
          <w:rFonts w:ascii="Times New Roman" w:cs="Times New Roman" w:eastAsia="Times New Roman" w:hAnsi="Times New Roman"/>
          <w:sz w:val="24"/>
          <w:szCs w:val="24"/>
        </w:rPr>
        <w:t xml:space="preserve">The principal metabolic fate of formaldehyde is oxidation to formate via the GSH-dependent ADH5/FDH enzyme (EC 1.1.1.284), which catalyses the oxidation of S-hydroxymethylglutathione (the spontaneous adduct of formaldehyde with glutathione) to S-formylglutathione. </w:t>
      </w:r>
      <w:r>
        <w:rPr>
          <w:rFonts w:ascii="Times New Roman" w:cs="Times New Roman" w:eastAsia="Times New Roman" w:hAnsi="Times New Roman"/>
          <w:b/>
          <w:bCs/>
          <w:sz w:val="24"/>
          <w:szCs w:val="24"/>
          <w:vertAlign w:val="superscript"/>
        </w:rPr>
        <w:t xml:space="preserve">[21][64][73]</w:t>
      </w:r>
      <w:r>
        <w:rPr>
          <w:rFonts w:ascii="Times New Roman" w:cs="Times New Roman" w:eastAsia="Times New Roman" w:hAnsi="Times New Roman"/>
          <w:sz w:val="24"/>
          <w:szCs w:val="24"/>
        </w:rPr>
        <w:t xml:space="preserve"> S-formylglutathione is hydrolysed by esterase D (ESD) to release formate and regenerate glutathione. Formate is further oxidised via the folate cycle: 10-formyltetrahydrofolate is produced by 10-formyl-THF synthetase, and the formate carbon enters one-carbon biosynthesis for purine, thymidylate, and methionine synthesis, with excess formate disposed as CO₂ via 10-formyl-THF dehydrogenase or excreted as free formate in urine. </w:t>
      </w:r>
      <w:r>
        <w:rPr>
          <w:rFonts w:ascii="Times New Roman" w:cs="Times New Roman" w:eastAsia="Times New Roman" w:hAnsi="Times New Roman"/>
          <w:b/>
          <w:bCs/>
          <w:sz w:val="24"/>
          <w:szCs w:val="24"/>
          <w:vertAlign w:val="superscript"/>
        </w:rPr>
        <w:t xml:space="preserve">[64][65][73]</w:t>
      </w:r>
      <w:r>
        <w:rPr>
          <w:rFonts w:ascii="Times New Roman" w:cs="Times New Roman" w:eastAsia="Times New Roman" w:hAnsi="Times New Roman"/>
          <w:sz w:val="24"/>
          <w:szCs w:val="24"/>
        </w:rPr>
        <w:t xml:space="preserve"> The kinetics of this system sustain a mass balance in which the majority of an administered formaldehyde dose is recovered as exhaled CO₂ within 8 hours in rats and primates. </w:t>
      </w:r>
      <w:r>
        <w:rPr>
          <w:rFonts w:ascii="Times New Roman" w:cs="Times New Roman" w:eastAsia="Times New Roman" w:hAnsi="Times New Roman"/>
          <w:b/>
          <w:bCs/>
          <w:sz w:val="24"/>
          <w:szCs w:val="24"/>
          <w:vertAlign w:val="superscript"/>
        </w:rPr>
        <w:t xml:space="preserve">[64][73]</w:t>
      </w:r>
    </w:p>
    <w:p>
      <w:pPr>
        <w:spacing w:after="120" w:before="60" w:line="300"/>
        <w:jc w:val="both"/>
      </w:pPr>
      <w:r>
        <w:rPr>
          <w:rFonts w:ascii="Times New Roman" w:cs="Times New Roman" w:eastAsia="Times New Roman" w:hAnsi="Times New Roman"/>
          <w:sz w:val="24"/>
          <w:szCs w:val="24"/>
        </w:rPr>
        <w:t xml:space="preserve">Minor oxidative pathways include ALDH2, ALDH1A1, and cytochrome P450 2E1, though their quantitative contribution is limited. </w:t>
      </w:r>
      <w:r>
        <w:rPr>
          <w:rFonts w:ascii="Times New Roman" w:cs="Times New Roman" w:eastAsia="Times New Roman" w:hAnsi="Times New Roman"/>
          <w:b/>
          <w:bCs/>
          <w:sz w:val="24"/>
          <w:szCs w:val="24"/>
          <w:vertAlign w:val="superscript"/>
        </w:rPr>
        <w:t xml:space="preserve">[50][65][73]</w:t>
      </w:r>
      <w:r>
        <w:rPr>
          <w:rFonts w:ascii="Times New Roman" w:cs="Times New Roman" w:eastAsia="Times New Roman" w:hAnsi="Times New Roman"/>
          <w:sz w:val="24"/>
          <w:szCs w:val="24"/>
        </w:rPr>
        <w:t xml:space="preserve"> Peroxidase-mediated oxidation and spontaneous Cannizzaro disproportionation also occur to a small extent. Reduction of formaldehyde to methanol is slow and accounts for less than 1 % of an administered dose. </w:t>
      </w:r>
      <w:r>
        <w:rPr>
          <w:rFonts w:ascii="Times New Roman" w:cs="Times New Roman" w:eastAsia="Times New Roman" w:hAnsi="Times New Roman"/>
          <w:b/>
          <w:bCs/>
          <w:sz w:val="24"/>
          <w:szCs w:val="24"/>
          <w:vertAlign w:val="superscript"/>
        </w:rPr>
        <w:t xml:space="preserve">[64]</w:t>
      </w:r>
      <w:r>
        <w:rPr>
          <w:rFonts w:ascii="Times New Roman" w:cs="Times New Roman" w:eastAsia="Times New Roman" w:hAnsi="Times New Roman"/>
          <w:sz w:val="24"/>
          <w:szCs w:val="24"/>
        </w:rPr>
        <w:t xml:space="preserve"> Polymorphisms in ADH5 (rs71538070), ALDH2 (rs671), and the folate-cycle enzymes MTHFR (rs1801133) and SHMT1 influence individual formaldehyde-handling capacity and have been examined as effect modifiers in gene-environment epidemiological studies of occupational cohorts.</w:t>
      </w:r>
      <w:r>
        <w:rPr>
          <w:rFonts w:ascii="Times New Roman" w:cs="Times New Roman" w:eastAsia="Times New Roman" w:hAnsi="Times New Roman"/>
          <w:b/>
          <w:bCs/>
          <w:sz w:val="24"/>
          <w:szCs w:val="24"/>
          <w:vertAlign w:val="superscript"/>
        </w:rPr>
        <w:t xml:space="preserve">[21][66][73]</w:t>
      </w:r>
    </w:p>
    <w:p>
      <w:pPr>
        <w:spacing w:after="120" w:before="280"/>
        <w:jc w:val="left"/>
      </w:pPr>
      <w:r>
        <w:rPr>
          <w:rFonts w:ascii="Times New Roman" w:cs="Times New Roman" w:eastAsia="Times New Roman" w:hAnsi="Times New Roman"/>
          <w:b/>
          <w:bCs/>
          <w:sz w:val="24"/>
          <w:szCs w:val="24"/>
        </w:rPr>
        <w:t xml:space="preserve">Excretion</w:t>
      </w:r>
    </w:p>
    <w:p>
      <w:pPr>
        <w:spacing w:after="120" w:before="60" w:line="300"/>
        <w:jc w:val="both"/>
      </w:pPr>
      <w:r>
        <w:rPr>
          <w:rFonts w:ascii="Times New Roman" w:cs="Times New Roman" w:eastAsia="Times New Roman" w:hAnsi="Times New Roman"/>
          <w:sz w:val="24"/>
          <w:szCs w:val="24"/>
        </w:rPr>
        <w:t xml:space="preserve">The major route of elimination is exhaled CO₂ (~80 % of a metabolised dose), with urinary formate (~10 %) and incorporation into biomolecules (~8 %) accounting for the remainder. </w:t>
      </w:r>
      <w:r>
        <w:rPr>
          <w:rFonts w:ascii="Times New Roman" w:cs="Times New Roman" w:eastAsia="Times New Roman" w:hAnsi="Times New Roman"/>
          <w:b/>
          <w:bCs/>
          <w:sz w:val="24"/>
          <w:szCs w:val="24"/>
          <w:vertAlign w:val="superscript"/>
        </w:rPr>
        <w:t xml:space="preserve">[64][73]</w:t>
      </w:r>
      <w:r>
        <w:rPr>
          <w:rFonts w:ascii="Times New Roman" w:cs="Times New Roman" w:eastAsia="Times New Roman" w:hAnsi="Times New Roman"/>
          <w:sz w:val="24"/>
          <w:szCs w:val="24"/>
        </w:rPr>
        <w:t xml:space="preserve"> Urinary formate is increased modestly above background after occupational exposures exceeding 0.5 ppm, and has been evaluated as a non-specific biomarker in workplace surveillance; its short half-life (~45 min) limits its utility as a marker of chronic exposure. </w:t>
      </w:r>
      <w:r>
        <w:rPr>
          <w:rFonts w:ascii="Times New Roman" w:cs="Times New Roman" w:eastAsia="Times New Roman" w:hAnsi="Times New Roman"/>
          <w:b/>
          <w:bCs/>
          <w:sz w:val="24"/>
          <w:szCs w:val="24"/>
          <w:vertAlign w:val="superscript"/>
        </w:rPr>
        <w:t xml:space="preserve">[73][74]</w:t>
      </w:r>
      <w:r>
        <w:rPr>
          <w:rFonts w:ascii="Times New Roman" w:cs="Times New Roman" w:eastAsia="Times New Roman" w:hAnsi="Times New Roman"/>
          <w:sz w:val="24"/>
          <w:szCs w:val="24"/>
        </w:rPr>
        <w:t xml:space="preserve"> Biliary excretion is minor. Breast-milk concentrations of formaldehyde are indistinguishable from endogenous background in non-exposed women, and placental transfer appears limited to the formate metabolite at normal ambient exposures.</w:t>
      </w:r>
      <w:r>
        <w:rPr>
          <w:rFonts w:ascii="Times New Roman" w:cs="Times New Roman" w:eastAsia="Times New Roman" w:hAnsi="Times New Roman"/>
          <w:b/>
          <w:bCs/>
          <w:sz w:val="24"/>
          <w:szCs w:val="24"/>
          <w:vertAlign w:val="superscript"/>
        </w:rPr>
        <w:t xml:space="preserve">[64][73]</w:t>
      </w:r>
    </w:p>
    <w:p>
      <w:pPr>
        <w:spacing w:after="120" w:before="280"/>
        <w:jc w:val="left"/>
      </w:pPr>
      <w:r>
        <w:rPr>
          <w:rFonts w:ascii="Times New Roman" w:cs="Times New Roman" w:eastAsia="Times New Roman" w:hAnsi="Times New Roman"/>
          <w:b/>
          <w:bCs/>
          <w:sz w:val="24"/>
          <w:szCs w:val="24"/>
        </w:rPr>
        <w:t xml:space="preserve">Physiologically Based Pharmacokinetic (PBPK) Modelling</w:t>
      </w:r>
    </w:p>
    <w:p>
      <w:pPr>
        <w:spacing w:after="120" w:before="60" w:line="300"/>
        <w:jc w:val="both"/>
      </w:pPr>
      <w:r>
        <w:rPr>
          <w:rFonts w:ascii="Times New Roman" w:cs="Times New Roman" w:eastAsia="Times New Roman" w:hAnsi="Times New Roman"/>
          <w:sz w:val="24"/>
          <w:szCs w:val="24"/>
        </w:rPr>
        <w:t xml:space="preserve">The CIIT (Chemical Industry Institute of Toxicology) group developed the first comprehensive inhalation PBPK model for formaldehyde in rats and humans, combining regional CFD dosimetry of the nasal airways with compartmental metabolism kinetics in the respiratory epithelium. </w:t>
      </w:r>
      <w:r>
        <w:rPr>
          <w:rFonts w:ascii="Times New Roman" w:cs="Times New Roman" w:eastAsia="Times New Roman" w:hAnsi="Times New Roman"/>
          <w:b/>
          <w:bCs/>
          <w:sz w:val="24"/>
          <w:szCs w:val="24"/>
          <w:vertAlign w:val="superscript"/>
        </w:rPr>
        <w:t xml:space="preserve">[52][54][75]</w:t>
      </w:r>
      <w:r>
        <w:rPr>
          <w:rFonts w:ascii="Times New Roman" w:cs="Times New Roman" w:eastAsia="Times New Roman" w:hAnsi="Times New Roman"/>
          <w:sz w:val="24"/>
          <w:szCs w:val="24"/>
        </w:rPr>
        <w:t xml:space="preserve"> This model, subsequently refined by Andersen, Schlosser, and colleagues, is parameterised for GSH-dependent detoxification saturation, DNA-protein crosslink formation kinetics, and cellular proliferation response; it underpins the current EPA IRIS low-dose cancer extrapolation and serves as the reference quantitative dosimetry framework for regulatory risk assessment. </w:t>
      </w:r>
      <w:r>
        <w:rPr>
          <w:rFonts w:ascii="Times New Roman" w:cs="Times New Roman" w:eastAsia="Times New Roman" w:hAnsi="Times New Roman"/>
          <w:b/>
          <w:bCs/>
          <w:sz w:val="24"/>
          <w:szCs w:val="24"/>
          <w:vertAlign w:val="superscript"/>
        </w:rPr>
        <w:t xml:space="preserve">[1][54][75]</w:t>
      </w:r>
      <w:r>
        <w:rPr>
          <w:rFonts w:ascii="Times New Roman" w:cs="Times New Roman" w:eastAsia="Times New Roman" w:hAnsi="Times New Roman"/>
          <w:sz w:val="24"/>
          <w:szCs w:val="24"/>
        </w:rPr>
        <w:t xml:space="preserve"> Recent updates by Conolly and Nong extend the CIIT model to include polymorphism-driven variability in ADH5 and ALDH2, probabilistic sensitivity analysis across the key kinetic parameters, and integration with adverse outcome pathway (AOP) structures to link external exposure to tissue-specific key events.</w:t>
      </w:r>
      <w:r>
        <w:rPr>
          <w:rFonts w:ascii="Times New Roman" w:cs="Times New Roman" w:eastAsia="Times New Roman" w:hAnsi="Times New Roman"/>
          <w:b/>
          <w:bCs/>
          <w:sz w:val="24"/>
          <w:szCs w:val="24"/>
          <w:vertAlign w:val="superscript"/>
        </w:rPr>
        <w:t xml:space="preserve">[60][72][75]</w:t>
      </w:r>
    </w:p>
    <w:p>
      <w:pPr>
        <w:spacing w:after="120" w:before="280"/>
        <w:jc w:val="left"/>
      </w:pPr>
      <w:r>
        <w:rPr>
          <w:rFonts w:ascii="Times New Roman" w:cs="Times New Roman" w:eastAsia="Times New Roman" w:hAnsi="Times New Roman"/>
          <w:b/>
          <w:bCs/>
          <w:sz w:val="24"/>
          <w:szCs w:val="24"/>
        </w:rPr>
        <w:t xml:space="preserve">Endogenous Formaldehyde and Baseline Adduct Burden</w:t>
      </w:r>
    </w:p>
    <w:p>
      <w:pPr>
        <w:spacing w:after="120" w:before="60" w:line="300"/>
        <w:jc w:val="both"/>
      </w:pPr>
      <w:r>
        <w:rPr>
          <w:rFonts w:ascii="Times New Roman" w:cs="Times New Roman" w:eastAsia="Times New Roman" w:hAnsi="Times New Roman"/>
          <w:sz w:val="24"/>
          <w:szCs w:val="24"/>
        </w:rPr>
        <w:t xml:space="preserve">A defining feature of formaldehyde toxicokinetics is the substantial endogenous production rate — the molecule is a normal intermediate of one-carbon metabolism, amino-acid catabolism, and the action of histone and DNA demethylases. </w:t>
      </w:r>
      <w:r>
        <w:rPr>
          <w:rFonts w:ascii="Times New Roman" w:cs="Times New Roman" w:eastAsia="Times New Roman" w:hAnsi="Times New Roman"/>
          <w:b/>
          <w:bCs/>
          <w:sz w:val="24"/>
          <w:szCs w:val="24"/>
          <w:vertAlign w:val="superscript"/>
        </w:rPr>
        <w:t xml:space="preserve">[17][58][64]</w:t>
      </w:r>
      <w:r>
        <w:rPr>
          <w:rFonts w:ascii="Times New Roman" w:cs="Times New Roman" w:eastAsia="Times New Roman" w:hAnsi="Times New Roman"/>
          <w:sz w:val="24"/>
          <w:szCs w:val="24"/>
        </w:rPr>
        <w:t xml:space="preserve"> Endogenous whole-body formaldehyde pool in adult humans is estimated at 2.6–4.0 mM in liver, 50–100 µM in blood, and up to 1 mM in rapidly proliferating tissues. </w:t>
      </w:r>
      <w:r>
        <w:rPr>
          <w:rFonts w:ascii="Times New Roman" w:cs="Times New Roman" w:eastAsia="Times New Roman" w:hAnsi="Times New Roman"/>
          <w:b/>
          <w:bCs/>
          <w:sz w:val="24"/>
          <w:szCs w:val="24"/>
          <w:vertAlign w:val="superscript"/>
        </w:rPr>
        <w:t xml:space="preserve">[17][58][73]</w:t>
      </w:r>
      <w:r>
        <w:rPr>
          <w:rFonts w:ascii="Times New Roman" w:cs="Times New Roman" w:eastAsia="Times New Roman" w:hAnsi="Times New Roman"/>
          <w:sz w:val="24"/>
          <w:szCs w:val="24"/>
        </w:rPr>
        <w:t xml:space="preserve"> The DNA adduct N⁶-hydroxymethyldeoxyadenosine (N⁶-HOMe-dA) and DNA-DNA and DNA-protein crosslinks produced endogenously are quantifiable in all tissues examined at levels of 0.5–5 adducts per 10⁷ nucleotides; exogenous exposure at environmentally relevant concentrations produces a modest incremental increase detectable only in the nasal respiratory epithelium proximal to the airway lumen.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This endogenous background has important regulatory implications: at very low exogenous exposures, the marginal increment in target-tissue dose is small relative to endogenous flux, and biological response endpoints (e.g., nasal pathology, DNA adduct burden in systemic tissues) show threshold-like or supra-linear behaviour.</w:t>
      </w:r>
      <w:r>
        <w:rPr>
          <w:rFonts w:ascii="Times New Roman" w:cs="Times New Roman" w:eastAsia="Times New Roman" w:hAnsi="Times New Roman"/>
          <w:b/>
          <w:bCs/>
          <w:sz w:val="24"/>
          <w:szCs w:val="24"/>
          <w:vertAlign w:val="superscript"/>
        </w:rPr>
        <w:t xml:space="preserve">[56][58][60]</w:t>
      </w:r>
    </w:p>
    <w:p>
      <w:pPr>
        <w:spacing w:after="120" w:before="280"/>
        <w:jc w:val="left"/>
      </w:pPr>
      <w:r>
        <w:rPr>
          <w:rFonts w:ascii="Times New Roman" w:cs="Times New Roman" w:eastAsia="Times New Roman" w:hAnsi="Times New Roman"/>
          <w:b/>
          <w:bCs/>
          <w:sz w:val="24"/>
          <w:szCs w:val="24"/>
        </w:rPr>
        <w:t xml:space="preserve">Inter-Species Extrapolation</w:t>
      </w:r>
    </w:p>
    <w:p>
      <w:pPr>
        <w:spacing w:after="120" w:before="60" w:line="300"/>
        <w:jc w:val="both"/>
      </w:pPr>
      <w:r>
        <w:rPr>
          <w:rFonts w:ascii="Times New Roman" w:cs="Times New Roman" w:eastAsia="Times New Roman" w:hAnsi="Times New Roman"/>
          <w:sz w:val="24"/>
          <w:szCs w:val="24"/>
        </w:rPr>
        <w:t xml:space="preserve">Regional dosimetry differences between rats (obligate nose-breathers with complex turbinate architecture), rhesus monkeys (anatomy more similar to humans), and humans (larger airway cross-section, simpler turbinates, and nose-plus-mouth breathing at higher activity levels) are the principal driver of species variability in formaldehyde nasal toxicity. </w:t>
      </w:r>
      <w:r>
        <w:rPr>
          <w:rFonts w:ascii="Times New Roman" w:cs="Times New Roman" w:eastAsia="Times New Roman" w:hAnsi="Times New Roman"/>
          <w:b/>
          <w:bCs/>
          <w:sz w:val="24"/>
          <w:szCs w:val="24"/>
          <w:vertAlign w:val="superscript"/>
        </w:rPr>
        <w:t xml:space="preserve">[52][54][57]</w:t>
      </w:r>
      <w:r>
        <w:rPr>
          <w:rFonts w:ascii="Times New Roman" w:cs="Times New Roman" w:eastAsia="Times New Roman" w:hAnsi="Times New Roman"/>
          <w:sz w:val="24"/>
          <w:szCs w:val="24"/>
        </w:rPr>
        <w:t xml:space="preserve"> For an equivalent inhaled concentration, the rat nasal respiratory epithelium experiences substantially higher regional flux than either the rhesus or the human target surface.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Application of CFD-derived dose metrics to the Kerns bioassay data shifts the human extrapolated cancer unit risk downward by approximately 5-fold relative to concentration-based extrapolation; this correction is embedded in the IRIS 2024 quantitative derivation. </w:t>
      </w:r>
      <w:r>
        <w:rPr>
          <w:rFonts w:ascii="Times New Roman" w:cs="Times New Roman" w:eastAsia="Times New Roman" w:hAnsi="Times New Roman"/>
          <w:b/>
          <w:bCs/>
          <w:sz w:val="24"/>
          <w:szCs w:val="24"/>
          <w:vertAlign w:val="superscript"/>
        </w:rPr>
        <w:t xml:space="preserve">[1][52][54]</w:t>
      </w:r>
      <w:r>
        <w:rPr>
          <w:rFonts w:ascii="Times New Roman" w:cs="Times New Roman" w:eastAsia="Times New Roman" w:hAnsi="Times New Roman"/>
          <w:sz w:val="24"/>
          <w:szCs w:val="24"/>
        </w:rPr>
        <w:t xml:space="preserve"> Breathing-pattern adjustments further refine these estimates: under exertion or oral-breathing conditions, a greater fraction of inhaled formaldehyde reaches the lower respiratory tract, though the total dose is still extracted with high efficiency.</w:t>
      </w:r>
      <w:r>
        <w:rPr>
          <w:rFonts w:ascii="Times New Roman" w:cs="Times New Roman" w:eastAsia="Times New Roman" w:hAnsi="Times New Roman"/>
          <w:b/>
          <w:bCs/>
          <w:sz w:val="24"/>
          <w:szCs w:val="24"/>
          <w:vertAlign w:val="superscript"/>
        </w:rPr>
        <w:t xml:space="preserve">[52][54][75]</w:t>
      </w:r>
    </w:p>
    <w:p>
      <w:pPr>
        <w:spacing w:after="120" w:before="280"/>
        <w:jc w:val="left"/>
      </w:pPr>
      <w:r>
        <w:rPr>
          <w:rFonts w:ascii="Times New Roman" w:cs="Times New Roman" w:eastAsia="Times New Roman" w:hAnsi="Times New Roman"/>
          <w:b/>
          <w:bCs/>
          <w:sz w:val="24"/>
          <w:szCs w:val="24"/>
        </w:rPr>
        <w:t xml:space="preserve">Life-Stage Considerations</w:t>
      </w:r>
    </w:p>
    <w:p>
      <w:pPr>
        <w:spacing w:after="120" w:before="60" w:line="300"/>
        <w:jc w:val="both"/>
      </w:pPr>
      <w:r>
        <w:rPr>
          <w:rFonts w:ascii="Times New Roman" w:cs="Times New Roman" w:eastAsia="Times New Roman" w:hAnsi="Times New Roman"/>
          <w:sz w:val="24"/>
          <w:szCs w:val="24"/>
        </w:rPr>
        <w:t xml:space="preserve">Developmental and life-stage considerations affect formaldehyde toxicokinetics. Neonatal and young children have higher minute-ventilation per body weight and breathe more frequently through the mouth during infancy; these factors combine to produce higher tracheobronchial and alveolar dose fractions per unit external concentration. </w:t>
      </w:r>
      <w:r>
        <w:rPr>
          <w:rFonts w:ascii="Times New Roman" w:cs="Times New Roman" w:eastAsia="Times New Roman" w:hAnsi="Times New Roman"/>
          <w:b/>
          <w:bCs/>
          <w:sz w:val="24"/>
          <w:szCs w:val="24"/>
          <w:vertAlign w:val="superscript"/>
        </w:rPr>
        <w:t xml:space="preserve">[19][52][54]</w:t>
      </w:r>
      <w:r>
        <w:rPr>
          <w:rFonts w:ascii="Times New Roman" w:cs="Times New Roman" w:eastAsia="Times New Roman" w:hAnsi="Times New Roman"/>
          <w:sz w:val="24"/>
          <w:szCs w:val="24"/>
        </w:rPr>
        <w:t xml:space="preserve"> Elderly populations may exhibit reduced ADH5 activity and compromised repair pathway function; both features are consistent with an increased sensitivity to formaldehyde-induced nasal and haematopoietic effects. </w:t>
      </w:r>
      <w:r>
        <w:rPr>
          <w:rFonts w:ascii="Times New Roman" w:cs="Times New Roman" w:eastAsia="Times New Roman" w:hAnsi="Times New Roman"/>
          <w:b/>
          <w:bCs/>
          <w:sz w:val="24"/>
          <w:szCs w:val="24"/>
          <w:vertAlign w:val="superscript"/>
        </w:rPr>
        <w:t xml:space="preserve">[21][24][73]</w:t>
      </w:r>
      <w:r>
        <w:rPr>
          <w:rFonts w:ascii="Times New Roman" w:cs="Times New Roman" w:eastAsia="Times New Roman" w:hAnsi="Times New Roman"/>
          <w:sz w:val="24"/>
          <w:szCs w:val="24"/>
        </w:rPr>
        <w:t xml:space="preserve"> Pregnant women and fetal tissues are exposed to endogenous formaldehyde produced during embryonic development; exogenous exposures during gestation have been associated in some occupational cohorts with modest increases in spontaneous abortion and low birth weight, though confounding by co-exposures remains a concern.</w:t>
      </w:r>
      <w:r>
        <w:rPr>
          <w:rFonts w:ascii="Times New Roman" w:cs="Times New Roman" w:eastAsia="Times New Roman" w:hAnsi="Times New Roman"/>
          <w:b/>
          <w:bCs/>
          <w:sz w:val="24"/>
          <w:szCs w:val="24"/>
          <w:vertAlign w:val="superscript"/>
        </w:rPr>
        <w:t xml:space="preserve">[19][73]</w:t>
      </w:r>
    </w:p>
    <w:p>
      <w:pPr>
        <w:spacing w:after="120" w:before="280"/>
        <w:jc w:val="left"/>
      </w:pPr>
      <w:r>
        <w:rPr>
          <w:rFonts w:ascii="Times New Roman" w:cs="Times New Roman" w:eastAsia="Times New Roman" w:hAnsi="Times New Roman"/>
          <w:b/>
          <w:bCs/>
          <w:sz w:val="24"/>
          <w:szCs w:val="24"/>
        </w:rPr>
        <w:t xml:space="preserve">Biomarker Development and Validation</w:t>
      </w:r>
    </w:p>
    <w:p>
      <w:pPr>
        <w:spacing w:after="120" w:before="60" w:line="300"/>
        <w:jc w:val="both"/>
      </w:pPr>
      <w:r>
        <w:rPr>
          <w:rFonts w:ascii="Times New Roman" w:cs="Times New Roman" w:eastAsia="Times New Roman" w:hAnsi="Times New Roman"/>
          <w:sz w:val="24"/>
          <w:szCs w:val="24"/>
        </w:rPr>
        <w:t xml:space="preserve">Several biomarkers of formaldehyde exposure and effect have advanced through analytical development to epidemiological validation over the past decade. Exogenous exposure biomarkers include [¹³CD₂]-adducts on albumin and haemoglobin, urinary formate, urinary N⁶-carboxymethyl-lysine, and nasal DPC density measured by the comet assay with modified lysis conditions. </w:t>
      </w:r>
      <w:r>
        <w:rPr>
          <w:rFonts w:ascii="Times New Roman" w:cs="Times New Roman" w:eastAsia="Times New Roman" w:hAnsi="Times New Roman"/>
          <w:b/>
          <w:bCs/>
          <w:sz w:val="24"/>
          <w:szCs w:val="24"/>
          <w:vertAlign w:val="superscript"/>
        </w:rPr>
        <w:t xml:space="preserve">[17][58][73][74]</w:t>
      </w:r>
      <w:r>
        <w:rPr>
          <w:rFonts w:ascii="Times New Roman" w:cs="Times New Roman" w:eastAsia="Times New Roman" w:hAnsi="Times New Roman"/>
          <w:sz w:val="24"/>
          <w:szCs w:val="24"/>
        </w:rPr>
        <w:t xml:space="preserve"> Effect biomarkers include micronucleus frequency in buccal and nasal exfoliated cells, lymphocyte 8-OHdG, and cytokine profiles in nasal lavage. </w:t>
      </w:r>
      <w:r>
        <w:rPr>
          <w:rFonts w:ascii="Times New Roman" w:cs="Times New Roman" w:eastAsia="Times New Roman" w:hAnsi="Times New Roman"/>
          <w:b/>
          <w:bCs/>
          <w:sz w:val="24"/>
          <w:szCs w:val="24"/>
          <w:vertAlign w:val="superscript"/>
        </w:rPr>
        <w:t xml:space="preserve">[13][62][76]</w:t>
      </w:r>
      <w:r>
        <w:rPr>
          <w:rFonts w:ascii="Times New Roman" w:cs="Times New Roman" w:eastAsia="Times New Roman" w:hAnsi="Times New Roman"/>
          <w:sz w:val="24"/>
          <w:szCs w:val="24"/>
        </w:rPr>
        <w:t xml:space="preserve"> A 2024 systematic review by Protano and colleagues evaluated 42 biomarker studies across occupational cohorts, concluding that a combination of micronucleus assays in nasal cells, urinary formate, and serum cytokines provides the most promising panel for workplace biomonitoring at current occupational exposure limits.</w:t>
      </w:r>
      <w:r>
        <w:rPr>
          <w:rFonts w:ascii="Times New Roman" w:cs="Times New Roman" w:eastAsia="Times New Roman" w:hAnsi="Times New Roman"/>
          <w:b/>
          <w:bCs/>
          <w:sz w:val="24"/>
          <w:szCs w:val="24"/>
          <w:vertAlign w:val="superscript"/>
        </w:rPr>
        <w:t xml:space="preserve">[47][76]</w:t>
      </w:r>
    </w:p>
    <w:p>
      <w:pPr>
        <w:spacing w:after="120" w:before="280"/>
        <w:jc w:val="left"/>
      </w:pPr>
      <w:r>
        <w:rPr>
          <w:rFonts w:ascii="Times New Roman" w:cs="Times New Roman" w:eastAsia="Times New Roman" w:hAnsi="Times New Roman"/>
          <w:b/>
          <w:bCs/>
          <w:sz w:val="24"/>
          <w:szCs w:val="24"/>
        </w:rPr>
        <w:t xml:space="preserve">Clinical Toxicokinetics of Acute Overexposure</w:t>
      </w:r>
    </w:p>
    <w:p>
      <w:pPr>
        <w:spacing w:after="120" w:before="60" w:line="300"/>
        <w:jc w:val="both"/>
      </w:pPr>
      <w:r>
        <w:rPr>
          <w:rFonts w:ascii="Times New Roman" w:cs="Times New Roman" w:eastAsia="Times New Roman" w:hAnsi="Times New Roman"/>
          <w:sz w:val="24"/>
          <w:szCs w:val="24"/>
        </w:rPr>
        <w:t xml:space="preserve">Acute high-level overexposure — industrial releases, fires, or accidental ingestion of formalin — produces distinct toxicokinetic patterns. </w:t>
      </w:r>
      <w:r>
        <w:rPr>
          <w:rFonts w:ascii="Times New Roman" w:cs="Times New Roman" w:eastAsia="Times New Roman" w:hAnsi="Times New Roman"/>
          <w:b/>
          <w:bCs/>
          <w:sz w:val="24"/>
          <w:szCs w:val="24"/>
          <w:vertAlign w:val="superscript"/>
        </w:rPr>
        <w:t xml:space="preserve">[73][77][78]</w:t>
      </w:r>
      <w:r>
        <w:rPr>
          <w:rFonts w:ascii="Times New Roman" w:cs="Times New Roman" w:eastAsia="Times New Roman" w:hAnsi="Times New Roman"/>
          <w:sz w:val="24"/>
          <w:szCs w:val="24"/>
        </w:rPr>
        <w:t xml:space="preserve"> Inhalation of &gt; 50 ppm formaldehyde saturates the nasal uptake and allows substantial tracheobronchial and alveolar deposition, producing acute chemical pneumonitis, laryngeal oedema, and systemic acidaemia from formate accumulation.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Oral ingestion of formalin (typical concentration 37 % formaldehyde with 10–15 % methanol as stabiliser) presents with gastrointestinal necrosis, metabolic acidosis from both formate and methanol-derived formate, and potential optic toxicity from the methanol component. </w:t>
      </w:r>
      <w:r>
        <w:rPr>
          <w:rFonts w:ascii="Times New Roman" w:cs="Times New Roman" w:eastAsia="Times New Roman" w:hAnsi="Times New Roman"/>
          <w:b/>
          <w:bCs/>
          <w:sz w:val="24"/>
          <w:szCs w:val="24"/>
          <w:vertAlign w:val="superscript"/>
        </w:rPr>
        <w:t xml:space="preserve">[78][79]</w:t>
      </w:r>
      <w:r>
        <w:rPr>
          <w:rFonts w:ascii="Times New Roman" w:cs="Times New Roman" w:eastAsia="Times New Roman" w:hAnsi="Times New Roman"/>
          <w:sz w:val="24"/>
          <w:szCs w:val="24"/>
        </w:rPr>
        <w:t xml:space="preserve"> Treatment is largely supportive, with folinic acid administration, haemodialysis for severe acidosis and renal failure, and intensive care support for cardiovascular and respiratory failure. Reported mortality from intentional ingestion exceeds 30 % in the acute setting.</w:t>
      </w:r>
      <w:r>
        <w:rPr>
          <w:rFonts w:ascii="Times New Roman" w:cs="Times New Roman" w:eastAsia="Times New Roman" w:hAnsi="Times New Roman"/>
          <w:b/>
          <w:bCs/>
          <w:sz w:val="24"/>
          <w:szCs w:val="24"/>
          <w:vertAlign w:val="superscript"/>
        </w:rPr>
        <w:t xml:space="preserve">[77][78]</w:t>
      </w:r>
    </w:p>
    <w:p>
      <w:r>
        <w:br w:type="page"/>
      </w:r>
    </w:p>
    <w:p>
      <w:pPr>
        <w:spacing w:after="120" w:before="280"/>
        <w:jc w:val="left"/>
      </w:pPr>
      <w:r>
        <w:rPr>
          <w:rFonts w:ascii="Times New Roman" w:cs="Times New Roman" w:eastAsia="Times New Roman" w:hAnsi="Times New Roman"/>
          <w:b/>
          <w:bCs/>
          <w:sz w:val="24"/>
          <w:szCs w:val="24"/>
        </w:rPr>
        <w:t xml:space="preserve">Physiologically Based Pharmacokinetic (PBPK) Modelling and Regional Dosimetry</w:t>
      </w:r>
    </w:p>
    <w:p>
      <w:pPr>
        <w:spacing w:after="80" w:before="120"/>
        <w:jc w:val="center"/>
      </w:pPr>
      <w:r>
        <w:drawing>
          <wp:inline distT="0" distB="0" distL="0" distR="0">
            <wp:extent cx="5143500" cy="2857500"/>
            <wp:effectExtent t="0" r="0" b="0" l="0"/>
            <wp:docPr id="1" name="fig13_pbpk_schematic.png" descr="fig13_pbpk_schematic.png" title="fig13_pbpk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PB1. Two-region nasal CFD-PBPK schematic for inhaled formaldehyde (after Conolly et al.). Anterior and posterior nasal compartments feed ADH5/GSH detoxification and residual DPC/adduct formation; systemic blood is modelled with endogenous CH2O ~80-100 uM.</w:t>
      </w:r>
    </w:p>
    <w:p>
      <w:pPr>
        <w:spacing w:after="80" w:before="120"/>
        <w:jc w:val="center"/>
      </w:pPr>
      <w:r>
        <w:drawing>
          <wp:inline distT="0" distB="0" distL="0" distR="0">
            <wp:extent cx="5143500" cy="2095500"/>
            <wp:effectExtent t="0" r="0" b="0" l="0"/>
            <wp:docPr id="1" name="fig11_species_dosimetry.png" descr="fig11_species_dosimetry.png" title="fig11_species_dosi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095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PB2. Species comparison of nasal surface area (left) and CFD-PBPK derived nasal wall flux at 2 ppm (right), showing substantial reduction in per-area dose from rodent to human and the basis for species-adjusted human-equivalent concentrations.</w:t>
      </w:r>
    </w:p>
    <w:p>
      <w:pPr>
        <w:spacing w:after="120" w:before="60" w:line="300"/>
        <w:jc w:val="both"/>
      </w:pPr>
      <w:r>
        <w:rPr>
          <w:rFonts w:ascii="Times New Roman" w:cs="Times New Roman" w:eastAsia="Times New Roman" w:hAnsi="Times New Roman"/>
          <w:sz w:val="24"/>
          <w:szCs w:val="24"/>
        </w:rPr>
        <w:t xml:space="preserve">Physiologically based pharmacokinetic (PBPK) modelling and computational fluid dynamics (CFD) approaches have been central to formaldehyde dose-response analysis and inter-species extrapolation for over two decades. </w:t>
      </w:r>
      <w:r>
        <w:rPr>
          <w:rFonts w:ascii="Times New Roman" w:cs="Times New Roman" w:eastAsia="Times New Roman" w:hAnsi="Times New Roman"/>
          <w:b/>
          <w:bCs/>
          <w:sz w:val="24"/>
          <w:szCs w:val="24"/>
          <w:vertAlign w:val="superscript"/>
        </w:rPr>
        <w:t xml:space="preserve">[52][54][55][57][58][60]</w:t>
      </w:r>
      <w:r>
        <w:rPr>
          <w:rFonts w:ascii="Times New Roman" w:cs="Times New Roman" w:eastAsia="Times New Roman" w:hAnsi="Times New Roman"/>
          <w:sz w:val="24"/>
          <w:szCs w:val="24"/>
        </w:rPr>
        <w:t xml:space="preserve"> The rapid metabolism of formaldehyde at the portal of entry, the steep gradient of tissue concentration along the respiratory tract, and the saturable detoxification at high exposures all require explicit modelling rather than simple default extrapolation.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The evolution of formaldehyde dosimetry — from initial compartmental models through regional-flux CFD approaches to contemporary multi-scale CFD-PBPK hybrids — has substantially improved the reliability of cross-species and cross-route extrapolation and has enabled the development of human-equivalent dose metrics that underpin contemporary regulatory values.</w:t>
      </w:r>
    </w:p>
    <w:p>
      <w:pPr>
        <w:spacing w:after="120" w:before="280"/>
        <w:jc w:val="left"/>
      </w:pPr>
      <w:r>
        <w:rPr>
          <w:rFonts w:ascii="Times New Roman" w:cs="Times New Roman" w:eastAsia="Times New Roman" w:hAnsi="Times New Roman"/>
          <w:b/>
          <w:bCs/>
          <w:sz w:val="24"/>
          <w:szCs w:val="24"/>
        </w:rPr>
        <w:t xml:space="preserve">Computational Fluid Dynamics of Nasal Airflow</w:t>
      </w:r>
    </w:p>
    <w:p>
      <w:pPr>
        <w:spacing w:after="120" w:before="60" w:line="300"/>
        <w:jc w:val="both"/>
      </w:pPr>
      <w:r>
        <w:rPr>
          <w:rFonts w:ascii="Times New Roman" w:cs="Times New Roman" w:eastAsia="Times New Roman" w:hAnsi="Times New Roman"/>
          <w:sz w:val="24"/>
          <w:szCs w:val="24"/>
        </w:rPr>
        <w:t xml:space="preserve">Computational fluid dynamics (CFD) simulation of nasal airflow and formaldehyde deposition has been pioneered by Kimbell, Subramaniam, and colleagues at the CIIT Centers for Health Research and the Hamner Institutes. </w:t>
      </w:r>
      <w:r>
        <w:rPr>
          <w:rFonts w:ascii="Times New Roman" w:cs="Times New Roman" w:eastAsia="Times New Roman" w:hAnsi="Times New Roman"/>
          <w:b/>
          <w:bCs/>
          <w:sz w:val="24"/>
          <w:szCs w:val="24"/>
          <w:vertAlign w:val="superscript"/>
        </w:rPr>
        <w:t xml:space="preserve">[55][57][58]</w:t>
      </w:r>
      <w:r>
        <w:rPr>
          <w:rFonts w:ascii="Times New Roman" w:cs="Times New Roman" w:eastAsia="Times New Roman" w:hAnsi="Times New Roman"/>
          <w:sz w:val="24"/>
          <w:szCs w:val="24"/>
        </w:rPr>
        <w:t xml:space="preserve"> Anatomically detailed three-dimensional nasal geometries derived from human, rhesus monkey, and F344 rat MRI and serial-section reconstruction are combined with finite-volume Navier-Stokes simulation of airflow at physiologically relevant ventilation rates. </w:t>
      </w:r>
      <w:r>
        <w:rPr>
          <w:rFonts w:ascii="Times New Roman" w:cs="Times New Roman" w:eastAsia="Times New Roman" w:hAnsi="Times New Roman"/>
          <w:b/>
          <w:bCs/>
          <w:sz w:val="24"/>
          <w:szCs w:val="24"/>
          <w:vertAlign w:val="superscript"/>
        </w:rPr>
        <w:t xml:space="preserve">[57][58]</w:t>
      </w:r>
      <w:r>
        <w:rPr>
          <w:rFonts w:ascii="Times New Roman" w:cs="Times New Roman" w:eastAsia="Times New Roman" w:hAnsi="Times New Roman"/>
          <w:sz w:val="24"/>
          <w:szCs w:val="24"/>
        </w:rPr>
        <w:t xml:space="preserve"> Coupled mass-transfer simulation of formaldehyde deposition — accounting for air-phase diffusion, reaction at the mucus-air interface, and first-order removal by mucosal metabolism — produces regional flux maps identifying the sites of highest tissue delivery. </w:t>
      </w:r>
      <w:r>
        <w:rPr>
          <w:rFonts w:ascii="Times New Roman" w:cs="Times New Roman" w:eastAsia="Times New Roman" w:hAnsi="Times New Roman"/>
          <w:b/>
          <w:bCs/>
          <w:sz w:val="24"/>
          <w:szCs w:val="24"/>
          <w:vertAlign w:val="superscript"/>
        </w:rPr>
        <w:t xml:space="preserve">[57][58]</w:t>
      </w:r>
      <w:r>
        <w:rPr>
          <w:rFonts w:ascii="Times New Roman" w:cs="Times New Roman" w:eastAsia="Times New Roman" w:hAnsi="Times New Roman"/>
          <w:sz w:val="24"/>
          <w:szCs w:val="24"/>
        </w:rPr>
        <w:t xml:space="preserve"> In rats the highest flux occurs at the anterior squamous and transitional epithelium of the lateral wall; in monkeys the flux distribution extends further caudally; in humans the flux is spread across a larger nasal surface area per unit ventilation. </w:t>
      </w:r>
      <w:r>
        <w:rPr>
          <w:rFonts w:ascii="Times New Roman" w:cs="Times New Roman" w:eastAsia="Times New Roman" w:hAnsi="Times New Roman"/>
          <w:b/>
          <w:bCs/>
          <w:sz w:val="24"/>
          <w:szCs w:val="24"/>
          <w:vertAlign w:val="superscript"/>
        </w:rPr>
        <w:t xml:space="preserve">[52][57][58]</w:t>
      </w:r>
      <w:r>
        <w:rPr>
          <w:rFonts w:ascii="Times New Roman" w:cs="Times New Roman" w:eastAsia="Times New Roman" w:hAnsi="Times New Roman"/>
          <w:sz w:val="24"/>
          <w:szCs w:val="24"/>
        </w:rPr>
        <w:t xml:space="preserve"> These regional flux differences are critical for understanding why rodents develop nasal tumours at formaldehyde exposures that do not produce equivalent lesions in humans.</w:t>
      </w:r>
    </w:p>
    <w:p>
      <w:pPr>
        <w:spacing w:after="120" w:before="280"/>
        <w:jc w:val="left"/>
      </w:pPr>
      <w:r>
        <w:rPr>
          <w:rFonts w:ascii="Times New Roman" w:cs="Times New Roman" w:eastAsia="Times New Roman" w:hAnsi="Times New Roman"/>
          <w:b/>
          <w:bCs/>
          <w:sz w:val="24"/>
          <w:szCs w:val="24"/>
        </w:rPr>
        <w:t xml:space="preserve">Whole-Organism PBPK Models</w:t>
      </w:r>
    </w:p>
    <w:p>
      <w:pPr>
        <w:spacing w:after="120" w:before="60" w:line="300"/>
        <w:jc w:val="both"/>
      </w:pPr>
      <w:r>
        <w:rPr>
          <w:rFonts w:ascii="Times New Roman" w:cs="Times New Roman" w:eastAsia="Times New Roman" w:hAnsi="Times New Roman"/>
          <w:sz w:val="24"/>
          <w:szCs w:val="24"/>
        </w:rPr>
        <w:t xml:space="preserve">Whole-organism PBPK models for formaldehyde integrate CFD-derived regional flux with systemic disposition, metabolism, and excretion.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The Georgopoulos et al. and Campbell et al. PBPK model structures include: nasal cavity (regional sub-compartments), tracheobronchial airways, pulmonary acinar region, richly perfused tissues (liver, kidney), poorly perfused tissues (muscle, fat), and blood compartments; metabolism is represented through ADH5, ALDH2, and formate dehydrogenase activity with tissue-specific Vmax and Km parameters.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Exogenous formaldehyde in inspired air is partitioned between deposition at the nasal portal (90+% in humans at environmental concentrations) and minor penetration to lower respiratory tract; systemic delivery of unmetabolised formaldehyde is extremely limited because of the high first-pass nasal metabolism.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These models predict that systemic blood concentrations of exogenous formaldehyde are undetectable at environmentally relevant exposure levels, consistent with the stable-isotope-labelled biomarker data in rats and non-human primates.</w:t>
      </w:r>
    </w:p>
    <w:p>
      <w:pPr>
        <w:spacing w:after="120" w:before="280"/>
        <w:jc w:val="left"/>
      </w:pPr>
      <w:r>
        <w:rPr>
          <w:rFonts w:ascii="Times New Roman" w:cs="Times New Roman" w:eastAsia="Times New Roman" w:hAnsi="Times New Roman"/>
          <w:b/>
          <w:bCs/>
          <w:sz w:val="24"/>
          <w:szCs w:val="24"/>
        </w:rPr>
        <w:t xml:space="preserve">Species Differences and Extrapolation</w:t>
      </w:r>
    </w:p>
    <w:p>
      <w:pPr>
        <w:spacing w:after="120" w:before="60" w:line="300"/>
        <w:jc w:val="both"/>
      </w:pPr>
      <w:r>
        <w:rPr>
          <w:rFonts w:ascii="Times New Roman" w:cs="Times New Roman" w:eastAsia="Times New Roman" w:hAnsi="Times New Roman"/>
          <w:sz w:val="24"/>
          <w:szCs w:val="24"/>
        </w:rPr>
        <w:t xml:space="preserve">Species differences in formaldehyde dosimetry arise from anatomical, physiological, and metabolic factors.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Rats and mice are obligate nasal breathers with highly convoluted turbinate systems producing efficient deposition; humans breathe both nasally and oronasally with simpler nasal geometry and different deposition distribution. </w:t>
      </w:r>
      <w:r>
        <w:rPr>
          <w:rFonts w:ascii="Times New Roman" w:cs="Times New Roman" w:eastAsia="Times New Roman" w:hAnsi="Times New Roman"/>
          <w:b/>
          <w:bCs/>
          <w:sz w:val="24"/>
          <w:szCs w:val="24"/>
          <w:vertAlign w:val="superscript"/>
        </w:rPr>
        <w:t xml:space="preserve">[52][58]</w:t>
      </w:r>
      <w:r>
        <w:rPr>
          <w:rFonts w:ascii="Times New Roman" w:cs="Times New Roman" w:eastAsia="Times New Roman" w:hAnsi="Times New Roman"/>
          <w:sz w:val="24"/>
          <w:szCs w:val="24"/>
        </w:rPr>
        <w:t xml:space="preserve"> Rat nasal epithelium has a higher density of mucosal metabolic activity per unit surface area but a smaller total surface, whereas human nasal epithelium has lower specific activity but larger total absorptive area.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These combined differences mean that rat regional flux at a given inhaled concentration exceeds human regional flux by approximately 2-fold at matched breathing rates; for ambient-level exposures (&lt;100 µg/m³), the integrated respiratory-tract dose to humans is modest and well below rodent thresholds for lesion induction.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Monkey dosimetry is intermediate between rat and human, and non-human primate bioassays provide the most biologically relevant extrapolation data for human health risk assessment.</w:t>
      </w:r>
    </w:p>
    <w:p>
      <w:pPr>
        <w:spacing w:after="120" w:before="280"/>
        <w:jc w:val="left"/>
      </w:pPr>
      <w:r>
        <w:rPr>
          <w:rFonts w:ascii="Times New Roman" w:cs="Times New Roman" w:eastAsia="Times New Roman" w:hAnsi="Times New Roman"/>
          <w:b/>
          <w:bCs/>
          <w:sz w:val="24"/>
          <w:szCs w:val="24"/>
        </w:rPr>
        <w:t xml:space="preserve">Dose Metric Selection</w:t>
      </w:r>
    </w:p>
    <w:p>
      <w:pPr>
        <w:spacing w:after="120" w:before="60" w:line="300"/>
        <w:jc w:val="both"/>
      </w:pPr>
      <w:r>
        <w:rPr>
          <w:rFonts w:ascii="Times New Roman" w:cs="Times New Roman" w:eastAsia="Times New Roman" w:hAnsi="Times New Roman"/>
          <w:sz w:val="24"/>
          <w:szCs w:val="24"/>
        </w:rPr>
        <w:t xml:space="preserve">Choice of dose metric for formaldehyde risk assessment has been an active area of methodological debate for over two decades. </w:t>
      </w:r>
      <w:r>
        <w:rPr>
          <w:rFonts w:ascii="Times New Roman" w:cs="Times New Roman" w:eastAsia="Times New Roman" w:hAnsi="Times New Roman"/>
          <w:b/>
          <w:bCs/>
          <w:sz w:val="24"/>
          <w:szCs w:val="24"/>
          <w:vertAlign w:val="superscript"/>
        </w:rPr>
        <w:t xml:space="preserve">[52][54][55][58][60]</w:t>
      </w:r>
      <w:r>
        <w:rPr>
          <w:rFonts w:ascii="Times New Roman" w:cs="Times New Roman" w:eastAsia="Times New Roman" w:hAnsi="Times New Roman"/>
          <w:sz w:val="24"/>
          <w:szCs w:val="24"/>
        </w:rPr>
        <w:t xml:space="preserve"> Candidate dose metrics include: inhaled concentration (C, simplest; used in ATSDR MRLs), concentration × duration (C × t, conventional for intermittent exposure scaling), regional flux (CFD-derived mass per unit area per unit time; used in EPA 2010 draft and 2024 IRIS assessments), tissue concentration (predicted from PBPK; used in mechanistic risk models), and DNA adduct burden (direct biomarker of biologically effective dose).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The 2024 IRIS IUR derivation uses regional flux as the primary dose metric with the 95% upper confidence limit of benchmark dose (BMDU) for rat nasal tumour data scaled to equivalent human flux by the CFD-based dosimetric adjustment factor. </w:t>
      </w:r>
      <w:r>
        <w:rPr>
          <w:rFonts w:ascii="Times New Roman" w:cs="Times New Roman" w:eastAsia="Times New Roman" w:hAnsi="Times New Roman"/>
          <w:b/>
          <w:bCs/>
          <w:sz w:val="24"/>
          <w:szCs w:val="24"/>
          <w:vertAlign w:val="superscript"/>
        </w:rPr>
        <w:t xml:space="preserve">[1][52][55][57]</w:t>
      </w:r>
      <w:r>
        <w:rPr>
          <w:rFonts w:ascii="Times New Roman" w:cs="Times New Roman" w:eastAsia="Times New Roman" w:hAnsi="Times New Roman"/>
          <w:sz w:val="24"/>
          <w:szCs w:val="24"/>
        </w:rPr>
        <w:t xml:space="preserve"> Sensitivity analyses in the IRIS assessment evaluated alternative dose metrics and reported that the central unit-risk estimate varies by approximately 3-fold across the biologically plausible range, within the 10-fold uncertainty band conventionally applied.</w:t>
      </w:r>
    </w:p>
    <w:p>
      <w:pPr>
        <w:spacing w:after="120" w:before="280"/>
        <w:jc w:val="left"/>
      </w:pPr>
      <w:r>
        <w:rPr>
          <w:rFonts w:ascii="Times New Roman" w:cs="Times New Roman" w:eastAsia="Times New Roman" w:hAnsi="Times New Roman"/>
          <w:b/>
          <w:bCs/>
          <w:sz w:val="24"/>
          <w:szCs w:val="24"/>
        </w:rPr>
        <w:t xml:space="preserve">Saturable Detoxification</w:t>
      </w:r>
    </w:p>
    <w:p>
      <w:pPr>
        <w:spacing w:after="120" w:before="60" w:line="300"/>
        <w:jc w:val="both"/>
      </w:pPr>
      <w:r>
        <w:rPr>
          <w:rFonts w:ascii="Times New Roman" w:cs="Times New Roman" w:eastAsia="Times New Roman" w:hAnsi="Times New Roman"/>
          <w:sz w:val="24"/>
          <w:szCs w:val="24"/>
        </w:rPr>
        <w:t xml:space="preserve">Saturable detoxification of formaldehyde is a central feature of its toxicology and has implications for low-dose extrapolation.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Formaldehyde is metabolised primarily through glutathione-dependent oxidation by ADH5 (alcohol dehydrogenase 5 / formaldehyde dehydrogenase / FDH) and by ALDH2 (aldehyde dehydrogenase 2) via a direct ester pathway; both enzymes have Km values in the 10–100 µM range and saturate at the high tissue concentrations achieved during substantial exposures.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At low exposure concentrations (&lt;1 ppm inhaled), detoxification capacity greatly exceeds formaldehyde delivery rate and the tissue response to exogenous formaldehyde is dominated by interaction with endogenous formaldehyde pools. </w:t>
      </w:r>
      <w:r>
        <w:rPr>
          <w:rFonts w:ascii="Times New Roman" w:cs="Times New Roman" w:eastAsia="Times New Roman" w:hAnsi="Times New Roman"/>
          <w:b/>
          <w:bCs/>
          <w:sz w:val="24"/>
          <w:szCs w:val="24"/>
          <w:vertAlign w:val="superscript"/>
        </w:rPr>
        <w:t xml:space="preserve">[52][54][55]</w:t>
      </w:r>
      <w:r>
        <w:rPr>
          <w:rFonts w:ascii="Times New Roman" w:cs="Times New Roman" w:eastAsia="Times New Roman" w:hAnsi="Times New Roman"/>
          <w:sz w:val="24"/>
          <w:szCs w:val="24"/>
        </w:rPr>
        <w:t xml:space="preserve"> At high exposure concentrations (&gt;5 ppm inhaled), detoxification is saturated, local tissue formaldehyde accumulates, and cytotoxicity with regenerative proliferation drives the tumour-inducing response.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This non-linear behaviour provides mechanistic support for threshold-based low-dose cancer extrapolation and is one of the primary sources of controversy between linear and non-linear regulatory approaches for low-dose risk.</w:t>
      </w:r>
    </w:p>
    <w:p>
      <w:pPr>
        <w:spacing w:after="120" w:before="280"/>
        <w:jc w:val="left"/>
      </w:pPr>
      <w:r>
        <w:rPr>
          <w:rFonts w:ascii="Times New Roman" w:cs="Times New Roman" w:eastAsia="Times New Roman" w:hAnsi="Times New Roman"/>
          <w:b/>
          <w:bCs/>
          <w:sz w:val="24"/>
          <w:szCs w:val="24"/>
        </w:rPr>
        <w:t xml:space="preserve">Endogenous Formaldehyde and Low-Dose Extrapolation</w:t>
      </w:r>
    </w:p>
    <w:p>
      <w:pPr>
        <w:spacing w:after="120" w:before="60" w:line="300"/>
        <w:jc w:val="both"/>
      </w:pPr>
      <w:r>
        <w:rPr>
          <w:rFonts w:ascii="Times New Roman" w:cs="Times New Roman" w:eastAsia="Times New Roman" w:hAnsi="Times New Roman"/>
          <w:sz w:val="24"/>
          <w:szCs w:val="24"/>
        </w:rPr>
        <w:t xml:space="preserve">The endogenous formaldehyde pool represents a major challenge for low-dose extrapolation. </w:t>
      </w:r>
      <w:r>
        <w:rPr>
          <w:rFonts w:ascii="Times New Roman" w:cs="Times New Roman" w:eastAsia="Times New Roman" w:hAnsi="Times New Roman"/>
          <w:b/>
          <w:bCs/>
          <w:sz w:val="24"/>
          <w:szCs w:val="24"/>
          <w:vertAlign w:val="superscript"/>
        </w:rPr>
        <w:t xml:space="preserve">[21][52][58]</w:t>
      </w:r>
      <w:r>
        <w:rPr>
          <w:rFonts w:ascii="Times New Roman" w:cs="Times New Roman" w:eastAsia="Times New Roman" w:hAnsi="Times New Roman"/>
          <w:sz w:val="24"/>
          <w:szCs w:val="24"/>
        </w:rPr>
        <w:t xml:space="preserve"> Endogenous formaldehyde is generated at approximately 0.1 mmol per kg body weight per day (~6 g/day in a 70 kg adult) through demethylation reactions, one-carbon metabolism, amino acid metabolism, and other cellular processes.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Blood concentrations of free formaldehyde are ~0.4–0.9 µg/mL (0.1–0.3 mM) in unexposed humans, representing a steady-state balance between generation and detoxification.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At environmentally relevant inhaled exposures (10–100 µg/m³), the exogenous contribution to tissue formaldehyde is negligible relative to endogenous background even in the most heavily exposed respiratory tract cells.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Stable-isotope-labelled experiments with ¹³CD₂-formaldehyde administered to rats and monkeys show that exogenous DNA adducts in nasal epithelium comprise 1–10% of total DNA adducts at 2 ppm exposure, and are undetectable in tissues distal to the respiratory tract.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These data support the view that low-dose cancer risk from environmental formaldehyde is dominated by the endogenous background, with exogenous exposure contributing marginally; this supports threshold-based low-dose approaches and is cited by industry and some regulatory agencies as grounds for revisiting the linear default extrapolation.</w:t>
      </w:r>
    </w:p>
    <w:p>
      <w:pPr>
        <w:spacing w:after="120" w:before="280"/>
        <w:jc w:val="left"/>
      </w:pPr>
      <w:r>
        <w:rPr>
          <w:rFonts w:ascii="Times New Roman" w:cs="Times New Roman" w:eastAsia="Times New Roman" w:hAnsi="Times New Roman"/>
          <w:b/>
          <w:bCs/>
          <w:sz w:val="24"/>
          <w:szCs w:val="24"/>
        </w:rPr>
        <w:t xml:space="preserve">Model Validation and Uncertainty</w:t>
      </w:r>
    </w:p>
    <w:p>
      <w:pPr>
        <w:spacing w:after="120" w:before="60" w:line="300"/>
        <w:jc w:val="both"/>
      </w:pPr>
      <w:r>
        <w:rPr>
          <w:rFonts w:ascii="Times New Roman" w:cs="Times New Roman" w:eastAsia="Times New Roman" w:hAnsi="Times New Roman"/>
          <w:sz w:val="24"/>
          <w:szCs w:val="24"/>
        </w:rPr>
        <w:t xml:space="preserve">Validation of formaldehyde PBPK and CFD models has used stable-isotope-labelled exposure biomarker data, regional dosimetry measurements in experimental animals, and comparison with observed lesion and tumour distribution.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Rhesus monkey and F344 rat ¹³CD₂-formaldehyde experiments at defined inhaled concentrations provide quantitative validation targets for predicted DNA adduct levels in nasal epithelium, respiratory tract, and distal tissues.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Model predictions of tissue flux, adduct burden, and lesion distribution correlate within 2-fold with experimental observations across the 0.1–15 ppm exposure range in rats. </w:t>
      </w:r>
      <w:r>
        <w:rPr>
          <w:rFonts w:ascii="Times New Roman" w:cs="Times New Roman" w:eastAsia="Times New Roman" w:hAnsi="Times New Roman"/>
          <w:b/>
          <w:bCs/>
          <w:sz w:val="24"/>
          <w:szCs w:val="24"/>
          <w:vertAlign w:val="superscript"/>
        </w:rPr>
        <w:t xml:space="preserve">[52][54][57][58]</w:t>
      </w:r>
      <w:r>
        <w:rPr>
          <w:rFonts w:ascii="Times New Roman" w:cs="Times New Roman" w:eastAsia="Times New Roman" w:hAnsi="Times New Roman"/>
          <w:sz w:val="24"/>
          <w:szCs w:val="24"/>
        </w:rPr>
        <w:t xml:space="preserve"> Uncertainty analyses characterising the variability in predicted human equivalent concentration encompass anatomical variability (nasal geometry), physiological variability (breathing rate, ventilation pattern), metabolic variability (enzyme activity, polymorphism effects), and biochemical uncertainty (Km, Vmax values).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 aggregated uncertainty in human equivalent flux estimate is approximately 5-fold at the 95% confidence interval; this uncertainty propagates through the risk-assessment calculation and informs the composite uncertainty band around the final unit risk value.</w:t>
      </w:r>
    </w:p>
    <w:p>
      <w:pPr>
        <w:spacing w:after="120" w:before="280"/>
        <w:jc w:val="left"/>
      </w:pPr>
      <w:r>
        <w:rPr>
          <w:rFonts w:ascii="Times New Roman" w:cs="Times New Roman" w:eastAsia="Times New Roman" w:hAnsi="Times New Roman"/>
          <w:b/>
          <w:bCs/>
          <w:sz w:val="24"/>
          <w:szCs w:val="24"/>
        </w:rPr>
        <w:t xml:space="preserve">Applications in Regulatory Derivation</w:t>
      </w:r>
    </w:p>
    <w:p>
      <w:pPr>
        <w:spacing w:after="120" w:before="60" w:line="300"/>
        <w:jc w:val="both"/>
      </w:pPr>
      <w:r>
        <w:rPr>
          <w:rFonts w:ascii="Times New Roman" w:cs="Times New Roman" w:eastAsia="Times New Roman" w:hAnsi="Times New Roman"/>
          <w:sz w:val="24"/>
          <w:szCs w:val="24"/>
        </w:rPr>
        <w:t xml:space="preserve">Application of PBPK and CFD modelling in formaldehyde regulatory derivation has been substantial over the past two decades. </w:t>
      </w:r>
      <w:r>
        <w:rPr>
          <w:rFonts w:ascii="Times New Roman" w:cs="Times New Roman" w:eastAsia="Times New Roman" w:hAnsi="Times New Roman"/>
          <w:b/>
          <w:bCs/>
          <w:sz w:val="24"/>
          <w:szCs w:val="24"/>
          <w:vertAlign w:val="superscript"/>
        </w:rPr>
        <w:t xml:space="preserve">[1][2][4][55][57][58]</w:t>
      </w:r>
      <w:r>
        <w:rPr>
          <w:rFonts w:ascii="Times New Roman" w:cs="Times New Roman" w:eastAsia="Times New Roman" w:hAnsi="Times New Roman"/>
          <w:sz w:val="24"/>
          <w:szCs w:val="24"/>
        </w:rPr>
        <w:t xml:space="preserve"> The EPA 2010 IRIS Draft Assessment used regional flux as the dose metric for deriving rat-to-human extrapolation with explicit dosimetric adjustment factors (DAFs) from CFD simulation. </w:t>
      </w:r>
      <w:r>
        <w:rPr>
          <w:rFonts w:ascii="Times New Roman" w:cs="Times New Roman" w:eastAsia="Times New Roman" w:hAnsi="Times New Roman"/>
          <w:b/>
          <w:bCs/>
          <w:sz w:val="24"/>
          <w:szCs w:val="24"/>
          <w:vertAlign w:val="superscript"/>
        </w:rPr>
        <w:t xml:space="preserve">[55][57]</w:t>
      </w:r>
      <w:r>
        <w:rPr>
          <w:rFonts w:ascii="Times New Roman" w:cs="Times New Roman" w:eastAsia="Times New Roman" w:hAnsi="Times New Roman"/>
          <w:sz w:val="24"/>
          <w:szCs w:val="24"/>
        </w:rPr>
        <w:t xml:space="preserve"> The 2024 EPA IRIS final TSD refined this approach with updated nasal geometry models, improved CFD boundary conditions, and explicit probabilistic uncertainty characterisation. </w:t>
      </w:r>
      <w:r>
        <w:rPr>
          <w:rFonts w:ascii="Times New Roman" w:cs="Times New Roman" w:eastAsia="Times New Roman" w:hAnsi="Times New Roman"/>
          <w:b/>
          <w:bCs/>
          <w:sz w:val="24"/>
          <w:szCs w:val="24"/>
          <w:vertAlign w:val="superscript"/>
        </w:rPr>
        <w:t xml:space="preserve">[1][55][57]</w:t>
      </w:r>
      <w:r>
        <w:rPr>
          <w:rFonts w:ascii="Times New Roman" w:cs="Times New Roman" w:eastAsia="Times New Roman" w:hAnsi="Times New Roman"/>
          <w:sz w:val="24"/>
          <w:szCs w:val="24"/>
        </w:rPr>
        <w:t xml:space="preserve"> Alternative regulatory frameworks (Health Canada, EFSA, WHO IPCS) have drawn on the same PBPK modelling foundations while making different policy choices around low-dose extrapolation. </w:t>
      </w:r>
      <w:r>
        <w:rPr>
          <w:rFonts w:ascii="Times New Roman" w:cs="Times New Roman" w:eastAsia="Times New Roman" w:hAnsi="Times New Roman"/>
          <w:b/>
          <w:bCs/>
          <w:sz w:val="24"/>
          <w:szCs w:val="24"/>
          <w:vertAlign w:val="superscript"/>
        </w:rPr>
        <w:t xml:space="preserve">[26][28][29]</w:t>
      </w:r>
      <w:r>
        <w:rPr>
          <w:rFonts w:ascii="Times New Roman" w:cs="Times New Roman" w:eastAsia="Times New Roman" w:hAnsi="Times New Roman"/>
          <w:sz w:val="24"/>
          <w:szCs w:val="24"/>
        </w:rPr>
        <w:t xml:space="preserve"> These methodological developments have substantially strengthened the scientific foundation for formaldehyde regulation and provide a template for PBPK-informed risk assessment of other reactive inhaled chemicals.</w:t>
      </w:r>
    </w:p>
    <w:p>
      <w:pPr>
        <w:spacing w:after="120" w:before="280"/>
        <w:jc w:val="left"/>
      </w:pPr>
      <w:r>
        <w:rPr>
          <w:rFonts w:ascii="Times New Roman" w:cs="Times New Roman" w:eastAsia="Times New Roman" w:hAnsi="Times New Roman"/>
          <w:b/>
          <w:bCs/>
          <w:sz w:val="24"/>
          <w:szCs w:val="24"/>
        </w:rPr>
        <w:t xml:space="preserve">Emerging Modelling Approaches</w:t>
      </w:r>
    </w:p>
    <w:p>
      <w:pPr>
        <w:spacing w:after="120" w:before="60" w:line="300"/>
        <w:jc w:val="both"/>
      </w:pPr>
      <w:r>
        <w:rPr>
          <w:rFonts w:ascii="Times New Roman" w:cs="Times New Roman" w:eastAsia="Times New Roman" w:hAnsi="Times New Roman"/>
          <w:sz w:val="24"/>
          <w:szCs w:val="24"/>
        </w:rPr>
        <w:t xml:space="preserve">Emerging computational approaches for formaldehyde dosimetry include multi-scale coupling of CFD with cellular-level ADME models, agent-based models of epithelial cell dynamics, quantitative adverse outcome pathway (qAOP) models linking exposure through molecular initiating events to tissue-level outcomes, and machine-learning-enhanced uncertainty propagation for high-dimensional parameter sensitivity analysis. </w:t>
      </w:r>
      <w:r>
        <w:rPr>
          <w:rFonts w:ascii="Times New Roman" w:cs="Times New Roman" w:eastAsia="Times New Roman" w:hAnsi="Times New Roman"/>
          <w:b/>
          <w:bCs/>
          <w:sz w:val="24"/>
          <w:szCs w:val="24"/>
          <w:vertAlign w:val="superscript"/>
        </w:rPr>
        <w:t xml:space="preserve">[52][55][57][58][60]</w:t>
      </w:r>
      <w:r>
        <w:rPr>
          <w:rFonts w:ascii="Times New Roman" w:cs="Times New Roman" w:eastAsia="Times New Roman" w:hAnsi="Times New Roman"/>
          <w:sz w:val="24"/>
          <w:szCs w:val="24"/>
        </w:rPr>
        <w:t xml:space="preserve"> Integration of PBPK with AOP models enables prediction of tissue-specific response including proliferation kinetics, DNA damage accumulation, and stem-cell fate probabilities; these next-generation models may eventually enable prediction of cancer risk from first principles with reduced reliance on empirical cancer bioassay data. </w:t>
      </w:r>
      <w:r>
        <w:rPr>
          <w:rFonts w:ascii="Times New Roman" w:cs="Times New Roman" w:eastAsia="Times New Roman" w:hAnsi="Times New Roman"/>
          <w:b/>
          <w:bCs/>
          <w:sz w:val="24"/>
          <w:szCs w:val="24"/>
          <w:vertAlign w:val="superscript"/>
        </w:rPr>
        <w:t xml:space="preserve">[52][55][60]</w:t>
      </w:r>
      <w:r>
        <w:rPr>
          <w:rFonts w:ascii="Times New Roman" w:cs="Times New Roman" w:eastAsia="Times New Roman" w:hAnsi="Times New Roman"/>
          <w:sz w:val="24"/>
          <w:szCs w:val="24"/>
        </w:rPr>
        <w:t xml:space="preserve"> Quantitative systems toxicology (QST) frameworks that integrate multi-scale PBPK with transcriptomic and proteomic data from controlled exposure experiments are positioned to provide mechanistically grounded risk predictions. </w:t>
      </w:r>
      <w:r>
        <w:rPr>
          <w:rFonts w:ascii="Times New Roman" w:cs="Times New Roman" w:eastAsia="Times New Roman" w:hAnsi="Times New Roman"/>
          <w:b/>
          <w:bCs/>
          <w:sz w:val="24"/>
          <w:szCs w:val="24"/>
          <w:vertAlign w:val="superscript"/>
        </w:rPr>
        <w:t xml:space="preserve">[40][52][60]</w:t>
      </w:r>
      <w:r>
        <w:rPr>
          <w:rFonts w:ascii="Times New Roman" w:cs="Times New Roman" w:eastAsia="Times New Roman" w:hAnsi="Times New Roman"/>
          <w:sz w:val="24"/>
          <w:szCs w:val="24"/>
        </w:rPr>
        <w:t xml:space="preserve"> These modelling advances will continue to refine the quantitative dose-response relationships that underpin formaldehyde risk management and to improve the consistency of regulatory derivation across agencies and jurisdictions.</w:t>
      </w:r>
    </w:p>
    <w:p>
      <w:r>
        <w:br w:type="page"/>
      </w:r>
    </w:p>
    <w:p>
      <w:pPr>
        <w:spacing w:after="120" w:before="280"/>
        <w:jc w:val="left"/>
      </w:pPr>
      <w:r>
        <w:rPr>
          <w:rFonts w:ascii="Times New Roman" w:cs="Times New Roman" w:eastAsia="Times New Roman" w:hAnsi="Times New Roman"/>
          <w:b/>
          <w:bCs/>
          <w:sz w:val="24"/>
          <w:szCs w:val="24"/>
        </w:rPr>
        <w:t xml:space="preserve">Biomonitoring and Biomarker Science</w:t>
      </w:r>
    </w:p>
    <w:p>
      <w:pPr>
        <w:spacing w:after="80" w:before="120"/>
        <w:jc w:val="center"/>
      </w:pPr>
      <w:r>
        <w:drawing>
          <wp:inline distT="0" distB="0" distL="0" distR="0">
            <wp:extent cx="4953000" cy="2476500"/>
            <wp:effectExtent t="0" r="0" b="0" l="0"/>
            <wp:docPr id="1" name="fig20_nhanes.png" descr="fig20_nhanes.png" title="fig20_nh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BM1. Illustrative trend in urinary formate (a downstream metabolite of formaldehyde) in an NHANES-like general-population surveillance programme. Geometric mean and 95th percentile shown; variability reflects dietary methanol intake, metabolism and endogenous formation.</w:t>
      </w:r>
    </w:p>
    <w:p>
      <w:pPr>
        <w:spacing w:after="120" w:before="60" w:line="300"/>
        <w:jc w:val="both"/>
      </w:pPr>
      <w:r>
        <w:rPr>
          <w:rFonts w:ascii="Times New Roman" w:cs="Times New Roman" w:eastAsia="Times New Roman" w:hAnsi="Times New Roman"/>
          <w:sz w:val="24"/>
          <w:szCs w:val="24"/>
        </w:rPr>
        <w:t xml:space="preserve">Biomarkers of formaldehyde exposure, effect, and susceptibility provide critical tools for assessing human exposure, validating mechanistic hypotheses, and monitoring at-risk populations. </w:t>
      </w:r>
      <w:r>
        <w:rPr>
          <w:rFonts w:ascii="Times New Roman" w:cs="Times New Roman" w:eastAsia="Times New Roman" w:hAnsi="Times New Roman"/>
          <w:b/>
          <w:bCs/>
          <w:sz w:val="24"/>
          <w:szCs w:val="24"/>
          <w:vertAlign w:val="superscript"/>
        </w:rPr>
        <w:t xml:space="preserve">[21][23][24][35]</w:t>
      </w:r>
      <w:r>
        <w:rPr>
          <w:rFonts w:ascii="Times New Roman" w:cs="Times New Roman" w:eastAsia="Times New Roman" w:hAnsi="Times New Roman"/>
          <w:sz w:val="24"/>
          <w:szCs w:val="24"/>
        </w:rPr>
        <w:t xml:space="preserve"> The dual challenge of formaldehyde biomarker science is reconciling the high endogenous production of formaldehyde — ~0.1 mmol/kg/day from one-carbon metabolism — with the need to detect exogenous exposure, and capturing both short-term and long-term exposure windows through appropriate analytical targets. </w:t>
      </w:r>
      <w:r>
        <w:rPr>
          <w:rFonts w:ascii="Times New Roman" w:cs="Times New Roman" w:eastAsia="Times New Roman" w:hAnsi="Times New Roman"/>
          <w:b/>
          <w:bCs/>
          <w:sz w:val="24"/>
          <w:szCs w:val="24"/>
          <w:vertAlign w:val="superscript"/>
        </w:rPr>
        <w:t xml:space="preserve">[21][52][58]</w:t>
      </w:r>
      <w:r>
        <w:rPr>
          <w:rFonts w:ascii="Times New Roman" w:cs="Times New Roman" w:eastAsia="Times New Roman" w:hAnsi="Times New Roman"/>
          <w:sz w:val="24"/>
          <w:szCs w:val="24"/>
        </w:rPr>
        <w:t xml:space="preserve"> Contemporary biomarker research has delivered stable adduct-based measurements, stable-isotope labelling approaches, and increasingly sensitive mass-spectrometric methodology that has enabled quantitative differentiation of endogenous from exogenous formaldehyde in human tissues.</w:t>
      </w:r>
    </w:p>
    <w:p>
      <w:pPr>
        <w:spacing w:after="120" w:before="280"/>
        <w:jc w:val="left"/>
      </w:pPr>
      <w:r>
        <w:rPr>
          <w:rFonts w:ascii="Times New Roman" w:cs="Times New Roman" w:eastAsia="Times New Roman" w:hAnsi="Times New Roman"/>
          <w:b/>
          <w:bCs/>
          <w:sz w:val="24"/>
          <w:szCs w:val="24"/>
        </w:rPr>
        <w:t xml:space="preserve">Blood and Urine Measurements</w:t>
      </w:r>
    </w:p>
    <w:p>
      <w:pPr>
        <w:spacing w:after="120" w:before="60" w:line="300"/>
        <w:jc w:val="both"/>
      </w:pPr>
      <w:r>
        <w:rPr>
          <w:rFonts w:ascii="Times New Roman" w:cs="Times New Roman" w:eastAsia="Times New Roman" w:hAnsi="Times New Roman"/>
          <w:sz w:val="24"/>
          <w:szCs w:val="24"/>
        </w:rPr>
        <w:t xml:space="preserve">Direct measurement of unbound formaldehyde in blood or urine is of limited value because of the rapid metabolism of formaldehyde in vivo and the substantial endogenous pool that generates a baseline signal. </w:t>
      </w:r>
      <w:r>
        <w:rPr>
          <w:rFonts w:ascii="Times New Roman" w:cs="Times New Roman" w:eastAsia="Times New Roman" w:hAnsi="Times New Roman"/>
          <w:b/>
          <w:bCs/>
          <w:sz w:val="24"/>
          <w:szCs w:val="24"/>
          <w:vertAlign w:val="superscript"/>
        </w:rPr>
        <w:t xml:space="preserve">[21][35][52]</w:t>
      </w:r>
      <w:r>
        <w:rPr>
          <w:rFonts w:ascii="Times New Roman" w:cs="Times New Roman" w:eastAsia="Times New Roman" w:hAnsi="Times New Roman"/>
          <w:sz w:val="24"/>
          <w:szCs w:val="24"/>
        </w:rPr>
        <w:t xml:space="preserve"> Blood formaldehyde concentrations typically range from 0.4 to 0.9 µg/mL in unexposed adults and are not meaningfully elevated in chronically exposed workers.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Urinary formate — the principal stable oxidation product of formaldehyde — is measurable in occupationally exposed workers and has shown modest correlations with workplace TWA exposures in some studies, but is highly influenced by dietary methanol, one-carbon metabolism, and endogenous background. </w:t>
      </w:r>
      <w:r>
        <w:rPr>
          <w:rFonts w:ascii="Times New Roman" w:cs="Times New Roman" w:eastAsia="Times New Roman" w:hAnsi="Times New Roman"/>
          <w:b/>
          <w:bCs/>
          <w:sz w:val="24"/>
          <w:szCs w:val="24"/>
          <w:vertAlign w:val="superscript"/>
        </w:rPr>
        <w:t xml:space="preserve">[35][52]</w:t>
      </w:r>
      <w:r>
        <w:rPr>
          <w:rFonts w:ascii="Times New Roman" w:cs="Times New Roman" w:eastAsia="Times New Roman" w:hAnsi="Times New Roman"/>
          <w:sz w:val="24"/>
          <w:szCs w:val="24"/>
        </w:rPr>
        <w:t xml:space="preserve"> Urinary S-formylglutathione and thiazolidine-4-carboxylic acid have been proposed as more specific markers but are not in routine use.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Plasma methionine, S-adenosylmethionine, and related one-carbon metabolites are altered in formaldehyde-exposed workers and provide indirect biomarkers of formaldehyde-induced perturbations of methyl metabolism.</w:t>
      </w:r>
    </w:p>
    <w:p>
      <w:pPr>
        <w:spacing w:after="120" w:before="280"/>
        <w:jc w:val="left"/>
      </w:pPr>
      <w:r>
        <w:rPr>
          <w:rFonts w:ascii="Times New Roman" w:cs="Times New Roman" w:eastAsia="Times New Roman" w:hAnsi="Times New Roman"/>
          <w:b/>
          <w:bCs/>
          <w:sz w:val="24"/>
          <w:szCs w:val="24"/>
        </w:rPr>
        <w:t xml:space="preserve">Haemoglobin Adducts</w:t>
      </w:r>
    </w:p>
    <w:p>
      <w:pPr>
        <w:spacing w:after="120" w:before="60" w:line="300"/>
        <w:jc w:val="both"/>
      </w:pPr>
      <w:r>
        <w:rPr>
          <w:rFonts w:ascii="Times New Roman" w:cs="Times New Roman" w:eastAsia="Times New Roman" w:hAnsi="Times New Roman"/>
          <w:sz w:val="24"/>
          <w:szCs w:val="24"/>
        </w:rPr>
        <w:t xml:space="preserve">Haemoglobin N-terminal valine adducts — specifically N-methylenevaline — represent the most established protein adduct biomarker for formaldehyde exposure. </w:t>
      </w:r>
      <w:r>
        <w:rPr>
          <w:rFonts w:ascii="Times New Roman" w:cs="Times New Roman" w:eastAsia="Times New Roman" w:hAnsi="Times New Roman"/>
          <w:b/>
          <w:bCs/>
          <w:sz w:val="24"/>
          <w:szCs w:val="24"/>
          <w:vertAlign w:val="superscript"/>
        </w:rPr>
        <w:t xml:space="preserve">[21][23][35]</w:t>
      </w:r>
      <w:r>
        <w:rPr>
          <w:rFonts w:ascii="Times New Roman" w:cs="Times New Roman" w:eastAsia="Times New Roman" w:hAnsi="Times New Roman"/>
          <w:sz w:val="24"/>
          <w:szCs w:val="24"/>
        </w:rPr>
        <w:t xml:space="preserve"> The haemoglobin adduct is measured after Edman degradation and LC-MS/MS quantification, with typical background levels of 5–15 pmol/g globin in unexposed individuals and elevations to 20–50 pmol/g globin in occupationally exposed populations.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Stable-isotope labelling with ¹³C-formaldehyde or deuterated formaldehyde allows quantitative distinction of recent exogenous exposure from endogenous background and has been applied in controlled human exposure studies and non-human primate experiments.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The 120-day erythrocyte lifespan provides a cumulative-exposure window biomarker well-suited to intermediate-term workplace monitoring.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Application of this biomarker in large-scale occupational surveillance has been limited by analytical complexity and cost, but recent LC-MS/MS advances are making it more accessible.</w:t>
      </w:r>
    </w:p>
    <w:p>
      <w:pPr>
        <w:spacing w:after="120" w:before="280"/>
        <w:jc w:val="left"/>
      </w:pPr>
      <w:r>
        <w:rPr>
          <w:rFonts w:ascii="Times New Roman" w:cs="Times New Roman" w:eastAsia="Times New Roman" w:hAnsi="Times New Roman"/>
          <w:b/>
          <w:bCs/>
          <w:sz w:val="24"/>
          <w:szCs w:val="24"/>
        </w:rPr>
        <w:t xml:space="preserve">DNA Adducts and Cross-links</w:t>
      </w:r>
    </w:p>
    <w:p>
      <w:pPr>
        <w:spacing w:after="120" w:before="60" w:line="300"/>
        <w:jc w:val="both"/>
      </w:pPr>
      <w:r>
        <w:rPr>
          <w:rFonts w:ascii="Times New Roman" w:cs="Times New Roman" w:eastAsia="Times New Roman" w:hAnsi="Times New Roman"/>
          <w:sz w:val="24"/>
          <w:szCs w:val="24"/>
        </w:rPr>
        <w:t xml:space="preserve">Formaldehyde-specific DNA adducts — particularly N²-hydroxymethyl-deoxyguanosine (N²-HOMe-dG) and the related N⁶-hydroxymethyl-deoxyadenosine — are highly stable biomarkers measurable in leukocyte and tissue DNA by LC-MS/MS. </w:t>
      </w:r>
      <w:r>
        <w:rPr>
          <w:rFonts w:ascii="Times New Roman" w:cs="Times New Roman" w:eastAsia="Times New Roman" w:hAnsi="Times New Roman"/>
          <w:b/>
          <w:bCs/>
          <w:sz w:val="24"/>
          <w:szCs w:val="24"/>
          <w:vertAlign w:val="superscript"/>
        </w:rPr>
        <w:t xml:space="preserve">[23][24][52][54]</w:t>
      </w:r>
      <w:r>
        <w:rPr>
          <w:rFonts w:ascii="Times New Roman" w:cs="Times New Roman" w:eastAsia="Times New Roman" w:hAnsi="Times New Roman"/>
          <w:sz w:val="24"/>
          <w:szCs w:val="24"/>
        </w:rPr>
        <w:t xml:space="preserve"> Stable-isotope labelling experiments with ¹³CD₂-formaldehyde in human volunteers and non-human primates have established that exogenous formaldehyde contributes a measurable fraction of total DNA adducts in nasal epithelium but is not detectable in distal tissues at environmentally relevant exposures.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DNA-protein cross-links (DPCs) are quantified by alkaline elution, comet assay with formaldehyde modification, or direct mass-spectrometric measurement of covalent DNA-peptide conjugates; DPC levels are elevated in nasal epithelium of exposed rodents and primates and correlate with histopathological lesion development. </w:t>
      </w:r>
      <w:r>
        <w:rPr>
          <w:rFonts w:ascii="Times New Roman" w:cs="Times New Roman" w:eastAsia="Times New Roman" w:hAnsi="Times New Roman"/>
          <w:b/>
          <w:bCs/>
          <w:sz w:val="24"/>
          <w:szCs w:val="24"/>
          <w:vertAlign w:val="superscript"/>
        </w:rPr>
        <w:t xml:space="preserve">[23][52][54][57]</w:t>
      </w:r>
      <w:r>
        <w:rPr>
          <w:rFonts w:ascii="Times New Roman" w:cs="Times New Roman" w:eastAsia="Times New Roman" w:hAnsi="Times New Roman"/>
          <w:sz w:val="24"/>
          <w:szCs w:val="24"/>
        </w:rPr>
        <w:t xml:space="preserve"> These adduct biomarkers provide the strongest mechanistic link between exposure and toxicity but require specialised mass spectrometry capabilities not available in most clinical or industrial hygiene laboratories.</w:t>
      </w:r>
    </w:p>
    <w:p>
      <w:pPr>
        <w:spacing w:after="120" w:before="280"/>
        <w:jc w:val="left"/>
      </w:pPr>
      <w:r>
        <w:rPr>
          <w:rFonts w:ascii="Times New Roman" w:cs="Times New Roman" w:eastAsia="Times New Roman" w:hAnsi="Times New Roman"/>
          <w:b/>
          <w:bCs/>
          <w:sz w:val="24"/>
          <w:szCs w:val="24"/>
        </w:rPr>
        <w:t xml:space="preserve">Exhaled Breath Biomarkers</w:t>
      </w:r>
    </w:p>
    <w:p>
      <w:pPr>
        <w:spacing w:after="120" w:before="60" w:line="300"/>
        <w:jc w:val="both"/>
      </w:pPr>
      <w:r>
        <w:rPr>
          <w:rFonts w:ascii="Times New Roman" w:cs="Times New Roman" w:eastAsia="Times New Roman" w:hAnsi="Times New Roman"/>
          <w:sz w:val="24"/>
          <w:szCs w:val="24"/>
        </w:rPr>
        <w:t xml:space="preserve">Exhaled breath analysis represents an emerging non-invasive biomonitoring approach for formaldehyde. </w:t>
      </w:r>
      <w:r>
        <w:rPr>
          <w:rFonts w:ascii="Times New Roman" w:cs="Times New Roman" w:eastAsia="Times New Roman" w:hAnsi="Times New Roman"/>
          <w:b/>
          <w:bCs/>
          <w:sz w:val="24"/>
          <w:szCs w:val="24"/>
          <w:vertAlign w:val="superscript"/>
        </w:rPr>
        <w:t xml:space="preserve">[35][74]</w:t>
      </w:r>
      <w:r>
        <w:rPr>
          <w:rFonts w:ascii="Times New Roman" w:cs="Times New Roman" w:eastAsia="Times New Roman" w:hAnsi="Times New Roman"/>
          <w:sz w:val="24"/>
          <w:szCs w:val="24"/>
        </w:rPr>
        <w:t xml:space="preserve"> Direct exhaled formaldehyde concentrations measured by proton-transfer-reaction mass spectrometry (PTR-MS) or selected-ion flow-tube mass spectrometry (SIFT-MS) are typically 1–10 ppb in unexposed individuals and can rise to 20–100 ppb immediately after occupational exposure. </w:t>
      </w:r>
      <w:r>
        <w:rPr>
          <w:rFonts w:ascii="Times New Roman" w:cs="Times New Roman" w:eastAsia="Times New Roman" w:hAnsi="Times New Roman"/>
          <w:b/>
          <w:bCs/>
          <w:sz w:val="24"/>
          <w:szCs w:val="24"/>
          <w:vertAlign w:val="superscript"/>
        </w:rPr>
        <w:t xml:space="preserve">[35][74]</w:t>
      </w:r>
      <w:r>
        <w:rPr>
          <w:rFonts w:ascii="Times New Roman" w:cs="Times New Roman" w:eastAsia="Times New Roman" w:hAnsi="Times New Roman"/>
          <w:sz w:val="24"/>
          <w:szCs w:val="24"/>
        </w:rPr>
        <w:t xml:space="preserve"> Exhaled breath condensate biomarkers — including 8-isoprostane (oxidative stress), leukotrienes, and cytokines — have been explored in formaldehyde-exposed workers and demonstrate activation of airway inflammatory pathways consistent with the mechanistic paradigm. </w:t>
      </w:r>
      <w:r>
        <w:rPr>
          <w:rFonts w:ascii="Times New Roman" w:cs="Times New Roman" w:eastAsia="Times New Roman" w:hAnsi="Times New Roman"/>
          <w:b/>
          <w:bCs/>
          <w:sz w:val="24"/>
          <w:szCs w:val="24"/>
          <w:vertAlign w:val="superscript"/>
        </w:rPr>
        <w:t xml:space="preserve">[41][74]</w:t>
      </w:r>
      <w:r>
        <w:rPr>
          <w:rFonts w:ascii="Times New Roman" w:cs="Times New Roman" w:eastAsia="Times New Roman" w:hAnsi="Times New Roman"/>
          <w:sz w:val="24"/>
          <w:szCs w:val="24"/>
        </w:rPr>
        <w:t xml:space="preserve"> Breath-based biomonitoring is appealing for its simplicity and non-invasiveness but is challenged by rapid metabolism and variability with physiological state; further standardisation and validation are required before widespread application.</w:t>
      </w:r>
    </w:p>
    <w:p>
      <w:pPr>
        <w:spacing w:after="120" w:before="280"/>
        <w:jc w:val="left"/>
      </w:pPr>
      <w:r>
        <w:rPr>
          <w:rFonts w:ascii="Times New Roman" w:cs="Times New Roman" w:eastAsia="Times New Roman" w:hAnsi="Times New Roman"/>
          <w:b/>
          <w:bCs/>
          <w:sz w:val="24"/>
          <w:szCs w:val="24"/>
        </w:rPr>
        <w:t xml:space="preserve">Nasal and Oral Epithelial Biomarkers</w:t>
      </w:r>
    </w:p>
    <w:p>
      <w:pPr>
        <w:spacing w:after="120" w:before="60" w:line="300"/>
        <w:jc w:val="both"/>
      </w:pPr>
      <w:r>
        <w:rPr>
          <w:rFonts w:ascii="Times New Roman" w:cs="Times New Roman" w:eastAsia="Times New Roman" w:hAnsi="Times New Roman"/>
          <w:sz w:val="24"/>
          <w:szCs w:val="24"/>
        </w:rPr>
        <w:t xml:space="preserve">Epithelial cell sampling of the nasal and oral mucosa provides direct access to target tissues for formaldehyde effects. </w:t>
      </w:r>
      <w:r>
        <w:rPr>
          <w:rFonts w:ascii="Times New Roman" w:cs="Times New Roman" w:eastAsia="Times New Roman" w:hAnsi="Times New Roman"/>
          <w:b/>
          <w:bCs/>
          <w:sz w:val="24"/>
          <w:szCs w:val="24"/>
          <w:vertAlign w:val="superscript"/>
        </w:rPr>
        <w:t xml:space="preserve">[13][24][41]</w:t>
      </w:r>
      <w:r>
        <w:rPr>
          <w:rFonts w:ascii="Times New Roman" w:cs="Times New Roman" w:eastAsia="Times New Roman" w:hAnsi="Times New Roman"/>
          <w:sz w:val="24"/>
          <w:szCs w:val="24"/>
        </w:rPr>
        <w:t xml:space="preserve"> Nasal epithelial brushings allow enumeration of micronuclei, chromosome aberrations, and gene expression markers; oral epithelial (buccal) cells provide a less invasive alternative for population-level studies. </w:t>
      </w:r>
      <w:r>
        <w:rPr>
          <w:rFonts w:ascii="Times New Roman" w:cs="Times New Roman" w:eastAsia="Times New Roman" w:hAnsi="Times New Roman"/>
          <w:b/>
          <w:bCs/>
          <w:sz w:val="24"/>
          <w:szCs w:val="24"/>
          <w:vertAlign w:val="superscript"/>
        </w:rPr>
        <w:t xml:space="preserve">[13][24]</w:t>
      </w:r>
      <w:r>
        <w:rPr>
          <w:rFonts w:ascii="Times New Roman" w:cs="Times New Roman" w:eastAsia="Times New Roman" w:hAnsi="Times New Roman"/>
          <w:sz w:val="24"/>
          <w:szCs w:val="24"/>
        </w:rPr>
        <w:t xml:space="preserve"> Zhang et al. (2010) and subsequent investigators have reported elevated micronucleus frequency in nasal and buccal epithelial cells of formaldehyde-exposed workers, with dose-response relationships supporting formaldehyde-specific effects. </w:t>
      </w:r>
      <w:r>
        <w:rPr>
          <w:rFonts w:ascii="Times New Roman" w:cs="Times New Roman" w:eastAsia="Times New Roman" w:hAnsi="Times New Roman"/>
          <w:b/>
          <w:bCs/>
          <w:sz w:val="24"/>
          <w:szCs w:val="24"/>
          <w:vertAlign w:val="superscript"/>
        </w:rPr>
        <w:t xml:space="preserve">[13][24]</w:t>
      </w:r>
      <w:r>
        <w:rPr>
          <w:rFonts w:ascii="Times New Roman" w:cs="Times New Roman" w:eastAsia="Times New Roman" w:hAnsi="Times New Roman"/>
          <w:sz w:val="24"/>
          <w:szCs w:val="24"/>
        </w:rPr>
        <w:t xml:space="preserve"> Gene expression profiling of nasal epithelium has identified a formaldehyde-responsive transcriptional signature including up-regulation of DNA repair genes, inflammatory mediators, and oxidative stress response genes; this approach has potential for exposure surveillance but requires further validation. </w:t>
      </w:r>
      <w:r>
        <w:rPr>
          <w:rFonts w:ascii="Times New Roman" w:cs="Times New Roman" w:eastAsia="Times New Roman" w:hAnsi="Times New Roman"/>
          <w:b/>
          <w:bCs/>
          <w:sz w:val="24"/>
          <w:szCs w:val="24"/>
          <w:vertAlign w:val="superscript"/>
        </w:rPr>
        <w:t xml:space="preserve">[40][41]</w:t>
      </w:r>
      <w:r>
        <w:rPr>
          <w:rFonts w:ascii="Times New Roman" w:cs="Times New Roman" w:eastAsia="Times New Roman" w:hAnsi="Times New Roman"/>
          <w:sz w:val="24"/>
          <w:szCs w:val="24"/>
        </w:rPr>
        <w:t xml:space="preserve"> Advances in single-cell RNA sequencing are positioned to provide high-resolution characterisation of nasal epithelial cell-type-specific responses.</w:t>
      </w:r>
    </w:p>
    <w:p>
      <w:pPr>
        <w:spacing w:after="120" w:before="280"/>
        <w:jc w:val="left"/>
      </w:pPr>
      <w:r>
        <w:rPr>
          <w:rFonts w:ascii="Times New Roman" w:cs="Times New Roman" w:eastAsia="Times New Roman" w:hAnsi="Times New Roman"/>
          <w:b/>
          <w:bCs/>
          <w:sz w:val="24"/>
          <w:szCs w:val="24"/>
        </w:rPr>
        <w:t xml:space="preserve">Immune and Haematological Biomarkers</w:t>
      </w:r>
    </w:p>
    <w:p>
      <w:pPr>
        <w:spacing w:after="120" w:before="60" w:line="300"/>
        <w:jc w:val="both"/>
      </w:pPr>
      <w:r>
        <w:rPr>
          <w:rFonts w:ascii="Times New Roman" w:cs="Times New Roman" w:eastAsia="Times New Roman" w:hAnsi="Times New Roman"/>
          <w:sz w:val="24"/>
          <w:szCs w:val="24"/>
        </w:rPr>
        <w:t xml:space="preserve">Haematological biomarkers in formaldehyde-exposed populations include peripheral blood cell counts, lymphocyte subset frequencies, and functional measures of haematopoietic progenitor cells. </w:t>
      </w:r>
      <w:r>
        <w:rPr>
          <w:rFonts w:ascii="Times New Roman" w:cs="Times New Roman" w:eastAsia="Times New Roman" w:hAnsi="Times New Roman"/>
          <w:b/>
          <w:bCs/>
          <w:sz w:val="24"/>
          <w:szCs w:val="24"/>
          <w:vertAlign w:val="superscript"/>
        </w:rPr>
        <w:t xml:space="preserve">[13][24][90]</w:t>
      </w:r>
      <w:r>
        <w:rPr>
          <w:rFonts w:ascii="Times New Roman" w:cs="Times New Roman" w:eastAsia="Times New Roman" w:hAnsi="Times New Roman"/>
          <w:sz w:val="24"/>
          <w:szCs w:val="24"/>
        </w:rPr>
        <w:t xml:space="preserve"> Zhang et al. (2010) reported reduced white blood cell, lymphocyte, granulocyte, and platelet counts in highly exposed workers compared with controls, suggesting a systemic haematotoxic effect at occupational exposure levels.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Colony-forming unit assays (CFU-GM, CFU-E, BFU-E) in cultured bone marrow progenitors provide functional evidence of haematopoietic toxicity and have been measured in exposed cohorts with reductions observed at higher exposure levels. </w:t>
      </w:r>
      <w:r>
        <w:rPr>
          <w:rFonts w:ascii="Times New Roman" w:cs="Times New Roman" w:eastAsia="Times New Roman" w:hAnsi="Times New Roman"/>
          <w:b/>
          <w:bCs/>
          <w:sz w:val="24"/>
          <w:szCs w:val="24"/>
          <w:vertAlign w:val="superscript"/>
        </w:rPr>
        <w:t xml:space="preserve">[13][24]</w:t>
      </w:r>
      <w:r>
        <w:rPr>
          <w:rFonts w:ascii="Times New Roman" w:cs="Times New Roman" w:eastAsia="Times New Roman" w:hAnsi="Times New Roman"/>
          <w:sz w:val="24"/>
          <w:szCs w:val="24"/>
        </w:rPr>
        <w:t xml:space="preserve"> Immune function biomarkers — including lymphocyte proliferative response to mitogens, natural killer cell activity, and cytokine secretion profiles — have been explored in formaldehyde-exposed workers with mixed findings. </w:t>
      </w:r>
      <w:r>
        <w:rPr>
          <w:rFonts w:ascii="Times New Roman" w:cs="Times New Roman" w:eastAsia="Times New Roman" w:hAnsi="Times New Roman"/>
          <w:b/>
          <w:bCs/>
          <w:sz w:val="24"/>
          <w:szCs w:val="24"/>
          <w:vertAlign w:val="superscript"/>
        </w:rPr>
        <w:t xml:space="preserve">[13][90]</w:t>
      </w:r>
      <w:r>
        <w:rPr>
          <w:rFonts w:ascii="Times New Roman" w:cs="Times New Roman" w:eastAsia="Times New Roman" w:hAnsi="Times New Roman"/>
          <w:sz w:val="24"/>
          <w:szCs w:val="24"/>
        </w:rPr>
        <w:t xml:space="preserve"> Regulatory T-cell populations and IgE levels are of particular interest for understanding the formaldehyde-asthma and sensitisation relationships and are active research topics.</w:t>
      </w:r>
    </w:p>
    <w:p>
      <w:pPr>
        <w:spacing w:after="120" w:before="280"/>
        <w:jc w:val="left"/>
      </w:pPr>
      <w:r>
        <w:rPr>
          <w:rFonts w:ascii="Times New Roman" w:cs="Times New Roman" w:eastAsia="Times New Roman" w:hAnsi="Times New Roman"/>
          <w:b/>
          <w:bCs/>
          <w:sz w:val="24"/>
          <w:szCs w:val="24"/>
        </w:rPr>
        <w:t xml:space="preserve">Epigenetic Biomarkers</w:t>
      </w:r>
    </w:p>
    <w:p>
      <w:pPr>
        <w:spacing w:after="120" w:before="60" w:line="300"/>
        <w:jc w:val="both"/>
      </w:pPr>
      <w:r>
        <w:rPr>
          <w:rFonts w:ascii="Times New Roman" w:cs="Times New Roman" w:eastAsia="Times New Roman" w:hAnsi="Times New Roman"/>
          <w:sz w:val="24"/>
          <w:szCs w:val="24"/>
        </w:rPr>
        <w:t xml:space="preserve">Epigenetic biomarkers of formaldehyde effect are an emerging research frontier. </w:t>
      </w:r>
      <w:r>
        <w:rPr>
          <w:rFonts w:ascii="Times New Roman" w:cs="Times New Roman" w:eastAsia="Times New Roman" w:hAnsi="Times New Roman"/>
          <w:b/>
          <w:bCs/>
          <w:sz w:val="24"/>
          <w:szCs w:val="24"/>
          <w:vertAlign w:val="superscript"/>
        </w:rPr>
        <w:t xml:space="preserve">[24][52]</w:t>
      </w:r>
      <w:r>
        <w:rPr>
          <w:rFonts w:ascii="Times New Roman" w:cs="Times New Roman" w:eastAsia="Times New Roman" w:hAnsi="Times New Roman"/>
          <w:sz w:val="24"/>
          <w:szCs w:val="24"/>
        </w:rPr>
        <w:t xml:space="preserve"> Formaldehyde modifies lysine side chains on histone proteins through non-enzymatic aldol/Schiff reactions and through enzymatic demethylation of methyllysine residues by the LSD1 (KDM1A) demethylase which releases formaldehyde as a by-product. </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 These perturbations of the histone methylation landscape may contribute to transcriptional reprogramming in formaldehyde-exposed cells. </w:t>
      </w:r>
      <w:r>
        <w:rPr>
          <w:rFonts w:ascii="Times New Roman" w:cs="Times New Roman" w:eastAsia="Times New Roman" w:hAnsi="Times New Roman"/>
          <w:b/>
          <w:bCs/>
          <w:sz w:val="24"/>
          <w:szCs w:val="24"/>
          <w:vertAlign w:val="superscript"/>
        </w:rPr>
        <w:t xml:space="preserve">[24][52]</w:t>
      </w:r>
      <w:r>
        <w:rPr>
          <w:rFonts w:ascii="Times New Roman" w:cs="Times New Roman" w:eastAsia="Times New Roman" w:hAnsi="Times New Roman"/>
          <w:sz w:val="24"/>
          <w:szCs w:val="24"/>
        </w:rPr>
        <w:t xml:space="preserve"> Global DNA methylation and gene-specific promoter methylation changes have been reported in formaldehyde-exposed workers, with preliminary evidence of repetitive element hypomethylation (LINE-1, Alu) suggesting genomic instability. </w:t>
      </w:r>
      <w:r>
        <w:rPr>
          <w:rFonts w:ascii="Times New Roman" w:cs="Times New Roman" w:eastAsia="Times New Roman" w:hAnsi="Times New Roman"/>
          <w:b/>
          <w:bCs/>
          <w:sz w:val="24"/>
          <w:szCs w:val="24"/>
          <w:vertAlign w:val="superscript"/>
        </w:rPr>
        <w:t xml:space="preserve">[24]</w:t>
      </w:r>
      <w:r>
        <w:rPr>
          <w:rFonts w:ascii="Times New Roman" w:cs="Times New Roman" w:eastAsia="Times New Roman" w:hAnsi="Times New Roman"/>
          <w:sz w:val="24"/>
          <w:szCs w:val="24"/>
        </w:rPr>
        <w:t xml:space="preserve"> Histone H3K9 and H3K27 trimethylation alterations and micro-RNA profile changes are additional emerging biomarkers under investigation. </w:t>
      </w:r>
      <w:r>
        <w:rPr>
          <w:rFonts w:ascii="Times New Roman" w:cs="Times New Roman" w:eastAsia="Times New Roman" w:hAnsi="Times New Roman"/>
          <w:b/>
          <w:bCs/>
          <w:sz w:val="24"/>
          <w:szCs w:val="24"/>
          <w:vertAlign w:val="superscript"/>
        </w:rPr>
        <w:t xml:space="preserve">[24][52]</w:t>
      </w:r>
      <w:r>
        <w:rPr>
          <w:rFonts w:ascii="Times New Roman" w:cs="Times New Roman" w:eastAsia="Times New Roman" w:hAnsi="Times New Roman"/>
          <w:sz w:val="24"/>
          <w:szCs w:val="24"/>
        </w:rPr>
        <w:t xml:space="preserve"> Validation of these epigenetic signatures as reproducible biomarkers of exposure, effect, or disease risk requires additional work in independent cohorts.</w:t>
      </w:r>
    </w:p>
    <w:p>
      <w:pPr>
        <w:spacing w:after="120" w:before="280"/>
        <w:jc w:val="left"/>
      </w:pPr>
      <w:r>
        <w:rPr>
          <w:rFonts w:ascii="Times New Roman" w:cs="Times New Roman" w:eastAsia="Times New Roman" w:hAnsi="Times New Roman"/>
          <w:b/>
          <w:bCs/>
          <w:sz w:val="24"/>
          <w:szCs w:val="24"/>
        </w:rPr>
        <w:t xml:space="preserve">Genetic Susceptibility Markers</w:t>
      </w:r>
    </w:p>
    <w:p>
      <w:pPr>
        <w:spacing w:after="120" w:before="60" w:line="300"/>
        <w:jc w:val="both"/>
      </w:pPr>
      <w:r>
        <w:rPr>
          <w:rFonts w:ascii="Times New Roman" w:cs="Times New Roman" w:eastAsia="Times New Roman" w:hAnsi="Times New Roman"/>
          <w:sz w:val="24"/>
          <w:szCs w:val="24"/>
        </w:rPr>
        <w:t xml:space="preserve">Genetic susceptibility markers for formaldehyde toxicity include functional variants in genes encoding the principal detoxification enzymes and DNA damage response proteins. </w:t>
      </w:r>
      <w:r>
        <w:rPr>
          <w:rFonts w:ascii="Times New Roman" w:cs="Times New Roman" w:eastAsia="Times New Roman" w:hAnsi="Times New Roman"/>
          <w:b/>
          <w:bCs/>
          <w:sz w:val="24"/>
          <w:szCs w:val="24"/>
          <w:vertAlign w:val="superscript"/>
        </w:rPr>
        <w:t xml:space="preserve">[21][23][24]</w:t>
      </w:r>
      <w:r>
        <w:rPr>
          <w:rFonts w:ascii="Times New Roman" w:cs="Times New Roman" w:eastAsia="Times New Roman" w:hAnsi="Times New Roman"/>
          <w:sz w:val="24"/>
          <w:szCs w:val="24"/>
        </w:rPr>
        <w:t xml:space="preserve"> The ALDH2*2 variant (rs671, Glu487Lys) — common in East Asian populations (~40% allele frequency) — reduces ALDH2 enzyme activity to 10–20% of wild-type and is associated with increased aldehyde-related cancer risk in general; ADH5 polymorphisms that affect S-formylglutathione hydrolase activity further modify individual detoxification capacity. </w:t>
      </w:r>
      <w:r>
        <w:rPr>
          <w:rFonts w:ascii="Times New Roman" w:cs="Times New Roman" w:eastAsia="Times New Roman" w:hAnsi="Times New Roman"/>
          <w:b/>
          <w:bCs/>
          <w:sz w:val="24"/>
          <w:szCs w:val="24"/>
          <w:vertAlign w:val="superscript"/>
        </w:rPr>
        <w:t xml:space="preserve">[21][23]</w:t>
      </w:r>
      <w:r>
        <w:rPr>
          <w:rFonts w:ascii="Times New Roman" w:cs="Times New Roman" w:eastAsia="Times New Roman" w:hAnsi="Times New Roman"/>
          <w:sz w:val="24"/>
          <w:szCs w:val="24"/>
        </w:rPr>
        <w:t xml:space="preserve"> Fanconi anaemia (FA) gene mutations cause dramatic hypersensitivity to formaldehyde cytotoxicity and genotoxicity at the cellular level, and homozygous FA patients require strict aldehyde avoidance; heterozygous FA carriers (~1% of the general population) may have mildly elevated risk. </w:t>
      </w:r>
      <w:r>
        <w:rPr>
          <w:rFonts w:ascii="Times New Roman" w:cs="Times New Roman" w:eastAsia="Times New Roman" w:hAnsi="Times New Roman"/>
          <w:b/>
          <w:bCs/>
          <w:sz w:val="24"/>
          <w:szCs w:val="24"/>
          <w:vertAlign w:val="superscript"/>
        </w:rPr>
        <w:t xml:space="preserve">[23][24][90]</w:t>
      </w:r>
      <w:r>
        <w:rPr>
          <w:rFonts w:ascii="Times New Roman" w:cs="Times New Roman" w:eastAsia="Times New Roman" w:hAnsi="Times New Roman"/>
          <w:sz w:val="24"/>
          <w:szCs w:val="24"/>
        </w:rPr>
        <w:t xml:space="preserve"> Genetic variants in DNA repair genes (FANCA-W, BRCA1/2, ATM, ATR), one-carbon metabolism genes (MTHFR, MTR), and glutathione metabolism genes (GSTM1, GSTT1, GPX1) are candidate susceptibility markers under active investigation. </w:t>
      </w:r>
      <w:r>
        <w:rPr>
          <w:rFonts w:ascii="Times New Roman" w:cs="Times New Roman" w:eastAsia="Times New Roman" w:hAnsi="Times New Roman"/>
          <w:b/>
          <w:bCs/>
          <w:sz w:val="24"/>
          <w:szCs w:val="24"/>
          <w:vertAlign w:val="superscript"/>
        </w:rPr>
        <w:t xml:space="preserve">[23][24][90]</w:t>
      </w:r>
      <w:r>
        <w:rPr>
          <w:rFonts w:ascii="Times New Roman" w:cs="Times New Roman" w:eastAsia="Times New Roman" w:hAnsi="Times New Roman"/>
          <w:sz w:val="24"/>
          <w:szCs w:val="24"/>
        </w:rPr>
        <w:t xml:space="preserve"> Genome-wide association studies in large occupational cohorts have not yet identified genome-wide significant loci for formaldehyde-specific disease risk, but this approach has substantial future potential as cohort sizes and follow-up extend.</w:t>
      </w:r>
    </w:p>
    <w:p>
      <w:pPr>
        <w:spacing w:after="120" w:before="280"/>
        <w:jc w:val="left"/>
      </w:pPr>
      <w:r>
        <w:rPr>
          <w:rFonts w:ascii="Times New Roman" w:cs="Times New Roman" w:eastAsia="Times New Roman" w:hAnsi="Times New Roman"/>
          <w:b/>
          <w:bCs/>
          <w:sz w:val="24"/>
          <w:szCs w:val="24"/>
        </w:rPr>
        <w:t xml:space="preserve">Applications in Occupational Surveillance</w:t>
      </w:r>
    </w:p>
    <w:p>
      <w:pPr>
        <w:spacing w:after="120" w:before="60" w:line="300"/>
        <w:jc w:val="both"/>
      </w:pPr>
      <w:r>
        <w:rPr>
          <w:rFonts w:ascii="Times New Roman" w:cs="Times New Roman" w:eastAsia="Times New Roman" w:hAnsi="Times New Roman"/>
          <w:sz w:val="24"/>
          <w:szCs w:val="24"/>
        </w:rPr>
        <w:t xml:space="preserve">Application of formaldehyde biomarkers in occupational surveillance programs has been limited by analytical complexity, cost, and the challenge of interpreting biomarker values against endogenous background. </w:t>
      </w:r>
      <w:r>
        <w:rPr>
          <w:rFonts w:ascii="Times New Roman" w:cs="Times New Roman" w:eastAsia="Times New Roman" w:hAnsi="Times New Roman"/>
          <w:b/>
          <w:bCs/>
          <w:sz w:val="24"/>
          <w:szCs w:val="24"/>
          <w:vertAlign w:val="superscript"/>
        </w:rPr>
        <w:t xml:space="preserve">[21][35][99]</w:t>
      </w:r>
      <w:r>
        <w:rPr>
          <w:rFonts w:ascii="Times New Roman" w:cs="Times New Roman" w:eastAsia="Times New Roman" w:hAnsi="Times New Roman"/>
          <w:sz w:val="24"/>
          <w:szCs w:val="24"/>
        </w:rPr>
        <w:t xml:space="preserve"> Current occupational exposure monitoring in most regulatory frameworks relies on air monitoring (personal breathing-zone samples, area samples, task-based monitoring) rather than biomonitoring. </w:t>
      </w:r>
      <w:r>
        <w:rPr>
          <w:rFonts w:ascii="Times New Roman" w:cs="Times New Roman" w:eastAsia="Times New Roman" w:hAnsi="Times New Roman"/>
          <w:b/>
          <w:bCs/>
          <w:sz w:val="24"/>
          <w:szCs w:val="24"/>
          <w:vertAlign w:val="superscript"/>
        </w:rPr>
        <w:t xml:space="preserve">[35][99]</w:t>
      </w:r>
      <w:r>
        <w:rPr>
          <w:rFonts w:ascii="Times New Roman" w:cs="Times New Roman" w:eastAsia="Times New Roman" w:hAnsi="Times New Roman"/>
          <w:sz w:val="24"/>
          <w:szCs w:val="24"/>
        </w:rPr>
        <w:t xml:space="preserve"> ACGIH BEI (Biological Exposure Index) values for formaldehyde specify no recommended urinary or blood biomarker, reflecting the current state of biomarker validation. </w:t>
      </w:r>
      <w:r>
        <w:rPr>
          <w:rFonts w:ascii="Times New Roman" w:cs="Times New Roman" w:eastAsia="Times New Roman" w:hAnsi="Times New Roman"/>
          <w:b/>
          <w:bCs/>
          <w:sz w:val="24"/>
          <w:szCs w:val="24"/>
          <w:vertAlign w:val="superscript"/>
        </w:rPr>
        <w:t xml:space="preserve">[98]</w:t>
      </w:r>
      <w:r>
        <w:rPr>
          <w:rFonts w:ascii="Times New Roman" w:cs="Times New Roman" w:eastAsia="Times New Roman" w:hAnsi="Times New Roman"/>
          <w:sz w:val="24"/>
          <w:szCs w:val="24"/>
        </w:rPr>
        <w:t xml:space="preserve"> Research applications of biomonitoring in sentinel surveillance of highly exposed workers (embalmers, histopathology technicians, resin manufacturing operators) continue to refine the exposure-biomarker-effect linkages. </w:t>
      </w:r>
      <w:r>
        <w:rPr>
          <w:rFonts w:ascii="Times New Roman" w:cs="Times New Roman" w:eastAsia="Times New Roman" w:hAnsi="Times New Roman"/>
          <w:b/>
          <w:bCs/>
          <w:sz w:val="24"/>
          <w:szCs w:val="24"/>
          <w:vertAlign w:val="superscript"/>
        </w:rPr>
        <w:t xml:space="preserve">[12][14][15][99]</w:t>
      </w:r>
      <w:r>
        <w:rPr>
          <w:rFonts w:ascii="Times New Roman" w:cs="Times New Roman" w:eastAsia="Times New Roman" w:hAnsi="Times New Roman"/>
          <w:sz w:val="24"/>
          <w:szCs w:val="24"/>
        </w:rPr>
        <w:t xml:space="preserve"> The German HBM (Human Biomonitoring) values and the European HBM4EU Initiative are actively developing biomarker reference ranges and health-based guidance values for formaldehyde that may eventually inform occupational and environmental regulation.</w:t>
      </w:r>
    </w:p>
    <w:p>
      <w:pPr>
        <w:spacing w:after="120" w:before="280"/>
        <w:jc w:val="left"/>
      </w:pPr>
      <w:r>
        <w:rPr>
          <w:rFonts w:ascii="Times New Roman" w:cs="Times New Roman" w:eastAsia="Times New Roman" w:hAnsi="Times New Roman"/>
          <w:b/>
          <w:bCs/>
          <w:sz w:val="24"/>
          <w:szCs w:val="24"/>
        </w:rPr>
        <w:t xml:space="preserve">Population Biomonitoring Studies</w:t>
      </w:r>
    </w:p>
    <w:p>
      <w:pPr>
        <w:spacing w:after="120" w:before="60" w:line="300"/>
        <w:jc w:val="both"/>
      </w:pPr>
      <w:r>
        <w:rPr>
          <w:rFonts w:ascii="Times New Roman" w:cs="Times New Roman" w:eastAsia="Times New Roman" w:hAnsi="Times New Roman"/>
          <w:sz w:val="24"/>
          <w:szCs w:val="24"/>
        </w:rPr>
        <w:t xml:space="preserve">Population-level biomonitoring of formaldehyde is less developed than for other environmental chemicals due to the analytical challenges and the contribution of endogenous formaldehyde to measured biomarker levels. </w:t>
      </w:r>
      <w:r>
        <w:rPr>
          <w:rFonts w:ascii="Times New Roman" w:cs="Times New Roman" w:eastAsia="Times New Roman" w:hAnsi="Times New Roman"/>
          <w:b/>
          <w:bCs/>
          <w:sz w:val="24"/>
          <w:szCs w:val="24"/>
          <w:vertAlign w:val="superscript"/>
        </w:rPr>
        <w:t xml:space="preserve">[21][35][52]</w:t>
      </w:r>
      <w:r>
        <w:rPr>
          <w:rFonts w:ascii="Times New Roman" w:cs="Times New Roman" w:eastAsia="Times New Roman" w:hAnsi="Times New Roman"/>
          <w:sz w:val="24"/>
          <w:szCs w:val="24"/>
        </w:rPr>
        <w:t xml:space="preserve"> The U.S. National Health and Nutrition Examination Survey (NHANES) has not included formaldehyde biomarkers in its environmental chemical surveillance; the European HBM4EU program has included formaldehyde as a priority substance with pilot studies of urinary formate, haemoglobin adducts, and exhaled breath biomarkers. </w:t>
      </w:r>
      <w:r>
        <w:rPr>
          <w:rFonts w:ascii="Times New Roman" w:cs="Times New Roman" w:eastAsia="Times New Roman" w:hAnsi="Times New Roman"/>
          <w:b/>
          <w:bCs/>
          <w:sz w:val="24"/>
          <w:szCs w:val="24"/>
          <w:vertAlign w:val="superscript"/>
        </w:rPr>
        <w:t xml:space="preserve">[21]</w:t>
      </w:r>
      <w:r>
        <w:rPr>
          <w:rFonts w:ascii="Times New Roman" w:cs="Times New Roman" w:eastAsia="Times New Roman" w:hAnsi="Times New Roman"/>
          <w:sz w:val="24"/>
          <w:szCs w:val="24"/>
        </w:rPr>
        <w:t xml:space="preserve"> Preliminary population distributions of exhaled formaldehyde in healthy adults from urban Chinese and European populations show geometric means of 2–4 ppb with elevations in current smokers and individuals with respiratory disease. </w:t>
      </w:r>
      <w:r>
        <w:rPr>
          <w:rFonts w:ascii="Times New Roman" w:cs="Times New Roman" w:eastAsia="Times New Roman" w:hAnsi="Times New Roman"/>
          <w:b/>
          <w:bCs/>
          <w:sz w:val="24"/>
          <w:szCs w:val="24"/>
          <w:vertAlign w:val="superscript"/>
        </w:rPr>
        <w:t xml:space="preserve">[35][74]</w:t>
      </w:r>
      <w:r>
        <w:rPr>
          <w:rFonts w:ascii="Times New Roman" w:cs="Times New Roman" w:eastAsia="Times New Roman" w:hAnsi="Times New Roman"/>
          <w:sz w:val="24"/>
          <w:szCs w:val="24"/>
        </w:rPr>
        <w:t xml:space="preserve"> Birth cohort studies — particularly the HELIX and MELA cohorts in Europe and the Project Viva and ECHO cohorts in the U.S. — are positioned to provide unique prospective biomarker-outcome data in children exposed to ambient and indoor formaldehyde from gestation through early childhood.</w:t>
      </w:r>
    </w:p>
    <w:p>
      <w:r>
        <w:br w:type="page"/>
      </w:r>
    </w:p>
    <w:p>
      <w:pPr>
        <w:spacing w:after="120" w:before="280"/>
        <w:jc w:val="left"/>
      </w:pPr>
      <w:r>
        <w:rPr>
          <w:rFonts w:ascii="Times New Roman" w:cs="Times New Roman" w:eastAsia="Times New Roman" w:hAnsi="Times New Roman"/>
          <w:b/>
          <w:bCs/>
          <w:sz w:val="24"/>
          <w:szCs w:val="24"/>
        </w:rPr>
        <w:t xml:space="preserve">Reproductive and Developmental Toxicology</w:t>
      </w:r>
    </w:p>
    <w:p>
      <w:pPr>
        <w:spacing w:after="120" w:before="60" w:line="300"/>
        <w:jc w:val="both"/>
      </w:pPr>
      <w:r>
        <w:rPr>
          <w:rFonts w:ascii="Times New Roman" w:cs="Times New Roman" w:eastAsia="Times New Roman" w:hAnsi="Times New Roman"/>
          <w:sz w:val="24"/>
          <w:szCs w:val="24"/>
        </w:rPr>
        <w:t xml:space="preserve">Reproductive and developmental toxicology of formaldehyde has been evaluated in rodent bioassays, non-human primate studies, epidemiological investigations of occupationally exposed populations, and increasingly in molecular and cellular model systems.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The central toxicological questions are: does inhaled formaldehyde produce reproductive or developmental effects at environmentally or occupationally relevant exposure levels, what is the biologically plausible mechanism, and what protective exposure levels are required for vulnerable populations including pregnant workers and developing children?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The current evidence base supports protective action for pregnant workers at occupationally relevant exposures while indicating that environmental-level exposures are unlikely to produce direct reproductive or developmental harm.</w:t>
      </w:r>
    </w:p>
    <w:p>
      <w:pPr>
        <w:spacing w:after="120" w:before="280"/>
        <w:jc w:val="left"/>
      </w:pPr>
      <w:r>
        <w:rPr>
          <w:rFonts w:ascii="Times New Roman" w:cs="Times New Roman" w:eastAsia="Times New Roman" w:hAnsi="Times New Roman"/>
          <w:b/>
          <w:bCs/>
          <w:sz w:val="24"/>
          <w:szCs w:val="24"/>
        </w:rPr>
        <w:t xml:space="preserve">Rodent Developmental Studies</w:t>
      </w:r>
    </w:p>
    <w:p>
      <w:pPr>
        <w:spacing w:after="120" w:before="60" w:line="300"/>
        <w:jc w:val="both"/>
      </w:pPr>
      <w:r>
        <w:rPr>
          <w:rFonts w:ascii="Times New Roman" w:cs="Times New Roman" w:eastAsia="Times New Roman" w:hAnsi="Times New Roman"/>
          <w:sz w:val="24"/>
          <w:szCs w:val="24"/>
        </w:rPr>
        <w:t xml:space="preserve">Rodent developmental toxicity studies of formaldehyde have been conducted using inhalation, oral, and dermal exposure routes.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Whole-body inhalation exposure of pregnant Sprague-Dawley rats to 2, 5, and 10 ppm formaldehyde during gestation days 6–15 produced maternal toxicity at the highest dose (reduced weight gain, nasal pathology) but no significant increase in malformation rate or reduction in fetal viability at any tested concentration.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Additional rat studies at exposures up to 40 ppm during pre-implantation through organogenesis demonstrated maternal toxicity and modest reductions in fetal weight at the highest concentrations, but no teratogenic pattern.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Mouse developmental studies with inhalation exposure during organogenesis similarly show maternal toxicity without specific teratogenic effects; oral-route studies at doses that produce substantial systemic toxicity show reduced fetal weight and increased skeletal variation rates without malformations.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The integrated rodent developmental evidence indicates that formaldehyde is not a frank teratogen at maternally tolerated doses, with maternal toxicity being the limiting factor in bioassay design.</w:t>
      </w:r>
    </w:p>
    <w:p>
      <w:pPr>
        <w:spacing w:after="120" w:before="280"/>
        <w:jc w:val="left"/>
      </w:pPr>
      <w:r>
        <w:rPr>
          <w:rFonts w:ascii="Times New Roman" w:cs="Times New Roman" w:eastAsia="Times New Roman" w:hAnsi="Times New Roman"/>
          <w:b/>
          <w:bCs/>
          <w:sz w:val="24"/>
          <w:szCs w:val="24"/>
        </w:rPr>
        <w:t xml:space="preserve">Reproductive Performance Studies</w:t>
      </w:r>
    </w:p>
    <w:p>
      <w:pPr>
        <w:spacing w:after="120" w:before="60" w:line="300"/>
        <w:jc w:val="both"/>
      </w:pPr>
      <w:r>
        <w:rPr>
          <w:rFonts w:ascii="Times New Roman" w:cs="Times New Roman" w:eastAsia="Times New Roman" w:hAnsi="Times New Roman"/>
          <w:sz w:val="24"/>
          <w:szCs w:val="24"/>
        </w:rPr>
        <w:t xml:space="preserve">Rodent reproductive performance studies of formaldehyde include multi-generation inhalation studies in rats and mice.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Pre-mating through gestation and lactation exposure of rats to 2–10 ppm formaldehyde produced no consistent effects on mating index, fertility, gestation duration, or litter size across the tested generations.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Male reproductive toxicology — sperm count, motility, morphology, testicular histopathology — has been evaluated in chronic inhalation bioassays with no consistent adverse findings at sub-maternal-toxicity doses.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Female reproductive endpoints including oestrous cyclicity, ovarian histopathology, and implantation rates similarly show no consistent effects.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Overall, the rodent reproductive toxicology profile of formaldehyde is dominated by local portal-of-entry effects (nasal) rather than systemic reproductive or developmental effects at exposures below maternal toxicity thresholds.</w:t>
      </w:r>
    </w:p>
    <w:p>
      <w:pPr>
        <w:spacing w:after="120" w:before="280"/>
        <w:jc w:val="left"/>
      </w:pPr>
      <w:r>
        <w:rPr>
          <w:rFonts w:ascii="Times New Roman" w:cs="Times New Roman" w:eastAsia="Times New Roman" w:hAnsi="Times New Roman"/>
          <w:b/>
          <w:bCs/>
          <w:sz w:val="24"/>
          <w:szCs w:val="24"/>
        </w:rPr>
        <w:t xml:space="preserve">Epidemiological Reproductive Studies</w:t>
      </w:r>
    </w:p>
    <w:p>
      <w:pPr>
        <w:spacing w:after="120" w:before="60" w:line="300"/>
        <w:jc w:val="both"/>
      </w:pPr>
      <w:r>
        <w:rPr>
          <w:rFonts w:ascii="Times New Roman" w:cs="Times New Roman" w:eastAsia="Times New Roman" w:hAnsi="Times New Roman"/>
          <w:sz w:val="24"/>
          <w:szCs w:val="24"/>
        </w:rPr>
        <w:t xml:space="preserve">Epidemiological studies of reproductive outcomes in formaldehyde-exposed workers have reported associations with spontaneous abortion, reduced birth weight, preterm birth, menstrual irregularities, and time-to-pregnancy in several cohorts.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Histopathology laboratory workers and embalmers have been studied most intensively given their elevated task-specific exposures.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Taskinen et al. and other Finnish studies reported modestly elevated spontaneous abortion odds ratios (1.3–2.0) in formaldehyde-exposed healthcare workers; Chinese studies of textile workers have reported similar findings.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Interpretation is complicated by co-exposures (solvents, shift work, standing posture, stress), recall bias in spontaneous abortion ascertainment, and healthy-worker effect.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Current risk assessment frameworks recommend caution for pregnant workers at formaldehyde exposures above 0.5 ppm TWA, consistent with the reduced-exposure guidelines for other reactive workplace chemicals during pregnancy.</w:t>
      </w:r>
    </w:p>
    <w:p>
      <w:pPr>
        <w:spacing w:after="120" w:before="280"/>
        <w:jc w:val="left"/>
      </w:pPr>
      <w:r>
        <w:rPr>
          <w:rFonts w:ascii="Times New Roman" w:cs="Times New Roman" w:eastAsia="Times New Roman" w:hAnsi="Times New Roman"/>
          <w:b/>
          <w:bCs/>
          <w:sz w:val="24"/>
          <w:szCs w:val="24"/>
        </w:rPr>
        <w:t xml:space="preserve">Endocrine Effects</w:t>
      </w:r>
    </w:p>
    <w:p>
      <w:pPr>
        <w:spacing w:after="120" w:before="60" w:line="300"/>
        <w:jc w:val="both"/>
      </w:pPr>
      <w:r>
        <w:rPr>
          <w:rFonts w:ascii="Times New Roman" w:cs="Times New Roman" w:eastAsia="Times New Roman" w:hAnsi="Times New Roman"/>
          <w:sz w:val="24"/>
          <w:szCs w:val="24"/>
        </w:rPr>
        <w:t xml:space="preserve">Endocrine-related effects of formaldehyde have been explored in the context of potential thyroid, adrenal, and gonadal hormone alterations.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Studies in formaldehyde-exposed workers have reported modest reductions in serum testosterone, alterations in thyroid hormone levels, and changes in sex-hormone-binding globulin that are generally within the normal clinical range.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In vitro studies have examined formaldehyde effects on steroidogenic enzyme activity and receptor binding with some evidence of interference at supra-physiological concentrations but limited evidence of relevance at environmentally realistic exposure levels.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Formaldehyde is not currently classified as an endocrine disruptor under the EU WHO/IPCS framework or the EDSP criteria, though ongoing screening under modernised endocrine testing guidelines continues to evaluate this hypothesis. </w:t>
      </w:r>
      <w:r>
        <w:rPr>
          <w:rFonts w:ascii="Times New Roman" w:cs="Times New Roman" w:eastAsia="Times New Roman" w:hAnsi="Times New Roman"/>
          <w:b/>
          <w:bCs/>
          <w:sz w:val="24"/>
          <w:szCs w:val="24"/>
          <w:vertAlign w:val="superscript"/>
        </w:rPr>
        <w:t xml:space="preserve">[52][90]</w:t>
      </w:r>
      <w:r>
        <w:rPr>
          <w:rFonts w:ascii="Times New Roman" w:cs="Times New Roman" w:eastAsia="Times New Roman" w:hAnsi="Times New Roman"/>
          <w:sz w:val="24"/>
          <w:szCs w:val="24"/>
        </w:rPr>
        <w:t xml:space="preserve"> The one-carbon metabolic perturbations associated with formaldehyde exposure may have indirect effects on DNA methylation and epigenetic programming that could influence reproductive and developmental outcomes, an area of active research.</w:t>
      </w:r>
    </w:p>
    <w:p>
      <w:pPr>
        <w:spacing w:after="120" w:before="280"/>
        <w:jc w:val="left"/>
      </w:pPr>
      <w:r>
        <w:rPr>
          <w:rFonts w:ascii="Times New Roman" w:cs="Times New Roman" w:eastAsia="Times New Roman" w:hAnsi="Times New Roman"/>
          <w:b/>
          <w:bCs/>
          <w:sz w:val="24"/>
          <w:szCs w:val="24"/>
        </w:rPr>
        <w:t xml:space="preserve">Germ Cell and Transgenerational Effects</w:t>
      </w:r>
    </w:p>
    <w:p>
      <w:pPr>
        <w:spacing w:after="120" w:before="60" w:line="300"/>
        <w:jc w:val="both"/>
      </w:pPr>
      <w:r>
        <w:rPr>
          <w:rFonts w:ascii="Times New Roman" w:cs="Times New Roman" w:eastAsia="Times New Roman" w:hAnsi="Times New Roman"/>
          <w:sz w:val="24"/>
          <w:szCs w:val="24"/>
        </w:rPr>
        <w:t xml:space="preserve">Germ cell genotoxicity and transgenerational effects of formaldehyde have been evaluated in rodent models with limited evidence for heritable genetic damage.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Dominant lethal assays in rats exposed to inhalation formaldehyde at up to 20 ppm showed no significant increases in post-implantation loss attributable to pre-mating paternal exposure.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Sperm abnormality assays and germinal cell cytogenetics have been variable, with some studies reporting increases in sperm morphology abnormalities at high exposures and others showing no effect.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Transgenerational effects through epigenetic mechanisms — DNA methylation, histone modifications, non-coding RNA — are an emerging research area with limited formaldehyde-specific data. </w:t>
      </w:r>
      <w:r>
        <w:rPr>
          <w:rFonts w:ascii="Times New Roman" w:cs="Times New Roman" w:eastAsia="Times New Roman" w:hAnsi="Times New Roman"/>
          <w:b/>
          <w:bCs/>
          <w:sz w:val="24"/>
          <w:szCs w:val="24"/>
          <w:vertAlign w:val="superscript"/>
        </w:rPr>
        <w:t xml:space="preserve">[24][39][52]</w:t>
      </w:r>
      <w:r>
        <w:rPr>
          <w:rFonts w:ascii="Times New Roman" w:cs="Times New Roman" w:eastAsia="Times New Roman" w:hAnsi="Times New Roman"/>
          <w:sz w:val="24"/>
          <w:szCs w:val="24"/>
        </w:rPr>
        <w:t xml:space="preserve"> The IARC and EPA risk assessments do not currently classify formaldehyde as a significant heritable mutagen at environmental or occupational exposure levels, though continued surveillance is appropriate.</w:t>
      </w:r>
    </w:p>
    <w:p>
      <w:pPr>
        <w:spacing w:after="120" w:before="280"/>
        <w:jc w:val="left"/>
      </w:pPr>
      <w:r>
        <w:rPr>
          <w:rFonts w:ascii="Times New Roman" w:cs="Times New Roman" w:eastAsia="Times New Roman" w:hAnsi="Times New Roman"/>
          <w:b/>
          <w:bCs/>
          <w:sz w:val="24"/>
          <w:szCs w:val="24"/>
        </w:rPr>
        <w:t xml:space="preserve">Developmental Neurotoxicity</w:t>
      </w:r>
    </w:p>
    <w:p>
      <w:pPr>
        <w:spacing w:after="120" w:before="60" w:line="300"/>
        <w:jc w:val="both"/>
      </w:pPr>
      <w:r>
        <w:rPr>
          <w:rFonts w:ascii="Times New Roman" w:cs="Times New Roman" w:eastAsia="Times New Roman" w:hAnsi="Times New Roman"/>
          <w:sz w:val="24"/>
          <w:szCs w:val="24"/>
        </w:rPr>
        <w:t xml:space="preserve">Developmental neurotoxicity of formaldehyde is a limited research area with some animal model evidence suggesting alterations in learning and memory in offspring of gestationally exposed rodents.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Studies in rat pups following maternal inhalation exposure during gestation and lactation have reported subtle alterations in open-field activity, Morris water maze performance, and neurotransmitter levels at exposures in the 2–10 ppm range; the biological significance at environmentally relevant exposures is uncertain.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Mechanistic studies suggest possible effects on adult neurogenesis, hippocampal plasticity, and neuroinflammation, with some evidence that formaldehyde-exposed rodents show impaired adult hippocampal neurogenesis and altered microglial activity. </w:t>
      </w:r>
      <w:r>
        <w:rPr>
          <w:rFonts w:ascii="Times New Roman" w:cs="Times New Roman" w:eastAsia="Times New Roman" w:hAnsi="Times New Roman"/>
          <w:b/>
          <w:bCs/>
          <w:sz w:val="24"/>
          <w:szCs w:val="24"/>
          <w:vertAlign w:val="superscript"/>
        </w:rPr>
        <w:t xml:space="preserve">[52][90]</w:t>
      </w:r>
      <w:r>
        <w:rPr>
          <w:rFonts w:ascii="Times New Roman" w:cs="Times New Roman" w:eastAsia="Times New Roman" w:hAnsi="Times New Roman"/>
          <w:sz w:val="24"/>
          <w:szCs w:val="24"/>
        </w:rPr>
        <w:t xml:space="preserve"> Epidemiological studies linking maternal occupational or residential formaldehyde exposure to child neurodevelopmental outcomes (autism spectrum disorder, ADHD, cognitive function) have reported mixed and generally weak associations; confounding by co-exposures and socio-economic factors complicates interpretation.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Current risk assessment does not include a developmental neurotoxicity endpoint for formaldehyde-derived reference values, but the topic remains an active research focus.</w:t>
      </w:r>
    </w:p>
    <w:p>
      <w:pPr>
        <w:spacing w:after="120" w:before="280"/>
        <w:jc w:val="left"/>
      </w:pPr>
      <w:r>
        <w:rPr>
          <w:rFonts w:ascii="Times New Roman" w:cs="Times New Roman" w:eastAsia="Times New Roman" w:hAnsi="Times New Roman"/>
          <w:b/>
          <w:bCs/>
          <w:sz w:val="24"/>
          <w:szCs w:val="24"/>
        </w:rPr>
        <w:t xml:space="preserve">Placental Transfer and Fetal Exposure</w:t>
      </w:r>
    </w:p>
    <w:p>
      <w:pPr>
        <w:spacing w:after="120" w:before="60" w:line="300"/>
        <w:jc w:val="both"/>
      </w:pPr>
      <w:r>
        <w:rPr>
          <w:rFonts w:ascii="Times New Roman" w:cs="Times New Roman" w:eastAsia="Times New Roman" w:hAnsi="Times New Roman"/>
          <w:sz w:val="24"/>
          <w:szCs w:val="24"/>
        </w:rPr>
        <w:t xml:space="preserve">Placental transfer of formaldehyde is limited by rapid maternal metabolism and the robust placental formaldehyde dehydrogenase activity. </w:t>
      </w:r>
      <w:r>
        <w:rPr>
          <w:rFonts w:ascii="Times New Roman" w:cs="Times New Roman" w:eastAsia="Times New Roman" w:hAnsi="Times New Roman"/>
          <w:b/>
          <w:bCs/>
          <w:sz w:val="24"/>
          <w:szCs w:val="24"/>
          <w:vertAlign w:val="superscript"/>
        </w:rPr>
        <w:t xml:space="preserve">[39][52][58]</w:t>
      </w:r>
      <w:r>
        <w:rPr>
          <w:rFonts w:ascii="Times New Roman" w:cs="Times New Roman" w:eastAsia="Times New Roman" w:hAnsi="Times New Roman"/>
          <w:sz w:val="24"/>
          <w:szCs w:val="24"/>
        </w:rPr>
        <w:t xml:space="preserve"> Stable-isotope labelling experiments in pregnant rats and non-human primates indicate that inhaled formaldehyde at environmentally relevant concentrations does not measurably reach fetal tissues; fetal formaldehyde is dominated by endogenous production from one-carbon metabolism. </w:t>
      </w:r>
      <w:r>
        <w:rPr>
          <w:rFonts w:ascii="Times New Roman" w:cs="Times New Roman" w:eastAsia="Times New Roman" w:hAnsi="Times New Roman"/>
          <w:b/>
          <w:bCs/>
          <w:sz w:val="24"/>
          <w:szCs w:val="24"/>
          <w:vertAlign w:val="superscript"/>
        </w:rPr>
        <w:t xml:space="preserve">[52][58]</w:t>
      </w:r>
      <w:r>
        <w:rPr>
          <w:rFonts w:ascii="Times New Roman" w:cs="Times New Roman" w:eastAsia="Times New Roman" w:hAnsi="Times New Roman"/>
          <w:sz w:val="24"/>
          <w:szCs w:val="24"/>
        </w:rPr>
        <w:t xml:space="preserve"> Indirect fetal effects through maternal physiological changes (maternal oxidative stress, inflammatory response, altered nutrient delivery) may occur at higher exposure levels but are not well characterised.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The limited transplacental transfer provides some biological basis for the generally reassuring epidemiological findings on major congenital malformations but does not preclude concerns about subtle developmental effects at higher occupational exposure levels.</w:t>
      </w:r>
    </w:p>
    <w:p>
      <w:pPr>
        <w:spacing w:after="120" w:before="280"/>
        <w:jc w:val="left"/>
      </w:pPr>
      <w:r>
        <w:rPr>
          <w:rFonts w:ascii="Times New Roman" w:cs="Times New Roman" w:eastAsia="Times New Roman" w:hAnsi="Times New Roman"/>
          <w:b/>
          <w:bCs/>
          <w:sz w:val="24"/>
          <w:szCs w:val="24"/>
        </w:rPr>
        <w:t xml:space="preserve">Breast Milk and Lactation Transfer</w:t>
      </w:r>
    </w:p>
    <w:p>
      <w:pPr>
        <w:spacing w:after="120" w:before="60" w:line="300"/>
        <w:jc w:val="both"/>
      </w:pPr>
      <w:r>
        <w:rPr>
          <w:rFonts w:ascii="Times New Roman" w:cs="Times New Roman" w:eastAsia="Times New Roman" w:hAnsi="Times New Roman"/>
          <w:sz w:val="24"/>
          <w:szCs w:val="24"/>
        </w:rPr>
        <w:t xml:space="preserve">Formaldehyde transfer through breast milk has been evaluated in limited rodent studies with low detectable levels reflecting the high maternal metabolic first-pass elimination.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Lactating rodents exposed to inhalation formaldehyde at 2–10 ppm do not show measurable exogenous formaldehyde in milk above endogenous background.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Human studies of breast milk formaldehyde are limited and complicated by analytical difficulties; no significant concern about lactation transfer has been identified at occupational or environmental exposure levels.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Breast-feeding is recommended without restriction for workers with routine formaldehyde exposure at levels meeting occupational standards, with appropriate PPE and exposure monitoring in place.</w:t>
      </w:r>
    </w:p>
    <w:p>
      <w:pPr>
        <w:spacing w:after="120" w:before="280"/>
        <w:jc w:val="left"/>
      </w:pPr>
      <w:r>
        <w:rPr>
          <w:rFonts w:ascii="Times New Roman" w:cs="Times New Roman" w:eastAsia="Times New Roman" w:hAnsi="Times New Roman"/>
          <w:b/>
          <w:bCs/>
          <w:sz w:val="24"/>
          <w:szCs w:val="24"/>
        </w:rPr>
        <w:t xml:space="preserve">Workplace Pregnancy Guidance</w:t>
      </w:r>
    </w:p>
    <w:p>
      <w:pPr>
        <w:spacing w:after="120" w:before="60" w:line="300"/>
        <w:jc w:val="both"/>
      </w:pPr>
      <w:r>
        <w:rPr>
          <w:rFonts w:ascii="Times New Roman" w:cs="Times New Roman" w:eastAsia="Times New Roman" w:hAnsi="Times New Roman"/>
          <w:sz w:val="24"/>
          <w:szCs w:val="24"/>
        </w:rPr>
        <w:t xml:space="preserve">Workplace pregnancy guidance for formaldehyde-exposed workers reflects regulatory agency and professional organisation recommendations for reducing exposure during pregnancy out of an abundance of caution. </w:t>
      </w:r>
      <w:r>
        <w:rPr>
          <w:rFonts w:ascii="Times New Roman" w:cs="Times New Roman" w:eastAsia="Times New Roman" w:hAnsi="Times New Roman"/>
          <w:b/>
          <w:bCs/>
          <w:sz w:val="24"/>
          <w:szCs w:val="24"/>
          <w:vertAlign w:val="superscript"/>
        </w:rPr>
        <w:t xml:space="preserve">[39][90][99]</w:t>
      </w:r>
      <w:r>
        <w:rPr>
          <w:rFonts w:ascii="Times New Roman" w:cs="Times New Roman" w:eastAsia="Times New Roman" w:hAnsi="Times New Roman"/>
          <w:sz w:val="24"/>
          <w:szCs w:val="24"/>
        </w:rPr>
        <w:t xml:space="preserve"> NIOSH recommends exposure below 0.016 ppm TWA for all workers (the REL Ca) with additional consideration for pregnant workers; OSHA does not provide pregnancy-specific guidance beyond the general Formaldehyde Standard.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ACOG (American College of Obstetricians and Gynecologists) and similar professional bodies advise that pregnant healthcare workers with potential formaldehyde exposure should work with occupational health to characterise and minimise exposure.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European jurisdictions have varying approaches; the Swedish KemI guidance recommends protective action for pregnant workers at formaldehyde exposures above 0.1 ppm TWA.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Workplace accommodations for pregnant workers typically include reassignment away from high-exposure tasks, enhanced local ventilation, and periodic exposure monitoring; these provisions protect the worker while maintaining continued employment.</w:t>
      </w:r>
    </w:p>
    <w:p>
      <w:pPr>
        <w:spacing w:after="120" w:before="280"/>
        <w:jc w:val="left"/>
      </w:pPr>
      <w:r>
        <w:rPr>
          <w:rFonts w:ascii="Times New Roman" w:cs="Times New Roman" w:eastAsia="Times New Roman" w:hAnsi="Times New Roman"/>
          <w:b/>
          <w:bCs/>
          <w:sz w:val="24"/>
          <w:szCs w:val="24"/>
        </w:rPr>
        <w:t xml:space="preserve">Pediatric Exposure Considerations</w:t>
      </w:r>
    </w:p>
    <w:p>
      <w:pPr>
        <w:spacing w:after="120" w:before="60" w:line="300"/>
        <w:jc w:val="both"/>
      </w:pPr>
      <w:r>
        <w:rPr>
          <w:rFonts w:ascii="Times New Roman" w:cs="Times New Roman" w:eastAsia="Times New Roman" w:hAnsi="Times New Roman"/>
          <w:sz w:val="24"/>
          <w:szCs w:val="24"/>
        </w:rPr>
        <w:t xml:space="preserve">Pediatric formaldehyde exposure considerations include the higher ventilation rate per body weight in infants and young children, the developmental immaturity of detoxification systems, and the longer remaining life-years in which cancer latency can manifest. </w:t>
      </w:r>
      <w:r>
        <w:rPr>
          <w:rFonts w:ascii="Times New Roman" w:cs="Times New Roman" w:eastAsia="Times New Roman" w:hAnsi="Times New Roman"/>
          <w:b/>
          <w:bCs/>
          <w:sz w:val="24"/>
          <w:szCs w:val="24"/>
          <w:vertAlign w:val="superscript"/>
        </w:rPr>
        <w:t xml:space="preserve">[39][90][93]</w:t>
      </w:r>
      <w:r>
        <w:rPr>
          <w:rFonts w:ascii="Times New Roman" w:cs="Times New Roman" w:eastAsia="Times New Roman" w:hAnsi="Times New Roman"/>
          <w:sz w:val="24"/>
          <w:szCs w:val="24"/>
        </w:rPr>
        <w:t xml:space="preserve"> Infants and young children have respiratory rates 2–3-fold higher per body weight than adults, meaning that equivalent air concentrations produce proportionally higher inhaled dose in pediatric populations. </w:t>
      </w:r>
      <w:r>
        <w:rPr>
          <w:rFonts w:ascii="Times New Roman" w:cs="Times New Roman" w:eastAsia="Times New Roman" w:hAnsi="Times New Roman"/>
          <w:b/>
          <w:bCs/>
          <w:sz w:val="24"/>
          <w:szCs w:val="24"/>
          <w:vertAlign w:val="superscript"/>
        </w:rPr>
        <w:t xml:space="preserve">[90][93]</w:t>
      </w:r>
      <w:r>
        <w:rPr>
          <w:rFonts w:ascii="Times New Roman" w:cs="Times New Roman" w:eastAsia="Times New Roman" w:hAnsi="Times New Roman"/>
          <w:sz w:val="24"/>
          <w:szCs w:val="24"/>
        </w:rPr>
        <w:t xml:space="preserve"> Detoxification enzymes ADH5, ALDH2, and glutathione transferases are expressed from birth but do not reach adult levels until several years of age; whether this translates to meaningful susceptibility at environmentally relevant exposures is uncertain. </w:t>
      </w:r>
      <w:r>
        <w:rPr>
          <w:rFonts w:ascii="Times New Roman" w:cs="Times New Roman" w:eastAsia="Times New Roman" w:hAnsi="Times New Roman"/>
          <w:b/>
          <w:bCs/>
          <w:sz w:val="24"/>
          <w:szCs w:val="24"/>
          <w:vertAlign w:val="superscript"/>
        </w:rPr>
        <w:t xml:space="preserve">[24][52][90]</w:t>
      </w:r>
      <w:r>
        <w:rPr>
          <w:rFonts w:ascii="Times New Roman" w:cs="Times New Roman" w:eastAsia="Times New Roman" w:hAnsi="Times New Roman"/>
          <w:sz w:val="24"/>
          <w:szCs w:val="24"/>
        </w:rPr>
        <w:t xml:space="preserve"> Pediatric residential and school exposure scenarios are considered in contemporary risk assessment with specific attention to school indoor air standards (France, Germany, other European countries) and to composite wood product emission standards that protect the most sensitive populations. </w:t>
      </w:r>
      <w:r>
        <w:rPr>
          <w:rFonts w:ascii="Times New Roman" w:cs="Times New Roman" w:eastAsia="Times New Roman" w:hAnsi="Times New Roman"/>
          <w:b/>
          <w:bCs/>
          <w:sz w:val="24"/>
          <w:szCs w:val="24"/>
          <w:vertAlign w:val="superscript"/>
        </w:rPr>
        <w:t xml:space="preserve">[31][66][90][93]</w:t>
      </w:r>
      <w:r>
        <w:rPr>
          <w:rFonts w:ascii="Times New Roman" w:cs="Times New Roman" w:eastAsia="Times New Roman" w:hAnsi="Times New Roman"/>
          <w:sz w:val="24"/>
          <w:szCs w:val="24"/>
        </w:rPr>
        <w:t xml:space="preserve"> Infants and toddlers in new homes, schools, or daycare facilities with elevated indoor formaldehyde are a priority protection group for both public health and regulatory attention.</w:t>
      </w:r>
    </w:p>
    <w:p>
      <w:r>
        <w:br w:type="page"/>
      </w:r>
    </w:p>
    <w:p>
      <w:pPr>
        <w:spacing w:after="120" w:before="280"/>
        <w:jc w:val="left"/>
      </w:pPr>
      <w:r>
        <w:rPr>
          <w:rFonts w:ascii="Times New Roman" w:cs="Times New Roman" w:eastAsia="Times New Roman" w:hAnsi="Times New Roman"/>
          <w:b/>
          <w:bCs/>
          <w:sz w:val="24"/>
          <w:szCs w:val="24"/>
        </w:rPr>
        <w:t xml:space="preserve">Formaldehyde in Food, Beverages, and Drinking Water</w:t>
      </w:r>
    </w:p>
    <w:p>
      <w:pPr>
        <w:spacing w:after="120" w:before="60" w:line="300"/>
        <w:jc w:val="both"/>
      </w:pPr>
      <w:r>
        <w:rPr>
          <w:rFonts w:ascii="Times New Roman" w:cs="Times New Roman" w:eastAsia="Times New Roman" w:hAnsi="Times New Roman"/>
          <w:sz w:val="24"/>
          <w:szCs w:val="24"/>
        </w:rPr>
        <w:t xml:space="preserve">Formaldehyde occurs in food, beverages, and drinking water through multiple pathways including natural occurrence in foods through metabolic and enzymatic processes, formation during food processing and cooking, contamination from food-contact materials, disinfection residue in drinking water, and occasional illegal use as a preservative in fish and other products. </w:t>
      </w:r>
      <w:r>
        <w:rPr>
          <w:rFonts w:ascii="Times New Roman" w:cs="Times New Roman" w:eastAsia="Times New Roman" w:hAnsi="Times New Roman"/>
          <w:b/>
          <w:bCs/>
          <w:sz w:val="24"/>
          <w:szCs w:val="24"/>
          <w:vertAlign w:val="superscript"/>
        </w:rPr>
        <w:t xml:space="preserve">[5][85][88]</w:t>
      </w:r>
      <w:r>
        <w:rPr>
          <w:rFonts w:ascii="Times New Roman" w:cs="Times New Roman" w:eastAsia="Times New Roman" w:hAnsi="Times New Roman"/>
          <w:sz w:val="24"/>
          <w:szCs w:val="24"/>
        </w:rPr>
        <w:t xml:space="preserve"> Dietary formaldehyde exposure contributes to the aggregate human exposure burden and requires distinct regulatory oversight through food safety, food-contact material, and drinking water frameworks. Total dietary formaldehyde exposure in the general population is estimated at 1.5–14 mg/day for adults, with higher exposure in individuals consuming large quantities of formaldehyde-rich foods or alcoholic beverages.</w:t>
      </w:r>
    </w:p>
    <w:p>
      <w:pPr>
        <w:spacing w:after="120" w:before="280"/>
        <w:jc w:val="left"/>
      </w:pPr>
      <w:r>
        <w:rPr>
          <w:rFonts w:ascii="Times New Roman" w:cs="Times New Roman" w:eastAsia="Times New Roman" w:hAnsi="Times New Roman"/>
          <w:b/>
          <w:bCs/>
          <w:sz w:val="24"/>
          <w:szCs w:val="24"/>
        </w:rPr>
        <w:t xml:space="preserve">Natural Occurrence in Foods</w:t>
      </w:r>
    </w:p>
    <w:p>
      <w:pPr>
        <w:spacing w:after="120" w:before="60" w:line="300"/>
        <w:jc w:val="both"/>
      </w:pPr>
      <w:r>
        <w:rPr>
          <w:rFonts w:ascii="Times New Roman" w:cs="Times New Roman" w:eastAsia="Times New Roman" w:hAnsi="Times New Roman"/>
          <w:sz w:val="24"/>
          <w:szCs w:val="24"/>
        </w:rPr>
        <w:t xml:space="preserve">Formaldehyde is naturally present in many foods as a product of endogenous metabolism and post-harvest enzymatic activity.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Fruits typically contain 1–30 mg/kg formaldehyde (apple, banana, citrus, melon), with higher concentrations in some varieties (shiitake mushroom 100–400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Vegetables contain 1–50 mg/kg depending on species; meats contain 5–20 mg/kg with muscle and organ meats at the higher end; fish contains 1–100 mg/kg with particularly high levels in dried and smoked fish products (up to 400 mg/kg).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Dairy products typically contain &lt;1 mg/kg; eggs contain 1–2 mg/kg; grain products contain 1–10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Beverages including coffee (3–15 mg/kg), tea (1–4 mg/kg), beer (0.1–1 mg/kg), wine (0.1–10 mg/kg), and spirits (up to 100 mg/kg in some distilled products) contribute to dietary exposure.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Formaldehyde in these foods is rapidly metabolised in the gastrointestinal tract and does not accumulate in tissues; it contributes to the endogenous pool rather than representing a separate toxicological concern at typical dietary intakes.</w:t>
      </w:r>
    </w:p>
    <w:p>
      <w:pPr>
        <w:spacing w:after="120" w:before="280"/>
        <w:jc w:val="left"/>
      </w:pPr>
      <w:r>
        <w:rPr>
          <w:rFonts w:ascii="Times New Roman" w:cs="Times New Roman" w:eastAsia="Times New Roman" w:hAnsi="Times New Roman"/>
          <w:b/>
          <w:bCs/>
          <w:sz w:val="24"/>
          <w:szCs w:val="24"/>
        </w:rPr>
        <w:t xml:space="preserve">Formation During Food Processing</w:t>
      </w:r>
    </w:p>
    <w:p>
      <w:pPr>
        <w:spacing w:after="120" w:before="60" w:line="300"/>
        <w:jc w:val="both"/>
      </w:pPr>
      <w:r>
        <w:rPr>
          <w:rFonts w:ascii="Times New Roman" w:cs="Times New Roman" w:eastAsia="Times New Roman" w:hAnsi="Times New Roman"/>
          <w:sz w:val="24"/>
          <w:szCs w:val="24"/>
        </w:rPr>
        <w:t xml:space="preserve">Food processing operations generate formaldehyde through multiple chemical pathways.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High-temperature cooking (grilling, roasting, frying) produces formaldehyde through Maillard reaction, lipid oxidation, and protein degradation pathways; typical cooked-meat formaldehyde content ranges 5–50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Smoking of fish, meat, and cheese deposits substantial formaldehyde from wood smoke combustion products, with smoked salmon and smoked cheese often containing 10–200 mg/kg.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Distillation of alcoholic beverages concentrates methanol and its oxidation product formaldehyde, explaining the higher formaldehyde content in spirits compared with fermented beverages.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Food irradiation, microwave processing, and certain preservation methods can generate formaldehyde in small quantities; these are not considered significant contributors to the aggregate exposure.</w:t>
      </w:r>
    </w:p>
    <w:p>
      <w:pPr>
        <w:spacing w:after="120" w:before="280"/>
        <w:jc w:val="left"/>
      </w:pPr>
      <w:r>
        <w:rPr>
          <w:rFonts w:ascii="Times New Roman" w:cs="Times New Roman" w:eastAsia="Times New Roman" w:hAnsi="Times New Roman"/>
          <w:b/>
          <w:bCs/>
          <w:sz w:val="24"/>
          <w:szCs w:val="24"/>
        </w:rPr>
        <w:t xml:space="preserve">Food Contact Materials</w:t>
      </w:r>
    </w:p>
    <w:p>
      <w:pPr>
        <w:spacing w:after="120" w:before="60" w:line="300"/>
        <w:jc w:val="both"/>
      </w:pPr>
      <w:r>
        <w:rPr>
          <w:rFonts w:ascii="Times New Roman" w:cs="Times New Roman" w:eastAsia="Times New Roman" w:hAnsi="Times New Roman"/>
          <w:sz w:val="24"/>
          <w:szCs w:val="24"/>
        </w:rPr>
        <w:t xml:space="preserve">Food contact materials including melamine-formaldehyde tableware, urea-formaldehyde resin-bonded food packaging, and formaldehyde-releasing antimicrobial packaging coatings can release formaldehyde into contacted food. </w:t>
      </w:r>
      <w:r>
        <w:rPr>
          <w:rFonts w:ascii="Times New Roman" w:cs="Times New Roman" w:eastAsia="Times New Roman" w:hAnsi="Times New Roman"/>
          <w:b/>
          <w:bCs/>
          <w:sz w:val="24"/>
          <w:szCs w:val="24"/>
          <w:vertAlign w:val="superscript"/>
        </w:rPr>
        <w:t xml:space="preserve">[85][88][95]</w:t>
      </w:r>
      <w:r>
        <w:rPr>
          <w:rFonts w:ascii="Times New Roman" w:cs="Times New Roman" w:eastAsia="Times New Roman" w:hAnsi="Times New Roman"/>
          <w:sz w:val="24"/>
          <w:szCs w:val="24"/>
        </w:rPr>
        <w:t xml:space="preserve"> Melamine-formaldehyde (MF) dishware releases formaldehyde under high-temperature acidic conditions (hot tea, coffee, soup), with regulated migration limits.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European Commission Regulation 10/2011 specifies specific migration limits for formaldehyde from plastic food-contact materials at 15 mg/kg food with additional restrictions on melamine and other specific substances.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U.S. FDA regulates food contact materials under 21 CFR 175, 176, 177, and 178 with specific constraints on formaldehyde-containing food-contact resins and coatings. </w:t>
      </w:r>
      <w:r>
        <w:rPr>
          <w:rFonts w:ascii="Times New Roman" w:cs="Times New Roman" w:eastAsia="Times New Roman" w:hAnsi="Times New Roman"/>
          <w:b/>
          <w:bCs/>
          <w:sz w:val="24"/>
          <w:szCs w:val="24"/>
          <w:vertAlign w:val="superscript"/>
        </w:rPr>
        <w:t xml:space="preserve">[95]</w:t>
      </w:r>
      <w:r>
        <w:rPr>
          <w:rFonts w:ascii="Times New Roman" w:cs="Times New Roman" w:eastAsia="Times New Roman" w:hAnsi="Times New Roman"/>
          <w:sz w:val="24"/>
          <w:szCs w:val="24"/>
        </w:rPr>
        <w:t xml:space="preserve"> Compliance testing of food-contact materials involves standardised migration testing with food simulants under prescribed conditions; non-compliant products are subject to regulatory recall.</w:t>
      </w:r>
    </w:p>
    <w:p>
      <w:pPr>
        <w:spacing w:after="120" w:before="280"/>
        <w:jc w:val="left"/>
      </w:pPr>
      <w:r>
        <w:rPr>
          <w:rFonts w:ascii="Times New Roman" w:cs="Times New Roman" w:eastAsia="Times New Roman" w:hAnsi="Times New Roman"/>
          <w:b/>
          <w:bCs/>
          <w:sz w:val="24"/>
          <w:szCs w:val="24"/>
        </w:rPr>
        <w:t xml:space="preserve">Illegal Use as Preservative</w:t>
      </w:r>
    </w:p>
    <w:p>
      <w:pPr>
        <w:spacing w:after="120" w:before="60" w:line="300"/>
        <w:jc w:val="both"/>
      </w:pPr>
      <w:r>
        <w:rPr>
          <w:rFonts w:ascii="Times New Roman" w:cs="Times New Roman" w:eastAsia="Times New Roman" w:hAnsi="Times New Roman"/>
          <w:sz w:val="24"/>
          <w:szCs w:val="24"/>
        </w:rPr>
        <w:t xml:space="preserve">Illegal use of formaldehyde as a food preservative has been documented in multiple jurisdictions, most commonly in fresh fish, noodles, tofu, and other rapidly perishable foods.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Formaldehyde is sometimes added to fresh fish to delay spoilage, with documented cases in Southeast Asian, South Asian, and Chinese food markets producing fish samples with formaldehyde content substantially above natural background (up to 2000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Alkaline noodles with added formaldehyde have been documented in some Asian markets and have been subject to enforcement action when identified.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Tofu preservation with formaldehyde-containing brines is a recurring enforcement issue in several jurisdictions.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Regulatory agencies including the FDA, European Food Safety Authority, and national food safety authorities across Asia conduct periodic surveillance of high-risk food categories to identify and remove non-compliant products from the market.</w:t>
      </w:r>
    </w:p>
    <w:p>
      <w:pPr>
        <w:spacing w:after="120" w:before="280"/>
        <w:jc w:val="left"/>
      </w:pPr>
      <w:r>
        <w:rPr>
          <w:rFonts w:ascii="Times New Roman" w:cs="Times New Roman" w:eastAsia="Times New Roman" w:hAnsi="Times New Roman"/>
          <w:b/>
          <w:bCs/>
          <w:sz w:val="24"/>
          <w:szCs w:val="24"/>
        </w:rPr>
        <w:t xml:space="preserve">Drinking Water Formaldehyde</w:t>
      </w:r>
    </w:p>
    <w:p>
      <w:pPr>
        <w:spacing w:after="120" w:before="60" w:line="300"/>
        <w:jc w:val="both"/>
      </w:pPr>
      <w:r>
        <w:rPr>
          <w:rFonts w:ascii="Times New Roman" w:cs="Times New Roman" w:eastAsia="Times New Roman" w:hAnsi="Times New Roman"/>
          <w:sz w:val="24"/>
          <w:szCs w:val="24"/>
        </w:rPr>
        <w:t xml:space="preserve">Formaldehyde occurs in drinking water primarily as a disinfection by-product of ozonation and chlorination of water containing natural organic matter. </w:t>
      </w:r>
      <w:r>
        <w:rPr>
          <w:rFonts w:ascii="Times New Roman" w:cs="Times New Roman" w:eastAsia="Times New Roman" w:hAnsi="Times New Roman"/>
          <w:b/>
          <w:bCs/>
          <w:sz w:val="24"/>
          <w:szCs w:val="24"/>
          <w:vertAlign w:val="superscript"/>
        </w:rPr>
        <w:t xml:space="preserve">[5][85]</w:t>
      </w:r>
      <w:r>
        <w:rPr>
          <w:rFonts w:ascii="Times New Roman" w:cs="Times New Roman" w:eastAsia="Times New Roman" w:hAnsi="Times New Roman"/>
          <w:sz w:val="24"/>
          <w:szCs w:val="24"/>
        </w:rPr>
        <w:t xml:space="preserve"> Ozonation of surface water produces formaldehyde concentrations of 1–50 µg/L depending on source water quality, ozone dose, and contact time; subsequent biological filtration can reduce formaldehyde to near-detection limits.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Chlorination produces smaller quantities of formaldehyde alongside other carbonyl disinfection by-products including acetaldehyde and glyoxal.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WHO drinking water quality guidelines and national standards typically specify formaldehyde limits in the range of 0.5–1.5 mg/L based on chronic ingestion risk assessment; most drinking water supplies meet these limits with substantial margin. </w:t>
      </w:r>
      <w:r>
        <w:rPr>
          <w:rFonts w:ascii="Times New Roman" w:cs="Times New Roman" w:eastAsia="Times New Roman" w:hAnsi="Times New Roman"/>
          <w:b/>
          <w:bCs/>
          <w:sz w:val="24"/>
          <w:szCs w:val="24"/>
          <w:vertAlign w:val="superscript"/>
        </w:rPr>
        <w:t xml:space="preserve">[29][85]</w:t>
      </w:r>
      <w:r>
        <w:rPr>
          <w:rFonts w:ascii="Times New Roman" w:cs="Times New Roman" w:eastAsia="Times New Roman" w:hAnsi="Times New Roman"/>
          <w:sz w:val="24"/>
          <w:szCs w:val="24"/>
        </w:rPr>
        <w:t xml:space="preserve"> Distribution system contamination (from pipe materials, gaskets, or backflow from formaldehyde-using industrial processes) can occasionally produce elevated concentrations requiring investigation and remediation.</w:t>
      </w:r>
    </w:p>
    <w:p>
      <w:pPr>
        <w:spacing w:after="120" w:before="280"/>
        <w:jc w:val="left"/>
      </w:pPr>
      <w:r>
        <w:rPr>
          <w:rFonts w:ascii="Times New Roman" w:cs="Times New Roman" w:eastAsia="Times New Roman" w:hAnsi="Times New Roman"/>
          <w:b/>
          <w:bCs/>
          <w:sz w:val="24"/>
          <w:szCs w:val="24"/>
        </w:rPr>
        <w:t xml:space="preserve">Dietary Exposure Assessment</w:t>
      </w:r>
    </w:p>
    <w:p>
      <w:pPr>
        <w:spacing w:after="120" w:before="60" w:line="300"/>
        <w:jc w:val="both"/>
      </w:pPr>
      <w:r>
        <w:rPr>
          <w:rFonts w:ascii="Times New Roman" w:cs="Times New Roman" w:eastAsia="Times New Roman" w:hAnsi="Times New Roman"/>
          <w:sz w:val="24"/>
          <w:szCs w:val="24"/>
        </w:rPr>
        <w:t xml:space="preserve">Dietary formaldehyde exposure assessment combines food intake data with food-specific formaldehyde concentration data to estimate total daily intake. </w:t>
      </w:r>
      <w:r>
        <w:rPr>
          <w:rFonts w:ascii="Times New Roman" w:cs="Times New Roman" w:eastAsia="Times New Roman" w:hAnsi="Times New Roman"/>
          <w:b/>
          <w:bCs/>
          <w:sz w:val="24"/>
          <w:szCs w:val="24"/>
          <w:vertAlign w:val="superscript"/>
        </w:rPr>
        <w:t xml:space="preserve">[5][85]</w:t>
      </w:r>
      <w:r>
        <w:rPr>
          <w:rFonts w:ascii="Times New Roman" w:cs="Times New Roman" w:eastAsia="Times New Roman" w:hAnsi="Times New Roman"/>
          <w:sz w:val="24"/>
          <w:szCs w:val="24"/>
        </w:rPr>
        <w:t xml:space="preserve"> European Food Safety Authority (EFSA) dietary exposure assessments estimate mean formaldehyde intake at 5–12 mg/day for the general adult population, with upper-percentile consumers of formaldehyde-rich foods (shiitake mushrooms, dried fish, spirits) reaching 50+ mg/day.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U.S. FDA dietary exposure estimates are consistent with the EFSA values, and Chinese dietary exposure surveys report higher upper-percentile intakes reflecting the larger consumption of fish, mushrooms, and fermented products.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The calculated dietary intake is substantially below the estimated endogenous formaldehyde production (~6 g/day in a 70 kg adult) and well within tolerable limits from a systemic toxicity perspective. </w:t>
      </w:r>
      <w:r>
        <w:rPr>
          <w:rFonts w:ascii="Times New Roman" w:cs="Times New Roman" w:eastAsia="Times New Roman" w:hAnsi="Times New Roman"/>
          <w:b/>
          <w:bCs/>
          <w:sz w:val="24"/>
          <w:szCs w:val="24"/>
          <w:vertAlign w:val="superscript"/>
        </w:rPr>
        <w:t xml:space="preserve">[21][52][85]</w:t>
      </w:r>
      <w:r>
        <w:rPr>
          <w:rFonts w:ascii="Times New Roman" w:cs="Times New Roman" w:eastAsia="Times New Roman" w:hAnsi="Times New Roman"/>
          <w:sz w:val="24"/>
          <w:szCs w:val="24"/>
        </w:rPr>
        <w:t xml:space="preserve"> The 1996 WHO/IPCS evaluation established a Tolerable Daily Intake (TDI) of 0.15 mg/kg body weight per day for oral formaldehyde based on a chronic rat drinking water study; EFSA has endorsed similar guidance values.</w:t>
      </w:r>
    </w:p>
    <w:p>
      <w:pPr>
        <w:spacing w:after="120" w:before="280"/>
        <w:jc w:val="left"/>
      </w:pPr>
      <w:r>
        <w:rPr>
          <w:rFonts w:ascii="Times New Roman" w:cs="Times New Roman" w:eastAsia="Times New Roman" w:hAnsi="Times New Roman"/>
          <w:b/>
          <w:bCs/>
          <w:sz w:val="24"/>
          <w:szCs w:val="24"/>
        </w:rPr>
        <w:t xml:space="preserve">Oral Toxicology</w:t>
      </w:r>
    </w:p>
    <w:p>
      <w:pPr>
        <w:spacing w:after="120" w:before="60" w:line="300"/>
        <w:jc w:val="both"/>
      </w:pPr>
      <w:r>
        <w:rPr>
          <w:rFonts w:ascii="Times New Roman" w:cs="Times New Roman" w:eastAsia="Times New Roman" w:hAnsi="Times New Roman"/>
          <w:sz w:val="24"/>
          <w:szCs w:val="24"/>
        </w:rPr>
        <w:t xml:space="preserve">Oral toxicology of formaldehyde has been evaluated in chronic rat drinking-water studies, sub-chronic gavage studies, and case reports of accidental or suicidal ingestion. </w:t>
      </w:r>
      <w:r>
        <w:rPr>
          <w:rFonts w:ascii="Times New Roman" w:cs="Times New Roman" w:eastAsia="Times New Roman" w:hAnsi="Times New Roman"/>
          <w:b/>
          <w:bCs/>
          <w:sz w:val="24"/>
          <w:szCs w:val="24"/>
          <w:vertAlign w:val="superscript"/>
        </w:rPr>
        <w:t xml:space="preserve">[5][49][85]</w:t>
      </w:r>
      <w:r>
        <w:rPr>
          <w:rFonts w:ascii="Times New Roman" w:cs="Times New Roman" w:eastAsia="Times New Roman" w:hAnsi="Times New Roman"/>
          <w:sz w:val="24"/>
          <w:szCs w:val="24"/>
        </w:rPr>
        <w:t xml:space="preserve"> Chronic rat drinking-water studies at concentrations up to 1000 mg/L (highest tested) produce adaptive gastric epithelial changes (hyperplasia, papillomas) and reduced body weight at the highest doses, but no increases in non-gastric tumours and no significant toxicity at &lt;100 mg/L. </w:t>
      </w:r>
      <w:r>
        <w:rPr>
          <w:rFonts w:ascii="Times New Roman" w:cs="Times New Roman" w:eastAsia="Times New Roman" w:hAnsi="Times New Roman"/>
          <w:b/>
          <w:bCs/>
          <w:sz w:val="24"/>
          <w:szCs w:val="24"/>
          <w:vertAlign w:val="superscript"/>
        </w:rPr>
        <w:t xml:space="preserve">[49][85]</w:t>
      </w:r>
      <w:r>
        <w:rPr>
          <w:rFonts w:ascii="Times New Roman" w:cs="Times New Roman" w:eastAsia="Times New Roman" w:hAnsi="Times New Roman"/>
          <w:sz w:val="24"/>
          <w:szCs w:val="24"/>
        </w:rPr>
        <w:t xml:space="preserve"> The 1996 WHO TDI derivation used the 10 mg/L NOAEL from drinking water studies with 100-fold uncertainty factor to establish a tolerable daily intake for humans.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Case reports of acute oral formaldehyde ingestion (suicide attempts, accidental exposure to formalin) document a well-characterised clinical syndrome of corrosive gastrointestinal injury, metabolic acidosis from formate accumulation, CNS depression, and cardiovascular collapse; the LD50 for adult humans is estimated at 30–100 mL of 37% formalin (equivalent to 15–50 g formaldehyde).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Medical management includes gastric lavage, activated charcoal (limited efficacy), folinic acid and folic acid administration to support one-carbon metabolism, haemodialysis for severe methanol/formate overload, and supportive critical care.</w:t>
      </w:r>
    </w:p>
    <w:p>
      <w:pPr>
        <w:spacing w:after="120" w:before="280"/>
        <w:jc w:val="left"/>
      </w:pPr>
      <w:r>
        <w:rPr>
          <w:rFonts w:ascii="Times New Roman" w:cs="Times New Roman" w:eastAsia="Times New Roman" w:hAnsi="Times New Roman"/>
          <w:b/>
          <w:bCs/>
          <w:sz w:val="24"/>
          <w:szCs w:val="24"/>
        </w:rPr>
        <w:t xml:space="preserve">Regulatory Framework for Food Safety</w:t>
      </w:r>
    </w:p>
    <w:p>
      <w:pPr>
        <w:spacing w:after="120" w:before="60" w:line="300"/>
        <w:jc w:val="both"/>
      </w:pPr>
      <w:r>
        <w:rPr>
          <w:rFonts w:ascii="Times New Roman" w:cs="Times New Roman" w:eastAsia="Times New Roman" w:hAnsi="Times New Roman"/>
          <w:sz w:val="24"/>
          <w:szCs w:val="24"/>
        </w:rPr>
        <w:t xml:space="preserve">Food safety regulation of formaldehyde is structured around allowable natural occurrence (typically no specific limit for intrinsic formaldehyde in foods), migration limits from food-contact materials, residue limits from processing and preservation, and contaminant limits for drinking water. </w:t>
      </w:r>
      <w:r>
        <w:rPr>
          <w:rFonts w:ascii="Times New Roman" w:cs="Times New Roman" w:eastAsia="Times New Roman" w:hAnsi="Times New Roman"/>
          <w:b/>
          <w:bCs/>
          <w:sz w:val="24"/>
          <w:szCs w:val="24"/>
          <w:vertAlign w:val="superscript"/>
        </w:rPr>
        <w:t xml:space="preserve">[85][88][95]</w:t>
      </w:r>
      <w:r>
        <w:rPr>
          <w:rFonts w:ascii="Times New Roman" w:cs="Times New Roman" w:eastAsia="Times New Roman" w:hAnsi="Times New Roman"/>
          <w:sz w:val="24"/>
          <w:szCs w:val="24"/>
        </w:rPr>
        <w:t xml:space="preserve"> Codex Alimentarius international food safety standards do not specify formaldehyde residue limits but include general principles for food additive safety that apply to incidental and intentional formaldehyde uses.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EU Regulation 10/2011 on food contact materials, U.S. 21 CFR food contact material specifications, and Chinese GB 4806 food contact material standards provide the principal migration limit frameworks. </w:t>
      </w:r>
      <w:r>
        <w:rPr>
          <w:rFonts w:ascii="Times New Roman" w:cs="Times New Roman" w:eastAsia="Times New Roman" w:hAnsi="Times New Roman"/>
          <w:b/>
          <w:bCs/>
          <w:sz w:val="24"/>
          <w:szCs w:val="24"/>
          <w:vertAlign w:val="superscript"/>
        </w:rPr>
        <w:t xml:space="preserve">[85][95]</w:t>
      </w:r>
      <w:r>
        <w:rPr>
          <w:rFonts w:ascii="Times New Roman" w:cs="Times New Roman" w:eastAsia="Times New Roman" w:hAnsi="Times New Roman"/>
          <w:sz w:val="24"/>
          <w:szCs w:val="24"/>
        </w:rPr>
        <w:t xml:space="preserve"> WHO Drinking Water Quality Guidelines and national drinking water standards address the water-borne exposure pathway. </w:t>
      </w:r>
      <w:r>
        <w:rPr>
          <w:rFonts w:ascii="Times New Roman" w:cs="Times New Roman" w:eastAsia="Times New Roman" w:hAnsi="Times New Roman"/>
          <w:b/>
          <w:bCs/>
          <w:sz w:val="24"/>
          <w:szCs w:val="24"/>
          <w:vertAlign w:val="superscript"/>
        </w:rPr>
        <w:t xml:space="preserve">[29]</w:t>
      </w:r>
      <w:r>
        <w:rPr>
          <w:rFonts w:ascii="Times New Roman" w:cs="Times New Roman" w:eastAsia="Times New Roman" w:hAnsi="Times New Roman"/>
          <w:sz w:val="24"/>
          <w:szCs w:val="24"/>
        </w:rPr>
        <w:t xml:space="preserve"> Enforcement actions against illegal preservative use are conducted under general food safety enforcement authorities with jurisdiction-specific penalties for non-compliance.</w:t>
      </w:r>
    </w:p>
    <w:p>
      <w:pPr>
        <w:spacing w:after="120" w:before="280"/>
        <w:jc w:val="left"/>
      </w:pPr>
      <w:r>
        <w:rPr>
          <w:rFonts w:ascii="Times New Roman" w:cs="Times New Roman" w:eastAsia="Times New Roman" w:hAnsi="Times New Roman"/>
          <w:b/>
          <w:bCs/>
          <w:sz w:val="24"/>
          <w:szCs w:val="24"/>
        </w:rPr>
        <w:t xml:space="preserve">Emerging Concerns</w:t>
      </w:r>
    </w:p>
    <w:p>
      <w:pPr>
        <w:spacing w:after="120" w:before="60" w:line="300"/>
        <w:jc w:val="both"/>
      </w:pPr>
      <w:r>
        <w:rPr>
          <w:rFonts w:ascii="Times New Roman" w:cs="Times New Roman" w:eastAsia="Times New Roman" w:hAnsi="Times New Roman"/>
          <w:sz w:val="24"/>
          <w:szCs w:val="24"/>
        </w:rPr>
        <w:t xml:space="preserve">Emerging concerns in the food and water formaldehyde area include: potential elevated exposure in cultural or ethnic food categories with high formaldehyde content (dried fish, certain fermented products); recurrent illegal preservative use in Southeast Asian and South Asian food markets; disinfection by-product concerns with advanced oxidation processes in water treatment; and concerns about migration from new food-contact materials including 3D-printed items and novel biopolymer packaging.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Food safety surveillance programmes in multiple jurisdictions continue to monitor formaldehyde content in priority food categories, and research continues to characterise the low-dose oral cancer potential (or lack thereof) at dietary exposure levels.</w:t>
      </w:r>
    </w:p>
    <w:p>
      <w:r>
        <w:br w:type="page"/>
      </w:r>
    </w:p>
    <w:p>
      <w:pPr>
        <w:spacing w:after="120" w:before="280"/>
        <w:jc w:val="left"/>
      </w:pPr>
      <w:r>
        <w:rPr>
          <w:rFonts w:ascii="Times New Roman" w:cs="Times New Roman" w:eastAsia="Times New Roman" w:hAnsi="Times New Roman"/>
          <w:b/>
          <w:bCs/>
          <w:sz w:val="24"/>
          <w:szCs w:val="24"/>
        </w:rPr>
        <w:t xml:space="preserve">Mixture Toxicology and Cumulative Exposure</w:t>
      </w:r>
    </w:p>
    <w:p>
      <w:pPr>
        <w:spacing w:after="120" w:before="60" w:line="300"/>
        <w:jc w:val="both"/>
      </w:pPr>
      <w:r>
        <w:rPr>
          <w:rFonts w:ascii="Times New Roman" w:cs="Times New Roman" w:eastAsia="Times New Roman" w:hAnsi="Times New Roman"/>
          <w:sz w:val="24"/>
          <w:szCs w:val="24"/>
        </w:rPr>
        <w:t xml:space="preserve">Formaldehyde exposure in occupational and environmental settings rarely occurs in isolation; concurrent exposure to other reactive electrophiles, volatile organic compounds, particulates, and workplace chemicals is the norm rather than the exception. </w:t>
      </w:r>
      <w:r>
        <w:rPr>
          <w:rFonts w:ascii="Times New Roman" w:cs="Times New Roman" w:eastAsia="Times New Roman" w:hAnsi="Times New Roman"/>
          <w:b/>
          <w:bCs/>
          <w:sz w:val="24"/>
          <w:szCs w:val="24"/>
          <w:vertAlign w:val="superscript"/>
        </w:rPr>
        <w:t xml:space="preserve">[17][22][41][60][90]</w:t>
      </w:r>
      <w:r>
        <w:rPr>
          <w:rFonts w:ascii="Times New Roman" w:cs="Times New Roman" w:eastAsia="Times New Roman" w:hAnsi="Times New Roman"/>
          <w:sz w:val="24"/>
          <w:szCs w:val="24"/>
        </w:rPr>
        <w:t xml:space="preserve"> Mixture toxicology frameworks provide the scientific basis for understanding and regulating combined exposure scenarios.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This section examines formaldehyde mixture effects with other aldehydes, VOCs, tobacco smoke, and occupational mixtures, with attention to the methodological approaches and regulatory implications of cumulative exposure assessment.</w:t>
      </w:r>
    </w:p>
    <w:p>
      <w:pPr>
        <w:spacing w:after="120" w:before="280"/>
        <w:jc w:val="left"/>
      </w:pPr>
      <w:r>
        <w:rPr>
          <w:rFonts w:ascii="Times New Roman" w:cs="Times New Roman" w:eastAsia="Times New Roman" w:hAnsi="Times New Roman"/>
          <w:b/>
          <w:bCs/>
          <w:sz w:val="24"/>
          <w:szCs w:val="24"/>
        </w:rPr>
        <w:t xml:space="preserve">Aldehyde Mixture Effects</w:t>
      </w:r>
    </w:p>
    <w:p>
      <w:pPr>
        <w:spacing w:after="120" w:before="60" w:line="300"/>
        <w:jc w:val="both"/>
      </w:pPr>
      <w:r>
        <w:rPr>
          <w:rFonts w:ascii="Times New Roman" w:cs="Times New Roman" w:eastAsia="Times New Roman" w:hAnsi="Times New Roman"/>
          <w:sz w:val="24"/>
          <w:szCs w:val="24"/>
        </w:rPr>
        <w:t xml:space="preserve">Concurrent exposure to formaldehyde and other aldehydes (acetaldehyde, acrolein, glyoxal, methylglyoxal) is common in combustion environments, industrial settings, and indoor air. </w:t>
      </w:r>
      <w:r>
        <w:rPr>
          <w:rFonts w:ascii="Times New Roman" w:cs="Times New Roman" w:eastAsia="Times New Roman" w:hAnsi="Times New Roman"/>
          <w:b/>
          <w:bCs/>
          <w:sz w:val="24"/>
          <w:szCs w:val="24"/>
          <w:vertAlign w:val="superscript"/>
        </w:rPr>
        <w:t xml:space="preserve">[60][85]</w:t>
      </w:r>
      <w:r>
        <w:rPr>
          <w:rFonts w:ascii="Times New Roman" w:cs="Times New Roman" w:eastAsia="Times New Roman" w:hAnsi="Times New Roman"/>
          <w:sz w:val="24"/>
          <w:szCs w:val="24"/>
        </w:rPr>
        <w:t xml:space="preserve"> Common-mechanism aldehyde mixtures typically produce additive effects on shared targets including respiratory irritation, genotoxicity, and sensitisation; dose-additive models provide reasonable first-approximation mixture risk estimates.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Synergistic effects have been documented for certain combinations — notably formaldehyde plus acrolein on respiratory irritation — through shared mechanisms of TRP channel activation and glutathione depletion. </w:t>
      </w:r>
      <w:r>
        <w:rPr>
          <w:rFonts w:ascii="Times New Roman" w:cs="Times New Roman" w:eastAsia="Times New Roman" w:hAnsi="Times New Roman"/>
          <w:b/>
          <w:bCs/>
          <w:sz w:val="24"/>
          <w:szCs w:val="24"/>
          <w:vertAlign w:val="superscript"/>
        </w:rPr>
        <w:t xml:space="preserve">[41][60]</w:t>
      </w:r>
      <w:r>
        <w:rPr>
          <w:rFonts w:ascii="Times New Roman" w:cs="Times New Roman" w:eastAsia="Times New Roman" w:hAnsi="Times New Roman"/>
          <w:sz w:val="24"/>
          <w:szCs w:val="24"/>
        </w:rPr>
        <w:t xml:space="preserve"> Antagonistic effects are less commonly documented but may occur in specific scenarios where one aldehyde competes for detoxification pathway substrates. </w:t>
      </w:r>
      <w:r>
        <w:rPr>
          <w:rFonts w:ascii="Times New Roman" w:cs="Times New Roman" w:eastAsia="Times New Roman" w:hAnsi="Times New Roman"/>
          <w:b/>
          <w:bCs/>
          <w:sz w:val="24"/>
          <w:szCs w:val="24"/>
          <w:vertAlign w:val="superscript"/>
        </w:rPr>
        <w:t xml:space="preserve">[52][60]</w:t>
      </w:r>
      <w:r>
        <w:rPr>
          <w:rFonts w:ascii="Times New Roman" w:cs="Times New Roman" w:eastAsia="Times New Roman" w:hAnsi="Times New Roman"/>
          <w:sz w:val="24"/>
          <w:szCs w:val="24"/>
        </w:rPr>
        <w:t xml:space="preserve"> Integrated aldehyde exposure assessment combining formaldehyde, acetaldehyde, and acrolein air monitoring is increasingly used in research characterisation of indoor air quality, combustion source exposure, and tobacco smoke toxicology.</w:t>
      </w:r>
    </w:p>
    <w:p>
      <w:pPr>
        <w:spacing w:after="120" w:before="280"/>
        <w:jc w:val="left"/>
      </w:pPr>
      <w:r>
        <w:rPr>
          <w:rFonts w:ascii="Times New Roman" w:cs="Times New Roman" w:eastAsia="Times New Roman" w:hAnsi="Times New Roman"/>
          <w:b/>
          <w:bCs/>
          <w:sz w:val="24"/>
          <w:szCs w:val="24"/>
        </w:rPr>
        <w:t xml:space="preserve">Volatile Organic Compound Mixtures</w:t>
      </w:r>
    </w:p>
    <w:p>
      <w:pPr>
        <w:spacing w:after="120" w:before="60" w:line="300"/>
        <w:jc w:val="both"/>
      </w:pPr>
      <w:r>
        <w:rPr>
          <w:rFonts w:ascii="Times New Roman" w:cs="Times New Roman" w:eastAsia="Times New Roman" w:hAnsi="Times New Roman"/>
          <w:sz w:val="24"/>
          <w:szCs w:val="24"/>
        </w:rPr>
        <w:t xml:space="preserve">Indoor air VOC mixtures typically include formaldehyde alongside benzene, toluene, xylenes, styrene, tetrachloroethylene, and numerous other organic species with varying toxicological profiles. </w:t>
      </w:r>
      <w:r>
        <w:rPr>
          <w:rFonts w:ascii="Times New Roman" w:cs="Times New Roman" w:eastAsia="Times New Roman" w:hAnsi="Times New Roman"/>
          <w:b/>
          <w:bCs/>
          <w:sz w:val="24"/>
          <w:szCs w:val="24"/>
          <w:vertAlign w:val="superscript"/>
        </w:rPr>
        <w:t xml:space="preserve">[31][60][66]</w:t>
      </w:r>
      <w:r>
        <w:rPr>
          <w:rFonts w:ascii="Times New Roman" w:cs="Times New Roman" w:eastAsia="Times New Roman" w:hAnsi="Times New Roman"/>
          <w:sz w:val="24"/>
          <w:szCs w:val="24"/>
        </w:rPr>
        <w:t xml:space="preserve"> European INDEX project and U.S. EPA TEAM study quantitative assessments of VOC mixture exposure in residential and commercial settings characterise the aggregate cancer and non-cancer risk contributions.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Formaldehyde is typically among the top three contributors to integrated indoor VOC cancer risk alongside benzene and 1,3-butadiene, with the relative contributions varying by building type and occupancy.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Non-cancer hazard index calculations using mixture methodology identify target-organ-specific cumulative risks; respiratory irritation is frequently the driving endpoint with formaldehyde as a major contributor. </w:t>
      </w:r>
      <w:r>
        <w:rPr>
          <w:rFonts w:ascii="Times New Roman" w:cs="Times New Roman" w:eastAsia="Times New Roman" w:hAnsi="Times New Roman"/>
          <w:b/>
          <w:bCs/>
          <w:sz w:val="24"/>
          <w:szCs w:val="24"/>
          <w:vertAlign w:val="superscript"/>
        </w:rPr>
        <w:t xml:space="preserve">[31][60][66]</w:t>
      </w:r>
      <w:r>
        <w:rPr>
          <w:rFonts w:ascii="Times New Roman" w:cs="Times New Roman" w:eastAsia="Times New Roman" w:hAnsi="Times New Roman"/>
          <w:sz w:val="24"/>
          <w:szCs w:val="24"/>
        </w:rPr>
        <w:t xml:space="preserve"> Source-apportionment analysis identifies the principal sources of mixture exposure and informs targeted intervention priorities.</w:t>
      </w:r>
    </w:p>
    <w:p>
      <w:pPr>
        <w:spacing w:after="120" w:before="280"/>
        <w:jc w:val="left"/>
      </w:pPr>
      <w:r>
        <w:rPr>
          <w:rFonts w:ascii="Times New Roman" w:cs="Times New Roman" w:eastAsia="Times New Roman" w:hAnsi="Times New Roman"/>
          <w:b/>
          <w:bCs/>
          <w:sz w:val="24"/>
          <w:szCs w:val="24"/>
        </w:rPr>
        <w:t xml:space="preserve">Tobacco Smoke Interactions</w:t>
      </w:r>
    </w:p>
    <w:p>
      <w:pPr>
        <w:spacing w:after="120" w:before="60" w:line="300"/>
        <w:jc w:val="both"/>
      </w:pPr>
      <w:r>
        <w:rPr>
          <w:rFonts w:ascii="Times New Roman" w:cs="Times New Roman" w:eastAsia="Times New Roman" w:hAnsi="Times New Roman"/>
          <w:sz w:val="24"/>
          <w:szCs w:val="24"/>
        </w:rPr>
        <w:t xml:space="preserve">Tobacco smoke contains substantial formaldehyde alongside numerous other respiratory toxicants and carcinogens. </w:t>
      </w:r>
      <w:r>
        <w:rPr>
          <w:rFonts w:ascii="Times New Roman" w:cs="Times New Roman" w:eastAsia="Times New Roman" w:hAnsi="Times New Roman"/>
          <w:b/>
          <w:bCs/>
          <w:sz w:val="24"/>
          <w:szCs w:val="24"/>
          <w:vertAlign w:val="superscript"/>
        </w:rPr>
        <w:t xml:space="preserve">[17][41][60]</w:t>
      </w:r>
      <w:r>
        <w:rPr>
          <w:rFonts w:ascii="Times New Roman" w:cs="Times New Roman" w:eastAsia="Times New Roman" w:hAnsi="Times New Roman"/>
          <w:sz w:val="24"/>
          <w:szCs w:val="24"/>
        </w:rPr>
        <w:t xml:space="preserve"> Cigarette mainstream smoke contains 20–90 µg formaldehyde per cigarette; active smokers are exposed to 0.5–2 mg daily formaldehyde from this source alone, which substantially exceeds typical ambient and occupational inhalation doses. </w:t>
      </w:r>
      <w:r>
        <w:rPr>
          <w:rFonts w:ascii="Times New Roman" w:cs="Times New Roman" w:eastAsia="Times New Roman" w:hAnsi="Times New Roman"/>
          <w:b/>
          <w:bCs/>
          <w:sz w:val="24"/>
          <w:szCs w:val="24"/>
          <w:vertAlign w:val="superscript"/>
        </w:rPr>
        <w:t xml:space="preserve">[60][85]</w:t>
      </w:r>
      <w:r>
        <w:rPr>
          <w:rFonts w:ascii="Times New Roman" w:cs="Times New Roman" w:eastAsia="Times New Roman" w:hAnsi="Times New Roman"/>
          <w:sz w:val="24"/>
          <w:szCs w:val="24"/>
        </w:rPr>
        <w:t xml:space="preserve"> Environmental tobacco smoke exposure to non-smokers contributes 10–50 µg/m³ indoor air formaldehyde in smoking households and to non-smoking individuals.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The contribution of formaldehyde to the aggregate cancer and respiratory disease burden attributable to tobacco smoke has been evaluated in extensive epidemiology; the formaldehyde-specific contribution is difficult to disentangle from the dozens of other tobacco-specific carcinogens, but is likely to contribute meaningfully. </w:t>
      </w:r>
      <w:r>
        <w:rPr>
          <w:rFonts w:ascii="Times New Roman" w:cs="Times New Roman" w:eastAsia="Times New Roman" w:hAnsi="Times New Roman"/>
          <w:b/>
          <w:bCs/>
          <w:sz w:val="24"/>
          <w:szCs w:val="24"/>
          <w:vertAlign w:val="superscript"/>
        </w:rPr>
        <w:t xml:space="preserve">[17][60]</w:t>
      </w:r>
      <w:r>
        <w:rPr>
          <w:rFonts w:ascii="Times New Roman" w:cs="Times New Roman" w:eastAsia="Times New Roman" w:hAnsi="Times New Roman"/>
          <w:sz w:val="24"/>
          <w:szCs w:val="24"/>
        </w:rPr>
        <w:t xml:space="preserve"> Electronic cigarette aerosols have been shown to produce formaldehyde at concentrations comparable with or exceeding traditional cigarettes under some operating conditions, raising concerns about the respiratory toxicology of these emerging products.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Heated tobacco products similarly generate formaldehyde at levels that have implications for the reduced-risk claims made by manufacturers.</w:t>
      </w:r>
    </w:p>
    <w:p>
      <w:pPr>
        <w:spacing w:after="120" w:before="280"/>
        <w:jc w:val="left"/>
      </w:pPr>
      <w:r>
        <w:rPr>
          <w:rFonts w:ascii="Times New Roman" w:cs="Times New Roman" w:eastAsia="Times New Roman" w:hAnsi="Times New Roman"/>
          <w:b/>
          <w:bCs/>
          <w:sz w:val="24"/>
          <w:szCs w:val="24"/>
        </w:rPr>
        <w:t xml:space="preserve">Occupational Mixture Scenarios</w:t>
      </w:r>
    </w:p>
    <w:p>
      <w:pPr>
        <w:spacing w:after="120" w:before="60" w:line="300"/>
        <w:jc w:val="both"/>
      </w:pPr>
      <w:r>
        <w:rPr>
          <w:rFonts w:ascii="Times New Roman" w:cs="Times New Roman" w:eastAsia="Times New Roman" w:hAnsi="Times New Roman"/>
          <w:sz w:val="24"/>
          <w:szCs w:val="24"/>
        </w:rPr>
        <w:t xml:space="preserve">Occupational formaldehyde exposure is typically accompanied by exposure to other workplace chemicals specific to the industry sector. </w:t>
      </w:r>
      <w:r>
        <w:rPr>
          <w:rFonts w:ascii="Times New Roman" w:cs="Times New Roman" w:eastAsia="Times New Roman" w:hAnsi="Times New Roman"/>
          <w:b/>
          <w:bCs/>
          <w:sz w:val="24"/>
          <w:szCs w:val="24"/>
          <w:vertAlign w:val="superscript"/>
        </w:rPr>
        <w:t xml:space="preserve">[10][11][12][14][15][22]</w:t>
      </w:r>
      <w:r>
        <w:rPr>
          <w:rFonts w:ascii="Times New Roman" w:cs="Times New Roman" w:eastAsia="Times New Roman" w:hAnsi="Times New Roman"/>
          <w:sz w:val="24"/>
          <w:szCs w:val="24"/>
        </w:rPr>
        <w:t xml:space="preserve"> Resin manufacturing workers are co-exposed to methanol (feedstock), phenol, urea, melamine, and other resin precursors. </w:t>
      </w:r>
      <w:r>
        <w:rPr>
          <w:rFonts w:ascii="Times New Roman" w:cs="Times New Roman" w:eastAsia="Times New Roman" w:hAnsi="Times New Roman"/>
          <w:b/>
          <w:bCs/>
          <w:sz w:val="24"/>
          <w:szCs w:val="24"/>
          <w:vertAlign w:val="superscript"/>
        </w:rPr>
        <w:t xml:space="preserve">[22]</w:t>
      </w:r>
      <w:r>
        <w:rPr>
          <w:rFonts w:ascii="Times New Roman" w:cs="Times New Roman" w:eastAsia="Times New Roman" w:hAnsi="Times New Roman"/>
          <w:sz w:val="24"/>
          <w:szCs w:val="24"/>
        </w:rPr>
        <w:t xml:space="preserve"> Composite wood products workers are co-exposed to wood dust (a known carcinogen for nasal cancer), other resins, and processing aids. </w:t>
      </w:r>
      <w:r>
        <w:rPr>
          <w:rFonts w:ascii="Times New Roman" w:cs="Times New Roman" w:eastAsia="Times New Roman" w:hAnsi="Times New Roman"/>
          <w:b/>
          <w:bCs/>
          <w:sz w:val="24"/>
          <w:szCs w:val="24"/>
          <w:vertAlign w:val="superscript"/>
        </w:rPr>
        <w:t xml:space="preserve">[7][31][45]</w:t>
      </w:r>
      <w:r>
        <w:rPr>
          <w:rFonts w:ascii="Times New Roman" w:cs="Times New Roman" w:eastAsia="Times New Roman" w:hAnsi="Times New Roman"/>
          <w:sz w:val="24"/>
          <w:szCs w:val="24"/>
        </w:rPr>
        <w:t xml:space="preserve"> Embalmers are co-exposed to phenol, glutaraldehyde, methanol, and biological agents from decedent handling.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Histopathology technicians are co-exposed to xylene, alcohols, and other laboratory chemicals.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These co-exposures can produce additive or interactive effects on shared target organs; careful epidemiological assessment adjusts for co-exposures to isolate the formaldehyde-specific contribution while recognising that real-world worker protection must address the full mixture.</w:t>
      </w:r>
    </w:p>
    <w:p>
      <w:pPr>
        <w:spacing w:after="120" w:before="280"/>
        <w:jc w:val="left"/>
      </w:pPr>
      <w:r>
        <w:rPr>
          <w:rFonts w:ascii="Times New Roman" w:cs="Times New Roman" w:eastAsia="Times New Roman" w:hAnsi="Times New Roman"/>
          <w:b/>
          <w:bCs/>
          <w:sz w:val="24"/>
          <w:szCs w:val="24"/>
        </w:rPr>
        <w:t xml:space="preserve">Cumulative Risk Assessment Methodology</w:t>
      </w:r>
    </w:p>
    <w:p>
      <w:pPr>
        <w:spacing w:after="120" w:before="60" w:line="300"/>
        <w:jc w:val="both"/>
      </w:pPr>
      <w:r>
        <w:rPr>
          <w:rFonts w:ascii="Times New Roman" w:cs="Times New Roman" w:eastAsia="Times New Roman" w:hAnsi="Times New Roman"/>
          <w:sz w:val="24"/>
          <w:szCs w:val="24"/>
        </w:rPr>
        <w:t xml:space="preserve">Cumulative risk assessment methodology for formaldehyde and mixtures has been developed by EPA (Guidance on Cumulative Risk Assessment, 2000, 2003, updated), WHO/IPCS (Framework for the Assessment of Combined Exposures to Multiple Chemicals, 2009), EFSA (Scientific Opinion on Joint Action of Multiple Chemicals, 2019), and OECD (Consideration for Assessing the Risks of Combined Exposure to Multiple Chemicals, 2018).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Tier 1 approaches use simple dose-additivity for common-mechanism substances; Tier 2 approaches incorporate non-additive interactions where empirical data support them; Tier 3 approaches use physiologically based models with explicit characterisation of joint mechanisms.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For formaldehyde, Tier 1 aldehyde-additivity approaches are most commonly applied in risk assessment practice; Tier 2 approaches incorporating synergies with acrolein or other respiratory irritants are used in specialised analyses. </w:t>
      </w:r>
      <w:r>
        <w:rPr>
          <w:rFonts w:ascii="Times New Roman" w:cs="Times New Roman" w:eastAsia="Times New Roman" w:hAnsi="Times New Roman"/>
          <w:b/>
          <w:bCs/>
          <w:sz w:val="24"/>
          <w:szCs w:val="24"/>
          <w:vertAlign w:val="superscript"/>
        </w:rPr>
        <w:t xml:space="preserve">[41][60]</w:t>
      </w:r>
      <w:r>
        <w:rPr>
          <w:rFonts w:ascii="Times New Roman" w:cs="Times New Roman" w:eastAsia="Times New Roman" w:hAnsi="Times New Roman"/>
          <w:sz w:val="24"/>
          <w:szCs w:val="24"/>
        </w:rPr>
        <w:t xml:space="preserve"> Regulatory application of cumulative risk assessment for formaldehyde is increasing under REACH, EPA's integrated risk information system, and Health Canada's Chemicals Management Plan.</w:t>
      </w:r>
    </w:p>
    <w:p>
      <w:pPr>
        <w:spacing w:after="120" w:before="280"/>
        <w:jc w:val="left"/>
      </w:pPr>
      <w:r>
        <w:rPr>
          <w:rFonts w:ascii="Times New Roman" w:cs="Times New Roman" w:eastAsia="Times New Roman" w:hAnsi="Times New Roman"/>
          <w:b/>
          <w:bCs/>
          <w:sz w:val="24"/>
          <w:szCs w:val="24"/>
        </w:rPr>
        <w:t xml:space="preserve">Interaction Mechanisms</w:t>
      </w:r>
    </w:p>
    <w:p>
      <w:pPr>
        <w:spacing w:after="120" w:before="60" w:line="300"/>
        <w:jc w:val="both"/>
      </w:pPr>
      <w:r>
        <w:rPr>
          <w:rFonts w:ascii="Times New Roman" w:cs="Times New Roman" w:eastAsia="Times New Roman" w:hAnsi="Times New Roman"/>
          <w:sz w:val="24"/>
          <w:szCs w:val="24"/>
        </w:rPr>
        <w:t xml:space="preserve">Mechanisms of formaldehyde interaction with other chemicals include competition for detoxification enzymes (ADH5, ALDH2, glutathione availability), shared target-receptor activation (TRP channels, nuclear receptors), combined genotoxicity (DNA adduct formation, DNA damage response saturation), and modified toxicokinetics (altered absorption, distribution, metabolism). </w:t>
      </w:r>
      <w:r>
        <w:rPr>
          <w:rFonts w:ascii="Times New Roman" w:cs="Times New Roman" w:eastAsia="Times New Roman" w:hAnsi="Times New Roman"/>
          <w:b/>
          <w:bCs/>
          <w:sz w:val="24"/>
          <w:szCs w:val="24"/>
          <w:vertAlign w:val="superscript"/>
        </w:rPr>
        <w:t xml:space="preserve">[41][52][60]</w:t>
      </w:r>
      <w:r>
        <w:rPr>
          <w:rFonts w:ascii="Times New Roman" w:cs="Times New Roman" w:eastAsia="Times New Roman" w:hAnsi="Times New Roman"/>
          <w:sz w:val="24"/>
          <w:szCs w:val="24"/>
        </w:rPr>
        <w:t xml:space="preserve"> Experimental studies have characterised formaldehyde-acrolein synergy on respiratory irritation via shared TRPA1 activation and complementary glutathione depletion; formaldehyde-methanol additivity on folate-dependent one-carbon metabolism disruption; and formaldehyde-benzene potential synergy on haematopoietic genotoxicity through shared demands on DNA repair capacity. </w:t>
      </w:r>
      <w:r>
        <w:rPr>
          <w:rFonts w:ascii="Times New Roman" w:cs="Times New Roman" w:eastAsia="Times New Roman" w:hAnsi="Times New Roman"/>
          <w:b/>
          <w:bCs/>
          <w:sz w:val="24"/>
          <w:szCs w:val="24"/>
          <w:vertAlign w:val="superscript"/>
        </w:rPr>
        <w:t xml:space="preserve">[41][52][60]</w:t>
      </w:r>
      <w:r>
        <w:rPr>
          <w:rFonts w:ascii="Times New Roman" w:cs="Times New Roman" w:eastAsia="Times New Roman" w:hAnsi="Times New Roman"/>
          <w:sz w:val="24"/>
          <w:szCs w:val="24"/>
        </w:rPr>
        <w:t xml:space="preserve"> These interactions have implications for worker protection in multi-chemical workplaces and for environmental exposure scenarios with complex VOC mixtures. Modelling frameworks that integrate chemical-specific kinetics and joint mechanism effects are active research foci.</w:t>
      </w:r>
    </w:p>
    <w:p>
      <w:pPr>
        <w:spacing w:after="120" w:before="280"/>
        <w:jc w:val="left"/>
      </w:pPr>
      <w:r>
        <w:rPr>
          <w:rFonts w:ascii="Times New Roman" w:cs="Times New Roman" w:eastAsia="Times New Roman" w:hAnsi="Times New Roman"/>
          <w:b/>
          <w:bCs/>
          <w:sz w:val="24"/>
          <w:szCs w:val="24"/>
        </w:rPr>
        <w:t xml:space="preserve">Regulatory Implications</w:t>
      </w:r>
    </w:p>
    <w:p>
      <w:pPr>
        <w:spacing w:after="120" w:before="60" w:line="300"/>
        <w:jc w:val="both"/>
      </w:pPr>
      <w:r>
        <w:rPr>
          <w:rFonts w:ascii="Times New Roman" w:cs="Times New Roman" w:eastAsia="Times New Roman" w:hAnsi="Times New Roman"/>
          <w:sz w:val="24"/>
          <w:szCs w:val="24"/>
        </w:rPr>
        <w:t xml:space="preserve">Regulatory implications of mixture toxicology for formaldehyde include: allowance for additional safety factors in single-chemical risk values to protect against mixture effects; explicit cumulative risk assessment in regulatory derivation for priority pollutants; integrated permit and compliance frameworks for multi-chemical emitters; and specific protection strategies for populations with high cumulative exposures. </w:t>
      </w:r>
      <w:r>
        <w:rPr>
          <w:rFonts w:ascii="Times New Roman" w:cs="Times New Roman" w:eastAsia="Times New Roman" w:hAnsi="Times New Roman"/>
          <w:b/>
          <w:bCs/>
          <w:sz w:val="24"/>
          <w:szCs w:val="24"/>
          <w:vertAlign w:val="superscript"/>
        </w:rPr>
        <w:t xml:space="preserve">[1][26][60][85]</w:t>
      </w:r>
      <w:r>
        <w:rPr>
          <w:rFonts w:ascii="Times New Roman" w:cs="Times New Roman" w:eastAsia="Times New Roman" w:hAnsi="Times New Roman"/>
          <w:sz w:val="24"/>
          <w:szCs w:val="24"/>
        </w:rPr>
        <w:t xml:space="preserve"> EPA risk assessment practice incorporates mixture considerations through hazard index summation for non-cancer endpoints and upper-bound cancer risk summation for known human carcinogens.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REACH chemical safety assessments increasingly include explicit mixture scenarios where co-exposure is expected.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Work-place exposure limit frameworks (ACGIH TLVs, EU IOELs, NIOSH RELs) provide guidance on mixture exposure calculation through additive index methodology for chemicals with shared target organs.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Progressive evolution of mixture risk assessment methodology continues through OECD Task Forces, WHO IPCS, and regulatory agency collaborative programs.</w:t>
      </w:r>
    </w:p>
    <w:p>
      <w:r>
        <w:br w:type="page"/>
      </w:r>
    </w:p>
    <w:p>
      <w:pPr>
        <w:spacing w:after="120" w:before="280"/>
        <w:jc w:val="left"/>
      </w:pPr>
      <w:r>
        <w:rPr>
          <w:rFonts w:ascii="Times New Roman" w:cs="Times New Roman" w:eastAsia="Times New Roman" w:hAnsi="Times New Roman"/>
          <w:b/>
          <w:bCs/>
          <w:sz w:val="24"/>
          <w:szCs w:val="24"/>
        </w:rPr>
        <w:t xml:space="preserve">Risk Characterization — Integrated Framework</w:t>
      </w:r>
    </w:p>
    <w:p>
      <w:pPr>
        <w:spacing w:after="120" w:before="60" w:line="300"/>
        <w:jc w:val="both"/>
      </w:pPr>
      <w:r>
        <w:rPr>
          <w:rFonts w:ascii="Times New Roman" w:cs="Times New Roman" w:eastAsia="Times New Roman" w:hAnsi="Times New Roman"/>
          <w:sz w:val="24"/>
          <w:szCs w:val="24"/>
        </w:rPr>
        <w:t xml:space="preserve">Quantitative risk characterization for formaldehyde integrates the inhalation unit risk (IUR) for cancer, the reference concentration (RfC) for non-cancer respiratory endpoints, the reference dose (RfD) for oral exposures, and comparable guidance from international agencies into a coherent set of exposure-response anchors. </w:t>
      </w:r>
      <w:r>
        <w:rPr>
          <w:rFonts w:ascii="Times New Roman" w:cs="Times New Roman" w:eastAsia="Times New Roman" w:hAnsi="Times New Roman"/>
          <w:b/>
          <w:bCs/>
          <w:sz w:val="24"/>
          <w:szCs w:val="24"/>
          <w:vertAlign w:val="superscript"/>
        </w:rPr>
        <w:t xml:space="preserve">[1][2][4][5]</w:t>
      </w:r>
      <w:r>
        <w:rPr>
          <w:rFonts w:ascii="Times New Roman" w:cs="Times New Roman" w:eastAsia="Times New Roman" w:hAnsi="Times New Roman"/>
          <w:sz w:val="24"/>
          <w:szCs w:val="24"/>
        </w:rPr>
        <w:t xml:space="preserve"> The U.S. EPA IRIS 2024 TSD adopted an IUR of 1.1 × 10⁻⁵ per µg/m³ and an RfC of 0.007 mg/m³ (0.006 ppm) based on human occupational cohort and chronic rodent bioassay data.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WHO Air Quality Guidelines 2010 recommended 0.1 mg/m³ as a 30-minute indoor-air ceiling for sensory irritation, a level considered simultaneously protective against cancer at the one-in-a-million risk.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ATSDR established a chronic-duration inhalation minimal risk level (MRL) of 0.008 ppm for non-cancer endpoints.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Together these values provide a convergent range across agencies for the lifetime acceptable concentration anchor.</w:t>
      </w:r>
      <w:r>
        <w:rPr>
          <w:rFonts w:ascii="Times New Roman" w:cs="Times New Roman" w:eastAsia="Times New Roman" w:hAnsi="Times New Roman"/>
          <w:b/>
          <w:bCs/>
          <w:sz w:val="24"/>
          <w:szCs w:val="24"/>
          <w:vertAlign w:val="superscript"/>
        </w:rPr>
        <w:t xml:space="preserve">[1][5][29]</w:t>
      </w:r>
    </w:p>
    <w:p>
      <w:pPr>
        <w:spacing w:after="120" w:before="280"/>
        <w:jc w:val="left"/>
      </w:pPr>
      <w:r>
        <w:rPr>
          <w:rFonts w:ascii="Times New Roman" w:cs="Times New Roman" w:eastAsia="Times New Roman" w:hAnsi="Times New Roman"/>
          <w:b/>
          <w:bCs/>
          <w:sz w:val="24"/>
          <w:szCs w:val="24"/>
        </w:rPr>
        <w:t xml:space="preserve">Benchmark Dose Analysis</w:t>
      </w:r>
    </w:p>
    <w:p>
      <w:pPr>
        <w:spacing w:after="120" w:before="60" w:line="300"/>
        <w:jc w:val="both"/>
      </w:pPr>
      <w:r>
        <w:rPr>
          <w:rFonts w:ascii="Times New Roman" w:cs="Times New Roman" w:eastAsia="Times New Roman" w:hAnsi="Times New Roman"/>
          <w:sz w:val="24"/>
          <w:szCs w:val="24"/>
        </w:rPr>
        <w:t xml:space="preserve">Benchmark dose (BMD) modelling anchored on the Kerns and Monticello rat bioassay provides the pivotal point-of-departure for cancer and non-cancer risk. </w:t>
      </w:r>
      <w:r>
        <w:rPr>
          <w:rFonts w:ascii="Times New Roman" w:cs="Times New Roman" w:eastAsia="Times New Roman" w:hAnsi="Times New Roman"/>
          <w:b/>
          <w:bCs/>
          <w:sz w:val="24"/>
          <w:szCs w:val="24"/>
          <w:vertAlign w:val="superscript"/>
        </w:rPr>
        <w:t xml:space="preserve">[1][48][51]</w:t>
      </w:r>
      <w:r>
        <w:rPr>
          <w:rFonts w:ascii="Times New Roman" w:cs="Times New Roman" w:eastAsia="Times New Roman" w:hAnsi="Times New Roman"/>
          <w:sz w:val="24"/>
          <w:szCs w:val="24"/>
        </w:rPr>
        <w:t xml:space="preserve"> Applying the U.S. EPA BMDS multistage-Weibull and probit models to the Kerns nasal squamous-cell carcinoma incidence data yields a BMD10 of approximately 3.0 ppm and a BMDL10 of approximately 1.8 ppm, with a BMDL05 approximately 0.9 ppm when the analysis is re-indexed on CFD-derived regional flux. </w:t>
      </w:r>
      <w:r>
        <w:rPr>
          <w:rFonts w:ascii="Times New Roman" w:cs="Times New Roman" w:eastAsia="Times New Roman" w:hAnsi="Times New Roman"/>
          <w:b/>
          <w:bCs/>
          <w:sz w:val="24"/>
          <w:szCs w:val="24"/>
          <w:vertAlign w:val="superscript"/>
        </w:rPr>
        <w:t xml:space="preserve">[1][55][60]</w:t>
      </w:r>
      <w:r>
        <w:rPr>
          <w:rFonts w:ascii="Times New Roman" w:cs="Times New Roman" w:eastAsia="Times New Roman" w:hAnsi="Times New Roman"/>
          <w:sz w:val="24"/>
          <w:szCs w:val="24"/>
        </w:rPr>
        <w:t xml:space="preserve"> Using these BMD outputs with a human-equivalent concentration adjustment (HEC factor of 0.18 based on CFD modelling) and a composite uncertainty factor of 30 (3 for interspecies × 10 for intraspecies) yields the IRIS RfC of 0.007 mg/m³.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Parallel BMD analysis of the Monticello subchronic histopathology data for epithelial hyperplasia produced a BMDL10 in the 0.9–1.1 ppm range and is consistent with the final RfC derivation.</w:t>
      </w:r>
      <w:r>
        <w:rPr>
          <w:rFonts w:ascii="Times New Roman" w:cs="Times New Roman" w:eastAsia="Times New Roman" w:hAnsi="Times New Roman"/>
          <w:b/>
          <w:bCs/>
          <w:sz w:val="24"/>
          <w:szCs w:val="24"/>
          <w:vertAlign w:val="superscript"/>
        </w:rPr>
        <w:t xml:space="preserve">[51][60]</w:t>
      </w:r>
    </w:p>
    <w:p>
      <w:pPr>
        <w:spacing w:after="80" w:before="120"/>
        <w:jc w:val="center"/>
      </w:pPr>
      <w:r>
        <w:drawing>
          <wp:inline distT="0" distB="0" distL="0" distR="0">
            <wp:extent cx="4762500" cy="2667000"/>
            <wp:effectExtent t="0" r="0" b="0" l="0"/>
            <wp:docPr id="1" name="fig22_dose_response_models.png" descr="fig22_dose_response_models.png" title="fig22_dose_response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R1. Alternative dose-response model forms fitted to the rat nasal tumour data: linear (default for low-dose extrapolation), quadratic margin-of-exposure, and hockey-stick (threshold-like). Model choice is the principal quantitative driver of low-dose cancer risk.</w:t>
      </w:r>
    </w:p>
    <w:p>
      <w:pPr>
        <w:spacing w:after="120" w:before="280"/>
        <w:jc w:val="left"/>
      </w:pPr>
      <w:r>
        <w:rPr>
          <w:rFonts w:ascii="Times New Roman" w:cs="Times New Roman" w:eastAsia="Times New Roman" w:hAnsi="Times New Roman"/>
          <w:b/>
          <w:bCs/>
          <w:sz w:val="24"/>
          <w:szCs w:val="24"/>
        </w:rPr>
        <w:t xml:space="preserve">Low-Dose Extrapolation</w:t>
      </w:r>
    </w:p>
    <w:p>
      <w:pPr>
        <w:spacing w:after="120" w:before="60" w:line="300"/>
        <w:jc w:val="both"/>
      </w:pPr>
      <w:r>
        <w:rPr>
          <w:rFonts w:ascii="Times New Roman" w:cs="Times New Roman" w:eastAsia="Times New Roman" w:hAnsi="Times New Roman"/>
          <w:sz w:val="24"/>
          <w:szCs w:val="24"/>
        </w:rPr>
        <w:t xml:space="preserve">Low-dose extrapolation from the BMDL10 to environmentally relevant exposures employs a linear model consistent with the 2005 EPA Guidelines for Carcinogen Risk Assessment default.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The linear slope corresponds to an IUR of 1.1 × 10⁻⁵ per µg/m³; this value translates to a 1 × 10⁻⁶ lifetime excess cancer risk at approximately 0.09 µg/m³ (0.075 ppb) and a 1 × 10⁻⁴ risk at 9 µg/m³ (7.5 ppb).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Alternative non-linear or threshold-based models have been proposed by Conolly (2003), Crump (2008), and others; these approaches exploit the saturable kinetics of the GSH-dependent detoxification pathway and the threshold-like histopathology onset to argue for a practical threshold around 1 ppm. </w:t>
      </w:r>
      <w:r>
        <w:rPr>
          <w:rFonts w:ascii="Times New Roman" w:cs="Times New Roman" w:eastAsia="Times New Roman" w:hAnsi="Times New Roman"/>
          <w:b/>
          <w:bCs/>
          <w:sz w:val="24"/>
          <w:szCs w:val="24"/>
          <w:vertAlign w:val="superscript"/>
        </w:rPr>
        <w:t xml:space="preserve">[54][60][75]</w:t>
      </w:r>
      <w:r>
        <w:rPr>
          <w:rFonts w:ascii="Times New Roman" w:cs="Times New Roman" w:eastAsia="Times New Roman" w:hAnsi="Times New Roman"/>
          <w:sz w:val="24"/>
          <w:szCs w:val="24"/>
        </w:rPr>
        <w:t xml:space="preserve"> The U.S. EPA, Health Canada, and OEHHA have not adopted the threshold model as the basis for regulatory risk estimates, citing residual uncertainty in the mode-of-action framework, but Germany (MAK Commission) and some European jurisdictions have incorporated threshold-inspired approaches into their occupational exposure limits.</w:t>
      </w:r>
      <w:r>
        <w:rPr>
          <w:rFonts w:ascii="Times New Roman" w:cs="Times New Roman" w:eastAsia="Times New Roman" w:hAnsi="Times New Roman"/>
          <w:b/>
          <w:bCs/>
          <w:sz w:val="24"/>
          <w:szCs w:val="24"/>
          <w:vertAlign w:val="superscript"/>
        </w:rPr>
        <w:t xml:space="preserve">[26][28]</w:t>
      </w:r>
    </w:p>
    <w:p>
      <w:pPr>
        <w:spacing w:after="120" w:before="280"/>
        <w:jc w:val="left"/>
      </w:pPr>
      <w:r>
        <w:rPr>
          <w:rFonts w:ascii="Times New Roman" w:cs="Times New Roman" w:eastAsia="Times New Roman" w:hAnsi="Times New Roman"/>
          <w:b/>
          <w:bCs/>
          <w:sz w:val="24"/>
          <w:szCs w:val="24"/>
        </w:rPr>
        <w:t xml:space="preserve">Uncertainty and Variability</w:t>
      </w:r>
    </w:p>
    <w:p>
      <w:pPr>
        <w:spacing w:after="120" w:before="60" w:line="300"/>
        <w:jc w:val="both"/>
      </w:pPr>
      <w:r>
        <w:rPr>
          <w:rFonts w:ascii="Times New Roman" w:cs="Times New Roman" w:eastAsia="Times New Roman" w:hAnsi="Times New Roman"/>
          <w:sz w:val="24"/>
          <w:szCs w:val="24"/>
        </w:rPr>
        <w:t xml:space="preserve">Monte Carlo and probabilistic sensitivity analyses of the cancer unit risk estimate yield a 95 % credible interval spanning approximately a factor of 10 around the central estimate (5 × 10⁻⁶ to 5 × 10⁻⁵ per µg/m³).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Key sources of uncertainty include: choice of dose metric (inhaled ppm vs. regional flux), rodent-to-human dosimetric adjustment factor, low-dose model shape, cohort confounder adjustment for smoking and co-exposures, and background haematological disease incidence. </w:t>
      </w:r>
      <w:r>
        <w:rPr>
          <w:rFonts w:ascii="Times New Roman" w:cs="Times New Roman" w:eastAsia="Times New Roman" w:hAnsi="Times New Roman"/>
          <w:b/>
          <w:bCs/>
          <w:sz w:val="24"/>
          <w:szCs w:val="24"/>
          <w:vertAlign w:val="superscript"/>
        </w:rPr>
        <w:t xml:space="preserve">[1][54][60]</w:t>
      </w:r>
      <w:r>
        <w:rPr>
          <w:rFonts w:ascii="Times New Roman" w:cs="Times New Roman" w:eastAsia="Times New Roman" w:hAnsi="Times New Roman"/>
          <w:sz w:val="24"/>
          <w:szCs w:val="24"/>
        </w:rPr>
        <w:t xml:space="preserve"> Inter-individual variability in formaldehyde metabolism and repair capacity (principally due to ADH5, ALDH2, FANC pathway polymorphisms, and folate-cycle variants) is estimated to span a factor of 3–10; agencies have generally adopted a default intraspecies uncertainty factor of 10 to accommodate this variability, though chemical-specific adjustment factors have been proposed in recent peer-reviewed derivations. </w:t>
      </w:r>
      <w:r>
        <w:rPr>
          <w:rFonts w:ascii="Times New Roman" w:cs="Times New Roman" w:eastAsia="Times New Roman" w:hAnsi="Times New Roman"/>
          <w:b/>
          <w:bCs/>
          <w:sz w:val="24"/>
          <w:szCs w:val="24"/>
          <w:vertAlign w:val="superscript"/>
        </w:rPr>
        <w:t xml:space="preserve">[21][66][73]</w:t>
      </w:r>
    </w:p>
    <w:p>
      <w:pPr>
        <w:spacing w:after="120" w:before="280"/>
        <w:jc w:val="left"/>
      </w:pPr>
      <w:r>
        <w:rPr>
          <w:rFonts w:ascii="Times New Roman" w:cs="Times New Roman" w:eastAsia="Times New Roman" w:hAnsi="Times New Roman"/>
          <w:b/>
          <w:bCs/>
          <w:sz w:val="24"/>
          <w:szCs w:val="24"/>
        </w:rPr>
        <w:t xml:space="preserve">Acceptable Air Concentrations and Action Levels</w:t>
      </w:r>
    </w:p>
    <w:p>
      <w:pPr>
        <w:spacing w:after="120" w:before="60" w:line="300"/>
        <w:jc w:val="both"/>
      </w:pPr>
      <w:r>
        <w:rPr>
          <w:rFonts w:ascii="Times New Roman" w:cs="Times New Roman" w:eastAsia="Times New Roman" w:hAnsi="Times New Roman"/>
          <w:sz w:val="24"/>
          <w:szCs w:val="24"/>
        </w:rPr>
        <w:t xml:space="preserve">The convergence of agency derivations places the lifetime acceptable indoor air concentration for non-cancer and cancer protection in the 0.006–0.1 mg/m³ range (0.005–0.08 ppm). </w:t>
      </w:r>
      <w:r>
        <w:rPr>
          <w:rFonts w:ascii="Times New Roman" w:cs="Times New Roman" w:eastAsia="Times New Roman" w:hAnsi="Times New Roman"/>
          <w:b/>
          <w:bCs/>
          <w:sz w:val="24"/>
          <w:szCs w:val="24"/>
          <w:vertAlign w:val="superscript"/>
        </w:rPr>
        <w:t xml:space="preserve">[1][5][29]</w:t>
      </w:r>
      <w:r>
        <w:rPr>
          <w:rFonts w:ascii="Times New Roman" w:cs="Times New Roman" w:eastAsia="Times New Roman" w:hAnsi="Times New Roman"/>
          <w:sz w:val="24"/>
          <w:szCs w:val="24"/>
        </w:rPr>
        <w:t xml:space="preserve"> Occupational settings historically accepted PELs of 0.75–1.0 ppm TWA, which generate lifetime excess cancer risks in the 1 × 10⁻³ range for 45-year career durations; recent reductions in European OELs to 0.3 mg/m³ (0.24 ppm) TWA narrow this risk to approximately 3 × 10⁻⁴. </w:t>
      </w:r>
      <w:r>
        <w:rPr>
          <w:rFonts w:ascii="Times New Roman" w:cs="Times New Roman" w:eastAsia="Times New Roman" w:hAnsi="Times New Roman"/>
          <w:b/>
          <w:bCs/>
          <w:sz w:val="24"/>
          <w:szCs w:val="24"/>
          <w:vertAlign w:val="superscript"/>
        </w:rPr>
        <w:t xml:space="preserve">[26][28][30]</w:t>
      </w:r>
      <w:r>
        <w:rPr>
          <w:rFonts w:ascii="Times New Roman" w:cs="Times New Roman" w:eastAsia="Times New Roman" w:hAnsi="Times New Roman"/>
          <w:sz w:val="24"/>
          <w:szCs w:val="24"/>
        </w:rPr>
        <w:t xml:space="preserve"> Short-term exposure limits (STELs) are commonly set at 0.3–2 ppm for 15-minute averages to protect against sensory irritation and acute respiratory effects. </w:t>
      </w:r>
      <w:r>
        <w:rPr>
          <w:rFonts w:ascii="Times New Roman" w:cs="Times New Roman" w:eastAsia="Times New Roman" w:hAnsi="Times New Roman"/>
          <w:b/>
          <w:bCs/>
          <w:sz w:val="24"/>
          <w:szCs w:val="24"/>
          <w:vertAlign w:val="superscript"/>
        </w:rPr>
        <w:t xml:space="preserve">[27][28]</w:t>
      </w:r>
      <w:r>
        <w:rPr>
          <w:rFonts w:ascii="Times New Roman" w:cs="Times New Roman" w:eastAsia="Times New Roman" w:hAnsi="Times New Roman"/>
          <w:sz w:val="24"/>
          <w:szCs w:val="24"/>
        </w:rPr>
        <w:t xml:space="preserve"> IRIS-based residential risk assessments routinely indicate exceedance of the 1 × 10⁻⁴ cancer benchmark in indoor air of homes with new composite wood products or limited ventilation, motivating emission controls under TSCA Title VI and CARB regulations.</w:t>
      </w:r>
      <w:r>
        <w:rPr>
          <w:rFonts w:ascii="Times New Roman" w:cs="Times New Roman" w:eastAsia="Times New Roman" w:hAnsi="Times New Roman"/>
          <w:b/>
          <w:bCs/>
          <w:sz w:val="24"/>
          <w:szCs w:val="24"/>
          <w:vertAlign w:val="superscript"/>
        </w:rPr>
        <w:t xml:space="preserve">[31][63]</w:t>
      </w:r>
    </w:p>
    <w:p>
      <w:pPr>
        <w:spacing w:after="120" w:before="280"/>
        <w:jc w:val="left"/>
      </w:pPr>
      <w:r>
        <w:rPr>
          <w:rFonts w:ascii="Times New Roman" w:cs="Times New Roman" w:eastAsia="Times New Roman" w:hAnsi="Times New Roman"/>
          <w:b/>
          <w:bCs/>
          <w:sz w:val="24"/>
          <w:szCs w:val="24"/>
        </w:rPr>
        <w:t xml:space="preserve">Cumulative Risk and Co-Exposures</w:t>
      </w:r>
    </w:p>
    <w:p>
      <w:pPr>
        <w:spacing w:after="120" w:before="60" w:line="300"/>
        <w:jc w:val="both"/>
      </w:pPr>
      <w:r>
        <w:rPr>
          <w:rFonts w:ascii="Times New Roman" w:cs="Times New Roman" w:eastAsia="Times New Roman" w:hAnsi="Times New Roman"/>
          <w:sz w:val="24"/>
          <w:szCs w:val="24"/>
        </w:rPr>
        <w:t xml:space="preserve">Formaldehyde exposures often co-occur with other aldehydes (acetaldehyde, acrolein), volatile organic compounds (benzene, toluene), and tobacco smoke. </w:t>
      </w:r>
      <w:r>
        <w:rPr>
          <w:rFonts w:ascii="Times New Roman" w:cs="Times New Roman" w:eastAsia="Times New Roman" w:hAnsi="Times New Roman"/>
          <w:b/>
          <w:bCs/>
          <w:sz w:val="24"/>
          <w:szCs w:val="24"/>
          <w:vertAlign w:val="superscript"/>
        </w:rPr>
        <w:t xml:space="preserve">[31][39][63]</w:t>
      </w:r>
      <w:r>
        <w:rPr>
          <w:rFonts w:ascii="Times New Roman" w:cs="Times New Roman" w:eastAsia="Times New Roman" w:hAnsi="Times New Roman"/>
          <w:sz w:val="24"/>
          <w:szCs w:val="24"/>
        </w:rPr>
        <w:t xml:space="preserve"> Cumulative inhalation-cancer-risk assessments conducted under California AB 2588 and U.S. EPA National Air Toxics Assessments (NATA) consistently identify formaldehyde as among the top three airborne contributors to lifetime cancer risk in the general U.S. population, alongside benzene and 1,3-butadiene. </w:t>
      </w:r>
      <w:r>
        <w:rPr>
          <w:rFonts w:ascii="Times New Roman" w:cs="Times New Roman" w:eastAsia="Times New Roman" w:hAnsi="Times New Roman"/>
          <w:b/>
          <w:bCs/>
          <w:sz w:val="24"/>
          <w:szCs w:val="24"/>
          <w:vertAlign w:val="superscript"/>
        </w:rPr>
        <w:t xml:space="preserve">[31][81]</w:t>
      </w:r>
      <w:r>
        <w:rPr>
          <w:rFonts w:ascii="Times New Roman" w:cs="Times New Roman" w:eastAsia="Times New Roman" w:hAnsi="Times New Roman"/>
          <w:sz w:val="24"/>
          <w:szCs w:val="24"/>
        </w:rPr>
        <w:t xml:space="preserve"> In occupational settings, combined exposures in pathology and anatomy laboratories (formaldehyde plus xylene, toluene, and solvent-carried organic chemicals) and in embalming operations (formaldehyde plus glutaraldehyde, phenol, and volatile embalming additives) complicate attribution of observed health outcomes and motivate integrated exposure-reduction strategies. </w:t>
      </w:r>
      <w:r>
        <w:rPr>
          <w:rFonts w:ascii="Times New Roman" w:cs="Times New Roman" w:eastAsia="Times New Roman" w:hAnsi="Times New Roman"/>
          <w:b/>
          <w:bCs/>
          <w:sz w:val="24"/>
          <w:szCs w:val="24"/>
          <w:vertAlign w:val="superscript"/>
        </w:rPr>
        <w:t xml:space="preserve">[14][15][47]</w:t>
      </w:r>
      <w:r>
        <w:rPr>
          <w:rFonts w:ascii="Times New Roman" w:cs="Times New Roman" w:eastAsia="Times New Roman" w:hAnsi="Times New Roman"/>
          <w:sz w:val="24"/>
          <w:szCs w:val="24"/>
        </w:rPr>
        <w:t xml:space="preserve"> For residential exposures, co-exposure to NO₂, PM₂.₅, and other indoor combustion products may produce greater-than-additive effects on respiratory outcomes through shared inflammatory and oxidative-stress pathways.</w:t>
      </w:r>
      <w:r>
        <w:rPr>
          <w:rFonts w:ascii="Times New Roman" w:cs="Times New Roman" w:eastAsia="Times New Roman" w:hAnsi="Times New Roman"/>
          <w:b/>
          <w:bCs/>
          <w:sz w:val="24"/>
          <w:szCs w:val="24"/>
          <w:vertAlign w:val="superscript"/>
        </w:rPr>
        <w:t xml:space="preserve">[31][63]</w:t>
      </w:r>
    </w:p>
    <w:p>
      <w:pPr>
        <w:spacing w:after="80" w:before="120"/>
        <w:jc w:val="center"/>
      </w:pPr>
      <w:r>
        <w:drawing>
          <wp:inline distT="0" distB="0" distL="0" distR="0">
            <wp:extent cx="4953000" cy="2476500"/>
            <wp:effectExtent t="0" r="0" b="0" l="0"/>
            <wp:docPr id="1" name="fig19_ure_values.png" descr="fig19_ure_values.png" title="fig19_ure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R2. Comparison of inhalation unit risk (IUR) estimates across EPA IRIS iterations, Cal-EPA OEHHA, and IARC/NIOSH-derived approaches. Differences reflect choices of epidemiological anchor study, dosimetric adjustment and low-dose model.</w:t>
      </w:r>
    </w:p>
    <w:p>
      <w:pPr>
        <w:spacing w:after="120" w:before="280"/>
        <w:jc w:val="left"/>
      </w:pPr>
      <w:r>
        <w:rPr>
          <w:rFonts w:ascii="Times New Roman" w:cs="Times New Roman" w:eastAsia="Times New Roman" w:hAnsi="Times New Roman"/>
          <w:b/>
          <w:bCs/>
          <w:sz w:val="24"/>
          <w:szCs w:val="24"/>
        </w:rPr>
        <w:t xml:space="preserve">Population-Level Risk Estimates</w:t>
      </w:r>
    </w:p>
    <w:p>
      <w:pPr>
        <w:spacing w:after="120" w:before="60" w:line="300"/>
        <w:jc w:val="both"/>
      </w:pPr>
      <w:r>
        <w:rPr>
          <w:rFonts w:ascii="Times New Roman" w:cs="Times New Roman" w:eastAsia="Times New Roman" w:hAnsi="Times New Roman"/>
          <w:sz w:val="24"/>
          <w:szCs w:val="24"/>
        </w:rPr>
        <w:t xml:space="preserve">Applying the IRIS 2024 IUR to U.S. ambient formaldehyde concentrations derived from the National Air Toxics Assessment (approximately 1.5 µg/m³ median outdoor) yields a central-tendency lifetime excess cancer risk for the general population of 1.6 × 10⁻⁵, with upper-percentile risks in the 10⁻⁴ range in communities near major emission sources. </w:t>
      </w:r>
      <w:r>
        <w:rPr>
          <w:rFonts w:ascii="Times New Roman" w:cs="Times New Roman" w:eastAsia="Times New Roman" w:hAnsi="Times New Roman"/>
          <w:b/>
          <w:bCs/>
          <w:sz w:val="24"/>
          <w:szCs w:val="24"/>
          <w:vertAlign w:val="superscript"/>
        </w:rPr>
        <w:t xml:space="preserve">[1][31][81]</w:t>
      </w:r>
      <w:r>
        <w:rPr>
          <w:rFonts w:ascii="Times New Roman" w:cs="Times New Roman" w:eastAsia="Times New Roman" w:hAnsi="Times New Roman"/>
          <w:sz w:val="24"/>
          <w:szCs w:val="24"/>
        </w:rPr>
        <w:t xml:space="preserve"> Indoor residential concentrations of 20–30 µg/m³ in newer homes with composite wood products generate additional lifetime risks of approximately 2 × 10⁻⁴ to 3 × 10⁻⁴, exceeding the de minimis 1 × 10⁻⁶ benchmark by two orders of magnitude and approaching the 1 × 10⁻⁴ action level used by many agencies.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For occupationally exposed populations, the lifetime excess cancer risk remains the principal driver of regulatory action; for the general population, respiratory irritation, asthma exacerbation, and cancer risk collectively anchor public health policy.</w:t>
      </w:r>
      <w:r>
        <w:rPr>
          <w:rFonts w:ascii="Times New Roman" w:cs="Times New Roman" w:eastAsia="Times New Roman" w:hAnsi="Times New Roman"/>
          <w:b/>
          <w:bCs/>
          <w:sz w:val="24"/>
          <w:szCs w:val="24"/>
          <w:vertAlign w:val="superscript"/>
        </w:rPr>
        <w:t xml:space="preserve">[26][31][81]</w:t>
      </w:r>
    </w:p>
    <w:p>
      <w:pPr>
        <w:spacing w:after="120" w:before="280"/>
        <w:jc w:val="left"/>
      </w:pPr>
      <w:r>
        <w:rPr>
          <w:rFonts w:ascii="Times New Roman" w:cs="Times New Roman" w:eastAsia="Times New Roman" w:hAnsi="Times New Roman"/>
          <w:b/>
          <w:bCs/>
          <w:sz w:val="24"/>
          <w:szCs w:val="24"/>
        </w:rPr>
        <w:t xml:space="preserve">Risk Communication and Policy Application</w:t>
      </w:r>
    </w:p>
    <w:p>
      <w:pPr>
        <w:spacing w:after="120" w:before="60" w:line="300"/>
        <w:jc w:val="both"/>
      </w:pPr>
      <w:r>
        <w:rPr>
          <w:rFonts w:ascii="Times New Roman" w:cs="Times New Roman" w:eastAsia="Times New Roman" w:hAnsi="Times New Roman"/>
          <w:sz w:val="24"/>
          <w:szCs w:val="24"/>
        </w:rPr>
        <w:t xml:space="preserve">Translating the technical quantitative risk characterization into actionable public health guidance requires attention to the diverse exposure scenarios encountered by different populations. </w:t>
      </w:r>
      <w:r>
        <w:rPr>
          <w:rFonts w:ascii="Times New Roman" w:cs="Times New Roman" w:eastAsia="Times New Roman" w:hAnsi="Times New Roman"/>
          <w:b/>
          <w:bCs/>
          <w:sz w:val="24"/>
          <w:szCs w:val="24"/>
          <w:vertAlign w:val="superscript"/>
        </w:rPr>
        <w:t xml:space="preserve">[31][81][82]</w:t>
      </w:r>
      <w:r>
        <w:rPr>
          <w:rFonts w:ascii="Times New Roman" w:cs="Times New Roman" w:eastAsia="Times New Roman" w:hAnsi="Times New Roman"/>
          <w:sz w:val="24"/>
          <w:szCs w:val="24"/>
        </w:rPr>
        <w:t xml:space="preserve"> Residential occupants of homes with newer composite wood products are advised to ventilate aggressively during the first year and to select CARB Phase 2 or TSCA Title VI-compliant products; schoolchildren in newly renovated classrooms benefit from extended unoccupied off-gassing periods prior to re-occupancy; workers in formaldehyde-using industries require engineering controls, process substitution, PPE, and medical surveillance. </w:t>
      </w:r>
      <w:r>
        <w:rPr>
          <w:rFonts w:ascii="Times New Roman" w:cs="Times New Roman" w:eastAsia="Times New Roman" w:hAnsi="Times New Roman"/>
          <w:b/>
          <w:bCs/>
          <w:sz w:val="24"/>
          <w:szCs w:val="24"/>
          <w:vertAlign w:val="superscript"/>
        </w:rPr>
        <w:t xml:space="preserve">[31][82]</w:t>
      </w:r>
      <w:r>
        <w:rPr>
          <w:rFonts w:ascii="Times New Roman" w:cs="Times New Roman" w:eastAsia="Times New Roman" w:hAnsi="Times New Roman"/>
          <w:sz w:val="24"/>
          <w:szCs w:val="24"/>
        </w:rPr>
        <w:t xml:space="preserve"> Disaster responders in fire/wildfire plumes should be evaluated for acute inhalation injury and followed longitudinally for chronic respiratory outcomes, as formaldehyde is a major component of fire smoke and is elevated in post-disaster indoor air.</w:t>
      </w:r>
      <w:r>
        <w:rPr>
          <w:rFonts w:ascii="Times New Roman" w:cs="Times New Roman" w:eastAsia="Times New Roman" w:hAnsi="Times New Roman"/>
          <w:b/>
          <w:bCs/>
          <w:sz w:val="24"/>
          <w:szCs w:val="24"/>
          <w:vertAlign w:val="superscript"/>
        </w:rPr>
        <w:t xml:space="preserve">[77][78][83]</w:t>
      </w:r>
    </w:p>
    <w:p>
      <w:pPr>
        <w:spacing w:after="120" w:before="280"/>
        <w:jc w:val="left"/>
      </w:pPr>
      <w:r>
        <w:rPr>
          <w:rFonts w:ascii="Times New Roman" w:cs="Times New Roman" w:eastAsia="Times New Roman" w:hAnsi="Times New Roman"/>
          <w:b/>
          <w:bCs/>
          <w:sz w:val="24"/>
          <w:szCs w:val="24"/>
        </w:rPr>
        <w:t xml:space="preserve">Emerging Approaches in Risk Assessment</w:t>
      </w:r>
    </w:p>
    <w:p>
      <w:pPr>
        <w:spacing w:after="120" w:before="60" w:line="300"/>
        <w:jc w:val="both"/>
      </w:pPr>
      <w:r>
        <w:rPr>
          <w:rFonts w:ascii="Times New Roman" w:cs="Times New Roman" w:eastAsia="Times New Roman" w:hAnsi="Times New Roman"/>
          <w:sz w:val="24"/>
          <w:szCs w:val="24"/>
        </w:rPr>
        <w:t xml:space="preserve">Next-generation risk assessment approaches under development by the U.S. EPA, ECHA, and international programmes seek to integrate high-throughput screening data, in vitro toxicokinetics, organotypic tissue models, and quantitative adverse outcome pathway (qAOP) linkages with traditional rodent bioassay data. </w:t>
      </w:r>
      <w:r>
        <w:rPr>
          <w:rFonts w:ascii="Times New Roman" w:cs="Times New Roman" w:eastAsia="Times New Roman" w:hAnsi="Times New Roman"/>
          <w:b/>
          <w:bCs/>
          <w:sz w:val="24"/>
          <w:szCs w:val="24"/>
          <w:vertAlign w:val="superscript"/>
        </w:rPr>
        <w:t xml:space="preserve">[72][80][84]</w:t>
      </w:r>
      <w:r>
        <w:rPr>
          <w:rFonts w:ascii="Times New Roman" w:cs="Times New Roman" w:eastAsia="Times New Roman" w:hAnsi="Times New Roman"/>
          <w:sz w:val="24"/>
          <w:szCs w:val="24"/>
        </w:rPr>
        <w:t xml:space="preserve"> Formaldehyde has been used as a case study in the ToxCast, Tox21, and SEURAT-1 programmes to benchmark predictive toxicological workflows against the rich legacy of human and animal data. </w:t>
      </w:r>
      <w:r>
        <w:rPr>
          <w:rFonts w:ascii="Times New Roman" w:cs="Times New Roman" w:eastAsia="Times New Roman" w:hAnsi="Times New Roman"/>
          <w:b/>
          <w:bCs/>
          <w:sz w:val="24"/>
          <w:szCs w:val="24"/>
          <w:vertAlign w:val="superscript"/>
        </w:rPr>
        <w:t xml:space="preserve">[72][84]</w:t>
      </w:r>
      <w:r>
        <w:rPr>
          <w:rFonts w:ascii="Times New Roman" w:cs="Times New Roman" w:eastAsia="Times New Roman" w:hAnsi="Times New Roman"/>
          <w:sz w:val="24"/>
          <w:szCs w:val="24"/>
        </w:rPr>
        <w:t xml:space="preserve"> Computational fluid dynamics, in vitro-to-in vivo extrapolation (IVIVE), and PBPK model integration are advancing the ability to predict target-tissue dose under life-stage-specific, polymorphism-stratified, and activity-dependent exposure scenarios; these tools will progressively refine the risk characterization framework for formaldehyde over the coming decade.</w:t>
      </w:r>
      <w:r>
        <w:rPr>
          <w:rFonts w:ascii="Times New Roman" w:cs="Times New Roman" w:eastAsia="Times New Roman" w:hAnsi="Times New Roman"/>
          <w:b/>
          <w:bCs/>
          <w:sz w:val="24"/>
          <w:szCs w:val="24"/>
          <w:vertAlign w:val="superscript"/>
        </w:rPr>
        <w:t xml:space="preserve">[72][75][84]</w:t>
      </w:r>
    </w:p>
    <w:p>
      <w:r>
        <w:br w:type="page"/>
      </w:r>
    </w:p>
    <w:p>
      <w:pPr>
        <w:spacing w:after="120" w:before="280"/>
        <w:jc w:val="left"/>
      </w:pPr>
      <w:r>
        <w:rPr>
          <w:rFonts w:ascii="Times New Roman" w:cs="Times New Roman" w:eastAsia="Times New Roman" w:hAnsi="Times New Roman"/>
          <w:b/>
          <w:bCs/>
          <w:sz w:val="24"/>
          <w:szCs w:val="24"/>
        </w:rPr>
        <w:t xml:space="preserve">Regulatory and Policy Context</w:t>
      </w:r>
    </w:p>
    <w:p>
      <w:pPr>
        <w:spacing w:after="120" w:before="60" w:line="300"/>
        <w:jc w:val="both"/>
      </w:pPr>
      <w:r>
        <w:rPr>
          <w:rFonts w:ascii="Times New Roman" w:cs="Times New Roman" w:eastAsia="Times New Roman" w:hAnsi="Times New Roman"/>
          <w:sz w:val="24"/>
          <w:szCs w:val="24"/>
        </w:rPr>
        <w:t xml:space="preserve">Formaldehyde is among the most extensively regulated industrial chemicals globally, with overlapping authorities establishing occupational exposure limits, indoor air guidelines, ambient air standards, product emission limits, and labelling and classification requirements. </w:t>
      </w:r>
      <w:r>
        <w:rPr>
          <w:rFonts w:ascii="Times New Roman" w:cs="Times New Roman" w:eastAsia="Times New Roman" w:hAnsi="Times New Roman"/>
          <w:b/>
          <w:bCs/>
          <w:sz w:val="24"/>
          <w:szCs w:val="24"/>
          <w:vertAlign w:val="superscript"/>
        </w:rPr>
        <w:t xml:space="preserve">[1][2][4][5][26][27][28][29][30]</w:t>
      </w:r>
      <w:r>
        <w:rPr>
          <w:rFonts w:ascii="Times New Roman" w:cs="Times New Roman" w:eastAsia="Times New Roman" w:hAnsi="Times New Roman"/>
          <w:sz w:val="24"/>
          <w:szCs w:val="24"/>
        </w:rPr>
        <w:t xml:space="preserve"> The modern regulatory architecture reflects the progressive accumulation of hazard evidence: the NIOSH Ca (known carcinogen) designation dating to the late 1970s, OSHA's 1987 PEL rulemaking reducing the occupational limit from 3 ppm to 0.75 ppm TWA, IARC's 2006 Group 1 classification, NTP's 12th ROC listing as a known human carcinogen in 2011, and EPA's successive IRIS revisions culminating in the 2024 final TSD. </w:t>
      </w:r>
      <w:r>
        <w:rPr>
          <w:rFonts w:ascii="Times New Roman" w:cs="Times New Roman" w:eastAsia="Times New Roman" w:hAnsi="Times New Roman"/>
          <w:b/>
          <w:bCs/>
          <w:sz w:val="24"/>
          <w:szCs w:val="24"/>
          <w:vertAlign w:val="superscript"/>
        </w:rPr>
        <w:t xml:space="preserve">[1][2][5][27]</w:t>
      </w:r>
      <w:r>
        <w:rPr>
          <w:rFonts w:ascii="Times New Roman" w:cs="Times New Roman" w:eastAsia="Times New Roman" w:hAnsi="Times New Roman"/>
          <w:sz w:val="24"/>
          <w:szCs w:val="24"/>
        </w:rPr>
        <w:t xml:space="preserve"> The European Chemicals Agency (ECHA) designated formaldehyde as carcinogenic Category 1B and mutagenic Category 2 under CLP regulations in 2016, triggering REACH-driven restrictions on professional use and consumer exposures. </w:t>
      </w:r>
      <w:r>
        <w:rPr>
          <w:rFonts w:ascii="Times New Roman" w:cs="Times New Roman" w:eastAsia="Times New Roman" w:hAnsi="Times New Roman"/>
          <w:b/>
          <w:bCs/>
          <w:sz w:val="24"/>
          <w:szCs w:val="24"/>
          <w:vertAlign w:val="superscript"/>
        </w:rPr>
        <w:t xml:space="preserve">[26][85]</w:t>
      </w:r>
      <w:r>
        <w:rPr>
          <w:rFonts w:ascii="Times New Roman" w:cs="Times New Roman" w:eastAsia="Times New Roman" w:hAnsi="Times New Roman"/>
          <w:sz w:val="24"/>
          <w:szCs w:val="24"/>
        </w:rPr>
        <w:t xml:space="preserve"> In 2019, the Scientific Committee on Occupational Exposure Limits (SCOEL) recommended an EU-wide binding OEL of 0.37 mg/m³ TWA and 0.74 mg/m³ STEL, implemented by Directive 2019/983 with transition provisions.</w:t>
      </w:r>
      <w:r>
        <w:rPr>
          <w:rFonts w:ascii="Times New Roman" w:cs="Times New Roman" w:eastAsia="Times New Roman" w:hAnsi="Times New Roman"/>
          <w:b/>
          <w:bCs/>
          <w:sz w:val="24"/>
          <w:szCs w:val="24"/>
          <w:vertAlign w:val="superscript"/>
        </w:rPr>
        <w:t xml:space="preserve">[26][28]</w:t>
      </w:r>
    </w:p>
    <w:p>
      <w:pPr>
        <w:spacing w:after="120" w:before="280"/>
        <w:jc w:val="left"/>
      </w:pPr>
      <w:r>
        <w:rPr>
          <w:rFonts w:ascii="Times New Roman" w:cs="Times New Roman" w:eastAsia="Times New Roman" w:hAnsi="Times New Roman"/>
          <w:b/>
          <w:bCs/>
          <w:sz w:val="24"/>
          <w:szCs w:val="24"/>
        </w:rPr>
        <w:t xml:space="preserve">Figure 4 — Comparative Regulatory Exposure Limits</w:t>
      </w:r>
    </w:p>
    <w:p>
      <w:pPr>
        <w:spacing w:after="80" w:before="120"/>
        <w:jc w:val="center"/>
      </w:pPr>
      <w:r>
        <w:drawing>
          <wp:inline distT="0" distB="0" distL="0" distR="0">
            <wp:extent cx="5143500" cy="3048000"/>
            <wp:effectExtent t="0" r="0" b="0" l="0"/>
            <wp:docPr id="1" name="fig4_regulatory_limits.png" descr="fig4_regulatory_limits.png" title="fig4_regulatory_li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3048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4. Comparative formaldehyde regulatory exposure limits across major agencies showing approximately three orders of magnitude between the most stringent (NIOSH REL 0.016 ppm) and the US OSHA PEL (0.75 ppm). WHO AQG and EPA IRIS RfC lie in the lower decade.</w:t>
      </w:r>
    </w:p>
    <w:p>
      <w:pPr>
        <w:spacing w:after="80" w:before="120"/>
        <w:jc w:val="center"/>
      </w:pPr>
      <w:r>
        <w:drawing>
          <wp:inline distT="0" distB="0" distL="0" distR="0">
            <wp:extent cx="5143500" cy="2857500"/>
            <wp:effectExtent t="0" r="0" b="0" l="0"/>
            <wp:docPr id="1" name="fig17_oel_compare.png" descr="fig17_oel_compare.png" title="fig17_oe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RG1. Bar comparison of long-term (TWA) and short-term / ceiling occupational and indoor-air limits across US, EU, Japan, China and WHO frameworks. Log scale. Wide international disparity reflects different scientific anchors and policy risk acceptance.</w:t>
      </w:r>
    </w:p>
    <w:p>
      <w:pPr>
        <w:spacing w:after="80" w:before="120"/>
        <w:jc w:val="center"/>
      </w:pPr>
      <w:r>
        <w:drawing>
          <wp:inline distT="0" distB="0" distL="0" distR="0">
            <wp:extent cx="5143500" cy="1714500"/>
            <wp:effectExtent t="0" r="0" b="0" l="0"/>
            <wp:docPr id="1" name="fig6_iarc_timeline.png" descr="fig6_iarc_timeline.png" title="fig6_iarc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714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RG2. IARC classification timeline: Monographs 29 (1981) -&gt; 100F (2012) -&gt; 130 (2022). The 2004 upgrade to Group 1 was anchored on sufficient evidence for nasopharyngeal carcinoma.</w:t>
      </w:r>
    </w:p>
    <w:p>
      <w:pPr>
        <w:spacing w:after="120" w:before="280"/>
        <w:jc w:val="left"/>
      </w:pPr>
      <w:r>
        <w:rPr>
          <w:rFonts w:ascii="Times New Roman" w:cs="Times New Roman" w:eastAsia="Times New Roman" w:hAnsi="Times New Roman"/>
          <w:b/>
          <w:bCs/>
          <w:sz w:val="24"/>
          <w:szCs w:val="24"/>
        </w:rPr>
        <w:t xml:space="preserve">Occupational Exposure Limits — Comparative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rPr>
          <w:tblHeader/>
        </w:trPr>
        <w:tc>
          <w:tcPr>
            <w:tcW w:type="dxa" w:w="28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Agency / Jurisdiction</w:t>
            </w:r>
          </w:p>
        </w:tc>
        <w:tc>
          <w:tcPr>
            <w:tcW w:type="dxa" w:w="2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Limit</w:t>
            </w:r>
          </w:p>
        </w:tc>
        <w:tc>
          <w:tcPr>
            <w:tcW w:type="dxa" w:w="26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Basis / Endpoint</w:t>
            </w:r>
          </w:p>
        </w:tc>
        <w:tc>
          <w:tcPr>
            <w:tcW w:type="dxa" w:w="17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Year</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OSHA (U.S.)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0.75 ppm TWA; 2 ppm STEL; 0.5 ppm Action Level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 irritation</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1987 / 29 CFR 1910.1048</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(U.S.)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0.016 ppm TWA; 0.1 ppm STEL (Ca designation)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(as low as feasible)</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1981 / 1988</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ACGIH TLV (U.S., private)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ppm TWA; 0.3 ppm STEL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Sensory irritation + cancer</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2021 (most recent)</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 SCOEL / BOELV</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0.37 mg/m³ TWA (0.3 ppm); 0.74 mg/m³ STEL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Irritation + cancer (threshold approach)</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Directive 2019/983</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German MAK</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0.3 ppm TWA (Category 4 carcinogen)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Practical threshold for cancer + irritation</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2015 / 2020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Health Canada</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0.09 mg/m³ 8-h; 0.123 mg/m³ 1-h indoor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 irritation</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2006 Residential Indoor AQG</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Air Quality Guideline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mg/m³ 30-min indoor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Sensory irritation (also cancer-protective)</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IRIS RfC</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0.007 mg/m³ lifetime inhalation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histopathology</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2024</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ATSDR MRL (chronic inhalation)</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0.008 ppm (0.01 mg/m³)</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pathology + respiratory</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2020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California OEHHA REL</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0.009 mg/m³ chronic</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 non-cancer</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2008 (current)</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HSE WEL (UK)</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ppm TWA; 2 ppm STEL (transitioning)</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Legacy irritation-based</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2007; under review post-CLP</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Japan MHLW</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0.08 ppm TWA; 0.25 ppm 15-min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Indoor air policy</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2002 Sick-Building Guidance</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China GBZ 2.1</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 mg/m³ TWA; 1.0 mg/m³ STEL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Irritation + cancer</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2019</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Australia Safe Work</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ppm TWA; 2 ppm STEL (under review)</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Legacy limit</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Current / revision under consultation</w:t>
            </w:r>
          </w:p>
        </w:tc>
      </w:tr>
    </w:tbl>
    <w:p>
      <w:pPr>
        <w:spacing w:after="120" w:before="280"/>
        <w:jc w:val="left"/>
      </w:pPr>
      <w:r>
        <w:rPr>
          <w:rFonts w:ascii="Times New Roman" w:cs="Times New Roman" w:eastAsia="Times New Roman" w:hAnsi="Times New Roman"/>
          <w:b/>
          <w:bCs/>
          <w:sz w:val="24"/>
          <w:szCs w:val="24"/>
        </w:rPr>
        <w:t xml:space="preserve">Ambient and Indoor Air Standards</w:t>
      </w:r>
    </w:p>
    <w:p>
      <w:pPr>
        <w:spacing w:after="120" w:before="60" w:line="300"/>
        <w:jc w:val="both"/>
      </w:pPr>
      <w:r>
        <w:rPr>
          <w:rFonts w:ascii="Times New Roman" w:cs="Times New Roman" w:eastAsia="Times New Roman" w:hAnsi="Times New Roman"/>
          <w:sz w:val="24"/>
          <w:szCs w:val="24"/>
        </w:rPr>
        <w:t xml:space="preserve">Ambient air standards for formaldehyde are less harmonised globally than occupational limits because formaldehyde is produced by both anthropogenic and biogenic sources and is a secondary pollutant formed from atmospheric oxidation of methane and non-methane hydrocarbons.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U.S. EPA does not list formaldehyde as a NAAQS criteria pollutant but regulates it as a hazardous air pollutant under Section 112 of the Clean Air Act, with facility-specific MACT standards for major emission sources (plywood, medium-density fibreboard, particleboard, hardwood plywood, and reconstituted wood products). </w:t>
      </w:r>
      <w:r>
        <w:rPr>
          <w:rFonts w:ascii="Times New Roman" w:cs="Times New Roman" w:eastAsia="Times New Roman" w:hAnsi="Times New Roman"/>
          <w:b/>
          <w:bCs/>
          <w:sz w:val="24"/>
          <w:szCs w:val="24"/>
          <w:vertAlign w:val="superscript"/>
        </w:rPr>
        <w:t xml:space="preserve">[31][63][86]</w:t>
      </w:r>
      <w:r>
        <w:rPr>
          <w:rFonts w:ascii="Times New Roman" w:cs="Times New Roman" w:eastAsia="Times New Roman" w:hAnsi="Times New Roman"/>
          <w:sz w:val="24"/>
          <w:szCs w:val="24"/>
        </w:rPr>
        <w:t xml:space="preserve"> The U.S. EPA National Air Toxics Assessments (NATA) identify formaldehyde as among the top contributors to census-tract-level airborne cancer risk in 80 % of U.S. counties. </w:t>
      </w:r>
      <w:r>
        <w:rPr>
          <w:rFonts w:ascii="Times New Roman" w:cs="Times New Roman" w:eastAsia="Times New Roman" w:hAnsi="Times New Roman"/>
          <w:b/>
          <w:bCs/>
          <w:sz w:val="24"/>
          <w:szCs w:val="24"/>
          <w:vertAlign w:val="superscript"/>
        </w:rPr>
        <w:t xml:space="preserve">[31][81]</w:t>
      </w:r>
      <w:r>
        <w:rPr>
          <w:rFonts w:ascii="Times New Roman" w:cs="Times New Roman" w:eastAsia="Times New Roman" w:hAnsi="Times New Roman"/>
          <w:sz w:val="24"/>
          <w:szCs w:val="24"/>
        </w:rPr>
        <w:t xml:space="preserve"> The California Air Resources Board (CARB) airborne toxic control measure (ATCM) for composite wood products (CCR Title 17, sections 93120–93120.12), later mirrored by the U.S. TSCA Title VI implementing rule, limits emissions from hardwood plywood, particleboard, and medium-density fibreboard to 0.05–0.13 ppm in chamber tests, phasing down successive Phase 1 and Phase 2 standards from 2009 through 2018.</w:t>
      </w:r>
      <w:r>
        <w:rPr>
          <w:rFonts w:ascii="Times New Roman" w:cs="Times New Roman" w:eastAsia="Times New Roman" w:hAnsi="Times New Roman"/>
          <w:b/>
          <w:bCs/>
          <w:sz w:val="24"/>
          <w:szCs w:val="24"/>
          <w:vertAlign w:val="superscript"/>
        </w:rPr>
        <w:t xml:space="preserve">[31][63]</w:t>
      </w:r>
    </w:p>
    <w:p>
      <w:pPr>
        <w:spacing w:after="120" w:before="280"/>
        <w:jc w:val="left"/>
      </w:pPr>
      <w:r>
        <w:rPr>
          <w:rFonts w:ascii="Times New Roman" w:cs="Times New Roman" w:eastAsia="Times New Roman" w:hAnsi="Times New Roman"/>
          <w:b/>
          <w:bCs/>
          <w:sz w:val="24"/>
          <w:szCs w:val="24"/>
        </w:rPr>
        <w:t xml:space="preserve">Product Emission and Consumer Product Restrictions</w:t>
      </w:r>
    </w:p>
    <w:p>
      <w:pPr>
        <w:spacing w:after="120" w:before="60" w:line="300"/>
        <w:jc w:val="both"/>
      </w:pPr>
      <w:r>
        <w:rPr>
          <w:rFonts w:ascii="Times New Roman" w:cs="Times New Roman" w:eastAsia="Times New Roman" w:hAnsi="Times New Roman"/>
          <w:sz w:val="24"/>
          <w:szCs w:val="24"/>
        </w:rPr>
        <w:t xml:space="preserve">Formaldehyde releasers in cosmetic preservatives (DMDM hydantoin, diazolidinyl urea, imidazolidinyl urea, quaternium-15, methenamine, 2-bromo-2-nitropropane-1,3-diol) are limited in the EU under Cosmetics Regulation 1223/2009 Annex V to a total free formaldehyde concentration of 0.2 % in rinse-off products and 0.1 % in leave-on products, with explicit labelling required above 0.05 %. </w:t>
      </w:r>
      <w:r>
        <w:rPr>
          <w:rFonts w:ascii="Times New Roman" w:cs="Times New Roman" w:eastAsia="Times New Roman" w:hAnsi="Times New Roman"/>
          <w:b/>
          <w:bCs/>
          <w:sz w:val="24"/>
          <w:szCs w:val="24"/>
          <w:vertAlign w:val="superscript"/>
        </w:rPr>
        <w:t xml:space="preserve">[26][85][87]</w:t>
      </w:r>
      <w:r>
        <w:rPr>
          <w:rFonts w:ascii="Times New Roman" w:cs="Times New Roman" w:eastAsia="Times New Roman" w:hAnsi="Times New Roman"/>
          <w:sz w:val="24"/>
          <w:szCs w:val="24"/>
        </w:rPr>
        <w:t xml:space="preserve"> The U.S. FDA does not set a numerical limit for formaldehyde in cosmetics but requires safety substantiation; several states have enacted bans on formaldehyde-containing hair-straightening products following adverse event reports.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Textile products sold in the EU under REACH Annex XVII Entry 72 are restricted to total formaldehyde concentrations of 75 mg/kg.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Formaldehyde-based resins in toys, baby articles, and food-contact materials are subject to specific migration limits under the respective EU product-safety directives and FDA 21 CFR 177 provisions.</w:t>
      </w:r>
      <w:r>
        <w:rPr>
          <w:rFonts w:ascii="Times New Roman" w:cs="Times New Roman" w:eastAsia="Times New Roman" w:hAnsi="Times New Roman"/>
          <w:b/>
          <w:bCs/>
          <w:sz w:val="24"/>
          <w:szCs w:val="24"/>
          <w:vertAlign w:val="superscript"/>
        </w:rPr>
        <w:t xml:space="preserve">[85][87]</w:t>
      </w:r>
    </w:p>
    <w:p>
      <w:pPr>
        <w:spacing w:after="120" w:before="280"/>
        <w:jc w:val="left"/>
      </w:pPr>
      <w:r>
        <w:rPr>
          <w:rFonts w:ascii="Times New Roman" w:cs="Times New Roman" w:eastAsia="Times New Roman" w:hAnsi="Times New Roman"/>
          <w:b/>
          <w:bCs/>
          <w:sz w:val="24"/>
          <w:szCs w:val="24"/>
        </w:rPr>
        <w:t xml:space="preserve">Medical Device, Tissue, and Laboratory Use</w:t>
      </w:r>
    </w:p>
    <w:p>
      <w:pPr>
        <w:spacing w:after="120" w:before="60" w:line="300"/>
        <w:jc w:val="both"/>
      </w:pPr>
      <w:r>
        <w:rPr>
          <w:rFonts w:ascii="Times New Roman" w:cs="Times New Roman" w:eastAsia="Times New Roman" w:hAnsi="Times New Roman"/>
          <w:sz w:val="24"/>
          <w:szCs w:val="24"/>
        </w:rPr>
        <w:t xml:space="preserve">Formaldehyde retains widespread use in medical device sterilisation (low-temperature steam-formaldehyde cycles), tissue fixation (buffered 10 % formalin for histopathology), vaccine manufacturing (inactivation of viral antigens), and anatomical embalming. </w:t>
      </w:r>
      <w:r>
        <w:rPr>
          <w:rFonts w:ascii="Times New Roman" w:cs="Times New Roman" w:eastAsia="Times New Roman" w:hAnsi="Times New Roman"/>
          <w:b/>
          <w:bCs/>
          <w:sz w:val="24"/>
          <w:szCs w:val="24"/>
          <w:vertAlign w:val="superscript"/>
        </w:rPr>
        <w:t xml:space="preserve">[5][85][89]</w:t>
      </w:r>
      <w:r>
        <w:rPr>
          <w:rFonts w:ascii="Times New Roman" w:cs="Times New Roman" w:eastAsia="Times New Roman" w:hAnsi="Times New Roman"/>
          <w:sz w:val="24"/>
          <w:szCs w:val="24"/>
        </w:rPr>
        <w:t xml:space="preserve"> Regulatory frameworks in these sectors balance the public health value of the applications against occupational and environmental exposure concerns. </w:t>
      </w:r>
      <w:r>
        <w:rPr>
          <w:rFonts w:ascii="Times New Roman" w:cs="Times New Roman" w:eastAsia="Times New Roman" w:hAnsi="Times New Roman"/>
          <w:b/>
          <w:bCs/>
          <w:sz w:val="24"/>
          <w:szCs w:val="24"/>
          <w:vertAlign w:val="superscript"/>
        </w:rPr>
        <w:t xml:space="preserve">[5][27][89]</w:t>
      </w:r>
      <w:r>
        <w:rPr>
          <w:rFonts w:ascii="Times New Roman" w:cs="Times New Roman" w:eastAsia="Times New Roman" w:hAnsi="Times New Roman"/>
          <w:sz w:val="24"/>
          <w:szCs w:val="24"/>
        </w:rPr>
        <w:t xml:space="preserve"> In vaccine manufacture, residual formaldehyde concentrations in finished product are tightly specified (typically &lt; 100 µg per dose for inactivated vaccines per WHO and FDA guidance) and are negligible relative to endogenous background.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In histopathology laboratories, engineering controls including downdraft workstations, fume hoods, and closed-system cassette loading have become standard practice, with ongoing substitution efforts toward alcohol-based and aldehyde-free fixatives.</w:t>
      </w:r>
      <w:r>
        <w:rPr>
          <w:rFonts w:ascii="Times New Roman" w:cs="Times New Roman" w:eastAsia="Times New Roman" w:hAnsi="Times New Roman"/>
          <w:b/>
          <w:bCs/>
          <w:sz w:val="24"/>
          <w:szCs w:val="24"/>
          <w:vertAlign w:val="superscript"/>
        </w:rPr>
        <w:t xml:space="preserve">[88][89]</w:t>
      </w:r>
    </w:p>
    <w:p>
      <w:pPr>
        <w:spacing w:after="120" w:before="280"/>
        <w:jc w:val="left"/>
      </w:pPr>
      <w:r>
        <w:rPr>
          <w:rFonts w:ascii="Times New Roman" w:cs="Times New Roman" w:eastAsia="Times New Roman" w:hAnsi="Times New Roman"/>
          <w:b/>
          <w:bCs/>
          <w:sz w:val="24"/>
          <w:szCs w:val="24"/>
        </w:rPr>
        <w:t xml:space="preserve">Classification and Labelling</w:t>
      </w:r>
    </w:p>
    <w:p>
      <w:pPr>
        <w:spacing w:after="120" w:before="60" w:line="300"/>
        <w:jc w:val="both"/>
      </w:pPr>
      <w:r>
        <w:rPr>
          <w:rFonts w:ascii="Times New Roman" w:cs="Times New Roman" w:eastAsia="Times New Roman" w:hAnsi="Times New Roman"/>
          <w:sz w:val="24"/>
          <w:szCs w:val="24"/>
        </w:rPr>
        <w:t xml:space="preserve">Under the UN Globally Harmonized System (GHS), formaldehyde is classified as: Acute Tox. Cat. 3 (oral, dermal, inhalation); Skin Corr. 1B; Eye Dam. 1; Skin Sens. 1; Carc. 1B (may cause cancer by inhalation); Muta. 2 (suspected of causing genetic defects); and STOT-SE 3 (may cause respiratory irritation). </w:t>
      </w:r>
      <w:r>
        <w:rPr>
          <w:rFonts w:ascii="Times New Roman" w:cs="Times New Roman" w:eastAsia="Times New Roman" w:hAnsi="Times New Roman"/>
          <w:b/>
          <w:bCs/>
          <w:sz w:val="24"/>
          <w:szCs w:val="24"/>
          <w:vertAlign w:val="superscript"/>
        </w:rPr>
        <w:t xml:space="preserve">[26][85]</w:t>
      </w:r>
      <w:r>
        <w:rPr>
          <w:rFonts w:ascii="Times New Roman" w:cs="Times New Roman" w:eastAsia="Times New Roman" w:hAnsi="Times New Roman"/>
          <w:sz w:val="24"/>
          <w:szCs w:val="24"/>
        </w:rPr>
        <w:t xml:space="preserve"> EU CLP Annex VI provides the harmonised classification consistent with these GHS hazard categories.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NFPA 704 assigns formaldehyde hazard ratings of Health 3, Flammability 2, Instability 0 (flash point 50 °C for 37 % formalin solution). </w:t>
      </w:r>
      <w:r>
        <w:rPr>
          <w:rFonts w:ascii="Times New Roman" w:cs="Times New Roman" w:eastAsia="Times New Roman" w:hAnsi="Times New Roman"/>
          <w:b/>
          <w:bCs/>
          <w:sz w:val="24"/>
          <w:szCs w:val="24"/>
          <w:vertAlign w:val="superscript"/>
        </w:rPr>
        <w:t xml:space="preserve">[3][77]</w:t>
      </w:r>
      <w:r>
        <w:rPr>
          <w:rFonts w:ascii="Times New Roman" w:cs="Times New Roman" w:eastAsia="Times New Roman" w:hAnsi="Times New Roman"/>
          <w:sz w:val="24"/>
          <w:szCs w:val="24"/>
        </w:rPr>
        <w:t xml:space="preserve"> DOT/UN classification for transport: UN 1198 (Formaldehyde solutions, flammable), UN 2209 (Formaldehyde solutions, not flammable, &gt; 10 % formaldehyde) and UN 2213 for paraformaldehyde.</w:t>
      </w:r>
      <w:r>
        <w:rPr>
          <w:rFonts w:ascii="Times New Roman" w:cs="Times New Roman" w:eastAsia="Times New Roman" w:hAnsi="Times New Roman"/>
          <w:b/>
          <w:bCs/>
          <w:sz w:val="24"/>
          <w:szCs w:val="24"/>
          <w:vertAlign w:val="superscript"/>
        </w:rPr>
        <w:t xml:space="preserve">[77]</w:t>
      </w:r>
    </w:p>
    <w:p>
      <w:pPr>
        <w:spacing w:after="120" w:before="280"/>
        <w:jc w:val="left"/>
      </w:pPr>
      <w:r>
        <w:rPr>
          <w:rFonts w:ascii="Times New Roman" w:cs="Times New Roman" w:eastAsia="Times New Roman" w:hAnsi="Times New Roman"/>
          <w:b/>
          <w:bCs/>
          <w:sz w:val="24"/>
          <w:szCs w:val="24"/>
        </w:rPr>
        <w:t xml:space="preserve">International Regulatory Instruments and Voluntary Guidelines</w:t>
      </w:r>
    </w:p>
    <w:p>
      <w:pPr>
        <w:spacing w:after="120" w:before="60" w:line="300"/>
        <w:jc w:val="both"/>
      </w:pPr>
      <w:r>
        <w:rPr>
          <w:rFonts w:ascii="Times New Roman" w:cs="Times New Roman" w:eastAsia="Times New Roman" w:hAnsi="Times New Roman"/>
          <w:sz w:val="24"/>
          <w:szCs w:val="24"/>
        </w:rPr>
        <w:t xml:space="preserve">The WHO Indoor Air Quality Guidelines (2010) set a 30-minute indoor air ceiling of 0.1 mg/m³ for sensory irritation, considered simultaneously protective against cancer at the one-in-a-million risk level.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The European Environment Agency Ambient Air Quality Directive does not list formaldehyde as a Tier-1 criterion pollutant but includes it in voluntary monitoring programmes.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OECD Screening Information Dataset for Formaldehyde (first compiled 2002, updated periodically) provides internationally harmonised hazard characterisation for the chemical. </w:t>
      </w:r>
      <w:r>
        <w:rPr>
          <w:rFonts w:ascii="Times New Roman" w:cs="Times New Roman" w:eastAsia="Times New Roman" w:hAnsi="Times New Roman"/>
          <w:b/>
          <w:bCs/>
          <w:sz w:val="24"/>
          <w:szCs w:val="24"/>
          <w:vertAlign w:val="superscript"/>
        </w:rPr>
        <w:t xml:space="preserve">[90]</w:t>
      </w:r>
      <w:r>
        <w:rPr>
          <w:rFonts w:ascii="Times New Roman" w:cs="Times New Roman" w:eastAsia="Times New Roman" w:hAnsi="Times New Roman"/>
          <w:sz w:val="24"/>
          <w:szCs w:val="24"/>
        </w:rPr>
        <w:t xml:space="preserve"> LEED, WELL Building Standard, and ISO 16000 indoor air quality frameworks reference WHO and regulatory standards and incorporate formaldehyde as a mandatory indoor air monitoring target.</w:t>
      </w:r>
      <w:r>
        <w:rPr>
          <w:rFonts w:ascii="Times New Roman" w:cs="Times New Roman" w:eastAsia="Times New Roman" w:hAnsi="Times New Roman"/>
          <w:b/>
          <w:bCs/>
          <w:sz w:val="24"/>
          <w:szCs w:val="24"/>
          <w:vertAlign w:val="superscript"/>
        </w:rPr>
        <w:t xml:space="preserve">[63][91]</w:t>
      </w:r>
    </w:p>
    <w:p>
      <w:pPr>
        <w:spacing w:after="120" w:before="280"/>
        <w:jc w:val="left"/>
      </w:pPr>
      <w:r>
        <w:rPr>
          <w:rFonts w:ascii="Times New Roman" w:cs="Times New Roman" w:eastAsia="Times New Roman" w:hAnsi="Times New Roman"/>
          <w:b/>
          <w:bCs/>
          <w:sz w:val="24"/>
          <w:szCs w:val="24"/>
        </w:rPr>
        <w:t xml:space="preserve">Regulatory Harmonisation Issues</w:t>
      </w:r>
    </w:p>
    <w:p>
      <w:pPr>
        <w:spacing w:after="120" w:before="60" w:line="300"/>
        <w:jc w:val="both"/>
      </w:pPr>
      <w:r>
        <w:rPr>
          <w:rFonts w:ascii="Times New Roman" w:cs="Times New Roman" w:eastAsia="Times New Roman" w:hAnsi="Times New Roman"/>
          <w:sz w:val="24"/>
          <w:szCs w:val="24"/>
        </w:rPr>
        <w:t xml:space="preserve">Significant gaps remain in regulatory harmonisation. The three-orders-of-magnitude range between the IRIS RfC (0.007 mg/m³) and some occupational exposure limits (up to 1 ppm = 1.23 mg/m³) represents an acceptable-risk differential between the general population and healthy adult workers but challenges communication of a coherent risk frame to the public. </w:t>
      </w:r>
      <w:r>
        <w:rPr>
          <w:rFonts w:ascii="Times New Roman" w:cs="Times New Roman" w:eastAsia="Times New Roman" w:hAnsi="Times New Roman"/>
          <w:b/>
          <w:bCs/>
          <w:sz w:val="24"/>
          <w:szCs w:val="24"/>
          <w:vertAlign w:val="superscript"/>
        </w:rPr>
        <w:t xml:space="preserve">[1][26][27][29]</w:t>
      </w:r>
      <w:r>
        <w:rPr>
          <w:rFonts w:ascii="Times New Roman" w:cs="Times New Roman" w:eastAsia="Times New Roman" w:hAnsi="Times New Roman"/>
          <w:sz w:val="24"/>
          <w:szCs w:val="24"/>
        </w:rPr>
        <w:t xml:space="preserve"> Differences between agencies in the handling of the low-dose extrapolation model (linear, threshold, or hybrid) produce derivation-level disagreements of approximately one order of magnitude. </w:t>
      </w:r>
      <w:r>
        <w:rPr>
          <w:rFonts w:ascii="Times New Roman" w:cs="Times New Roman" w:eastAsia="Times New Roman" w:hAnsi="Times New Roman"/>
          <w:b/>
          <w:bCs/>
          <w:sz w:val="24"/>
          <w:szCs w:val="24"/>
          <w:vertAlign w:val="superscript"/>
        </w:rPr>
        <w:t xml:space="preserve">[1][26][28][60]</w:t>
      </w:r>
      <w:r>
        <w:rPr>
          <w:rFonts w:ascii="Times New Roman" w:cs="Times New Roman" w:eastAsia="Times New Roman" w:hAnsi="Times New Roman"/>
          <w:sz w:val="24"/>
          <w:szCs w:val="24"/>
        </w:rPr>
        <w:t xml:space="preserve"> Harmonisation efforts by the WHO IPCS programme, the OECD, and the International Programme on Chemical Safety seek to reduce these inter-agency discrepancies while recognising jurisdictional policy preferences. </w:t>
      </w:r>
      <w:r>
        <w:rPr>
          <w:rFonts w:ascii="Times New Roman" w:cs="Times New Roman" w:eastAsia="Times New Roman" w:hAnsi="Times New Roman"/>
          <w:b/>
          <w:bCs/>
          <w:sz w:val="24"/>
          <w:szCs w:val="24"/>
          <w:vertAlign w:val="superscript"/>
        </w:rPr>
        <w:t xml:space="preserve">[29][90]</w:t>
      </w:r>
      <w:r>
        <w:rPr>
          <w:rFonts w:ascii="Times New Roman" w:cs="Times New Roman" w:eastAsia="Times New Roman" w:hAnsi="Times New Roman"/>
          <w:sz w:val="24"/>
          <w:szCs w:val="24"/>
        </w:rPr>
        <w:t xml:space="preserve"> Recent publications in Regulatory Toxicology and Pharmacology and Critical Reviews in Toxicology have proposed a harmonised benchmark dose framework incorporating CFD-based dosimetry and chemical-specific adjustment factors derived from the ADH5/ALDH2 polymorphism distribution; adoption of this framework could narrow the inter-agency range substantially.</w:t>
      </w:r>
      <w:r>
        <w:rPr>
          <w:rFonts w:ascii="Times New Roman" w:cs="Times New Roman" w:eastAsia="Times New Roman" w:hAnsi="Times New Roman"/>
          <w:b/>
          <w:bCs/>
          <w:sz w:val="24"/>
          <w:szCs w:val="24"/>
          <w:vertAlign w:val="superscript"/>
        </w:rPr>
        <w:t xml:space="preserve">[60][66][73]</w:t>
      </w:r>
    </w:p>
    <w:p>
      <w:pPr>
        <w:spacing w:after="120" w:before="280"/>
        <w:jc w:val="left"/>
      </w:pPr>
      <w:r>
        <w:rPr>
          <w:rFonts w:ascii="Times New Roman" w:cs="Times New Roman" w:eastAsia="Times New Roman" w:hAnsi="Times New Roman"/>
          <w:b/>
          <w:bCs/>
          <w:sz w:val="24"/>
          <w:szCs w:val="24"/>
        </w:rPr>
        <w:t xml:space="preserve">Implementation and Enforcement Status</w:t>
      </w:r>
    </w:p>
    <w:p>
      <w:pPr>
        <w:spacing w:after="120" w:before="60" w:line="300"/>
        <w:jc w:val="both"/>
      </w:pPr>
      <w:r>
        <w:rPr>
          <w:rFonts w:ascii="Times New Roman" w:cs="Times New Roman" w:eastAsia="Times New Roman" w:hAnsi="Times New Roman"/>
          <w:sz w:val="24"/>
          <w:szCs w:val="24"/>
        </w:rPr>
        <w:t xml:space="preserve">Implementation of formaldehyde regulations is tracked by national inspectorates (OSHA compliance, NIOSH Health Hazard Evaluations, European labour inspectorates, U.S. EPA enforcement cases for TSCA Title VI) and by periodic biomonitoring programmes (NHANES in the U.S., the German Human Biomonitoring Programme, the Korea National Environmental Health Survey). </w:t>
      </w:r>
      <w:r>
        <w:rPr>
          <w:rFonts w:ascii="Times New Roman" w:cs="Times New Roman" w:eastAsia="Times New Roman" w:hAnsi="Times New Roman"/>
          <w:b/>
          <w:bCs/>
          <w:sz w:val="24"/>
          <w:szCs w:val="24"/>
          <w:vertAlign w:val="superscript"/>
        </w:rPr>
        <w:t xml:space="preserve">[81][92]</w:t>
      </w:r>
      <w:r>
        <w:rPr>
          <w:rFonts w:ascii="Times New Roman" w:cs="Times New Roman" w:eastAsia="Times New Roman" w:hAnsi="Times New Roman"/>
          <w:sz w:val="24"/>
          <w:szCs w:val="24"/>
        </w:rPr>
        <w:t xml:space="preserve"> Enforcement typically focuses on product-emission compliance, occupational exposure monitoring, and cosmetic product labelling. </w:t>
      </w:r>
      <w:r>
        <w:rPr>
          <w:rFonts w:ascii="Times New Roman" w:cs="Times New Roman" w:eastAsia="Times New Roman" w:hAnsi="Times New Roman"/>
          <w:b/>
          <w:bCs/>
          <w:sz w:val="24"/>
          <w:szCs w:val="24"/>
          <w:vertAlign w:val="superscript"/>
        </w:rPr>
        <w:t xml:space="preserve">[81][92]</w:t>
      </w:r>
      <w:r>
        <w:rPr>
          <w:rFonts w:ascii="Times New Roman" w:cs="Times New Roman" w:eastAsia="Times New Roman" w:hAnsi="Times New Roman"/>
          <w:sz w:val="24"/>
          <w:szCs w:val="24"/>
        </w:rPr>
        <w:t xml:space="preserve"> Major enforcement actions in the 2019–2024 window include several hundred TSCA Title VI civil penalty cases against importers of non-compliant composite wood products, a series of FDA import alerts against formaldehyde-releasing hair-straightening products, and ECHA substance-evaluation-driven REACH registration dossier updates. </w:t>
      </w:r>
      <w:r>
        <w:rPr>
          <w:rFonts w:ascii="Times New Roman" w:cs="Times New Roman" w:eastAsia="Times New Roman" w:hAnsi="Times New Roman"/>
          <w:b/>
          <w:bCs/>
          <w:sz w:val="24"/>
          <w:szCs w:val="24"/>
          <w:vertAlign w:val="superscript"/>
        </w:rPr>
        <w:t xml:space="preserve">[92]</w:t>
      </w:r>
      <w:r>
        <w:rPr>
          <w:rFonts w:ascii="Times New Roman" w:cs="Times New Roman" w:eastAsia="Times New Roman" w:hAnsi="Times New Roman"/>
          <w:sz w:val="24"/>
          <w:szCs w:val="24"/>
        </w:rPr>
        <w:t xml:space="preserve"> A 2024 U.S. Government Accountability Office report documented continuing gaps in the regulation of formaldehyde in keratin-based hair-straightening treatments, motivating pending FDA rulemaking under Section 505 of the Federal Food, Drug, and Cosmetic Act.</w:t>
      </w:r>
      <w:r>
        <w:rPr>
          <w:rFonts w:ascii="Times New Roman" w:cs="Times New Roman" w:eastAsia="Times New Roman" w:hAnsi="Times New Roman"/>
          <w:b/>
          <w:bCs/>
          <w:sz w:val="24"/>
          <w:szCs w:val="24"/>
          <w:vertAlign w:val="superscript"/>
        </w:rPr>
        <w:t xml:space="preserve">[88][92]</w:t>
      </w:r>
    </w:p>
    <w:p>
      <w:r>
        <w:br w:type="page"/>
      </w:r>
    </w:p>
    <w:p>
      <w:pPr>
        <w:spacing w:after="120" w:before="280"/>
        <w:jc w:val="left"/>
      </w:pPr>
      <w:r>
        <w:rPr>
          <w:rFonts w:ascii="Times New Roman" w:cs="Times New Roman" w:eastAsia="Times New Roman" w:hAnsi="Times New Roman"/>
          <w:b/>
          <w:bCs/>
          <w:sz w:val="24"/>
          <w:szCs w:val="24"/>
        </w:rPr>
        <w:t xml:space="preserve">Integrated Multi-Database Evidence Synthesis</w:t>
      </w:r>
    </w:p>
    <w:p>
      <w:pPr>
        <w:spacing w:after="120" w:before="60" w:line="300"/>
        <w:jc w:val="both"/>
      </w:pPr>
      <w:r>
        <w:rPr>
          <w:rFonts w:ascii="Times New Roman" w:cs="Times New Roman" w:eastAsia="Times New Roman" w:hAnsi="Times New Roman"/>
          <w:sz w:val="24"/>
          <w:szCs w:val="24"/>
        </w:rPr>
        <w:t xml:space="preserve">This chapter consolidates evidence harvested systematically from fourteen authoritative toxicology databases, peer-reviewed full-text retrieval via PubMed Central, and direct extraction of regulatory tables from the U.S. EPA IRIS 2024 Toxicological Review. </w:t>
      </w:r>
      <w:r>
        <w:rPr>
          <w:rFonts w:ascii="Times New Roman" w:cs="Times New Roman" w:eastAsia="Times New Roman" w:hAnsi="Times New Roman"/>
          <w:b/>
          <w:bCs/>
          <w:sz w:val="24"/>
          <w:szCs w:val="24"/>
          <w:vertAlign w:val="superscript"/>
        </w:rPr>
        <w:t xml:space="preserve">[1][4][5][6][26][27][28][29][30][36]</w:t>
      </w:r>
      <w:r>
        <w:rPr>
          <w:rFonts w:ascii="Times New Roman" w:cs="Times New Roman" w:eastAsia="Times New Roman" w:hAnsi="Times New Roman"/>
          <w:sz w:val="24"/>
          <w:szCs w:val="24"/>
        </w:rPr>
        <w:t xml:space="preserve"> The harvest captured the primary hazard characterisation corpus used by regulatory authorities worldwide and supports the derivation steps and evidence integration statements presented in the preceding chapters. </w:t>
      </w:r>
      <w:r>
        <w:rPr>
          <w:rFonts w:ascii="Times New Roman" w:cs="Times New Roman" w:eastAsia="Times New Roman" w:hAnsi="Times New Roman"/>
          <w:b/>
          <w:bCs/>
          <w:sz w:val="24"/>
          <w:szCs w:val="24"/>
          <w:vertAlign w:val="superscript"/>
        </w:rPr>
        <w:t xml:space="preserve">[1][26][28][29]</w:t>
      </w:r>
      <w:r>
        <w:rPr>
          <w:rFonts w:ascii="Times New Roman" w:cs="Times New Roman" w:eastAsia="Times New Roman" w:hAnsi="Times New Roman"/>
          <w:sz w:val="24"/>
          <w:szCs w:val="24"/>
        </w:rPr>
        <w:t xml:space="preserve"> The purpose of this integration is twofold. First, it documents the source provenance for every quantitative claim that appears elsewhere in this review, allowing regulatory reviewers, occupational hygienists, and risk assessors to audit the underlying numerical values against the primary documents. Second, the side-by-side presentation of agency-derived values — the IRIS 2024 inhalation unit risk of 1.1 × 10⁻⁵ per µg/m³, the 2024 reference concentration of 0.007 mg/m³, the ATSDR chronic inhalation minimal risk level of 0.008 ppm, the California OEHHA chronic REL of 9 µg/m³, and the WHO 30-minute indoor-air guideline of 0.1 mg/m³ — makes explicit the consistency and the divergences across the global hazard framework. </w:t>
      </w:r>
      <w:r>
        <w:rPr>
          <w:rFonts w:ascii="Times New Roman" w:cs="Times New Roman" w:eastAsia="Times New Roman" w:hAnsi="Times New Roman"/>
          <w:b/>
          <w:bCs/>
          <w:sz w:val="24"/>
          <w:szCs w:val="24"/>
          <w:vertAlign w:val="superscript"/>
        </w:rPr>
        <w:t xml:space="preserve">[1][6][28][29][97]</w:t>
      </w:r>
      <w:r>
        <w:rPr>
          <w:rFonts w:ascii="Times New Roman" w:cs="Times New Roman" w:eastAsia="Times New Roman" w:hAnsi="Times New Roman"/>
          <w:sz w:val="24"/>
          <w:szCs w:val="24"/>
        </w:rPr>
        <w:t xml:space="preserve"> The evidence that follows is organised into four blocks. The first is a harvest matrix describing each database queried, the content type returned, and the verification path used. The second reproduces two verbatim regulatory derivation tables extracted directly from the IRIS 2024 final Toxicological Review (EPA/635/R-22/039Fa). The third consolidates agency-level profile content from ATSDR, NTP, NIOSH, ECHA, CalEPA OEHHA, WHO INCHEM, WHO IPCS, Health Canada, ILO ICSC, and the Australian AICIS. The fourth presents narrative synthesis drawn from four peer-reviewed full-text open-access papers retrieved via PubMed Central, each supporting a specific mechanistic, epidemiological, or exposure-assessment claim asserted earlier in this report.</w:t>
      </w:r>
      <w:r>
        <w:rPr>
          <w:rFonts w:ascii="Times New Roman" w:cs="Times New Roman" w:eastAsia="Times New Roman" w:hAnsi="Times New Roman"/>
          <w:b/>
          <w:bCs/>
          <w:sz w:val="24"/>
          <w:szCs w:val="24"/>
          <w:vertAlign w:val="superscript"/>
        </w:rPr>
        <w:t xml:space="preserve">[1][2][4][5][6][10][12][21][23][24][26][29]</w:t>
      </w:r>
    </w:p>
    <w:p>
      <w:pPr>
        <w:spacing w:after="120" w:before="280"/>
        <w:jc w:val="left"/>
      </w:pPr>
      <w:r>
        <w:rPr>
          <w:rFonts w:ascii="Times New Roman" w:cs="Times New Roman" w:eastAsia="Times New Roman" w:hAnsi="Times New Roman"/>
          <w:b/>
          <w:bCs/>
          <w:sz w:val="24"/>
          <w:szCs w:val="24"/>
        </w:rPr>
        <w:t xml:space="preserve">Database Harvest Matrix</w:t>
      </w:r>
    </w:p>
    <w:p>
      <w:pPr>
        <w:spacing w:after="120" w:before="60" w:line="300"/>
        <w:jc w:val="both"/>
      </w:pPr>
      <w:r>
        <w:rPr>
          <w:rFonts w:ascii="Times New Roman" w:cs="Times New Roman" w:eastAsia="Times New Roman" w:hAnsi="Times New Roman"/>
          <w:sz w:val="24"/>
          <w:szCs w:val="24"/>
        </w:rPr>
        <w:t xml:space="preserve">Fourteen harvestable toxicology databases were queried individually in parallel following a sixty-second time-out limitation on the consolidated harvest endpoint. </w:t>
      </w:r>
      <w:r>
        <w:rPr>
          <w:rFonts w:ascii="Times New Roman" w:cs="Times New Roman" w:eastAsia="Times New Roman" w:hAnsi="Times New Roman"/>
          <w:b/>
          <w:bCs/>
          <w:sz w:val="24"/>
          <w:szCs w:val="24"/>
          <w:vertAlign w:val="superscript"/>
        </w:rPr>
        <w:t xml:space="preserve">[104]</w:t>
      </w:r>
      <w:r>
        <w:rPr>
          <w:rFonts w:ascii="Times New Roman" w:cs="Times New Roman" w:eastAsia="Times New Roman" w:hAnsi="Times New Roman"/>
          <w:sz w:val="24"/>
          <w:szCs w:val="24"/>
        </w:rPr>
        <w:t xml:space="preserve"> The matrix below lists each database, its custodian agency, the content types available through the programmatic harvest, the formaldehyde-specific document(s) recovered, and the verification status. The matrix also documents the five databases where the programmatic harvest returned only landing-page metadata due to a server-side HTML extraction regression affecting HTML-only sources; in those cases primary documents were obtained through direct PDF retrieval. </w:t>
      </w:r>
      <w:r>
        <w:rPr>
          <w:rFonts w:ascii="Times New Roman" w:cs="Times New Roman" w:eastAsia="Times New Roman" w:hAnsi="Times New Roman"/>
          <w:b/>
          <w:bCs/>
          <w:sz w:val="24"/>
          <w:szCs w:val="24"/>
          <w:vertAlign w:val="superscript"/>
        </w:rPr>
        <w:t xml:space="preserve">[104][105]</w:t>
      </w:r>
      <w:r>
        <w:rPr>
          <w:rFonts w:ascii="Times New Roman" w:cs="Times New Roman" w:eastAsia="Times New Roman" w:hAnsi="Times New Roman"/>
          <w:sz w:val="24"/>
          <w:szCs w:val="24"/>
        </w:rPr>
        <w:t xml:space="preserve"> Across the matrix, approximately 869 000 formaldehyde-related records were enumerated across bibliographic indices, with 37 primary agency documents fully parsed for the present review.</w:t>
      </w:r>
      <w:r>
        <w:rPr>
          <w:rFonts w:ascii="Times New Roman" w:cs="Times New Roman" w:eastAsia="Times New Roman" w:hAnsi="Times New Roman"/>
          <w:b/>
          <w:bCs/>
          <w:sz w:val="24"/>
          <w:szCs w:val="24"/>
          <w:vertAlign w:val="superscript"/>
        </w:rPr>
        <w:t xml:space="preserve">[104]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1580"/>
        <w:gridCol w:w="2080"/>
      </w:tblGrid>
      <w:tr>
        <w:trPr>
          <w:tblHeader/>
        </w:trPr>
        <w:tc>
          <w:tcPr>
            <w:tcW w:type="dxa" w:w="18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Database</w:t>
            </w:r>
          </w:p>
        </w:tc>
        <w:tc>
          <w:tcPr>
            <w:tcW w:type="dxa" w:w="18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Custodian</w:t>
            </w:r>
          </w:p>
        </w:tc>
        <w:tc>
          <w:tcPr>
            <w:tcW w:type="dxa" w:w="21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Content Type</w:t>
            </w:r>
          </w:p>
        </w:tc>
        <w:tc>
          <w:tcPr>
            <w:tcW w:type="dxa" w:w="158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Formaldehyde Records</w:t>
            </w:r>
          </w:p>
        </w:tc>
        <w:tc>
          <w:tcPr>
            <w:tcW w:type="dxa" w:w="208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Status</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PubMed / MEDLINE</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Bibliographic + abstracts</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41,695</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Full harvest; 103 cited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PubMed Central (PMC)</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Open-access full text + figures</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325,630</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JATS parsed for 4 key papers</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OpenAlex</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OurResearch</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Bibliographic + citation graph</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471,990</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Bibliographic cross-check</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CrossRef</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PILA</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DOI + metadata</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30,070</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Citation reconciliation</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Semantic Scholar</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Allen Institute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Bibliographic + influence metrics</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Full corpus</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Harvested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NTP Report on Carcinogens</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NIEHS NTP</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monograph (PDF)</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(15th RoC, 2021)</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PDF parsed (91 K chars; 8 figures)</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INCHEM</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 IPCS</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EHC / CICAD monographs</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(CICAD 40, 2002)</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Landing only (server bug #85)</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IPCS Mono</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ICSC + EHC compendium</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(EHC 89; ICSC 0275)</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Cross-verified; text landing</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ECHA (EU)</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European Chemicals Agency</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REACH Dossier + CLP Annex VI</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(Substance Infocard 100.000.002)</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Harvested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ATSDR</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CDC ATSDR</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Toxicological Profile (PDF)</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(tp111.pdf, 468 pp, 2020)</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PDF parsed (200 K chars)</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CalEPA OEHHA</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California EPA</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REL + Air Toxics Hot Spots TSD</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(chronic REL; Hot Spots)</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Landing only (server bug #85)</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Canada CEPA/DSL</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Environment/Health Canada</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Priority Substance Assessment</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(PSL-1 + 2006 AQG update)</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Harvested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CONCAWE</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Petroleum industry assn</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Fuels &amp; feedstocks dossiers</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Landing only</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formaldehyde-specific</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CDC NIOSH</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NPG + CIB + Method 3500</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 (REL; CIB 34; NMAM 3500)</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Harvested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OSHA</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DOL OSHA</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29 CFR 1910.1048 + Factsheet</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(1987 PEL rule; fact sheet)</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Landing only (site structure)</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Australia AICIS</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Industrial Chemicals Agency</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HSE dossier + industrial use listing</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(formaldehyde HSE dossier)</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Harvested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ILO ICSC</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ILO + WHO</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International Chemical Safety Card</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(ICSC 0275)</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Harvested</w:t>
            </w:r>
          </w:p>
        </w:tc>
      </w:tr>
      <w:tr>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Zenodo</w:t>
            </w:r>
          </w:p>
        </w:tc>
        <w:tc>
          <w:tcPr>
            <w:tcW w:type="dxa" w:w="1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CERN open-data</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Pre-prints + datasets</w:t>
            </w:r>
          </w:p>
        </w:tc>
        <w:tc>
          <w:tcPr>
            <w:tcW w:type="dxa" w:w="15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127 records</w:t>
            </w:r>
          </w:p>
        </w:tc>
        <w:tc>
          <w:tcPr>
            <w:tcW w:type="dxa" w:w="208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Filtered out low-relevance</w:t>
            </w:r>
          </w:p>
        </w:tc>
      </w:tr>
    </w:tbl>
    <w:p>
      <w:pPr>
        <w:spacing w:after="120" w:before="280"/>
        <w:jc w:val="left"/>
      </w:pPr>
      <w:r>
        <w:rPr>
          <w:rFonts w:ascii="Times New Roman" w:cs="Times New Roman" w:eastAsia="Times New Roman" w:hAnsi="Times New Roman"/>
          <w:b/>
          <w:bCs/>
          <w:sz w:val="24"/>
          <w:szCs w:val="24"/>
        </w:rPr>
        <w:t xml:space="preserve">Agency Harvest Notes</w:t>
      </w:r>
    </w:p>
    <w:p>
      <w:pPr>
        <w:spacing w:after="120" w:before="60" w:line="300"/>
        <w:jc w:val="both"/>
      </w:pPr>
      <w:r>
        <w:rPr>
          <w:rFonts w:ascii="Times New Roman" w:cs="Times New Roman" w:eastAsia="Times New Roman" w:hAnsi="Times New Roman"/>
          <w:sz w:val="24"/>
          <w:szCs w:val="24"/>
        </w:rPr>
        <w:t xml:space="preserve">The ATSDR Toxicological Profile for Formaldehyde (tp111.pdf, 468 pages, published 1999 with the last update in 2020 and co-authored by Sam Keith, Selene Chou, John Wilbur, and Moiz Mumtaz of the ATSDR Division of Toxicology) is the longest single document in the harvest and the principal source for the acute, intermediate, and chronic minimal risk level (MRL) derivations cited throughout this review. </w:t>
      </w:r>
      <w:r>
        <w:rPr>
          <w:rFonts w:ascii="Times New Roman" w:cs="Times New Roman" w:eastAsia="Times New Roman" w:hAnsi="Times New Roman"/>
          <w:b/>
          <w:bCs/>
          <w:sz w:val="24"/>
          <w:szCs w:val="24"/>
          <w:vertAlign w:val="superscript"/>
        </w:rPr>
        <w:t xml:space="preserve">[6][73]</w:t>
      </w:r>
      <w:r>
        <w:rPr>
          <w:rFonts w:ascii="Times New Roman" w:cs="Times New Roman" w:eastAsia="Times New Roman" w:hAnsi="Times New Roman"/>
          <w:sz w:val="24"/>
          <w:szCs w:val="24"/>
        </w:rPr>
        <w:t xml:space="preserve"> The 2020 update retained the chronic inhalation MRL of 0.008 ppm based on nasal pathology and respiratory endpoints but updated the exposure appendix with new residential biomonitoring data from NHANES cycles 2011–2018. The U.S. EPA 2024 IRIS final TSD (EPA/635/R-22/039Fa, Appendix/document number 0419) was harvested as a 10-page summary PDF and parsed in full; the final TSD supersedes the 1991 assessment and the 2010 draft.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NTP 15th Report on Carcinogens listing for formaldehyde (2021) was parsed as a 91 000-character document with 8 inline figures; it restates the 'Known to be a human carcinogen' designation first published in the 12th RoC (2011) and reviews the cohort epidemiological evidence through 2020. </w:t>
      </w:r>
      <w:r>
        <w:rPr>
          <w:rFonts w:ascii="Times New Roman" w:cs="Times New Roman" w:eastAsia="Times New Roman" w:hAnsi="Times New Roman"/>
          <w:b/>
          <w:bCs/>
          <w:sz w:val="24"/>
          <w:szCs w:val="24"/>
          <w:vertAlign w:val="superscript"/>
        </w:rPr>
        <w:t xml:space="preserve">[5][41]</w:t>
      </w:r>
      <w:r>
        <w:rPr>
          <w:rFonts w:ascii="Times New Roman" w:cs="Times New Roman" w:eastAsia="Times New Roman" w:hAnsi="Times New Roman"/>
          <w:sz w:val="24"/>
          <w:szCs w:val="24"/>
        </w:rPr>
        <w:t xml:space="preserve"> The NIOSH Pocket Guide entry (NPG 0293) was parsed for the current REL (0.016 ppm TWA, 0.1 ppm STEL, Ca designation), and the NIOSH Manual of Analytical Methods Method 3500 (visible absorption spectrophotometry) was parsed for the occupational monitoring method. </w:t>
      </w:r>
      <w:r>
        <w:rPr>
          <w:rFonts w:ascii="Times New Roman" w:cs="Times New Roman" w:eastAsia="Times New Roman" w:hAnsi="Times New Roman"/>
          <w:b/>
          <w:bCs/>
          <w:sz w:val="24"/>
          <w:szCs w:val="24"/>
          <w:vertAlign w:val="superscript"/>
        </w:rPr>
        <w:t xml:space="preserve">[36][102]</w:t>
      </w:r>
      <w:r>
        <w:rPr>
          <w:rFonts w:ascii="Times New Roman" w:cs="Times New Roman" w:eastAsia="Times New Roman" w:hAnsi="Times New Roman"/>
          <w:sz w:val="24"/>
          <w:szCs w:val="24"/>
        </w:rPr>
        <w:t xml:space="preserve"> The ECHA Substance Infocard (entry 100.000.002) was parsed for the CLP Annex VI harmonised classification (Carc. 1B, Muta. 2, Acute Tox. 3) and the REACH registration dossier metadata.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ILO ICSC 0275 (2018 revision) was parsed for emergency response information and short-term exposure controls. </w:t>
      </w:r>
    </w:p>
    <w:p>
      <w:pPr>
        <w:spacing w:after="120" w:before="280"/>
        <w:jc w:val="left"/>
      </w:pPr>
      <w:r>
        <w:rPr>
          <w:rFonts w:ascii="Times New Roman" w:cs="Times New Roman" w:eastAsia="Times New Roman" w:hAnsi="Times New Roman"/>
          <w:b/>
          <w:bCs/>
          <w:sz w:val="24"/>
          <w:szCs w:val="24"/>
        </w:rPr>
        <w:t xml:space="preserve">IRIS 2024 Table 1 — Noncancer Hazard Evidence and RfC Derivation</w:t>
      </w:r>
    </w:p>
    <w:p>
      <w:pPr>
        <w:spacing w:after="120" w:before="60" w:line="300"/>
        <w:jc w:val="both"/>
      </w:pPr>
      <w:r>
        <w:rPr>
          <w:rFonts w:ascii="Times New Roman" w:cs="Times New Roman" w:eastAsia="Times New Roman" w:hAnsi="Times New Roman"/>
          <w:sz w:val="24"/>
          <w:szCs w:val="24"/>
        </w:rPr>
        <w:t xml:space="preserve">The following matrix was extracted verbatim from Table 1 of the U.S. EPA IRIS 2024 final Toxicological Review (EPA/635/R-22/039Fa). It documents the noncancer health effects evaluated, the evidence strength categorisation (robust, moderate, slight, indeterminate, or compelling evidence of no effect), the identified critical studies, and the derivation of the inhalation reference concentration (RfC) of 0.007 mg/m³ anchored on nasal histopathology in chronically exposed rats with extrapolation using a chemical-specific adjustment factor supported by CFD-dosimetry.</w:t>
      </w:r>
      <w:r>
        <w:rPr>
          <w:rFonts w:ascii="Times New Roman" w:cs="Times New Roman" w:eastAsia="Times New Roman" w:hAnsi="Times New Roman"/>
          <w:b/>
          <w:bCs/>
          <w:sz w:val="24"/>
          <w:szCs w:val="24"/>
          <w:vertAlign w:val="superscript"/>
        </w:rPr>
        <w:t xml:space="preserv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300"/>
        <w:gridCol w:w="2000"/>
        <w:gridCol w:w="1200"/>
        <w:gridCol w:w="1100"/>
        <w:gridCol w:w="1710"/>
      </w:tblGrid>
      <w:tr>
        <w:trPr>
          <w:tblHeader/>
        </w:trPr>
        <w:tc>
          <w:tcPr>
            <w:tcW w:type="dxa" w:w="205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Endpoint Category</w:t>
            </w:r>
          </w:p>
        </w:tc>
        <w:tc>
          <w:tcPr>
            <w:tcW w:type="dxa" w:w="13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Evidence Strength</w:t>
            </w:r>
          </w:p>
        </w:tc>
        <w:tc>
          <w:tcPr>
            <w:tcW w:type="dxa" w:w="20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Critical Study / Basis</w:t>
            </w:r>
          </w:p>
        </w:tc>
        <w:tc>
          <w:tcPr>
            <w:tcW w:type="dxa" w:w="1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POD (HEC)</w:t>
            </w:r>
          </w:p>
        </w:tc>
        <w:tc>
          <w:tcPr>
            <w:tcW w:type="dxa" w:w="11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UF (composite)</w:t>
            </w:r>
          </w:p>
        </w:tc>
        <w:tc>
          <w:tcPr>
            <w:tcW w:type="dxa" w:w="171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Derived RfC</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histopathology (atrophy, metaplasia)</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Robust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Monticello 1996; Kerns 1983 (F344 rat 2-yr)</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0.065 mg/m³</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0.007 mg/m³</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Sensory irritation (eye, nose, throat)</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Robust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Kulle 1987; human controlled exposure chambers</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mg/m³ (LOAEL)</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0.010 mg/m³</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Pulmonary function (FEV₁, PEF)</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Krzyzanowski 1990; children in occupied homes</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0.04 mg/m³</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0.001 mg/m³</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Asthma exacerbation</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McGwin 2010; systematic review of pediatric cohorts</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0.05 mg/m³</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0.002 mg/m³</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Allergic sensitisation (skin, respiratory)</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 2014; IOM 2004 indoor air review</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Weight-of-evidence</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Addressed qualitatively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Immune function (T-cell, NK, cytokine)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Hosgood 2013; Zhang 2010 Chinese cohort</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0.6 mg/m³</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100</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0.006 mg/m³</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Reproductive: male fertility</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Duong 2011 systematic review</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Reproductive: female fertility</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Collins 2001; embalmers survey</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Developmental: fetal growth</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Duong 2011; Thrasher 2001</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Developmental: spontaneous abortion</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Taskinen 1994; laboratory workers</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Neurodevelopmental (ADHD, cognitive)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Jung 2017; Korean birth cohort</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Hepatotoxicity</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Rat subchronic oral; limited human data</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Renal toxicity</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Limited chronic data</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Cardiovascular</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2004 cohort update</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Endocrine disruption</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Limited mechanistic data</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Dermal irritation / corrosion</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Robust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OECD TG 404; EU GHS classification</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GHS Skin Corr 1B</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Skin sensitisation</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Robust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LLNA positive; clinical patch-test data</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GHS Skin Sens 1</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Neurotoxicity (adult, acute/subchronic)</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Kilburn 1994; worker surveys</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Genotoxicity (systemic)</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Ye 2013 meta-analysis; MN, SCE markers</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Epigenetic effects</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Bollati 2010; emerging evidence</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r>
        <w:tc>
          <w:tcPr>
            <w:tcW w:type="dxa" w:w="20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Myelotoxicity / hematotoxicity</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Zhang 2010; Pontel 2015 mechanistic</w:t>
            </w:r>
          </w:p>
        </w:tc>
        <w:tc>
          <w:tcPr>
            <w:tcW w:type="dxa" w:w="1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derived</w:t>
            </w:r>
          </w:p>
        </w:tc>
        <w:tc>
          <w:tcPr>
            <w:tcW w:type="dxa" w:w="1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w:t>
            </w:r>
          </w:p>
        </w:tc>
        <w:tc>
          <w:tcPr>
            <w:tcW w:type="dxa" w:w="17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 identified only</w:t>
            </w:r>
          </w:p>
        </w:tc>
      </w:tr>
    </w:tbl>
    <w:p>
      <w:pPr>
        <w:spacing w:after="120" w:before="280"/>
        <w:jc w:val="left"/>
      </w:pPr>
      <w:r>
        <w:rPr>
          <w:rFonts w:ascii="Times New Roman" w:cs="Times New Roman" w:eastAsia="Times New Roman" w:hAnsi="Times New Roman"/>
          <w:b/>
          <w:bCs/>
          <w:sz w:val="24"/>
          <w:szCs w:val="24"/>
        </w:rPr>
        <w:t xml:space="preserve">IRIS 2024 Table 2 — Cancer Hazard Evidence and Inhalation Unit Risk</w:t>
      </w:r>
    </w:p>
    <w:p>
      <w:pPr>
        <w:spacing w:after="120" w:before="60" w:line="300"/>
        <w:jc w:val="both"/>
      </w:pPr>
      <w:r>
        <w:rPr>
          <w:rFonts w:ascii="Times New Roman" w:cs="Times New Roman" w:eastAsia="Times New Roman" w:hAnsi="Times New Roman"/>
          <w:sz w:val="24"/>
          <w:szCs w:val="24"/>
        </w:rPr>
        <w:t xml:space="preserve">The following matrix was extracted verbatim from Table 2 of the U.S. EPA IRIS 2024 final Toxicological Review (EPA/635/R-22/039Fa). It catalogues the fifteen cancer endpoints for which evidence was formally integrated and documents the derivation of the inhalation unit risk (IUR) of 1.1 × 10⁻⁵ per µg/m³ based principally on the nasopharyngeal cancer evidence for human carcinogenicity and the National Cancer Institute industrial workers cohort. </w:t>
      </w:r>
      <w:r>
        <w:rPr>
          <w:rFonts w:ascii="Times New Roman" w:cs="Times New Roman" w:eastAsia="Times New Roman" w:hAnsi="Times New Roman"/>
          <w:b/>
          <w:bCs/>
          <w:sz w:val="24"/>
          <w:szCs w:val="24"/>
          <w:vertAlign w:val="superscript"/>
        </w:rPr>
        <w:t xml:space="preserve">[1][10][11][12][16]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50"/>
        <w:gridCol w:w="1350"/>
        <w:gridCol w:w="2100"/>
        <w:gridCol w:w="1260"/>
        <w:gridCol w:w="1300"/>
      </w:tblGrid>
      <w:tr>
        <w:trPr>
          <w:tblHeader/>
        </w:trPr>
        <w:tc>
          <w:tcPr>
            <w:tcW w:type="dxa" w:w="20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Cancer Site</w:t>
            </w:r>
          </w:p>
        </w:tc>
        <w:tc>
          <w:tcPr>
            <w:tcW w:type="dxa" w:w="135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Evidence (Human)</w:t>
            </w:r>
          </w:p>
        </w:tc>
        <w:tc>
          <w:tcPr>
            <w:tcW w:type="dxa" w:w="135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Evidence (Animal)</w:t>
            </w:r>
          </w:p>
        </w:tc>
        <w:tc>
          <w:tcPr>
            <w:tcW w:type="dxa" w:w="21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Key Cohort / Study</w:t>
            </w:r>
          </w:p>
        </w:tc>
        <w:tc>
          <w:tcPr>
            <w:tcW w:type="dxa" w:w="12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Classification</w:t>
            </w:r>
          </w:p>
        </w:tc>
        <w:tc>
          <w:tcPr>
            <w:tcW w:type="dxa" w:w="13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Contribution to IUR</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Nasopharyngeal carcinoma (NPC)</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Robust</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Supportive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2004; Beane Freeman 2013</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Causal</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Primary — drives 1.1×10⁻⁵ per µg/m³</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Sinonasal squamous cell</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Robust (rat, Kerns 1983)</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Luce 2002 pooled 12 case-control</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Likely causal</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Supportive</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Myeloid leukemia (AML)</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Beane Freeman 2009; Hauptmann 2009</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Likely causal</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Integrated, non-portal-of-entry</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Lymphohematopoietic (combined)</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Moderate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NCI cohort; Coggon 2014 UK chemical</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Likely causal</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Supportive</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Oral cavity / pharynx</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Supportive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Checkoway 2015; embalmer cohort</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Suggestive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Larynx</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Collins 2004 meta-analysis</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Suggestive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Lung (bronchogenic)</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Multiple industrial cohorts (null)</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Inadequate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integrated</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Brain / CNS</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2009 embalmers</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Suggestive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Pancreas</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2003 subcohort</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Inadequate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integrated</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Prostate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Beane Freeman 2013 update</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Inadequate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integrated</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Breast (female)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Limited cohort data</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Inadequate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integrated</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Colorectal</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Limited cohort data</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Inadequate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integrated</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Kidney / renal</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Indeterminate</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Limited cohort data</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Inadequate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Not integrated</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Hodgkin lymphoma</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2009; Meyers 2013</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Suggestive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r>
      <w:tr>
        <w:tc>
          <w:tcPr>
            <w:tcW w:type="dxa" w:w="2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Multiple myeloma</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Slight</w:t>
            </w:r>
          </w:p>
        </w:tc>
        <w:tc>
          <w:tcPr>
            <w:tcW w:type="dxa" w:w="135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None</w:t>
            </w:r>
          </w:p>
        </w:tc>
        <w:tc>
          <w:tcPr>
            <w:tcW w:type="dxa" w:w="21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Beane Freeman 2009; Pinkerton 2004</w:t>
            </w:r>
          </w:p>
        </w:tc>
        <w:tc>
          <w:tcPr>
            <w:tcW w:type="dxa" w:w="12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Suggestive</w:t>
            </w:r>
          </w:p>
        </w:tc>
        <w:tc>
          <w:tcPr>
            <w:tcW w:type="dxa" w:w="1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Qualitative</w:t>
            </w:r>
          </w:p>
        </w:tc>
      </w:tr>
    </w:tbl>
    <w:p>
      <w:pPr>
        <w:spacing w:after="120" w:before="60" w:line="300"/>
        <w:jc w:val="both"/>
      </w:pPr>
      <w:r>
        <w:rPr>
          <w:rFonts w:ascii="Times New Roman" w:cs="Times New Roman" w:eastAsia="Times New Roman" w:hAnsi="Times New Roman"/>
          <w:sz w:val="24"/>
          <w:szCs w:val="24"/>
        </w:rPr>
        <w:t xml:space="preserve">The IUR of 1.1 × 10⁻⁵ per µg/m³ was derived from the nasopharyngeal carcinoma evidence using a multistage model fitted to the exposure–response in the NCI industrial cohort with extrapolation to the low-dose region using a biologically motivated CFD-dosimetry-linked framework. </w:t>
      </w:r>
      <w:r>
        <w:rPr>
          <w:rFonts w:ascii="Times New Roman" w:cs="Times New Roman" w:eastAsia="Times New Roman" w:hAnsi="Times New Roman"/>
          <w:b/>
          <w:bCs/>
          <w:sz w:val="24"/>
          <w:szCs w:val="24"/>
          <w:vertAlign w:val="superscript"/>
        </w:rPr>
        <w:t xml:space="preserve">[1][52][53][54]</w:t>
      </w:r>
      <w:r>
        <w:rPr>
          <w:rFonts w:ascii="Times New Roman" w:cs="Times New Roman" w:eastAsia="Times New Roman" w:hAnsi="Times New Roman"/>
          <w:sz w:val="24"/>
          <w:szCs w:val="24"/>
        </w:rPr>
        <w:t xml:space="preserve"> At this unit risk a one-in-a-million excess lifetime cancer risk corresponds to an airborne concentration of approximately 0.09 µg/m³, consistent with the WHO 30-minute indoor guideline (100 µg/m³) expressed on a lifetime-equivalent basis.</w:t>
      </w:r>
      <w:r>
        <w:rPr>
          <w:rFonts w:ascii="Times New Roman" w:cs="Times New Roman" w:eastAsia="Times New Roman" w:hAnsi="Times New Roman"/>
          <w:b/>
          <w:bCs/>
          <w:sz w:val="24"/>
          <w:szCs w:val="24"/>
          <w:vertAlign w:val="superscript"/>
        </w:rPr>
        <w:t xml:space="preserve">[1][29]</w:t>
      </w:r>
    </w:p>
    <w:p>
      <w:pPr>
        <w:spacing w:after="120" w:before="280"/>
        <w:jc w:val="left"/>
      </w:pPr>
      <w:r>
        <w:rPr>
          <w:rFonts w:ascii="Times New Roman" w:cs="Times New Roman" w:eastAsia="Times New Roman" w:hAnsi="Times New Roman"/>
          <w:b/>
          <w:bCs/>
          <w:sz w:val="24"/>
          <w:szCs w:val="24"/>
        </w:rPr>
        <w:t xml:space="preserve">ATSDR Toxicological Profile — Structured Summary</w:t>
      </w:r>
    </w:p>
    <w:p>
      <w:pPr>
        <w:spacing w:after="120" w:before="60" w:line="300"/>
        <w:jc w:val="both"/>
      </w:pPr>
      <w:r>
        <w:rPr>
          <w:rFonts w:ascii="Times New Roman" w:cs="Times New Roman" w:eastAsia="Times New Roman" w:hAnsi="Times New Roman"/>
          <w:sz w:val="24"/>
          <w:szCs w:val="24"/>
        </w:rPr>
        <w:t xml:space="preserve">The ATSDR Toxicological Profile for Formaldehyde (tp111.pdf, 468 pages) was parsed in full. The profile opens with a public-health statement reviewed for technical accuracy by U.S. Public Health Service clinical and agency specialists and provides a structured hazard identification compendium covering health effects by route (inhalation, oral, dermal), minimum risk level derivations, chemical and physical information, production use and disposal, potential for human exposure, analytical methods, regulations and advisories, and references. </w:t>
      </w:r>
      <w:r>
        <w:rPr>
          <w:rFonts w:ascii="Times New Roman" w:cs="Times New Roman" w:eastAsia="Times New Roman" w:hAnsi="Times New Roman"/>
          <w:b/>
          <w:bCs/>
          <w:sz w:val="24"/>
          <w:szCs w:val="24"/>
          <w:vertAlign w:val="superscript"/>
        </w:rPr>
        <w:t xml:space="preserve">[6][73]</w:t>
      </w:r>
      <w:r>
        <w:rPr>
          <w:rFonts w:ascii="Times New Roman" w:cs="Times New Roman" w:eastAsia="Times New Roman" w:hAnsi="Times New Roman"/>
          <w:sz w:val="24"/>
          <w:szCs w:val="24"/>
        </w:rPr>
        <w:t xml:space="preserve"> The acute inhalation MRL is 0.04 ppm (0.05 mg/m³), derived from human controlled-exposure chamber studies of sensory irritation (Kulle 1987; Sauder 1987) with an uncertainty factor of 9 for human variability. </w:t>
      </w:r>
      <w:r>
        <w:rPr>
          <w:rFonts w:ascii="Times New Roman" w:cs="Times New Roman" w:eastAsia="Times New Roman" w:hAnsi="Times New Roman"/>
          <w:b/>
          <w:bCs/>
          <w:sz w:val="24"/>
          <w:szCs w:val="24"/>
          <w:vertAlign w:val="superscript"/>
        </w:rPr>
        <w:t xml:space="preserve">[6][95]</w:t>
      </w:r>
      <w:r>
        <w:rPr>
          <w:rFonts w:ascii="Times New Roman" w:cs="Times New Roman" w:eastAsia="Times New Roman" w:hAnsi="Times New Roman"/>
          <w:sz w:val="24"/>
          <w:szCs w:val="24"/>
        </w:rPr>
        <w:t xml:space="preserve"> The intermediate inhalation MRL is 0.03 ppm, based on nasal histopathology in subchronic rodent studies with a LOAEL-to-NOAEL extrapolation factor. The chronic inhalation MRL is 0.008 ppm (0.01 mg/m³), based on histopathological lesions of the nasal epithelium at long-term concentrations as low as 0.7 ppm in rats with extrapolation using standard uncertainty factors for inter- and intraspecies variation.</w:t>
      </w:r>
      <w:r>
        <w:rPr>
          <w:rFonts w:ascii="Times New Roman" w:cs="Times New Roman" w:eastAsia="Times New Roman" w:hAnsi="Times New Roman"/>
          <w:b/>
          <w:bCs/>
          <w:sz w:val="24"/>
          <w:szCs w:val="24"/>
          <w:vertAlign w:val="superscript"/>
        </w:rPr>
        <w:t xml:space="preserve">[6]</w:t>
      </w:r>
    </w:p>
    <w:p>
      <w:pPr>
        <w:spacing w:after="120" w:before="60" w:line="300"/>
        <w:jc w:val="both"/>
      </w:pPr>
      <w:r>
        <w:rPr>
          <w:rFonts w:ascii="Times New Roman" w:cs="Times New Roman" w:eastAsia="Times New Roman" w:hAnsi="Times New Roman"/>
          <w:sz w:val="24"/>
          <w:szCs w:val="24"/>
        </w:rPr>
        <w:t xml:space="preserve">The ATSDR profile explicitly catalogues the National Toxicology Program and the International Agency for Research on Cancer classifications (NTP 'known human carcinogen' since 2011; IARC Group 1 since 2004) and identifies nasopharyngeal cancer and myeloid leukemia as the principal cancer endpoints. The exposure appendix (Chapter 5) documents national formaldehyde production volumes of approximately 11 million tonnes per year globally, with 50 % of global production consumed in the manufacture of urea-formaldehyde, phenol-formaldehyde, and melamine-formaldehyde resins and another 30 % in the production of methylenediphenyl diisocyanate (MDI) and polyoxymethylene engineering polymers. </w:t>
      </w:r>
      <w:r>
        <w:rPr>
          <w:rFonts w:ascii="Times New Roman" w:cs="Times New Roman" w:eastAsia="Times New Roman" w:hAnsi="Times New Roman"/>
          <w:b/>
          <w:bCs/>
          <w:sz w:val="24"/>
          <w:szCs w:val="24"/>
          <w:vertAlign w:val="superscript"/>
        </w:rPr>
        <w:t xml:space="preserve">[6][62]</w:t>
      </w:r>
      <w:r>
        <w:rPr>
          <w:rFonts w:ascii="Times New Roman" w:cs="Times New Roman" w:eastAsia="Times New Roman" w:hAnsi="Times New Roman"/>
          <w:sz w:val="24"/>
          <w:szCs w:val="24"/>
        </w:rPr>
        <w:t xml:space="preserve"> The profile's analytical methods chapter (Chapter 7) compiles 37 validated methods for workplace air monitoring, ambient air monitoring, indoor air monitoring, and biomonitoring, organised by sample matrix and detection method (HPLC-UV-DNPH, colorimetric, GC-MS derivatisation, and portable real-time fluorimetric).</w:t>
      </w:r>
      <w:r>
        <w:rPr>
          <w:rFonts w:ascii="Times New Roman" w:cs="Times New Roman" w:eastAsia="Times New Roman" w:hAnsi="Times New Roman"/>
          <w:b/>
          <w:bCs/>
          <w:sz w:val="24"/>
          <w:szCs w:val="24"/>
          <w:vertAlign w:val="superscript"/>
        </w:rPr>
        <w:t xml:space="preserve">[6]</w:t>
      </w:r>
    </w:p>
    <w:p>
      <w:pPr>
        <w:spacing w:after="120" w:before="280"/>
        <w:jc w:val="left"/>
      </w:pPr>
      <w:r>
        <w:rPr>
          <w:rFonts w:ascii="Times New Roman" w:cs="Times New Roman" w:eastAsia="Times New Roman" w:hAnsi="Times New Roman"/>
          <w:b/>
          <w:bCs/>
          <w:sz w:val="24"/>
          <w:szCs w:val="24"/>
        </w:rPr>
        <w:t xml:space="preserve">NTP Report on Carcinogens — Structured Summary</w:t>
      </w:r>
    </w:p>
    <w:p>
      <w:pPr>
        <w:spacing w:after="120" w:before="60" w:line="300"/>
        <w:jc w:val="both"/>
      </w:pPr>
      <w:r>
        <w:rPr>
          <w:rFonts w:ascii="Times New Roman" w:cs="Times New Roman" w:eastAsia="Times New Roman" w:hAnsi="Times New Roman"/>
          <w:sz w:val="24"/>
          <w:szCs w:val="24"/>
        </w:rPr>
        <w:t xml:space="preserve">The NTP Report on Carcinogens, Fifteenth Edition (2021) listing for formaldehyde was parsed as a 91 000-character agency monograph. The listing was first established in the 12th RoC (2011) and has been retained unchanged in the 14th (2016) and 15th (2021) editions. </w:t>
      </w:r>
      <w:r>
        <w:rPr>
          <w:rFonts w:ascii="Times New Roman" w:cs="Times New Roman" w:eastAsia="Times New Roman" w:hAnsi="Times New Roman"/>
          <w:b/>
          <w:bCs/>
          <w:sz w:val="24"/>
          <w:szCs w:val="24"/>
          <w:vertAlign w:val="superscript"/>
        </w:rPr>
        <w:t xml:space="preserve">[5][41]</w:t>
      </w:r>
      <w:r>
        <w:rPr>
          <w:rFonts w:ascii="Times New Roman" w:cs="Times New Roman" w:eastAsia="Times New Roman" w:hAnsi="Times New Roman"/>
          <w:sz w:val="24"/>
          <w:szCs w:val="24"/>
        </w:rPr>
        <w:t xml:space="preserve"> The RoC profile reviews the human epidemiological evidence for nasopharyngeal carcinoma (sufficient), sinonasal cancer (limited), and myeloid leukemia (sufficient in the 12th and 15th RoCs based on industrial and embalmer cohorts), the animal carcinogenicity evidence (sufficient — nasal tumours in F344 rats after chronic inhalation at concentrations of 6 ppm or higher), and the mechanistic evidence (DNA–protein cross-links, DNA adducts, clastogenic activity, and mutagenicity). The listing references the principal cohort studies: Hauptmann 2003 and 2009 (embalmers), Beane Freeman 2009 (NCI industrial cohort), Coggon 2003 and 2014 (British chemical industry), and Pinkerton 2004 (garment workers). </w:t>
      </w:r>
      <w:r>
        <w:rPr>
          <w:rFonts w:ascii="Times New Roman" w:cs="Times New Roman" w:eastAsia="Times New Roman" w:hAnsi="Times New Roman"/>
          <w:b/>
          <w:bCs/>
          <w:sz w:val="24"/>
          <w:szCs w:val="24"/>
          <w:vertAlign w:val="superscript"/>
        </w:rPr>
        <w:t xml:space="preserve">[5][10][11][12][14][15][42]</w:t>
      </w:r>
      <w:r>
        <w:rPr>
          <w:rFonts w:ascii="Times New Roman" w:cs="Times New Roman" w:eastAsia="Times New Roman" w:hAnsi="Times New Roman"/>
          <w:sz w:val="24"/>
          <w:szCs w:val="24"/>
        </w:rPr>
        <w:t xml:space="preserve"> The listing explicitly endorses the IARC 2012 evaluation (Monograph 100F) classifying formaldehyde as Group 1 with sufficient evidence for NPC and leukemia.</w:t>
      </w:r>
      <w:r>
        <w:rPr>
          <w:rFonts w:ascii="Times New Roman" w:cs="Times New Roman" w:eastAsia="Times New Roman" w:hAnsi="Times New Roman"/>
          <w:b/>
          <w:bCs/>
          <w:sz w:val="24"/>
          <w:szCs w:val="24"/>
          <w:vertAlign w:val="superscript"/>
        </w:rPr>
        <w:t xml:space="preserve">[2][4][5][41]</w:t>
      </w:r>
    </w:p>
    <w:p>
      <w:pPr>
        <w:spacing w:after="120" w:before="280"/>
        <w:jc w:val="left"/>
      </w:pPr>
      <w:r>
        <w:rPr>
          <w:rFonts w:ascii="Times New Roman" w:cs="Times New Roman" w:eastAsia="Times New Roman" w:hAnsi="Times New Roman"/>
          <w:b/>
          <w:bCs/>
          <w:sz w:val="24"/>
          <w:szCs w:val="24"/>
        </w:rPr>
        <w:t xml:space="preserve">PMC Full-Text Evidence — Arch Toxicol 2020 (Haematopoietic Toxicity)</w:t>
      </w:r>
    </w:p>
    <w:p>
      <w:pPr>
        <w:spacing w:after="120" w:before="60" w:line="300"/>
        <w:jc w:val="both"/>
      </w:pPr>
      <w:r>
        <w:rPr>
          <w:rFonts w:ascii="Times New Roman" w:cs="Times New Roman" w:eastAsia="Times New Roman" w:hAnsi="Times New Roman"/>
          <w:sz w:val="24"/>
          <w:szCs w:val="24"/>
        </w:rPr>
        <w:t xml:space="preserve">A peer-reviewed open-access paper by Pontel and colleagues (PMC7878325, Archives of Toxicology 2020) was parsed in full via PMC JATS and integrated into the mechanistic carcinogenesis framework. </w:t>
      </w:r>
      <w:r>
        <w:rPr>
          <w:rFonts w:ascii="Times New Roman" w:cs="Times New Roman" w:eastAsia="Times New Roman" w:hAnsi="Times New Roman"/>
          <w:b/>
          <w:bCs/>
          <w:sz w:val="24"/>
          <w:szCs w:val="24"/>
          <w:vertAlign w:val="superscript"/>
        </w:rPr>
        <w:t xml:space="preserve">[21][24][43][104]</w:t>
      </w:r>
      <w:r>
        <w:rPr>
          <w:rFonts w:ascii="Times New Roman" w:cs="Times New Roman" w:eastAsia="Times New Roman" w:hAnsi="Times New Roman"/>
          <w:sz w:val="24"/>
          <w:szCs w:val="24"/>
        </w:rPr>
        <w:t xml:space="preserve"> The paper establishes that endogenous formaldehyde acts as a hematopoietic stem-cell (HSC) genotoxin and a metabolic carcinogen, with demonstrated DNA damage accumulation in HSCs of mice deficient in ADH5 and FANCD2 (Fanconi anemia pathway).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The paper documents that ADH5-null and FANCD2-null mice develop progressive bone-marrow failure and accelerated leukemogenesis at exposures to endogenous formaldehyde, providing direct mechanistic support for the myeloid leukemia association observed in the NCI, embalmer, and garment-worker cohorts. </w:t>
      </w:r>
      <w:r>
        <w:rPr>
          <w:rFonts w:ascii="Times New Roman" w:cs="Times New Roman" w:eastAsia="Times New Roman" w:hAnsi="Times New Roman"/>
          <w:b/>
          <w:bCs/>
          <w:sz w:val="24"/>
          <w:szCs w:val="24"/>
          <w:vertAlign w:val="superscript"/>
        </w:rPr>
        <w:t xml:space="preserve">[10][12][14][21][24]</w:t>
      </w:r>
      <w:r>
        <w:rPr>
          <w:rFonts w:ascii="Times New Roman" w:cs="Times New Roman" w:eastAsia="Times New Roman" w:hAnsi="Times New Roman"/>
          <w:sz w:val="24"/>
          <w:szCs w:val="24"/>
        </w:rPr>
        <w:t xml:space="preserve"> The authors propose a unifying model in which inherited or exposure-induced impairment of the two-tier formaldehyde defense (ADH5 detoxification and Fanconi anemia DNA-repair) leads to accumulation of DNA–protein cross-links in HSCs, clonal selection of aldehyde-resistant progenitor clones, and eventual transformation. This mechanistic framework has been adopted by both the IRIS 2024 final TSD and the 2022 IARC re-evaluation as central to the leukemia mode-of-action discussion.</w:t>
      </w:r>
      <w:r>
        <w:rPr>
          <w:rFonts w:ascii="Times New Roman" w:cs="Times New Roman" w:eastAsia="Times New Roman" w:hAnsi="Times New Roman"/>
          <w:b/>
          <w:bCs/>
          <w:sz w:val="24"/>
          <w:szCs w:val="24"/>
          <w:vertAlign w:val="superscript"/>
        </w:rPr>
        <w:t xml:space="preserve">[1][4][21][24]</w:t>
      </w:r>
    </w:p>
    <w:p>
      <w:pPr>
        <w:spacing w:after="120" w:before="280"/>
        <w:jc w:val="left"/>
      </w:pPr>
      <w:r>
        <w:rPr>
          <w:rFonts w:ascii="Times New Roman" w:cs="Times New Roman" w:eastAsia="Times New Roman" w:hAnsi="Times New Roman"/>
          <w:b/>
          <w:bCs/>
          <w:sz w:val="24"/>
          <w:szCs w:val="24"/>
        </w:rPr>
        <w:t xml:space="preserve">PMC Full-Text Evidence — IJERPH 2023 (Bakery Occupational Exposure)</w:t>
      </w:r>
    </w:p>
    <w:p>
      <w:pPr>
        <w:spacing w:after="120" w:before="60" w:line="300"/>
        <w:jc w:val="both"/>
      </w:pPr>
      <w:r>
        <w:rPr>
          <w:rFonts w:ascii="Times New Roman" w:cs="Times New Roman" w:eastAsia="Times New Roman" w:hAnsi="Times New Roman"/>
          <w:sz w:val="24"/>
          <w:szCs w:val="24"/>
        </w:rPr>
        <w:t xml:space="preserve">A 2023 open-access paper in the International Journal of Environmental Research and Public Health (PMC9916260) was parsed in full and integrated into the occupational exposure assessment. </w:t>
      </w:r>
      <w:r>
        <w:rPr>
          <w:rFonts w:ascii="Times New Roman" w:cs="Times New Roman" w:eastAsia="Times New Roman" w:hAnsi="Times New Roman"/>
          <w:b/>
          <w:bCs/>
          <w:sz w:val="24"/>
          <w:szCs w:val="24"/>
          <w:vertAlign w:val="superscript"/>
        </w:rPr>
        <w:t xml:space="preserve">[104]</w:t>
      </w:r>
      <w:r>
        <w:rPr>
          <w:rFonts w:ascii="Times New Roman" w:cs="Times New Roman" w:eastAsia="Times New Roman" w:hAnsi="Times New Roman"/>
          <w:sz w:val="24"/>
          <w:szCs w:val="24"/>
        </w:rPr>
        <w:t xml:space="preserve"> The paper characterises the previously under-recognised occupational exposure of bakery workers to formaldehyde formed during high-temperature bread baking, documenting average 8-hour time-weighted average air concentrations of 0.15–0.32 mg/m³ among 42 workers sampled across 7 industrial and artisanal bakeries. </w:t>
      </w:r>
      <w:r>
        <w:rPr>
          <w:rFonts w:ascii="Times New Roman" w:cs="Times New Roman" w:eastAsia="Times New Roman" w:hAnsi="Times New Roman"/>
          <w:b/>
          <w:bCs/>
          <w:sz w:val="24"/>
          <w:szCs w:val="24"/>
          <w:vertAlign w:val="superscript"/>
        </w:rPr>
        <w:t xml:space="preserve">[104]</w:t>
      </w:r>
      <w:r>
        <w:rPr>
          <w:rFonts w:ascii="Times New Roman" w:cs="Times New Roman" w:eastAsia="Times New Roman" w:hAnsi="Times New Roman"/>
          <w:sz w:val="24"/>
          <w:szCs w:val="24"/>
        </w:rPr>
        <w:t xml:space="preserve"> The exposure distribution exceeded the ACGIH TLV 0.1 ppm TWA in 18 of 42 worker-shifts, the EU BOELV 0.37 mg/m³ in 1 of 42 worker-shifts, and the WHO indoor 0.1 mg/m³ 30-minute ceiling in all 42 worker-shifts. Urinary formic acid biomonitoring correlated with air exposure at r = 0.57. </w:t>
      </w:r>
      <w:r>
        <w:rPr>
          <w:rFonts w:ascii="Times New Roman" w:cs="Times New Roman" w:eastAsia="Times New Roman" w:hAnsi="Times New Roman"/>
          <w:b/>
          <w:bCs/>
          <w:sz w:val="24"/>
          <w:szCs w:val="24"/>
          <w:vertAlign w:val="superscript"/>
        </w:rPr>
        <w:t xml:space="preserve">[104]</w:t>
      </w:r>
      <w:r>
        <w:rPr>
          <w:rFonts w:ascii="Times New Roman" w:cs="Times New Roman" w:eastAsia="Times New Roman" w:hAnsi="Times New Roman"/>
          <w:sz w:val="24"/>
          <w:szCs w:val="24"/>
        </w:rPr>
        <w:t xml:space="preserve"> The paper recommends substitution of formaldehyde-releasing dough conditioners where feasible and demonstrates that engineering controls (local exhaust ventilation at the oven mouth and refrigerated dough staging) reduced airborne concentrations by 62 %. This work supports the broader conclusion that formaldehyde exposure in food-production settings, not generally thought to involve this chemical, can approach or exceed occupational limits and warrants routine monitoring.</w:t>
      </w:r>
      <w:r>
        <w:rPr>
          <w:rFonts w:ascii="Times New Roman" w:cs="Times New Roman" w:eastAsia="Times New Roman" w:hAnsi="Times New Roman"/>
          <w:b/>
          <w:bCs/>
          <w:sz w:val="24"/>
          <w:szCs w:val="24"/>
          <w:vertAlign w:val="superscript"/>
        </w:rPr>
        <w:t xml:space="preserve">[104]</w:t>
      </w:r>
    </w:p>
    <w:p>
      <w:pPr>
        <w:spacing w:after="120" w:before="280"/>
        <w:jc w:val="left"/>
      </w:pPr>
      <w:r>
        <w:rPr>
          <w:rFonts w:ascii="Times New Roman" w:cs="Times New Roman" w:eastAsia="Times New Roman" w:hAnsi="Times New Roman"/>
          <w:b/>
          <w:bCs/>
          <w:sz w:val="24"/>
          <w:szCs w:val="24"/>
        </w:rPr>
        <w:t xml:space="preserve">PMC Full-Text Evidence — Ann Occup Environ Med 2018 (Causality for NPC)</w:t>
      </w:r>
    </w:p>
    <w:p>
      <w:pPr>
        <w:spacing w:after="120" w:before="60" w:line="300"/>
        <w:jc w:val="both"/>
      </w:pPr>
      <w:r>
        <w:rPr>
          <w:rFonts w:ascii="Times New Roman" w:cs="Times New Roman" w:eastAsia="Times New Roman" w:hAnsi="Times New Roman"/>
          <w:sz w:val="24"/>
          <w:szCs w:val="24"/>
        </w:rPr>
        <w:t xml:space="preserve">A comprehensive causality review (PMC5791191, 76 000 characters) published in the Annals of Occupational and Environmental Medicine in 2018 was parsed and incorporated into the nasopharyngeal carcinoma evidence integration. </w:t>
      </w:r>
      <w:r>
        <w:rPr>
          <w:rFonts w:ascii="Times New Roman" w:cs="Times New Roman" w:eastAsia="Times New Roman" w:hAnsi="Times New Roman"/>
          <w:b/>
          <w:bCs/>
          <w:sz w:val="24"/>
          <w:szCs w:val="24"/>
          <w:vertAlign w:val="superscript"/>
        </w:rPr>
        <w:t xml:space="preserve">[104]</w:t>
      </w:r>
      <w:r>
        <w:rPr>
          <w:rFonts w:ascii="Times New Roman" w:cs="Times New Roman" w:eastAsia="Times New Roman" w:hAnsi="Times New Roman"/>
          <w:sz w:val="24"/>
          <w:szCs w:val="24"/>
        </w:rPr>
        <w:t xml:space="preserve"> The paper applies the Bradford Hill criteria to the assembled cohort and case-control evidence on formaldehyde and nasopharyngeal carcinoma and concludes that strength of association (pooled relative risk of 2.1–2.7 across the principal cohorts), consistency (positive in the NCI, British chemical, garment, and Italian cohorts), temporality (NPC incidence rising after 15–20 year latencies consistent with occupational exposure), biological gradient (monotonic exposure–response in the NCI cohort), biological plausibility (DNA–protein cross-link accumulation in nasal mucosa confirmed in non-human primates), and experimental evidence (rodent nasal carcinogenicity at chronic 6 ppm or higher) are collectively sufficient to support a causal relationship. </w:t>
      </w:r>
      <w:r>
        <w:rPr>
          <w:rFonts w:ascii="Times New Roman" w:cs="Times New Roman" w:eastAsia="Times New Roman" w:hAnsi="Times New Roman"/>
          <w:b/>
          <w:bCs/>
          <w:sz w:val="24"/>
          <w:szCs w:val="24"/>
          <w:vertAlign w:val="superscript"/>
        </w:rPr>
        <w:t xml:space="preserve">[7][10][12][22][50][58][104]</w:t>
      </w:r>
      <w:r>
        <w:rPr>
          <w:rFonts w:ascii="Times New Roman" w:cs="Times New Roman" w:eastAsia="Times New Roman" w:hAnsi="Times New Roman"/>
          <w:sz w:val="24"/>
          <w:szCs w:val="24"/>
        </w:rPr>
        <w:t xml:space="preserve"> The review also notes coherence gaps related to the absence of significant elevations in some smaller cohorts and the heterogeneity in histological subtyping of nasopharyngeal tumours between early and modern epidemiological studies, and recommends standardised histopathological verification in any future cohort replication.</w:t>
      </w:r>
      <w:r>
        <w:rPr>
          <w:rFonts w:ascii="Times New Roman" w:cs="Times New Roman" w:eastAsia="Times New Roman" w:hAnsi="Times New Roman"/>
          <w:b/>
          <w:bCs/>
          <w:sz w:val="24"/>
          <w:szCs w:val="24"/>
          <w:vertAlign w:val="superscript"/>
        </w:rPr>
        <w:t xml:space="preserve">[104]</w:t>
      </w:r>
    </w:p>
    <w:p>
      <w:pPr>
        <w:spacing w:after="120" w:before="280"/>
        <w:jc w:val="left"/>
      </w:pPr>
      <w:r>
        <w:rPr>
          <w:rFonts w:ascii="Times New Roman" w:cs="Times New Roman" w:eastAsia="Times New Roman" w:hAnsi="Times New Roman"/>
          <w:b/>
          <w:bCs/>
          <w:sz w:val="24"/>
          <w:szCs w:val="24"/>
        </w:rPr>
        <w:t xml:space="preserve">PMC Evidence — bioRxiv 2025 (Histone Epigenetic Effects)</w:t>
      </w:r>
    </w:p>
    <w:p>
      <w:pPr>
        <w:spacing w:after="120" w:before="60" w:line="300"/>
        <w:jc w:val="both"/>
      </w:pPr>
      <w:r>
        <w:rPr>
          <w:rFonts w:ascii="Times New Roman" w:cs="Times New Roman" w:eastAsia="Times New Roman" w:hAnsi="Times New Roman"/>
          <w:sz w:val="24"/>
          <w:szCs w:val="24"/>
        </w:rPr>
        <w:t xml:space="preserve">An abstract-level record from bioRxiv 2025 (PMC11888403) was retrieved and documents emerging evidence for formaldehyde-induced histone N-formylation as an epigenetic perturbation in nasal and respiratory epithelial cells. </w:t>
      </w:r>
      <w:r>
        <w:rPr>
          <w:rFonts w:ascii="Times New Roman" w:cs="Times New Roman" w:eastAsia="Times New Roman" w:hAnsi="Times New Roman"/>
          <w:b/>
          <w:bCs/>
          <w:sz w:val="24"/>
          <w:szCs w:val="24"/>
          <w:vertAlign w:val="superscript"/>
        </w:rPr>
        <w:t xml:space="preserve">[68][69][70][104]</w:t>
      </w:r>
      <w:r>
        <w:rPr>
          <w:rFonts w:ascii="Times New Roman" w:cs="Times New Roman" w:eastAsia="Times New Roman" w:hAnsi="Times New Roman"/>
          <w:sz w:val="24"/>
          <w:szCs w:val="24"/>
        </w:rPr>
        <w:t xml:space="preserve"> The authors report formylation of histone H2B lysine 12 (H2BK12fo) as a specific mark accumulating after acute formaldehyde exposure at 2 ppm in vitro, with associated transcriptional silencing of genes in the base-excision-repair and Fanconi anemia DNA-damage response pathways. </w:t>
      </w:r>
      <w:r>
        <w:rPr>
          <w:rFonts w:ascii="Times New Roman" w:cs="Times New Roman" w:eastAsia="Times New Roman" w:hAnsi="Times New Roman"/>
          <w:b/>
          <w:bCs/>
          <w:sz w:val="24"/>
          <w:szCs w:val="24"/>
          <w:vertAlign w:val="superscript"/>
        </w:rPr>
        <w:t xml:space="preserve">[104]</w:t>
      </w:r>
      <w:r>
        <w:rPr>
          <w:rFonts w:ascii="Times New Roman" w:cs="Times New Roman" w:eastAsia="Times New Roman" w:hAnsi="Times New Roman"/>
          <w:sz w:val="24"/>
          <w:szCs w:val="24"/>
        </w:rPr>
        <w:t xml:space="preserve"> The finding is consistent with earlier work by Jiang 2007 (N-formylation of histone lysines as a secondary modification from oxidative DNA damage) and with Bollati 2010 documenting DNA methylation changes in occupationally exposed workers. </w:t>
      </w:r>
      <w:r>
        <w:rPr>
          <w:rFonts w:ascii="Times New Roman" w:cs="Times New Roman" w:eastAsia="Times New Roman" w:hAnsi="Times New Roman"/>
          <w:b/>
          <w:bCs/>
          <w:sz w:val="24"/>
          <w:szCs w:val="24"/>
          <w:vertAlign w:val="superscript"/>
        </w:rPr>
        <w:t xml:space="preserve">[69][70]</w:t>
      </w:r>
      <w:r>
        <w:rPr>
          <w:rFonts w:ascii="Times New Roman" w:cs="Times New Roman" w:eastAsia="Times New Roman" w:hAnsi="Times New Roman"/>
          <w:sz w:val="24"/>
          <w:szCs w:val="24"/>
        </w:rPr>
        <w:t xml:space="preserve"> The mechanistic convergence on transcriptional repression of DNA repair pathways reinforces the IARC 2022 evaluation of 'strong evidence' for the 'alters DNA repair or genomic instability' key characteristic of carcinogens (KC4) and supports the emerging epigenetic hypothesis for formaldehyde-induced leukaemogenesis.</w:t>
      </w:r>
      <w:r>
        <w:rPr>
          <w:rFonts w:ascii="Times New Roman" w:cs="Times New Roman" w:eastAsia="Times New Roman" w:hAnsi="Times New Roman"/>
          <w:b/>
          <w:bCs/>
          <w:sz w:val="24"/>
          <w:szCs w:val="24"/>
          <w:vertAlign w:val="superscript"/>
        </w:rPr>
        <w:t xml:space="preserve">[4][23][69][70][104]</w:t>
      </w:r>
    </w:p>
    <w:p>
      <w:pPr>
        <w:spacing w:after="120" w:before="280"/>
        <w:jc w:val="left"/>
      </w:pPr>
      <w:r>
        <w:rPr>
          <w:rFonts w:ascii="Times New Roman" w:cs="Times New Roman" w:eastAsia="Times New Roman" w:hAnsi="Times New Roman"/>
          <w:b/>
          <w:bCs/>
          <w:sz w:val="24"/>
          <w:szCs w:val="24"/>
        </w:rPr>
        <w:t xml:space="preserve">Cross-Database Concordance and Residual Uncertainties</w:t>
      </w:r>
    </w:p>
    <w:p>
      <w:pPr>
        <w:spacing w:after="120" w:before="60" w:line="300"/>
        <w:jc w:val="both"/>
      </w:pPr>
      <w:r>
        <w:rPr>
          <w:rFonts w:ascii="Times New Roman" w:cs="Times New Roman" w:eastAsia="Times New Roman" w:hAnsi="Times New Roman"/>
          <w:sz w:val="24"/>
          <w:szCs w:val="24"/>
        </w:rPr>
        <w:t xml:space="preserve">Integration across the fourteen-database harvest reveals strong concordance among IRIS 2024, ATSDR 2020, NTP 2021, IARC 2022, ECHA CLP 2016, NIOSH 1988, CalEPA OEHHA 2008, and the WHO 2010 Indoor Air Quality Guideline on the central hazard characterisation: formaldehyde is a known human carcinogen (IARC Group 1, NTP known) with nasopharyngeal carcinoma as the principal cancer endpoint, myeloid leukaemia as a strongly supported secondary endpoint, and a well-characterised noncancer hazard profile anchored on nasal histopathology and sensory irritation. </w:t>
      </w:r>
      <w:r>
        <w:rPr>
          <w:rFonts w:ascii="Times New Roman" w:cs="Times New Roman" w:eastAsia="Times New Roman" w:hAnsi="Times New Roman"/>
          <w:b/>
          <w:bCs/>
          <w:sz w:val="24"/>
          <w:szCs w:val="24"/>
          <w:vertAlign w:val="superscript"/>
        </w:rPr>
        <w:t xml:space="preserve">[1][4][5][6][26][28][29][30][97]</w:t>
      </w:r>
      <w:r>
        <w:rPr>
          <w:rFonts w:ascii="Times New Roman" w:cs="Times New Roman" w:eastAsia="Times New Roman" w:hAnsi="Times New Roman"/>
          <w:sz w:val="24"/>
          <w:szCs w:val="24"/>
        </w:rPr>
        <w:t xml:space="preserve"> The principal residual uncertainties concern the quantitative dose–response for myeloid leukaemia (where cohort exposure measurements have high uncertainty), the appropriate low-dose extrapolation model (linear, threshold, or hybrid), and the magnitude of the mixture and susceptibility adjustments applicable to populations with impaired ALDH2 or ADH5 function. </w:t>
      </w:r>
      <w:r>
        <w:rPr>
          <w:rFonts w:ascii="Times New Roman" w:cs="Times New Roman" w:eastAsia="Times New Roman" w:hAnsi="Times New Roman"/>
          <w:b/>
          <w:bCs/>
          <w:sz w:val="24"/>
          <w:szCs w:val="24"/>
          <w:vertAlign w:val="superscript"/>
        </w:rPr>
        <w:t xml:space="preserve">[1][23][24][60][66][71][73]</w:t>
      </w:r>
      <w:r>
        <w:rPr>
          <w:rFonts w:ascii="Times New Roman" w:cs="Times New Roman" w:eastAsia="Times New Roman" w:hAnsi="Times New Roman"/>
          <w:sz w:val="24"/>
          <w:szCs w:val="24"/>
        </w:rPr>
        <w:t xml:space="preserve"> The 2024 IRIS TSD represents the most comprehensive resolution of these uncertainties available, and its adoption by other authorities is expected to progress over the next revision cycles for ATSDR (expected 2027), ECHA (REACH dossier refresh), and the WHO IPCS programme. Harmonisation of the IUR (1.1 × 10⁻⁵ per µg/m³) and the RfC (0.007 mg/m³) anchors is now the main remaining task for international regulatory convergence.</w:t>
      </w:r>
      <w:r>
        <w:rPr>
          <w:rFonts w:ascii="Times New Roman" w:cs="Times New Roman" w:eastAsia="Times New Roman" w:hAnsi="Times New Roman"/>
          <w:b/>
          <w:bCs/>
          <w:sz w:val="24"/>
          <w:szCs w:val="24"/>
          <w:vertAlign w:val="superscript"/>
        </w:rPr>
        <w:t xml:space="preserve">[1][6][26][29][90]</w:t>
      </w:r>
    </w:p>
    <w:p>
      <w:r>
        <w:br w:type="page"/>
      </w:r>
    </w:p>
    <w:p>
      <w:pPr>
        <w:spacing w:after="120" w:before="280"/>
        <w:jc w:val="left"/>
      </w:pPr>
      <w:r>
        <w:rPr>
          <w:rFonts w:ascii="Times New Roman" w:cs="Times New Roman" w:eastAsia="Times New Roman" w:hAnsi="Times New Roman"/>
          <w:b/>
          <w:bCs/>
          <w:sz w:val="24"/>
          <w:szCs w:val="24"/>
        </w:rPr>
        <w:t xml:space="preserve">International Regulatory Comparison and Harmonisation</w:t>
      </w:r>
    </w:p>
    <w:p>
      <w:pPr>
        <w:spacing w:after="120" w:before="60" w:line="300"/>
        <w:jc w:val="both"/>
      </w:pPr>
      <w:r>
        <w:rPr>
          <w:rFonts w:ascii="Times New Roman" w:cs="Times New Roman" w:eastAsia="Times New Roman" w:hAnsi="Times New Roman"/>
          <w:sz w:val="24"/>
          <w:szCs w:val="24"/>
        </w:rPr>
        <w:t xml:space="preserve">International regulatory approaches to formaldehyde exhibit broad agreement on hazard identification but notable divergence on exposure limits, low-dose risk extrapolation, and product-specific restrictions. </w:t>
      </w:r>
      <w:r>
        <w:rPr>
          <w:rFonts w:ascii="Times New Roman" w:cs="Times New Roman" w:eastAsia="Times New Roman" w:hAnsi="Times New Roman"/>
          <w:b/>
          <w:bCs/>
          <w:sz w:val="24"/>
          <w:szCs w:val="24"/>
          <w:vertAlign w:val="superscript"/>
        </w:rPr>
        <w:t xml:space="preserve">[1][2][4][5][26][28][29][97]</w:t>
      </w:r>
      <w:r>
        <w:rPr>
          <w:rFonts w:ascii="Times New Roman" w:cs="Times New Roman" w:eastAsia="Times New Roman" w:hAnsi="Times New Roman"/>
          <w:sz w:val="24"/>
          <w:szCs w:val="24"/>
        </w:rPr>
        <w:t xml:space="preserve"> This section compares the frameworks of the principal regulatory authorities — U.S. EPA, U.S. OSHA, U.S. FDA, U.S. CPSC, European Commission (REACH, CLP, Biocides, Cosmetics), European Chemicals Agency, European Food Safety Authority, Health Canada, Environment and Climate Change Canada, Australia NICNAS (now AICIS), Japan METI/MHLW, Korean NIER/MoE, Chinese MEE/NHC, and the intergovernmental bodies WHO, IARC, OECD, and IPCS. </w:t>
      </w:r>
      <w:r>
        <w:rPr>
          <w:rFonts w:ascii="Times New Roman" w:cs="Times New Roman" w:eastAsia="Times New Roman" w:hAnsi="Times New Roman"/>
          <w:b/>
          <w:bCs/>
          <w:sz w:val="24"/>
          <w:szCs w:val="24"/>
          <w:vertAlign w:val="superscript"/>
        </w:rPr>
        <w:t xml:space="preserve">[1][2][4][5][26][28][29]</w:t>
      </w:r>
      <w:r>
        <w:rPr>
          <w:rFonts w:ascii="Times New Roman" w:cs="Times New Roman" w:eastAsia="Times New Roman" w:hAnsi="Times New Roman"/>
          <w:sz w:val="24"/>
          <w:szCs w:val="24"/>
        </w:rPr>
        <w:t xml:space="preserve"> Understanding these comparative frameworks supports international business, regulatory harmonisation efforts, and scientific cross-fertilisation across jurisdictions.</w:t>
      </w:r>
    </w:p>
    <w:p>
      <w:pPr>
        <w:spacing w:after="120" w:before="280"/>
        <w:jc w:val="left"/>
      </w:pPr>
      <w:r>
        <w:rPr>
          <w:rFonts w:ascii="Times New Roman" w:cs="Times New Roman" w:eastAsia="Times New Roman" w:hAnsi="Times New Roman"/>
          <w:b/>
          <w:bCs/>
          <w:sz w:val="24"/>
          <w:szCs w:val="24"/>
        </w:rPr>
        <w:t xml:space="preserve">United States Regulatory Framework</w:t>
      </w:r>
    </w:p>
    <w:p>
      <w:pPr>
        <w:spacing w:after="120" w:before="60" w:line="300"/>
        <w:jc w:val="both"/>
      </w:pPr>
      <w:r>
        <w:rPr>
          <w:rFonts w:ascii="Times New Roman" w:cs="Times New Roman" w:eastAsia="Times New Roman" w:hAnsi="Times New Roman"/>
          <w:sz w:val="24"/>
          <w:szCs w:val="24"/>
        </w:rPr>
        <w:t xml:space="preserve">U.S. federal regulation of formaldehyde is distributed across multiple agencies with overlapping jurisdictions. </w:t>
      </w:r>
      <w:r>
        <w:rPr>
          <w:rFonts w:ascii="Times New Roman" w:cs="Times New Roman" w:eastAsia="Times New Roman" w:hAnsi="Times New Roman"/>
          <w:b/>
          <w:bCs/>
          <w:sz w:val="24"/>
          <w:szCs w:val="24"/>
          <w:vertAlign w:val="superscript"/>
        </w:rPr>
        <w:t xml:space="preserve">[1][3][5][31][95][97]</w:t>
      </w:r>
      <w:r>
        <w:rPr>
          <w:rFonts w:ascii="Times New Roman" w:cs="Times New Roman" w:eastAsia="Times New Roman" w:hAnsi="Times New Roman"/>
          <w:sz w:val="24"/>
          <w:szCs w:val="24"/>
        </w:rPr>
        <w:t xml:space="preserve"> EPA administers the Toxic Substances Control Act (TSCA Title VI composite wood product emission standards), the Clean Air Act (hazardous air pollutant regulation under Section 112), the Clean Water Act (discharge limits under NPDES), and the IRIS program (health assessment and risk characterisation). </w:t>
      </w:r>
      <w:r>
        <w:rPr>
          <w:rFonts w:ascii="Times New Roman" w:cs="Times New Roman" w:eastAsia="Times New Roman" w:hAnsi="Times New Roman"/>
          <w:b/>
          <w:bCs/>
          <w:sz w:val="24"/>
          <w:szCs w:val="24"/>
          <w:vertAlign w:val="superscript"/>
        </w:rPr>
        <w:t xml:space="preserve">[1][31]</w:t>
      </w:r>
      <w:r>
        <w:rPr>
          <w:rFonts w:ascii="Times New Roman" w:cs="Times New Roman" w:eastAsia="Times New Roman" w:hAnsi="Times New Roman"/>
          <w:sz w:val="24"/>
          <w:szCs w:val="24"/>
        </w:rPr>
        <w:t xml:space="preserve"> OSHA enforces the Formaldehyde Standard (29 CFR 1910.1048) with 8-hour TWA PEL of 0.75 ppm, STEL of 2 ppm, and Action Level of 0.5 ppm triggering exposure monitoring and medical surveillance.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FDA regulates formaldehyde in food contact materials, drugs (indirect and incidental), cosmetics (Cosmetic Ingredient Review recommendations and Modernisation of Cosmetics Regulation Act implementation), and medical devices. </w:t>
      </w:r>
      <w:r>
        <w:rPr>
          <w:rFonts w:ascii="Times New Roman" w:cs="Times New Roman" w:eastAsia="Times New Roman" w:hAnsi="Times New Roman"/>
          <w:b/>
          <w:bCs/>
          <w:sz w:val="24"/>
          <w:szCs w:val="24"/>
          <w:vertAlign w:val="superscript"/>
        </w:rPr>
        <w:t xml:space="preserve">[88][95]</w:t>
      </w:r>
      <w:r>
        <w:rPr>
          <w:rFonts w:ascii="Times New Roman" w:cs="Times New Roman" w:eastAsia="Times New Roman" w:hAnsi="Times New Roman"/>
          <w:sz w:val="24"/>
          <w:szCs w:val="24"/>
        </w:rPr>
        <w:t xml:space="preserve"> CPSC regulates consumer product safety for toys, textiles, and miscellaneous consumer goods. NIOSH provides occupational health recommendations including the REL Ca (carcinogen, potential) with 8-hour TWA recommendation of 0.016 ppm.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State-level regulation overlays federal action in California (Proposition 65, Air Resources Board), Washington, Oregon, New York, Minnesota, and other states with tighter-than-federal standards in several domains.</w:t>
      </w:r>
    </w:p>
    <w:p>
      <w:pPr>
        <w:spacing w:after="120" w:before="280"/>
        <w:jc w:val="left"/>
      </w:pPr>
      <w:r>
        <w:rPr>
          <w:rFonts w:ascii="Times New Roman" w:cs="Times New Roman" w:eastAsia="Times New Roman" w:hAnsi="Times New Roman"/>
          <w:b/>
          <w:bCs/>
          <w:sz w:val="24"/>
          <w:szCs w:val="24"/>
        </w:rPr>
        <w:t xml:space="preserve">European Union Framework</w:t>
      </w:r>
    </w:p>
    <w:p>
      <w:pPr>
        <w:spacing w:after="120" w:before="60" w:line="300"/>
        <w:jc w:val="both"/>
      </w:pPr>
      <w:r>
        <w:rPr>
          <w:rFonts w:ascii="Times New Roman" w:cs="Times New Roman" w:eastAsia="Times New Roman" w:hAnsi="Times New Roman"/>
          <w:sz w:val="24"/>
          <w:szCs w:val="24"/>
        </w:rPr>
        <w:t xml:space="preserve">The European Union regulatory framework for formaldehyde is structured around REACH (Regulation 1907/2006), CLP (Regulation 1272/2008), the Cosmetics Regulation (1223/2009), the Biocidal Products Regulation (528/2012), the Medical Devices Regulation (2017/745), and the Food Contact Materials framework (1935/2004 and specific measures). </w:t>
      </w:r>
      <w:r>
        <w:rPr>
          <w:rFonts w:ascii="Times New Roman" w:cs="Times New Roman" w:eastAsia="Times New Roman" w:hAnsi="Times New Roman"/>
          <w:b/>
          <w:bCs/>
          <w:sz w:val="24"/>
          <w:szCs w:val="24"/>
          <w:vertAlign w:val="superscript"/>
        </w:rPr>
        <w:t xml:space="preserve">[26][27][85][87]</w:t>
      </w:r>
      <w:r>
        <w:rPr>
          <w:rFonts w:ascii="Times New Roman" w:cs="Times New Roman" w:eastAsia="Times New Roman" w:hAnsi="Times New Roman"/>
          <w:sz w:val="24"/>
          <w:szCs w:val="24"/>
        </w:rPr>
        <w:t xml:space="preserve"> Under REACH, formaldehyde is registered with harmonised classification as Carc. 1B (H350, may cause cancer) and Muta. 2 (H341, suspected of causing genetic defects), with SVHC (Substance of Very High Concern) candidate listing; REACH restrictions limit formaldehyde in textiles (75 mg/kg; Entry 72) and in articles releasing formaldehyde into indoor air.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CLP Regulation harmonises GHS classification with EU-specific M-factors and concentration limits. The Cosmetics Regulation prohibits use as a preservative with limited exceptions (0.1% rinse-off) and requires labelling above 0.05%.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The Biocidal Products Regulation evaluates formaldehyde-containing biocide products and has increasingly restricted formaldehyde releasers in industrial and consumer biocides.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Indoor air guidance under the Construction Products Regulation and the Horizon Europe EU Indoor Air Quality Strategy provides voluntary building-material emission specifications that many member states have adopted as binding national standards.</w:t>
      </w:r>
    </w:p>
    <w:p>
      <w:pPr>
        <w:spacing w:after="120" w:before="280"/>
        <w:jc w:val="left"/>
      </w:pPr>
      <w:r>
        <w:rPr>
          <w:rFonts w:ascii="Times New Roman" w:cs="Times New Roman" w:eastAsia="Times New Roman" w:hAnsi="Times New Roman"/>
          <w:b/>
          <w:bCs/>
          <w:sz w:val="24"/>
          <w:szCs w:val="24"/>
        </w:rPr>
        <w:t xml:space="preserve">Health Canada Framework</w:t>
      </w:r>
    </w:p>
    <w:p>
      <w:pPr>
        <w:spacing w:after="120" w:before="60" w:line="300"/>
        <w:jc w:val="both"/>
      </w:pPr>
      <w:r>
        <w:rPr>
          <w:rFonts w:ascii="Times New Roman" w:cs="Times New Roman" w:eastAsia="Times New Roman" w:hAnsi="Times New Roman"/>
          <w:sz w:val="24"/>
          <w:szCs w:val="24"/>
        </w:rPr>
        <w:t xml:space="preserve">Health Canada regulates formaldehyde through the Canadian Environmental Protection Act 1999 (CEPA), the Canada Consumer Product Safety Act (CCPSA), the Cosmetic Regulations, and the Pest Control Products Act.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Formaldehyde is listed as 'toxic' under CEPA Schedule 1 based on the 2001 Priority Substances List Assessment Report. The Residential Indoor Air Quality Guideline specifies 0.123 mg/m³ (100 ppb) as 1-hour and 0.09 mg/m³ (50 ppb) as 8-hour reference values.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Environment and Climate Change Canada has published emissions inventories, National Pollutant Release Inventory reporting thresholds, and the Formaldehyde Emissions from Composite Wood Products Regulations aligned with U.S. TSCA Title VI.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Provincial regulation layers on federal action with differing occupational and building-code requirements across provinces.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The Canadian framework is generally similar to the U.S. approach with tighter residential indoor air guidance and more conservative exposure limits in certain jurisdictions.</w:t>
      </w:r>
    </w:p>
    <w:p>
      <w:pPr>
        <w:spacing w:after="120" w:before="280"/>
        <w:jc w:val="left"/>
      </w:pPr>
      <w:r>
        <w:rPr>
          <w:rFonts w:ascii="Times New Roman" w:cs="Times New Roman" w:eastAsia="Times New Roman" w:hAnsi="Times New Roman"/>
          <w:b/>
          <w:bCs/>
          <w:sz w:val="24"/>
          <w:szCs w:val="24"/>
        </w:rPr>
        <w:t xml:space="preserve">Australian and New Zealand Frameworks</w:t>
      </w:r>
    </w:p>
    <w:p>
      <w:pPr>
        <w:spacing w:after="120" w:before="60" w:line="300"/>
        <w:jc w:val="both"/>
      </w:pPr>
      <w:r>
        <w:rPr>
          <w:rFonts w:ascii="Times New Roman" w:cs="Times New Roman" w:eastAsia="Times New Roman" w:hAnsi="Times New Roman"/>
          <w:sz w:val="24"/>
          <w:szCs w:val="24"/>
        </w:rPr>
        <w:t xml:space="preserve">Australia regulates formaldehyde through the Australian Industrial Chemicals Introduction Scheme (AICIS, formerly NICNAS) for industrial chemicals, the Therapeutic Goods Administration for pharmaceuticals and medical devices, and state/territory occupational health authorities for workplace exposure.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AICIS Human Health Tier II assessment of formaldehyde (2020) characterises carcinogenic, mutagenic, and reproductive hazards consistent with international classification; the recommended occupational exposure limit of 1 ppm TWA is under periodic review.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New Zealand regulates formaldehyde under the Health and Safety at Work (Hazardous Substances) Regulations 2017 with WES (Workplace Exposure Standard) of 1 ppm TWA and 2 ppm STEL.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Both jurisdictions have adopted low-emitting composite wood product standards aligned with international specifications; state/territory indoor air guidance in Australia varies across jurisdictions.</w:t>
      </w:r>
    </w:p>
    <w:p>
      <w:pPr>
        <w:spacing w:after="120" w:before="280"/>
        <w:jc w:val="left"/>
      </w:pPr>
      <w:r>
        <w:rPr>
          <w:rFonts w:ascii="Times New Roman" w:cs="Times New Roman" w:eastAsia="Times New Roman" w:hAnsi="Times New Roman"/>
          <w:b/>
          <w:bCs/>
          <w:sz w:val="24"/>
          <w:szCs w:val="24"/>
        </w:rPr>
        <w:t xml:space="preserve">Japan and Korea</w:t>
      </w:r>
    </w:p>
    <w:p>
      <w:pPr>
        <w:spacing w:after="120" w:before="60" w:line="300"/>
        <w:jc w:val="both"/>
      </w:pPr>
      <w:r>
        <w:rPr>
          <w:rFonts w:ascii="Times New Roman" w:cs="Times New Roman" w:eastAsia="Times New Roman" w:hAnsi="Times New Roman"/>
          <w:sz w:val="24"/>
          <w:szCs w:val="24"/>
        </w:rPr>
        <w:t xml:space="preserve">Japan regulates formaldehyde through the Ministry of Economy, Trade and Industry (METI) Chemical Substances Control Law, the Ministry of Health, Labour and Welfare (MHLW) occupational exposure limit framework (ACL 0.1 ppm TWA — one of the strictest globally), and the Ministry of the Environment Air Quality Standards. </w:t>
      </w:r>
      <w:r>
        <w:rPr>
          <w:rFonts w:ascii="Times New Roman" w:cs="Times New Roman" w:eastAsia="Times New Roman" w:hAnsi="Times New Roman"/>
          <w:b/>
          <w:bCs/>
          <w:sz w:val="24"/>
          <w:szCs w:val="24"/>
          <w:vertAlign w:val="superscript"/>
        </w:rPr>
        <w:t xml:space="preserve">[26][66]</w:t>
      </w:r>
      <w:r>
        <w:rPr>
          <w:rFonts w:ascii="Times New Roman" w:cs="Times New Roman" w:eastAsia="Times New Roman" w:hAnsi="Times New Roman"/>
          <w:sz w:val="24"/>
          <w:szCs w:val="24"/>
        </w:rPr>
        <w:t xml:space="preserve"> Japanese sick-house syndrome investigations in the 1990s–2000s drove adoption of strict residential indoor air guideline of 0.08 ppm and mandatory labelling and low-emission certification of building materials (F★, F★★, F★★★, F★★★★ grades).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Korean NIER/MoE regulates formaldehyde under the Chemical Substances Control Act, the Indoor Air Quality Management Act (new-building indoor air standards of 210 µg/m³), and the Occupational Safety and Health Act. </w:t>
      </w:r>
      <w:r>
        <w:rPr>
          <w:rFonts w:ascii="Times New Roman" w:cs="Times New Roman" w:eastAsia="Times New Roman" w:hAnsi="Times New Roman"/>
          <w:b/>
          <w:bCs/>
          <w:sz w:val="24"/>
          <w:szCs w:val="24"/>
          <w:vertAlign w:val="superscript"/>
        </w:rPr>
        <w:t xml:space="preserve">[26][66]</w:t>
      </w:r>
      <w:r>
        <w:rPr>
          <w:rFonts w:ascii="Times New Roman" w:cs="Times New Roman" w:eastAsia="Times New Roman" w:hAnsi="Times New Roman"/>
          <w:sz w:val="24"/>
          <w:szCs w:val="24"/>
        </w:rPr>
        <w:t xml:space="preserve"> Both jurisdictions have implemented aggressive emission reduction programs for composite wood products and consumer goods, with progressive tightening over the past two decades consistent with the WHO indoor air guidance.</w:t>
      </w:r>
    </w:p>
    <w:p>
      <w:pPr>
        <w:spacing w:after="120" w:before="280"/>
        <w:jc w:val="left"/>
      </w:pPr>
      <w:r>
        <w:rPr>
          <w:rFonts w:ascii="Times New Roman" w:cs="Times New Roman" w:eastAsia="Times New Roman" w:hAnsi="Times New Roman"/>
          <w:b/>
          <w:bCs/>
          <w:sz w:val="24"/>
          <w:szCs w:val="24"/>
        </w:rPr>
        <w:t xml:space="preserve">China and Other Asian Markets</w:t>
      </w:r>
    </w:p>
    <w:p>
      <w:pPr>
        <w:spacing w:after="120" w:before="60" w:line="300"/>
        <w:jc w:val="both"/>
      </w:pPr>
      <w:r>
        <w:rPr>
          <w:rFonts w:ascii="Times New Roman" w:cs="Times New Roman" w:eastAsia="Times New Roman" w:hAnsi="Times New Roman"/>
          <w:sz w:val="24"/>
          <w:szCs w:val="24"/>
        </w:rPr>
        <w:t xml:space="preserve">China regulates formaldehyde through the Ministry of Ecology and Environment (MEE) ambient air quality standards (not a criteria pollutant but regulated under hazardous air pollutant framework), the National Health Commission (NHC) indoor air quality standard GB/T 18883-2022 (0.08 mg/m³ 1-hour residential), and the State Administration for Market Regulation product emission standards for furniture, flooring, and vehicles. </w:t>
      </w:r>
      <w:r>
        <w:rPr>
          <w:rFonts w:ascii="Times New Roman" w:cs="Times New Roman" w:eastAsia="Times New Roman" w:hAnsi="Times New Roman"/>
          <w:b/>
          <w:bCs/>
          <w:sz w:val="24"/>
          <w:szCs w:val="24"/>
          <w:vertAlign w:val="superscript"/>
        </w:rPr>
        <w:t xml:space="preserve">[26][66]</w:t>
      </w:r>
      <w:r>
        <w:rPr>
          <w:rFonts w:ascii="Times New Roman" w:cs="Times New Roman" w:eastAsia="Times New Roman" w:hAnsi="Times New Roman"/>
          <w:sz w:val="24"/>
          <w:szCs w:val="24"/>
        </w:rPr>
        <w:t xml:space="preserve"> Chinese occupational exposure limit is 0.5 mg/m³ TWA (0.4 ppm) under GBZ 2.1-2007.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Product standards include GB 18580-2017 for composite wood products with E1 and E0 emission classes; GB 27630-2011 for new-vehicle cabin air quality; and various specific product category standards.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Other Asian markets — India, Thailand, Vietnam, Indonesia, Philippines — have more variable regulatory frameworks with selective adoption of international standards; formaldehyde exposure in these markets is an active area of epidemiological and regulatory research.</w:t>
      </w:r>
    </w:p>
    <w:p>
      <w:pPr>
        <w:spacing w:after="120" w:before="280"/>
        <w:jc w:val="left"/>
      </w:pPr>
      <w:r>
        <w:rPr>
          <w:rFonts w:ascii="Times New Roman" w:cs="Times New Roman" w:eastAsia="Times New Roman" w:hAnsi="Times New Roman"/>
          <w:b/>
          <w:bCs/>
          <w:sz w:val="24"/>
          <w:szCs w:val="24"/>
        </w:rPr>
        <w:t xml:space="preserve">Intergovernmental Coordination</w:t>
      </w:r>
    </w:p>
    <w:p>
      <w:pPr>
        <w:spacing w:after="120" w:before="60" w:line="300"/>
        <w:jc w:val="both"/>
      </w:pPr>
      <w:r>
        <w:rPr>
          <w:rFonts w:ascii="Times New Roman" w:cs="Times New Roman" w:eastAsia="Times New Roman" w:hAnsi="Times New Roman"/>
          <w:sz w:val="24"/>
          <w:szCs w:val="24"/>
        </w:rPr>
        <w:t xml:space="preserve">Intergovernmental coordination on formaldehyde regulation occurs through WHO/IPCS (International Programme on Chemical Safety), IARC (classification), OECD (test guidelines and mutual acceptance of data), UNECE GHS (Globally Harmonised System of Classification and Labelling), and bilateral/plurilateral regulatory cooperation agreements. </w:t>
      </w:r>
      <w:r>
        <w:rPr>
          <w:rFonts w:ascii="Times New Roman" w:cs="Times New Roman" w:eastAsia="Times New Roman" w:hAnsi="Times New Roman"/>
          <w:b/>
          <w:bCs/>
          <w:sz w:val="24"/>
          <w:szCs w:val="24"/>
          <w:vertAlign w:val="superscript"/>
        </w:rPr>
        <w:t xml:space="preserve">[2][29][30][72]</w:t>
      </w:r>
      <w:r>
        <w:rPr>
          <w:rFonts w:ascii="Times New Roman" w:cs="Times New Roman" w:eastAsia="Times New Roman" w:hAnsi="Times New Roman"/>
          <w:sz w:val="24"/>
          <w:szCs w:val="24"/>
        </w:rPr>
        <w:t xml:space="preserve"> WHO IPCS has published the Concise International Chemical Assessment Document (CICAD) for formaldehyde (1989) and the Environmental Health Criteria (EHC 89) providing international scientific consensus on hazard identification. </w:t>
      </w:r>
      <w:r>
        <w:rPr>
          <w:rFonts w:ascii="Times New Roman" w:cs="Times New Roman" w:eastAsia="Times New Roman" w:hAnsi="Times New Roman"/>
          <w:b/>
          <w:bCs/>
          <w:sz w:val="24"/>
          <w:szCs w:val="24"/>
          <w:vertAlign w:val="superscript"/>
        </w:rPr>
        <w:t xml:space="preserve">[5][29]</w:t>
      </w:r>
      <w:r>
        <w:rPr>
          <w:rFonts w:ascii="Times New Roman" w:cs="Times New Roman" w:eastAsia="Times New Roman" w:hAnsi="Times New Roman"/>
          <w:sz w:val="24"/>
          <w:szCs w:val="24"/>
        </w:rPr>
        <w:t xml:space="preserve"> IARC Monographs 88 (2006), 100F (2012), and 127 (2023) have progressively classified formaldehyde as Group 1 (known human carcinogen) with incremental strengthening of the mechanistic and epidemiological evidence base.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OECD test guidelines 471, 473, 487, 489, and others provide harmonised methodology for formaldehyde toxicity testing with mutual acceptance across member states.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GHS classification harmonises hazard communication globally with H350 (cancer) and H341 (mutagenicity) as core hazard statements. Regulatory cooperation forums (ICH, ICMRA, bilateral regulatory dialogues) facilitate information exchange without creating binding standards.</w:t>
      </w:r>
    </w:p>
    <w:p>
      <w:pPr>
        <w:spacing w:after="120" w:before="280"/>
        <w:jc w:val="left"/>
      </w:pPr>
      <w:r>
        <w:rPr>
          <w:rFonts w:ascii="Times New Roman" w:cs="Times New Roman" w:eastAsia="Times New Roman" w:hAnsi="Times New Roman"/>
          <w:b/>
          <w:bCs/>
          <w:sz w:val="24"/>
          <w:szCs w:val="24"/>
        </w:rPr>
        <w:t xml:space="preserve">Convergence and Divergence Patterns</w:t>
      </w:r>
    </w:p>
    <w:p>
      <w:pPr>
        <w:spacing w:after="120" w:before="60" w:line="300"/>
        <w:jc w:val="both"/>
      </w:pPr>
      <w:r>
        <w:rPr>
          <w:rFonts w:ascii="Times New Roman" w:cs="Times New Roman" w:eastAsia="Times New Roman" w:hAnsi="Times New Roman"/>
          <w:sz w:val="24"/>
          <w:szCs w:val="24"/>
        </w:rPr>
        <w:t xml:space="preserve">Comparison across national regulatory frameworks reveals systematic patterns of convergence and divergence. </w:t>
      </w:r>
      <w:r>
        <w:rPr>
          <w:rFonts w:ascii="Times New Roman" w:cs="Times New Roman" w:eastAsia="Times New Roman" w:hAnsi="Times New Roman"/>
          <w:b/>
          <w:bCs/>
          <w:sz w:val="24"/>
          <w:szCs w:val="24"/>
          <w:vertAlign w:val="superscript"/>
        </w:rPr>
        <w:t xml:space="preserve">[1][2][26][28][29]</w:t>
      </w:r>
      <w:r>
        <w:rPr>
          <w:rFonts w:ascii="Times New Roman" w:cs="Times New Roman" w:eastAsia="Times New Roman" w:hAnsi="Times New Roman"/>
          <w:sz w:val="24"/>
          <w:szCs w:val="24"/>
        </w:rPr>
        <w:t xml:space="preserve"> Hazard identification (carcinogenicity, mutagenicity, reproductive toxicity) is broadly harmonised across GHS-implementing jurisdictions. </w:t>
      </w:r>
      <w:r>
        <w:rPr>
          <w:rFonts w:ascii="Times New Roman" w:cs="Times New Roman" w:eastAsia="Times New Roman" w:hAnsi="Times New Roman"/>
          <w:b/>
          <w:bCs/>
          <w:sz w:val="24"/>
          <w:szCs w:val="24"/>
          <w:vertAlign w:val="superscript"/>
        </w:rPr>
        <w:t xml:space="preserve">[2][26]</w:t>
      </w:r>
      <w:r>
        <w:rPr>
          <w:rFonts w:ascii="Times New Roman" w:cs="Times New Roman" w:eastAsia="Times New Roman" w:hAnsi="Times New Roman"/>
          <w:sz w:val="24"/>
          <w:szCs w:val="24"/>
        </w:rPr>
        <w:t xml:space="preserve"> Indoor air guidance values converge around 10–100 µg/m³ for residential long-term exposure, with shorter-term values around 100 µg/m³ for acute sensory irritation protection. </w:t>
      </w:r>
      <w:r>
        <w:rPr>
          <w:rFonts w:ascii="Times New Roman" w:cs="Times New Roman" w:eastAsia="Times New Roman" w:hAnsi="Times New Roman"/>
          <w:b/>
          <w:bCs/>
          <w:sz w:val="24"/>
          <w:szCs w:val="24"/>
          <w:vertAlign w:val="superscript"/>
        </w:rPr>
        <w:t xml:space="preserve">[5][26][28][29][30][66][97]</w:t>
      </w:r>
      <w:r>
        <w:rPr>
          <w:rFonts w:ascii="Times New Roman" w:cs="Times New Roman" w:eastAsia="Times New Roman" w:hAnsi="Times New Roman"/>
          <w:sz w:val="24"/>
          <w:szCs w:val="24"/>
        </w:rPr>
        <w:t xml:space="preserve"> Occupational exposure limits show greater variability, spanning from 0.1 ppm TWA (Japan MHLW) through 0.3 ppm (NIOSH), 0.5 ppm TWA / 2 ppm STEL (ACGIH TLV), 0.75 ppm TWA / 2 ppm STEL (OSHA PEL), to 2 ppm TWA in some historical jurisdictions.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The clearest divergence is on low-dose cancer risk extrapolation: linear non-threshold (EPA IRIS, NIOSH) versus threshold or biologically based non-linear (several European and Asian jurisdictions); this divergence reflects differing regulatory policy choices given broadly similar underlying scientific interpretation. </w:t>
      </w:r>
      <w:r>
        <w:rPr>
          <w:rFonts w:ascii="Times New Roman" w:cs="Times New Roman" w:eastAsia="Times New Roman" w:hAnsi="Times New Roman"/>
          <w:b/>
          <w:bCs/>
          <w:sz w:val="24"/>
          <w:szCs w:val="24"/>
          <w:vertAlign w:val="superscript"/>
        </w:rPr>
        <w:t xml:space="preserve">[1][26]</w:t>
      </w:r>
      <w:r>
        <w:rPr>
          <w:rFonts w:ascii="Times New Roman" w:cs="Times New Roman" w:eastAsia="Times New Roman" w:hAnsi="Times New Roman"/>
          <w:sz w:val="24"/>
          <w:szCs w:val="24"/>
        </w:rPr>
        <w:t xml:space="preserve"> Ongoing OECD, WHO IPCS, and ICH dialogues seek to narrow these differences through shared methodology and transparent uncertainty characterisation.</w:t>
      </w:r>
    </w:p>
    <w:p>
      <w:pPr>
        <w:spacing w:after="120" w:before="280"/>
        <w:jc w:val="left"/>
      </w:pPr>
      <w:r>
        <w:rPr>
          <w:rFonts w:ascii="Times New Roman" w:cs="Times New Roman" w:eastAsia="Times New Roman" w:hAnsi="Times New Roman"/>
          <w:b/>
          <w:bCs/>
          <w:sz w:val="24"/>
          <w:szCs w:val="24"/>
        </w:rPr>
        <w:t xml:space="preserve">Trade and Harmonisation Challenges</w:t>
      </w:r>
    </w:p>
    <w:p>
      <w:pPr>
        <w:spacing w:after="120" w:before="60" w:line="300"/>
        <w:jc w:val="both"/>
      </w:pPr>
      <w:r>
        <w:rPr>
          <w:rFonts w:ascii="Times New Roman" w:cs="Times New Roman" w:eastAsia="Times New Roman" w:hAnsi="Times New Roman"/>
          <w:sz w:val="24"/>
          <w:szCs w:val="24"/>
        </w:rPr>
        <w:t xml:space="preserve">International trade in formaldehyde-containing products faces regulatory harmonisation challenges including differing product emission standards, labelling requirements, and permissible uses. </w:t>
      </w:r>
      <w:r>
        <w:rPr>
          <w:rFonts w:ascii="Times New Roman" w:cs="Times New Roman" w:eastAsia="Times New Roman" w:hAnsi="Times New Roman"/>
          <w:b/>
          <w:bCs/>
          <w:sz w:val="24"/>
          <w:szCs w:val="24"/>
          <w:vertAlign w:val="superscript"/>
        </w:rPr>
        <w:t xml:space="preserve">[26][31][85]</w:t>
      </w:r>
      <w:r>
        <w:rPr>
          <w:rFonts w:ascii="Times New Roman" w:cs="Times New Roman" w:eastAsia="Times New Roman" w:hAnsi="Times New Roman"/>
          <w:sz w:val="24"/>
          <w:szCs w:val="24"/>
        </w:rPr>
        <w:t xml:space="preserve"> The U.S. TSCA Title VI and California CARB Phase 2 standards for composite wood products have been widely adopted as international benchmarks but differ in specific technical provisions from European E1/E0 and Japanese F★★★★ standards; manufacturers serving multiple markets must meet the most stringent applicable requirement.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Cosmetics regulations show more pronounced harmonisation difficulty: the EU prohibition on formaldehyde as a preservative is not mirrored in all other markets, and formaldehyde-releasing preservatives are differently restricted across jurisdictions.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Textile formaldehyde limits differ across jurisdictions (75 mg/kg EU REACH, 300 mg/kg Chinese and Japanese standards for some product categories, no federal U.S. limit though state and voluntary standards apply).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These differences create compliance costs and trade friction that regulatory cooperation initiatives seek to reduce.</w:t>
      </w:r>
    </w:p>
    <w:p>
      <w:pPr>
        <w:spacing w:after="120" w:before="280"/>
        <w:jc w:val="left"/>
      </w:pPr>
      <w:r>
        <w:rPr>
          <w:rFonts w:ascii="Times New Roman" w:cs="Times New Roman" w:eastAsia="Times New Roman" w:hAnsi="Times New Roman"/>
          <w:b/>
          <w:bCs/>
          <w:sz w:val="24"/>
          <w:szCs w:val="24"/>
        </w:rPr>
        <w:t xml:space="preserve">Future Harmonisation Trajectory</w:t>
      </w:r>
    </w:p>
    <w:p>
      <w:pPr>
        <w:spacing w:after="120" w:before="60" w:line="300"/>
        <w:jc w:val="both"/>
      </w:pPr>
      <w:r>
        <w:rPr>
          <w:rFonts w:ascii="Times New Roman" w:cs="Times New Roman" w:eastAsia="Times New Roman" w:hAnsi="Times New Roman"/>
          <w:sz w:val="24"/>
          <w:szCs w:val="24"/>
        </w:rPr>
        <w:t xml:space="preserve">The forward trajectory of international formaldehyde regulation is toward progressive harmonisation of residential indoor air guidance, continued strengthening of consumer product emission standards, and gradual convergence of cancer risk extrapolation methodology. </w:t>
      </w:r>
      <w:r>
        <w:rPr>
          <w:rFonts w:ascii="Times New Roman" w:cs="Times New Roman" w:eastAsia="Times New Roman" w:hAnsi="Times New Roman"/>
          <w:b/>
          <w:bCs/>
          <w:sz w:val="24"/>
          <w:szCs w:val="24"/>
          <w:vertAlign w:val="superscript"/>
        </w:rPr>
        <w:t xml:space="preserve">[1][26][29]</w:t>
      </w:r>
      <w:r>
        <w:rPr>
          <w:rFonts w:ascii="Times New Roman" w:cs="Times New Roman" w:eastAsia="Times New Roman" w:hAnsi="Times New Roman"/>
          <w:sz w:val="24"/>
          <w:szCs w:val="24"/>
        </w:rPr>
        <w:t xml:space="preserve"> WHO IPCS is updating formaldehyde-relevant guidance documents; OECD Chemical Accidents Programme is developing harmonised emergency response protocols; UNECE GHS is refining classification criteria for reactive inhalation toxicants. </w:t>
      </w:r>
      <w:r>
        <w:rPr>
          <w:rFonts w:ascii="Times New Roman" w:cs="Times New Roman" w:eastAsia="Times New Roman" w:hAnsi="Times New Roman"/>
          <w:b/>
          <w:bCs/>
          <w:sz w:val="24"/>
          <w:szCs w:val="24"/>
          <w:vertAlign w:val="superscript"/>
        </w:rPr>
        <w:t xml:space="preserve">[29][30][72]</w:t>
      </w:r>
      <w:r>
        <w:rPr>
          <w:rFonts w:ascii="Times New Roman" w:cs="Times New Roman" w:eastAsia="Times New Roman" w:hAnsi="Times New Roman"/>
          <w:sz w:val="24"/>
          <w:szCs w:val="24"/>
        </w:rPr>
        <w:t xml:space="preserve"> Private-sector harmonisation through multinational green-building certifications, voluntary consumer labelling (e.g., GREENGUARD Gold, Cradle to Cradle), and industry self-regulation (e.g., BIFMA X7.1, IVDD for medical devices) is often faster than intergovernmental harmonisation and frequently anticipates subsequent regulatory action.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The overall pattern is toward increasingly stringent and globally consistent formaldehyde regulation, with residual divergence reflecting legitimate differences in regulatory policy preferences rather than scientific disagreement.</w:t>
      </w:r>
    </w:p>
    <w:p>
      <w:r>
        <w:br w:type="page"/>
      </w:r>
    </w:p>
    <w:p>
      <w:pPr>
        <w:spacing w:after="120" w:before="280"/>
        <w:jc w:val="left"/>
      </w:pPr>
      <w:r>
        <w:rPr>
          <w:rFonts w:ascii="Times New Roman" w:cs="Times New Roman" w:eastAsia="Times New Roman" w:hAnsi="Times New Roman"/>
          <w:b/>
          <w:bCs/>
          <w:sz w:val="24"/>
          <w:szCs w:val="24"/>
        </w:rPr>
        <w:t xml:space="preserve">Comparative Analysis of Agency Assessments</w:t>
      </w:r>
    </w:p>
    <w:p>
      <w:pPr>
        <w:spacing w:after="120" w:before="60" w:line="300"/>
        <w:jc w:val="both"/>
      </w:pPr>
      <w:r>
        <w:rPr>
          <w:rFonts w:ascii="Times New Roman" w:cs="Times New Roman" w:eastAsia="Times New Roman" w:hAnsi="Times New Roman"/>
          <w:sz w:val="24"/>
          <w:szCs w:val="24"/>
        </w:rPr>
        <w:t xml:space="preserve">The formaldehyde scientific and regulatory literature includes five principal definitive hazard and risk assessments published by major agencies over the past two decades: IARC Monographs 88 (2006), 100F (2012), and 127 (2023); NTP 12th (2011) and 15th (2021) Reports on Carcinogens; U.S. EPA IRIS IRIS Toxicological Review of Formaldehyde (Inhalation) (2024); Health Canada Priority Substances List Report (2001) and Residential Indoor Air Quality Guideline (2006, updated); and WHO Air Quality Guidelines (2010, 2021 update). </w:t>
      </w:r>
      <w:r>
        <w:rPr>
          <w:rFonts w:ascii="Times New Roman" w:cs="Times New Roman" w:eastAsia="Times New Roman" w:hAnsi="Times New Roman"/>
          <w:b/>
          <w:bCs/>
          <w:sz w:val="24"/>
          <w:szCs w:val="24"/>
          <w:vertAlign w:val="superscript"/>
        </w:rPr>
        <w:t xml:space="preserve">[1][2][3][4][5][29][30]</w:t>
      </w:r>
      <w:r>
        <w:rPr>
          <w:rFonts w:ascii="Times New Roman" w:cs="Times New Roman" w:eastAsia="Times New Roman" w:hAnsi="Times New Roman"/>
          <w:sz w:val="24"/>
          <w:szCs w:val="24"/>
        </w:rPr>
        <w:t xml:space="preserve"> Each assessment has its own methodological framework, literature cutoff, and regulatory mandate; comparative analysis illuminates the areas of scientific consensus, the areas of substantive disagreement, and the trajectory of evolving evidence. This section provides an integrated comparative review of these assessments.</w:t>
      </w:r>
    </w:p>
    <w:p>
      <w:pPr>
        <w:spacing w:after="120" w:before="280"/>
        <w:jc w:val="left"/>
      </w:pPr>
      <w:r>
        <w:rPr>
          <w:rFonts w:ascii="Times New Roman" w:cs="Times New Roman" w:eastAsia="Times New Roman" w:hAnsi="Times New Roman"/>
          <w:b/>
          <w:bCs/>
          <w:sz w:val="24"/>
          <w:szCs w:val="24"/>
        </w:rPr>
        <w:t xml:space="preserve">IARC Monograph Evolution</w:t>
      </w:r>
    </w:p>
    <w:p>
      <w:pPr>
        <w:spacing w:after="120" w:before="60" w:line="300"/>
        <w:jc w:val="both"/>
      </w:pPr>
      <w:r>
        <w:rPr>
          <w:rFonts w:ascii="Times New Roman" w:cs="Times New Roman" w:eastAsia="Times New Roman" w:hAnsi="Times New Roman"/>
          <w:sz w:val="24"/>
          <w:szCs w:val="24"/>
        </w:rPr>
        <w:t xml:space="preserve">IARC Monograph evaluations of formaldehyde reflect the progressive strengthening of scientific evidence for human carcinogenicity.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62 (1995) classified formaldehyde as Group 2A (probably carcinogenic to humans) based on limited human evidence and sufficient animal evidence.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88 (2006) upgraded the classification to Group 1 (carcinogenic to humans) citing sufficient evidence for nasopharyngeal carcinoma with supporting evidence for leukaemia.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100F (2012) confirmed the Group 1 classification with sufficient evidence for nasopharyngeal carcinoma and myeloid leukaemia, and limited evidence for sinonasal cancer.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127 (2023) maintained Group 1 classification while incorporating the expanded mechanistic evidence on the endogenous formaldehyde paradigm, the ADH5/ALDH2/FANC axis, and quantitative adverse outcome pathways. </w:t>
      </w:r>
      <w:r>
        <w:rPr>
          <w:rFonts w:ascii="Times New Roman" w:cs="Times New Roman" w:eastAsia="Times New Roman" w:hAnsi="Times New Roman"/>
          <w:b/>
          <w:bCs/>
          <w:sz w:val="24"/>
          <w:szCs w:val="24"/>
          <w:vertAlign w:val="superscript"/>
        </w:rPr>
        <w:t xml:space="preserve">[2][23][24]</w:t>
      </w:r>
      <w:r>
        <w:rPr>
          <w:rFonts w:ascii="Times New Roman" w:cs="Times New Roman" w:eastAsia="Times New Roman" w:hAnsi="Times New Roman"/>
          <w:sz w:val="24"/>
          <w:szCs w:val="24"/>
        </w:rPr>
        <w:t xml:space="preserve"> The progressive strengthening reflects larger cohort analyses, improved exposure reconstruction, new mechanistic evidence, and methodological advances in evidence integration.</w:t>
      </w:r>
    </w:p>
    <w:p>
      <w:pPr>
        <w:spacing w:after="120" w:before="280"/>
        <w:jc w:val="left"/>
      </w:pPr>
      <w:r>
        <w:rPr>
          <w:rFonts w:ascii="Times New Roman" w:cs="Times New Roman" w:eastAsia="Times New Roman" w:hAnsi="Times New Roman"/>
          <w:b/>
          <w:bCs/>
          <w:sz w:val="24"/>
          <w:szCs w:val="24"/>
        </w:rPr>
        <w:t xml:space="preserve">NTP Report on Carcinogens Classifications</w:t>
      </w:r>
    </w:p>
    <w:p>
      <w:pPr>
        <w:spacing w:after="120" w:before="60" w:line="300"/>
        <w:jc w:val="both"/>
      </w:pPr>
      <w:r>
        <w:rPr>
          <w:rFonts w:ascii="Times New Roman" w:cs="Times New Roman" w:eastAsia="Times New Roman" w:hAnsi="Times New Roman"/>
          <w:sz w:val="24"/>
          <w:szCs w:val="24"/>
        </w:rPr>
        <w:t xml:space="preserve">The NTP Report on Carcinogens has classified formaldehyde as a Known Human Carcinogen since the 12th Report (2011), confirmed in subsequent editions.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The RoC listing rationale cites NPC, sinonasal cancer, and myeloid leukaemia as the principal tumour endpoints supporting classification.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NTP conducts its own systematic review applying the RoC protocols for literature search, study evaluation, and evidence integration; the NTP Office of the Report on Carcinogens (ORoC) integrates evidence across human epidemiology, experimental animal studies, and mechanistic data.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NTP listings have direct regulatory consequences through the California Proposition 65 chemical listing, the EU SVHC identification, and the consideration of NTP as an authoritative body by U.S. state and federal agencies. </w:t>
      </w:r>
      <w:r>
        <w:rPr>
          <w:rFonts w:ascii="Times New Roman" w:cs="Times New Roman" w:eastAsia="Times New Roman" w:hAnsi="Times New Roman"/>
          <w:b/>
          <w:bCs/>
          <w:sz w:val="24"/>
          <w:szCs w:val="24"/>
          <w:vertAlign w:val="superscript"/>
        </w:rPr>
        <w:t xml:space="preserve">[4][97]</w:t>
      </w:r>
      <w:r>
        <w:rPr>
          <w:rFonts w:ascii="Times New Roman" w:cs="Times New Roman" w:eastAsia="Times New Roman" w:hAnsi="Times New Roman"/>
          <w:sz w:val="24"/>
          <w:szCs w:val="24"/>
        </w:rPr>
        <w:t xml:space="preserve"> The concordance of NTP, IARC, and EPA IRIS classifications of formaldehyde provides strong cross-agency validation of the carcinogenicity conclusion.</w:t>
      </w:r>
    </w:p>
    <w:p>
      <w:pPr>
        <w:spacing w:after="120" w:before="280"/>
        <w:jc w:val="left"/>
      </w:pPr>
      <w:r>
        <w:rPr>
          <w:rFonts w:ascii="Times New Roman" w:cs="Times New Roman" w:eastAsia="Times New Roman" w:hAnsi="Times New Roman"/>
          <w:b/>
          <w:bCs/>
          <w:sz w:val="24"/>
          <w:szCs w:val="24"/>
        </w:rPr>
        <w:t xml:space="preserve">EPA IRIS 2024 Assessment</w:t>
      </w:r>
    </w:p>
    <w:p>
      <w:pPr>
        <w:spacing w:after="120" w:before="60" w:line="300"/>
        <w:jc w:val="both"/>
      </w:pPr>
      <w:r>
        <w:rPr>
          <w:rFonts w:ascii="Times New Roman" w:cs="Times New Roman" w:eastAsia="Times New Roman" w:hAnsi="Times New Roman"/>
          <w:sz w:val="24"/>
          <w:szCs w:val="24"/>
        </w:rPr>
        <w:t xml:space="preserve">The U.S. EPA IRIS Toxicological Review of Formaldehyde (Inhalation) published in final form in August 2024 represents the most comprehensive and rigorous scientific assessment of formaldehyde to date.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assessment applies the 2022 IRIS Handbook systematic review methodology, integrates more than 600 primary references across human, animal, and mechanistic evidence streams, and derives inhalation chronic Reference Concentration (RfC) of 0.007 mg/m³ (7 µg/m³) and Inhalation Unit Risk (IUR) of 1.1 × 10⁻⁵ per µg/m³.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non-cancer RfC is based on a composite endpoint of respiratory histopathology, sensory irritation, and pulmonary function changes, derived through benchmark dose modelling with a total uncertainty factor of 30 (3 for intraspecies, 10 for interspecies).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IUR is derived from NPC risk in the NCI cohort using CFD-based regional flux as the dose metric and linear low-dose extrapolation from the point of departure.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Myeloid leukaemia is classified as a co-principal cancer endpoint with the NCI and NIOSH embalmers cohort data integrated into a separate risk estimate. The 2024 IRIS values provide the basis for EPA regulatory action under TSCA, Clean Air Act, and other statutory authorities.</w:t>
      </w:r>
    </w:p>
    <w:p>
      <w:pPr>
        <w:spacing w:after="120" w:before="280"/>
        <w:jc w:val="left"/>
      </w:pPr>
      <w:r>
        <w:rPr>
          <w:rFonts w:ascii="Times New Roman" w:cs="Times New Roman" w:eastAsia="Times New Roman" w:hAnsi="Times New Roman"/>
          <w:b/>
          <w:bCs/>
          <w:sz w:val="24"/>
          <w:szCs w:val="24"/>
        </w:rPr>
        <w:t xml:space="preserve">Health Canada Assessment Framework</w:t>
      </w:r>
    </w:p>
    <w:p>
      <w:pPr>
        <w:spacing w:after="120" w:before="60" w:line="300"/>
        <w:jc w:val="both"/>
      </w:pPr>
      <w:r>
        <w:rPr>
          <w:rFonts w:ascii="Times New Roman" w:cs="Times New Roman" w:eastAsia="Times New Roman" w:hAnsi="Times New Roman"/>
          <w:sz w:val="24"/>
          <w:szCs w:val="24"/>
        </w:rPr>
        <w:t xml:space="preserve">Health Canada's 2001 Priority Substances List Report concluded that formaldehyde is 'toxic' under the CEPA definition based on the carcinogenicity, sensory irritation, and respiratory effects evidence.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The Residential Indoor Air Quality Guideline (2006, updated) specifies 1-hour value of 123 µg/m³ (100 ppb) and 8-hour value of 90 µg/m³ (50 ppb) derived from the sensory irritation and respiratory health literature.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Health Canada collaborates extensively with U.S. EPA on formaldehyde risk assessment and cross-references the IRIS assessment for supporting material; jurisdictional differences in the final numerical guidance reflect policy choices regarding uncertainty factors and acceptable risk levels rather than fundamental scientific disagreement. </w:t>
      </w:r>
      <w:r>
        <w:rPr>
          <w:rFonts w:ascii="Times New Roman" w:cs="Times New Roman" w:eastAsia="Times New Roman" w:hAnsi="Times New Roman"/>
          <w:b/>
          <w:bCs/>
          <w:sz w:val="24"/>
          <w:szCs w:val="24"/>
          <w:vertAlign w:val="superscript"/>
        </w:rPr>
        <w:t xml:space="preserve">[1][28]</w:t>
      </w:r>
      <w:r>
        <w:rPr>
          <w:rFonts w:ascii="Times New Roman" w:cs="Times New Roman" w:eastAsia="Times New Roman" w:hAnsi="Times New Roman"/>
          <w:sz w:val="24"/>
          <w:szCs w:val="24"/>
        </w:rPr>
        <w:t xml:space="preserve"> Canadian composite wood product emission regulations aligned with U.S. TSCA Title VI (effective 2023) provide harmonised North American standards for this product category.</w:t>
      </w:r>
    </w:p>
    <w:p>
      <w:pPr>
        <w:spacing w:after="120" w:before="280"/>
        <w:jc w:val="left"/>
      </w:pPr>
      <w:r>
        <w:rPr>
          <w:rFonts w:ascii="Times New Roman" w:cs="Times New Roman" w:eastAsia="Times New Roman" w:hAnsi="Times New Roman"/>
          <w:b/>
          <w:bCs/>
          <w:sz w:val="24"/>
          <w:szCs w:val="24"/>
        </w:rPr>
        <w:t xml:space="preserve">WHO Indoor Air Quality Guidelines</w:t>
      </w:r>
    </w:p>
    <w:p>
      <w:pPr>
        <w:spacing w:after="120" w:before="60" w:line="300"/>
        <w:jc w:val="both"/>
      </w:pPr>
      <w:r>
        <w:rPr>
          <w:rFonts w:ascii="Times New Roman" w:cs="Times New Roman" w:eastAsia="Times New Roman" w:hAnsi="Times New Roman"/>
          <w:sz w:val="24"/>
          <w:szCs w:val="24"/>
        </w:rPr>
        <w:t xml:space="preserve">The WHO Air Quality Guidelines for Indoor Air (2010, updated 2021) provide the principal international guidance on residential formaldehyde exposure.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The WHO Working Group established a 30-minute ceiling value of 100 µg/m³ (0.08 ppm) as protective against sensory irritation in the general population, with the expectation that compliance with this ceiling would also protect against long-term effects at annual average exposures typically 30–40 µg/m³.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The WHO approach differs from the U.S. EPA IRIS in that it emphasises sensory irritation as the protective endpoint rather than deriving separate cancer and non-cancer values; the WHO Working Group noted that the cancer risk at 30-minute ceiling compliance would be within acceptable ranges for most exposure scenarios.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Regional WHO offices (Europe, Western Pacific, Americas) have developed implementation guidance for member states; national adoption of the WHO values is variable but many jurisdictions reference the WHO value as the health-protective target.</w:t>
      </w:r>
    </w:p>
    <w:p>
      <w:pPr>
        <w:spacing w:after="120" w:before="280"/>
        <w:jc w:val="left"/>
      </w:pPr>
      <w:r>
        <w:rPr>
          <w:rFonts w:ascii="Times New Roman" w:cs="Times New Roman" w:eastAsia="Times New Roman" w:hAnsi="Times New Roman"/>
          <w:b/>
          <w:bCs/>
          <w:sz w:val="24"/>
          <w:szCs w:val="24"/>
        </w:rPr>
        <w:t xml:space="preserve">California OEHHA Assessment</w:t>
      </w:r>
    </w:p>
    <w:p>
      <w:pPr>
        <w:spacing w:after="120" w:before="60" w:line="300"/>
        <w:jc w:val="both"/>
      </w:pPr>
      <w:r>
        <w:rPr>
          <w:rFonts w:ascii="Times New Roman" w:cs="Times New Roman" w:eastAsia="Times New Roman" w:hAnsi="Times New Roman"/>
          <w:sz w:val="24"/>
          <w:szCs w:val="24"/>
        </w:rPr>
        <w:t xml:space="preserve">The California Office of Environmental Health Hazard Assessment (OEHHA) maintains formaldehyde Reference Exposure Levels (RELs) and Proposition 65 risk characterisation. </w:t>
      </w:r>
      <w:r>
        <w:rPr>
          <w:rFonts w:ascii="Times New Roman" w:cs="Times New Roman" w:eastAsia="Times New Roman" w:hAnsi="Times New Roman"/>
          <w:b/>
          <w:bCs/>
          <w:sz w:val="24"/>
          <w:szCs w:val="24"/>
          <w:vertAlign w:val="superscript"/>
        </w:rPr>
        <w:t xml:space="preserve">[5][97]</w:t>
      </w:r>
      <w:r>
        <w:rPr>
          <w:rFonts w:ascii="Times New Roman" w:cs="Times New Roman" w:eastAsia="Times New Roman" w:hAnsi="Times New Roman"/>
          <w:sz w:val="24"/>
          <w:szCs w:val="24"/>
        </w:rPr>
        <w:t xml:space="preserve"> The OEHHA chronic inhalation REL is 9 µg/m³ (7 ppb), derived from respiratory histopathology and sensory irritation with intraspecies and interspecies uncertainty factors.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The OEHHA acute REL is 55 µg/m³ (44 ppb) for 1-hour and the 8-hour REL is 9 µg/m³ (7 ppb).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Proposition 65 maximum allowable dose level for cancer risk is derived from a different computational framework and is typically used for consumer product labelling thresholds.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California often provides leading-edge regulatory action with subsequent adoption by other jurisdictions; the CARB Airborne Toxic Control Measure for composite wood products (2007, tightened 2013) preceded the U.S. TSCA Title VI rulemaking and served as the template for federal action.</w:t>
      </w:r>
    </w:p>
    <w:p>
      <w:pPr>
        <w:spacing w:after="120" w:before="280"/>
        <w:jc w:val="left"/>
      </w:pPr>
      <w:r>
        <w:rPr>
          <w:rFonts w:ascii="Times New Roman" w:cs="Times New Roman" w:eastAsia="Times New Roman" w:hAnsi="Times New Roman"/>
          <w:b/>
          <w:bCs/>
          <w:sz w:val="24"/>
          <w:szCs w:val="24"/>
        </w:rPr>
        <w:t xml:space="preserve">ATSDR Toxicological Profile</w:t>
      </w:r>
    </w:p>
    <w:p>
      <w:pPr>
        <w:spacing w:after="120" w:before="60" w:line="300"/>
        <w:jc w:val="both"/>
      </w:pPr>
      <w:r>
        <w:rPr>
          <w:rFonts w:ascii="Times New Roman" w:cs="Times New Roman" w:eastAsia="Times New Roman" w:hAnsi="Times New Roman"/>
          <w:sz w:val="24"/>
          <w:szCs w:val="24"/>
        </w:rPr>
        <w:t xml:space="preserve">The U.S. Agency for Toxic Substances and Disease Registry (ATSDR) Toxicological Profile for Formaldehyde (most recent update 2022) provides a comprehensive health effects synthesis designed for public health professionals, healthcare providers, and citizens at formaldehyde-contaminated sites.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The ATSDR chronic inhalation Minimal Risk Level (MRL) is 10 µg/m³ (8 ppb), intermediate between the EPA IRIS and OEHHA values.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ATSDR intermediate-duration MRL is 30 µg/m³ (25 ppb) and acute MRL is 40 µg/m³ (33 ppb).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The Toxicological Profile provides extensive discussion of human health effects, interactions with other substances, populations with potentially high exposures, and analytical methods; it is widely referenced in the regulatory, occupational health, and clinical literature.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ATSDR's mandate under CERCLA (Superfund) means the MRL values are used primarily for site-specific contamination evaluation rather than regulatory standard-setting, but the values are cited by other agencies as supportive reference values.</w:t>
      </w:r>
    </w:p>
    <w:p>
      <w:pPr>
        <w:spacing w:after="120" w:before="280"/>
        <w:jc w:val="left"/>
      </w:pPr>
      <w:r>
        <w:rPr>
          <w:rFonts w:ascii="Times New Roman" w:cs="Times New Roman" w:eastAsia="Times New Roman" w:hAnsi="Times New Roman"/>
          <w:b/>
          <w:bCs/>
          <w:sz w:val="24"/>
          <w:szCs w:val="24"/>
        </w:rPr>
        <w:t xml:space="preserve">Points of Scientific Consensus</w:t>
      </w:r>
    </w:p>
    <w:p>
      <w:pPr>
        <w:spacing w:after="120" w:before="60" w:line="300"/>
        <w:jc w:val="both"/>
      </w:pPr>
      <w:r>
        <w:rPr>
          <w:rFonts w:ascii="Times New Roman" w:cs="Times New Roman" w:eastAsia="Times New Roman" w:hAnsi="Times New Roman"/>
          <w:sz w:val="24"/>
          <w:szCs w:val="24"/>
        </w:rPr>
        <w:t xml:space="preserve">Across the major formaldehyde assessments, several points of scientific consensus have emerged. </w:t>
      </w:r>
      <w:r>
        <w:rPr>
          <w:rFonts w:ascii="Times New Roman" w:cs="Times New Roman" w:eastAsia="Times New Roman" w:hAnsi="Times New Roman"/>
          <w:b/>
          <w:bCs/>
          <w:sz w:val="24"/>
          <w:szCs w:val="24"/>
          <w:vertAlign w:val="superscript"/>
        </w:rPr>
        <w:t xml:space="preserve">[1][2][3][4][5][29][30][97]</w:t>
      </w:r>
      <w:r>
        <w:rPr>
          <w:rFonts w:ascii="Times New Roman" w:cs="Times New Roman" w:eastAsia="Times New Roman" w:hAnsi="Times New Roman"/>
          <w:sz w:val="24"/>
          <w:szCs w:val="24"/>
        </w:rPr>
        <w:t xml:space="preserve"> First, formaldehyde is classified as a known human carcinogen (Group 1 IARC, Known NTP, Carc. 1A/1B EU, known OEHHA/Proposition 65) with NPC, sinonasal cancer, and myeloid leukaemia as the principal tumour endpoints of concern. </w:t>
      </w:r>
      <w:r>
        <w:rPr>
          <w:rFonts w:ascii="Times New Roman" w:cs="Times New Roman" w:eastAsia="Times New Roman" w:hAnsi="Times New Roman"/>
          <w:b/>
          <w:bCs/>
          <w:sz w:val="24"/>
          <w:szCs w:val="24"/>
          <w:vertAlign w:val="superscript"/>
        </w:rPr>
        <w:t xml:space="preserve">[1][2][3][4]</w:t>
      </w:r>
      <w:r>
        <w:rPr>
          <w:rFonts w:ascii="Times New Roman" w:cs="Times New Roman" w:eastAsia="Times New Roman" w:hAnsi="Times New Roman"/>
          <w:sz w:val="24"/>
          <w:szCs w:val="24"/>
        </w:rPr>
        <w:t xml:space="preserve"> Second, non-cancer effects — sensory irritation, respiratory epithelial histopathology, pulmonary function changes, dermal sensitisation — are robust and dose-dependent at both occupational and environmental exposures. </w:t>
      </w:r>
      <w:r>
        <w:rPr>
          <w:rFonts w:ascii="Times New Roman" w:cs="Times New Roman" w:eastAsia="Times New Roman" w:hAnsi="Times New Roman"/>
          <w:b/>
          <w:bCs/>
          <w:sz w:val="24"/>
          <w:szCs w:val="24"/>
          <w:vertAlign w:val="superscript"/>
        </w:rPr>
        <w:t xml:space="preserve">[1][29][30][97]</w:t>
      </w:r>
      <w:r>
        <w:rPr>
          <w:rFonts w:ascii="Times New Roman" w:cs="Times New Roman" w:eastAsia="Times New Roman" w:hAnsi="Times New Roman"/>
          <w:sz w:val="24"/>
          <w:szCs w:val="24"/>
        </w:rPr>
        <w:t xml:space="preserve"> Third, the mechanistic basis — DPC formation, genotoxicity, interference with one-carbon metabolism, ADH5/ALDH2/FANC axis activation — is well-characterised and supports causal inference for both cancer and non-cancer endpoints. </w:t>
      </w:r>
      <w:r>
        <w:rPr>
          <w:rFonts w:ascii="Times New Roman" w:cs="Times New Roman" w:eastAsia="Times New Roman" w:hAnsi="Times New Roman"/>
          <w:b/>
          <w:bCs/>
          <w:sz w:val="24"/>
          <w:szCs w:val="24"/>
          <w:vertAlign w:val="superscript"/>
        </w:rPr>
        <w:t xml:space="preserve">[23][24][52]</w:t>
      </w:r>
      <w:r>
        <w:rPr>
          <w:rFonts w:ascii="Times New Roman" w:cs="Times New Roman" w:eastAsia="Times New Roman" w:hAnsi="Times New Roman"/>
          <w:sz w:val="24"/>
          <w:szCs w:val="24"/>
        </w:rPr>
        <w:t xml:space="preserve"> Fourth, residential indoor air guidance of order 10–100 µg/m³ is appropriate for general population protection. </w:t>
      </w:r>
      <w:r>
        <w:rPr>
          <w:rFonts w:ascii="Times New Roman" w:cs="Times New Roman" w:eastAsia="Times New Roman" w:hAnsi="Times New Roman"/>
          <w:b/>
          <w:bCs/>
          <w:sz w:val="24"/>
          <w:szCs w:val="24"/>
          <w:vertAlign w:val="superscript"/>
        </w:rPr>
        <w:t xml:space="preserve">[5][28][29][30][66][97]</w:t>
      </w:r>
      <w:r>
        <w:rPr>
          <w:rFonts w:ascii="Times New Roman" w:cs="Times New Roman" w:eastAsia="Times New Roman" w:hAnsi="Times New Roman"/>
          <w:sz w:val="24"/>
          <w:szCs w:val="24"/>
        </w:rPr>
        <w:t xml:space="preserve"> Fifth, occupational exposure limits in the 0.1–1 ppm range with specific attention to peak excursions provide adequate workplace protection when combined with appropriate engineering and administrative controls.</w:t>
      </w:r>
    </w:p>
    <w:p>
      <w:pPr>
        <w:spacing w:after="120" w:before="280"/>
        <w:jc w:val="left"/>
      </w:pPr>
      <w:r>
        <w:rPr>
          <w:rFonts w:ascii="Times New Roman" w:cs="Times New Roman" w:eastAsia="Times New Roman" w:hAnsi="Times New Roman"/>
          <w:b/>
          <w:bCs/>
          <w:sz w:val="24"/>
          <w:szCs w:val="24"/>
        </w:rPr>
        <w:t xml:space="preserve">Points of Active Disagreement</w:t>
      </w:r>
    </w:p>
    <w:p>
      <w:pPr>
        <w:spacing w:after="120" w:before="60" w:line="300"/>
        <w:jc w:val="both"/>
      </w:pPr>
      <w:r>
        <w:rPr>
          <w:rFonts w:ascii="Times New Roman" w:cs="Times New Roman" w:eastAsia="Times New Roman" w:hAnsi="Times New Roman"/>
          <w:sz w:val="24"/>
          <w:szCs w:val="24"/>
        </w:rPr>
        <w:t xml:space="preserve">Areas of active disagreement across agencies include the choice of linear versus non-linear low-dose cancer extrapolation, the specific magnitude of the inhalation unit risk value, the appropriate uncertainty factor application for non-cancer endpoints, and the weighting of human versus animal evidence for specific cancer sites. </w:t>
      </w:r>
      <w:r>
        <w:rPr>
          <w:rFonts w:ascii="Times New Roman" w:cs="Times New Roman" w:eastAsia="Times New Roman" w:hAnsi="Times New Roman"/>
          <w:b/>
          <w:bCs/>
          <w:sz w:val="24"/>
          <w:szCs w:val="24"/>
          <w:vertAlign w:val="superscript"/>
        </w:rPr>
        <w:t xml:space="preserve">[1][2][26][28][29]</w:t>
      </w:r>
      <w:r>
        <w:rPr>
          <w:rFonts w:ascii="Times New Roman" w:cs="Times New Roman" w:eastAsia="Times New Roman" w:hAnsi="Times New Roman"/>
          <w:sz w:val="24"/>
          <w:szCs w:val="24"/>
        </w:rPr>
        <w:t xml:space="preserve"> The linear low-dose assumption adopted by EPA IRIS, Health Canada, NIOSH, and OEHHA contrasts with the threshold or non-linear approach advocated by some European agencies and by industry-sponsored scientific panels citing the endogenous formaldehyde paradigm and saturable detoxification. </w:t>
      </w:r>
      <w:r>
        <w:rPr>
          <w:rFonts w:ascii="Times New Roman" w:cs="Times New Roman" w:eastAsia="Times New Roman" w:hAnsi="Times New Roman"/>
          <w:b/>
          <w:bCs/>
          <w:sz w:val="24"/>
          <w:szCs w:val="24"/>
          <w:vertAlign w:val="superscript"/>
        </w:rPr>
        <w:t xml:space="preserve">[1][23][24][52][58]</w:t>
      </w:r>
      <w:r>
        <w:rPr>
          <w:rFonts w:ascii="Times New Roman" w:cs="Times New Roman" w:eastAsia="Times New Roman" w:hAnsi="Times New Roman"/>
          <w:sz w:val="24"/>
          <w:szCs w:val="24"/>
        </w:rPr>
        <w:t xml:space="preserve"> These differences produce unit risk estimates varying by approximately 10-fold across jurisdictions; the resulting regulatory guidance values differ correspondingly. </w:t>
      </w:r>
      <w:r>
        <w:rPr>
          <w:rFonts w:ascii="Times New Roman" w:cs="Times New Roman" w:eastAsia="Times New Roman" w:hAnsi="Times New Roman"/>
          <w:b/>
          <w:bCs/>
          <w:sz w:val="24"/>
          <w:szCs w:val="24"/>
          <w:vertAlign w:val="superscript"/>
        </w:rPr>
        <w:t xml:space="preserve">[1][26][28][29]</w:t>
      </w:r>
      <w:r>
        <w:rPr>
          <w:rFonts w:ascii="Times New Roman" w:cs="Times New Roman" w:eastAsia="Times New Roman" w:hAnsi="Times New Roman"/>
          <w:sz w:val="24"/>
          <w:szCs w:val="24"/>
        </w:rPr>
        <w:t xml:space="preserve"> Ongoing scientific dialogue through WHO IPCS, OECD, and ICH frameworks, as well as through peer-reviewed scientific debate, continues to refine these differences but is unlikely to produce full convergence given the legitimate differences in regulatory policy preferences across jurisdictions.</w:t>
      </w:r>
    </w:p>
    <w:p>
      <w:pPr>
        <w:spacing w:after="120" w:before="280"/>
        <w:jc w:val="left"/>
      </w:pPr>
      <w:r>
        <w:rPr>
          <w:rFonts w:ascii="Times New Roman" w:cs="Times New Roman" w:eastAsia="Times New Roman" w:hAnsi="Times New Roman"/>
          <w:b/>
          <w:bCs/>
          <w:sz w:val="24"/>
          <w:szCs w:val="24"/>
        </w:rPr>
        <w:t xml:space="preserve">Future Evolution of Assessments</w:t>
      </w:r>
    </w:p>
    <w:p>
      <w:pPr>
        <w:spacing w:after="120" w:before="60" w:line="300"/>
        <w:jc w:val="both"/>
      </w:pPr>
      <w:r>
        <w:rPr>
          <w:rFonts w:ascii="Times New Roman" w:cs="Times New Roman" w:eastAsia="Times New Roman" w:hAnsi="Times New Roman"/>
          <w:sz w:val="24"/>
          <w:szCs w:val="24"/>
        </w:rPr>
        <w:t xml:space="preserve">Future formaldehyde assessment evolution will likely include continued strengthening of the mechanistic evidence base through adductomics, single-cell biology, and systems toxicology; expansion of the epidemiological evidence through new cohort follow-up and assembly of international cohorts; refinement of low-dose extrapolation through improved PBPK models and quantitative AOP frameworks; and progressive international harmonisation through WHO IPCS, OECD, and regulatory cooperation forums. </w:t>
      </w:r>
      <w:r>
        <w:rPr>
          <w:rFonts w:ascii="Times New Roman" w:cs="Times New Roman" w:eastAsia="Times New Roman" w:hAnsi="Times New Roman"/>
          <w:b/>
          <w:bCs/>
          <w:sz w:val="24"/>
          <w:szCs w:val="24"/>
          <w:vertAlign w:val="superscript"/>
        </w:rPr>
        <w:t xml:space="preserve">[1][2][23][24][52][60]</w:t>
      </w:r>
      <w:r>
        <w:rPr>
          <w:rFonts w:ascii="Times New Roman" w:cs="Times New Roman" w:eastAsia="Times New Roman" w:hAnsi="Times New Roman"/>
          <w:sz w:val="24"/>
          <w:szCs w:val="24"/>
        </w:rPr>
        <w:t xml:space="preserve"> The 2024 EPA IRIS assessment will serve as the definitive reference for North American regulation for approximately a decade before substantial update; NTP and IARC evaluations are likely to reconfirm Group 1 / Known Human Carcinogen classification while incorporating new mechanistic evidence. </w:t>
      </w:r>
      <w:r>
        <w:rPr>
          <w:rFonts w:ascii="Times New Roman" w:cs="Times New Roman" w:eastAsia="Times New Roman" w:hAnsi="Times New Roman"/>
          <w:b/>
          <w:bCs/>
          <w:sz w:val="24"/>
          <w:szCs w:val="24"/>
          <w:vertAlign w:val="superscript"/>
        </w:rPr>
        <w:t xml:space="preserve">[1][2][3][4]</w:t>
      </w:r>
      <w:r>
        <w:rPr>
          <w:rFonts w:ascii="Times New Roman" w:cs="Times New Roman" w:eastAsia="Times New Roman" w:hAnsi="Times New Roman"/>
          <w:sz w:val="24"/>
          <w:szCs w:val="24"/>
        </w:rPr>
        <w:t xml:space="preserve"> Private-sector action, consumer demand for low-emitting products, and progressive market reformulation will continue to drive exposure reduction ahead of regulatory action. Continued occupational and environmental health surveillance will monitor the effectiveness of these combined regulatory and market actions and identify residual exposure concerns warranting additional intervention.</w:t>
      </w:r>
    </w:p>
    <w:p>
      <w:r>
        <w:br w:type="page"/>
      </w:r>
    </w:p>
    <w:p>
      <w:pPr>
        <w:spacing w:after="120" w:before="280"/>
        <w:jc w:val="left"/>
      </w:pPr>
      <w:r>
        <w:rPr>
          <w:rFonts w:ascii="Times New Roman" w:cs="Times New Roman" w:eastAsia="Times New Roman" w:hAnsi="Times New Roman"/>
          <w:b/>
          <w:bCs/>
          <w:sz w:val="24"/>
          <w:szCs w:val="24"/>
        </w:rPr>
        <w:t xml:space="preserve">Vulnerable and Susceptible Populations</w:t>
      </w:r>
    </w:p>
    <w:p>
      <w:pPr>
        <w:spacing w:after="120" w:before="60" w:line="300"/>
        <w:jc w:val="both"/>
      </w:pPr>
      <w:r>
        <w:rPr>
          <w:rFonts w:ascii="Times New Roman" w:cs="Times New Roman" w:eastAsia="Times New Roman" w:hAnsi="Times New Roman"/>
          <w:sz w:val="24"/>
          <w:szCs w:val="24"/>
        </w:rPr>
        <w:t xml:space="preserve">Formaldehyde risk is not uniformly distributed across the population; specific life stages, pre-existing health conditions, and genetic backgrounds confer differential susceptibility. </w:t>
      </w:r>
      <w:r>
        <w:rPr>
          <w:rFonts w:ascii="Times New Roman" w:cs="Times New Roman" w:eastAsia="Times New Roman" w:hAnsi="Times New Roman"/>
          <w:b/>
          <w:bCs/>
          <w:sz w:val="24"/>
          <w:szCs w:val="24"/>
          <w:vertAlign w:val="superscript"/>
        </w:rPr>
        <w:t xml:space="preserve">[19][21][24][73]</w:t>
      </w:r>
      <w:r>
        <w:rPr>
          <w:rFonts w:ascii="Times New Roman" w:cs="Times New Roman" w:eastAsia="Times New Roman" w:hAnsi="Times New Roman"/>
          <w:sz w:val="24"/>
          <w:szCs w:val="24"/>
        </w:rPr>
        <w:t xml:space="preserve"> Children, pregnant women, elderly individuals, persons with asthma or other respiratory disease, individuals with Fanconi anaemia or related DNA-repair deficits, carriers of ALDH2 or ADH5 loss-of-function polymorphisms, and workers in high-exposure industries with co-exposures each warrant specific consideration in risk assessment and public health guidance. </w:t>
      </w:r>
      <w:r>
        <w:rPr>
          <w:rFonts w:ascii="Times New Roman" w:cs="Times New Roman" w:eastAsia="Times New Roman" w:hAnsi="Times New Roman"/>
          <w:b/>
          <w:bCs/>
          <w:sz w:val="24"/>
          <w:szCs w:val="24"/>
          <w:vertAlign w:val="superscript"/>
        </w:rPr>
        <w:t xml:space="preserve">[21][24][47][66][73]</w:t>
      </w:r>
      <w:r>
        <w:rPr>
          <w:rFonts w:ascii="Times New Roman" w:cs="Times New Roman" w:eastAsia="Times New Roman" w:hAnsi="Times New Roman"/>
          <w:sz w:val="24"/>
          <w:szCs w:val="24"/>
        </w:rPr>
        <w:t xml:space="preserve"> The U.S. EPA IRIS 2024 assessment incorporated chemical-specific adjustment factors for pharmacokinetic variability associated with ADH5 and ALDH2 genetics and explicitly addressed life-stage dosimetry for infants and children.</w:t>
      </w:r>
      <w:r>
        <w:rPr>
          <w:rFonts w:ascii="Times New Roman" w:cs="Times New Roman" w:eastAsia="Times New Roman" w:hAnsi="Times New Roman"/>
          <w:b/>
          <w:bCs/>
          <w:sz w:val="24"/>
          <w:szCs w:val="24"/>
          <w:vertAlign w:val="superscript"/>
        </w:rPr>
        <w:t xml:space="preserve">[1]</w:t>
      </w:r>
    </w:p>
    <w:p>
      <w:pPr>
        <w:spacing w:after="120" w:before="280"/>
        <w:jc w:val="left"/>
      </w:pPr>
      <w:r>
        <w:rPr>
          <w:rFonts w:ascii="Times New Roman" w:cs="Times New Roman" w:eastAsia="Times New Roman" w:hAnsi="Times New Roman"/>
          <w:b/>
          <w:bCs/>
          <w:sz w:val="24"/>
          <w:szCs w:val="24"/>
        </w:rPr>
        <w:t xml:space="preserve">Children and Adolescents</w:t>
      </w:r>
    </w:p>
    <w:p>
      <w:pPr>
        <w:spacing w:after="120" w:before="60" w:line="300"/>
        <w:jc w:val="both"/>
      </w:pPr>
      <w:r>
        <w:rPr>
          <w:rFonts w:ascii="Times New Roman" w:cs="Times New Roman" w:eastAsia="Times New Roman" w:hAnsi="Times New Roman"/>
          <w:sz w:val="24"/>
          <w:szCs w:val="24"/>
        </w:rPr>
        <w:t xml:space="preserve">Children exhibit higher minute-ventilation-to-body-weight ratios than adults, breathe more frequently through the mouth during early life, and spend more time indoors where residential formaldehyde exposures are typically highest. </w:t>
      </w:r>
      <w:r>
        <w:rPr>
          <w:rFonts w:ascii="Times New Roman" w:cs="Times New Roman" w:eastAsia="Times New Roman" w:hAnsi="Times New Roman"/>
          <w:b/>
          <w:bCs/>
          <w:sz w:val="24"/>
          <w:szCs w:val="24"/>
          <w:vertAlign w:val="superscript"/>
        </w:rPr>
        <w:t xml:space="preserve">[19][31][63]</w:t>
      </w:r>
      <w:r>
        <w:rPr>
          <w:rFonts w:ascii="Times New Roman" w:cs="Times New Roman" w:eastAsia="Times New Roman" w:hAnsi="Times New Roman"/>
          <w:sz w:val="24"/>
          <w:szCs w:val="24"/>
        </w:rPr>
        <w:t xml:space="preserve"> Taken together these factors increase delivered target-tissue dose per unit ambient concentration by a factor of 2–3 relative to adults.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Epidemiological evidence of respiratory effects in children exposed to indoor formaldehyde has accumulated across multiple studies. A pooled analysis of residential exposure studies in North American and European schoolchildren (5–15 years of age) reported asthma-symptom odds ratios of 1.17 (95 % CI 1.03–1.34) per 10 µg/m³ increase in indoor formaldehyde.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Allergic rhinitis, eczema exacerbation, and new-onset wheeze have been associated with indoor concentrations exceeding 30 µg/m³ in several cohort and cross-sectional studies.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Developmental neurotoxicity concerns have been raised based on rodent studies of peri-natal exposure, but human evidence remains limited and largely confounded.</w:t>
      </w:r>
      <w:r>
        <w:rPr>
          <w:rFonts w:ascii="Times New Roman" w:cs="Times New Roman" w:eastAsia="Times New Roman" w:hAnsi="Times New Roman"/>
          <w:b/>
          <w:bCs/>
          <w:sz w:val="24"/>
          <w:szCs w:val="24"/>
          <w:vertAlign w:val="superscript"/>
        </w:rPr>
        <w:t xml:space="preserve">[19]</w:t>
      </w:r>
    </w:p>
    <w:p>
      <w:pPr>
        <w:spacing w:after="120" w:before="280"/>
        <w:jc w:val="left"/>
      </w:pPr>
      <w:r>
        <w:rPr>
          <w:rFonts w:ascii="Times New Roman" w:cs="Times New Roman" w:eastAsia="Times New Roman" w:hAnsi="Times New Roman"/>
          <w:b/>
          <w:bCs/>
          <w:sz w:val="24"/>
          <w:szCs w:val="24"/>
        </w:rPr>
        <w:t xml:space="preserve">Pregnant Women and the Developing Fetus</w:t>
      </w:r>
    </w:p>
    <w:p>
      <w:pPr>
        <w:spacing w:after="120" w:before="60" w:line="300"/>
        <w:jc w:val="both"/>
      </w:pPr>
      <w:r>
        <w:rPr>
          <w:rFonts w:ascii="Times New Roman" w:cs="Times New Roman" w:eastAsia="Times New Roman" w:hAnsi="Times New Roman"/>
          <w:sz w:val="24"/>
          <w:szCs w:val="24"/>
        </w:rPr>
        <w:t xml:space="preserve">Occupational exposure of pregnant women to formaldehyde has been investigated in cohort studies of nurses, pathology technicians, and cosmetology workers. </w:t>
      </w:r>
      <w:r>
        <w:rPr>
          <w:rFonts w:ascii="Times New Roman" w:cs="Times New Roman" w:eastAsia="Times New Roman" w:hAnsi="Times New Roman"/>
          <w:b/>
          <w:bCs/>
          <w:sz w:val="24"/>
          <w:szCs w:val="24"/>
          <w:vertAlign w:val="superscript"/>
        </w:rPr>
        <w:t xml:space="preserve">[47][94]</w:t>
      </w:r>
      <w:r>
        <w:rPr>
          <w:rFonts w:ascii="Times New Roman" w:cs="Times New Roman" w:eastAsia="Times New Roman" w:hAnsi="Times New Roman"/>
          <w:sz w:val="24"/>
          <w:szCs w:val="24"/>
        </w:rPr>
        <w:t xml:space="preserve"> A meta-analysis of reproductive outcomes in women occupationally exposed during pregnancy reported pooled relative risks of 1.40 (95 % CI 1.15–1.69) for spontaneous abortion and 1.76 (95 % CI 1.20–2.59) for low birth weight across 14 studies, though heterogeneity was high and co-exposure adjustment was imperfect. </w:t>
      </w:r>
      <w:r>
        <w:rPr>
          <w:rFonts w:ascii="Times New Roman" w:cs="Times New Roman" w:eastAsia="Times New Roman" w:hAnsi="Times New Roman"/>
          <w:b/>
          <w:bCs/>
          <w:sz w:val="24"/>
          <w:szCs w:val="24"/>
          <w:vertAlign w:val="superscript"/>
        </w:rPr>
        <w:t xml:space="preserve">[47][94]</w:t>
      </w:r>
      <w:r>
        <w:rPr>
          <w:rFonts w:ascii="Times New Roman" w:cs="Times New Roman" w:eastAsia="Times New Roman" w:hAnsi="Times New Roman"/>
          <w:sz w:val="24"/>
          <w:szCs w:val="24"/>
        </w:rPr>
        <w:t xml:space="preserve"> Animal studies provide supporting evidence: subcutaneous and inhalation exposure of pregnant rodents to formaldehyde at ≥10 ppm produced reduced fetal weight, increased resorptions, and skeletal variations; developmental toxicity was not observed below the maternal toxicity threshold.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sz w:val="24"/>
          <w:szCs w:val="24"/>
        </w:rPr>
        <w:t xml:space="preserve"> The IRIS 2024 assessment adopted a composite uncertainty factor sufficient to accommodate developmental susceptibility in deriving the RfC and RfD.</w:t>
      </w:r>
      <w:r>
        <w:rPr>
          <w:rFonts w:ascii="Times New Roman" w:cs="Times New Roman" w:eastAsia="Times New Roman" w:hAnsi="Times New Roman"/>
          <w:b/>
          <w:bCs/>
          <w:sz w:val="24"/>
          <w:szCs w:val="24"/>
          <w:vertAlign w:val="superscript"/>
        </w:rPr>
        <w:t xml:space="preserve">[1]</w:t>
      </w:r>
    </w:p>
    <w:p>
      <w:pPr>
        <w:spacing w:after="120" w:before="280"/>
        <w:jc w:val="left"/>
      </w:pPr>
      <w:r>
        <w:rPr>
          <w:rFonts w:ascii="Times New Roman" w:cs="Times New Roman" w:eastAsia="Times New Roman" w:hAnsi="Times New Roman"/>
          <w:b/>
          <w:bCs/>
          <w:sz w:val="24"/>
          <w:szCs w:val="24"/>
        </w:rPr>
        <w:t xml:space="preserve">Elderly Individuals</w:t>
      </w:r>
    </w:p>
    <w:p>
      <w:pPr>
        <w:spacing w:after="120" w:before="60" w:line="300"/>
        <w:jc w:val="both"/>
      </w:pPr>
      <w:r>
        <w:rPr>
          <w:rFonts w:ascii="Times New Roman" w:cs="Times New Roman" w:eastAsia="Times New Roman" w:hAnsi="Times New Roman"/>
          <w:sz w:val="24"/>
          <w:szCs w:val="24"/>
        </w:rPr>
        <w:t xml:space="preserve">Age-related decline in ADH5, ALDH2, and DNA-repair pathway function may increase formaldehyde susceptibility in elderly individuals, though direct epidemiological evidence is sparse. </w:t>
      </w:r>
      <w:r>
        <w:rPr>
          <w:rFonts w:ascii="Times New Roman" w:cs="Times New Roman" w:eastAsia="Times New Roman" w:hAnsi="Times New Roman"/>
          <w:b/>
          <w:bCs/>
          <w:sz w:val="24"/>
          <w:szCs w:val="24"/>
          <w:vertAlign w:val="superscript"/>
        </w:rPr>
        <w:t xml:space="preserve">[21][24][73]</w:t>
      </w:r>
      <w:r>
        <w:rPr>
          <w:rFonts w:ascii="Times New Roman" w:cs="Times New Roman" w:eastAsia="Times New Roman" w:hAnsi="Times New Roman"/>
          <w:sz w:val="24"/>
          <w:szCs w:val="24"/>
        </w:rPr>
        <w:t xml:space="preserve"> Pre-existing chronic respiratory disease (COPD, emphysema, asthma) and cardiovascular disease are more prevalent in older adults and may amplify responses to acute and chronic formaldehyde exposure. </w:t>
      </w:r>
      <w:r>
        <w:rPr>
          <w:rFonts w:ascii="Times New Roman" w:cs="Times New Roman" w:eastAsia="Times New Roman" w:hAnsi="Times New Roman"/>
          <w:b/>
          <w:bCs/>
          <w:sz w:val="24"/>
          <w:szCs w:val="24"/>
          <w:vertAlign w:val="superscript"/>
        </w:rPr>
        <w:t xml:space="preserve">[19][77]</w:t>
      </w:r>
      <w:r>
        <w:rPr>
          <w:rFonts w:ascii="Times New Roman" w:cs="Times New Roman" w:eastAsia="Times New Roman" w:hAnsi="Times New Roman"/>
          <w:sz w:val="24"/>
          <w:szCs w:val="24"/>
        </w:rPr>
        <w:t xml:space="preserve"> Elderly residents in homes with high formaldehyde concentrations (new construction, recent renovations, or mobile/manufactured housing) have been reported in one cross-sectional study to experience greater declines in peak expiratory flow and FEV₁ over a 12-month period than age- and sex-matched controls in lower-formaldehyde homes.</w:t>
      </w:r>
      <w:r>
        <w:rPr>
          <w:rFonts w:ascii="Times New Roman" w:cs="Times New Roman" w:eastAsia="Times New Roman" w:hAnsi="Times New Roman"/>
          <w:b/>
          <w:bCs/>
          <w:sz w:val="24"/>
          <w:szCs w:val="24"/>
          <w:vertAlign w:val="superscript"/>
        </w:rPr>
        <w:t xml:space="preserve">[19][31]</w:t>
      </w:r>
    </w:p>
    <w:p>
      <w:pPr>
        <w:spacing w:after="120" w:before="280"/>
        <w:jc w:val="left"/>
      </w:pPr>
      <w:r>
        <w:rPr>
          <w:rFonts w:ascii="Times New Roman" w:cs="Times New Roman" w:eastAsia="Times New Roman" w:hAnsi="Times New Roman"/>
          <w:b/>
          <w:bCs/>
          <w:sz w:val="24"/>
          <w:szCs w:val="24"/>
        </w:rPr>
        <w:t xml:space="preserve">Asthma and Pre-existing Respiratory Disease</w:t>
      </w:r>
    </w:p>
    <w:p>
      <w:pPr>
        <w:spacing w:after="120" w:before="60" w:line="300"/>
        <w:jc w:val="both"/>
      </w:pPr>
      <w:r>
        <w:rPr>
          <w:rFonts w:ascii="Times New Roman" w:cs="Times New Roman" w:eastAsia="Times New Roman" w:hAnsi="Times New Roman"/>
          <w:sz w:val="24"/>
          <w:szCs w:val="24"/>
        </w:rPr>
        <w:t xml:space="preserve">Individuals with asthma, COPD, or chronic rhinitis show greater respiratory symptom response to a given formaldehyde exposure. </w:t>
      </w:r>
      <w:r>
        <w:rPr>
          <w:rFonts w:ascii="Times New Roman" w:cs="Times New Roman" w:eastAsia="Times New Roman" w:hAnsi="Times New Roman"/>
          <w:b/>
          <w:bCs/>
          <w:sz w:val="24"/>
          <w:szCs w:val="24"/>
          <w:vertAlign w:val="superscript"/>
        </w:rPr>
        <w:t xml:space="preserve">[19][27][93]</w:t>
      </w:r>
      <w:r>
        <w:rPr>
          <w:rFonts w:ascii="Times New Roman" w:cs="Times New Roman" w:eastAsia="Times New Roman" w:hAnsi="Times New Roman"/>
          <w:sz w:val="24"/>
          <w:szCs w:val="24"/>
        </w:rPr>
        <w:t xml:space="preserve"> Controlled human chamber studies document FEV₁ declines in asthmatic subjects exposed to 1–3 ppm formaldehyde for 30 minutes while performing moderate exercise; comparable declines in healthy subjects require substantially higher concentrations.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Increased airway responsiveness to methacholine challenge following formaldehyde exposure has been documented in adults with allergic asthma.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Paediatric asthma populations appear particularly susceptible; residential formaldehyde concentrations above 40 µg/m³ have been associated with increased emergency-department visits and inhaled-corticosteroid use in asthmatic children across multiple cohort studies.</w:t>
      </w:r>
      <w:r>
        <w:rPr>
          <w:rFonts w:ascii="Times New Roman" w:cs="Times New Roman" w:eastAsia="Times New Roman" w:hAnsi="Times New Roman"/>
          <w:b/>
          <w:bCs/>
          <w:sz w:val="24"/>
          <w:szCs w:val="24"/>
          <w:vertAlign w:val="superscript"/>
        </w:rPr>
        <w:t xml:space="preserve">[19][93]</w:t>
      </w:r>
    </w:p>
    <w:p>
      <w:pPr>
        <w:spacing w:after="120" w:before="280"/>
        <w:jc w:val="left"/>
      </w:pPr>
      <w:r>
        <w:rPr>
          <w:rFonts w:ascii="Times New Roman" w:cs="Times New Roman" w:eastAsia="Times New Roman" w:hAnsi="Times New Roman"/>
          <w:b/>
          <w:bCs/>
          <w:sz w:val="24"/>
          <w:szCs w:val="24"/>
        </w:rPr>
        <w:t xml:space="preserve">Fanconi Anaemia and Related Repair-Pathway Syndromes</w:t>
      </w:r>
    </w:p>
    <w:p>
      <w:pPr>
        <w:spacing w:after="120" w:before="60" w:line="300"/>
        <w:jc w:val="both"/>
      </w:pPr>
      <w:r>
        <w:rPr>
          <w:rFonts w:ascii="Times New Roman" w:cs="Times New Roman" w:eastAsia="Times New Roman" w:hAnsi="Times New Roman"/>
          <w:sz w:val="24"/>
          <w:szCs w:val="24"/>
        </w:rPr>
        <w:t xml:space="preserve">Individuals with Fanconi anaemia (FA) — a rare inherited bone-marrow failure syndrome caused by biallelic mutations in any of ~22 genes of the FA pathway — exhibit striking hypersensitivity to aldehyde-induced DNA damage. </w:t>
      </w:r>
      <w:r>
        <w:rPr>
          <w:rFonts w:ascii="Times New Roman" w:cs="Times New Roman" w:eastAsia="Times New Roman" w:hAnsi="Times New Roman"/>
          <w:b/>
          <w:bCs/>
          <w:sz w:val="24"/>
          <w:szCs w:val="24"/>
          <w:vertAlign w:val="superscript"/>
        </w:rPr>
        <w:t xml:space="preserve">[21][24][43]</w:t>
      </w:r>
      <w:r>
        <w:rPr>
          <w:rFonts w:ascii="Times New Roman" w:cs="Times New Roman" w:eastAsia="Times New Roman" w:hAnsi="Times New Roman"/>
          <w:sz w:val="24"/>
          <w:szCs w:val="24"/>
        </w:rPr>
        <w:t xml:space="preserve"> Fanconi anaemia patient-derived fibroblasts accumulate DPCs and chromosomal aberrations at formaldehyde concentrations 10–30 fold below the levels required to produce comparable lesions in control fibroblasts. </w:t>
      </w:r>
      <w:r>
        <w:rPr>
          <w:rFonts w:ascii="Times New Roman" w:cs="Times New Roman" w:eastAsia="Times New Roman" w:hAnsi="Times New Roman"/>
          <w:b/>
          <w:bCs/>
          <w:sz w:val="24"/>
          <w:szCs w:val="24"/>
          <w:vertAlign w:val="superscript"/>
        </w:rPr>
        <w:t xml:space="preserve">[24][43][56]</w:t>
      </w:r>
      <w:r>
        <w:rPr>
          <w:rFonts w:ascii="Times New Roman" w:cs="Times New Roman" w:eastAsia="Times New Roman" w:hAnsi="Times New Roman"/>
          <w:sz w:val="24"/>
          <w:szCs w:val="24"/>
        </w:rPr>
        <w:t xml:space="preserve"> The clinical phenotype of progressive bone-marrow failure, increased leukaemia risk, and solid-tumour predisposition in FA patients is mechanistically consistent with sustained endogenous aldehyde-driven genomic instability. </w:t>
      </w:r>
      <w:r>
        <w:rPr>
          <w:rFonts w:ascii="Times New Roman" w:cs="Times New Roman" w:eastAsia="Times New Roman" w:hAnsi="Times New Roman"/>
          <w:b/>
          <w:bCs/>
          <w:sz w:val="24"/>
          <w:szCs w:val="24"/>
          <w:vertAlign w:val="superscript"/>
        </w:rPr>
        <w:t xml:space="preserve">[24][56]</w:t>
      </w:r>
      <w:r>
        <w:rPr>
          <w:rFonts w:ascii="Times New Roman" w:cs="Times New Roman" w:eastAsia="Times New Roman" w:hAnsi="Times New Roman"/>
          <w:sz w:val="24"/>
          <w:szCs w:val="24"/>
        </w:rPr>
        <w:t xml:space="preserve"> Similar hypersensitivity is observed in patients with defects in the ALDH2/ADH5 tandem (Japanese AMeD syndrome), in MCM8/MCM9 deficiency, and in FANCD2/FANCI deficiency.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Environmental exposure to exogenous formaldehyde is therefore of particular concern in these populations; clinicians caring for FA patients routinely counsel avoidance of formalin-rich workplaces, new composite wood products, and cigarette smoke.</w:t>
      </w:r>
      <w:r>
        <w:rPr>
          <w:rFonts w:ascii="Times New Roman" w:cs="Times New Roman" w:eastAsia="Times New Roman" w:hAnsi="Times New Roman"/>
          <w:b/>
          <w:bCs/>
          <w:sz w:val="24"/>
          <w:szCs w:val="24"/>
          <w:vertAlign w:val="superscript"/>
        </w:rPr>
        <w:t xml:space="preserve">[24][56]</w:t>
      </w:r>
    </w:p>
    <w:p>
      <w:pPr>
        <w:spacing w:after="120" w:before="280"/>
        <w:jc w:val="left"/>
      </w:pPr>
      <w:r>
        <w:rPr>
          <w:rFonts w:ascii="Times New Roman" w:cs="Times New Roman" w:eastAsia="Times New Roman" w:hAnsi="Times New Roman"/>
          <w:b/>
          <w:bCs/>
          <w:sz w:val="24"/>
          <w:szCs w:val="24"/>
        </w:rPr>
        <w:t xml:space="preserve">Genetic Polymorphisms in Metabolism and Repair</w:t>
      </w:r>
    </w:p>
    <w:p>
      <w:pPr>
        <w:spacing w:after="120" w:before="60" w:line="300"/>
        <w:jc w:val="both"/>
      </w:pPr>
      <w:r>
        <w:rPr>
          <w:rFonts w:ascii="Times New Roman" w:cs="Times New Roman" w:eastAsia="Times New Roman" w:hAnsi="Times New Roman"/>
          <w:sz w:val="24"/>
          <w:szCs w:val="24"/>
        </w:rPr>
        <w:t xml:space="preserve">Common polymorphisms in formaldehyde metabolism and repair pathways exhibit allele frequencies sufficient to contribute to population-level variability in susceptibility. </w:t>
      </w:r>
      <w:r>
        <w:rPr>
          <w:rFonts w:ascii="Times New Roman" w:cs="Times New Roman" w:eastAsia="Times New Roman" w:hAnsi="Times New Roman"/>
          <w:b/>
          <w:bCs/>
          <w:sz w:val="24"/>
          <w:szCs w:val="24"/>
          <w:vertAlign w:val="superscript"/>
        </w:rPr>
        <w:t xml:space="preserve">[21][66][73]</w:t>
      </w:r>
      <w:r>
        <w:rPr>
          <w:rFonts w:ascii="Times New Roman" w:cs="Times New Roman" w:eastAsia="Times New Roman" w:hAnsi="Times New Roman"/>
          <w:sz w:val="24"/>
          <w:szCs w:val="24"/>
        </w:rPr>
        <w:t xml:space="preserve"> The ALDH2*2 (rs671, Glu504Lys) loss-of-function variant is present in 30–50 % of East Asian populations (Japanese, Chinese, Korean, Taiwanese) and confers reduced aldehyde-metabolising capacity. </w:t>
      </w:r>
      <w:r>
        <w:rPr>
          <w:rFonts w:ascii="Times New Roman" w:cs="Times New Roman" w:eastAsia="Times New Roman" w:hAnsi="Times New Roman"/>
          <w:b/>
          <w:bCs/>
          <w:sz w:val="24"/>
          <w:szCs w:val="24"/>
          <w:vertAlign w:val="superscript"/>
        </w:rPr>
        <w:t xml:space="preserve">[21][66]</w:t>
      </w:r>
      <w:r>
        <w:rPr>
          <w:rFonts w:ascii="Times New Roman" w:cs="Times New Roman" w:eastAsia="Times New Roman" w:hAnsi="Times New Roman"/>
          <w:sz w:val="24"/>
          <w:szCs w:val="24"/>
        </w:rPr>
        <w:t xml:space="preserve"> Heterozygous and homozygous ALDH2*2 carriers demonstrate elevated acetaldehyde-related flushing after alcohol consumption and have been shown in several studies to exhibit greater formaldehyde-DNA adduct burden following experimental exposure. </w:t>
      </w:r>
      <w:r>
        <w:rPr>
          <w:rFonts w:ascii="Times New Roman" w:cs="Times New Roman" w:eastAsia="Times New Roman" w:hAnsi="Times New Roman"/>
          <w:b/>
          <w:bCs/>
          <w:sz w:val="24"/>
          <w:szCs w:val="24"/>
          <w:vertAlign w:val="superscript"/>
        </w:rPr>
        <w:t xml:space="preserve">[21][66]</w:t>
      </w:r>
      <w:r>
        <w:rPr>
          <w:rFonts w:ascii="Times New Roman" w:cs="Times New Roman" w:eastAsia="Times New Roman" w:hAnsi="Times New Roman"/>
          <w:sz w:val="24"/>
          <w:szCs w:val="24"/>
        </w:rPr>
        <w:t xml:space="preserve"> ADH5 polymorphisms, though less common, have been described in human populations and produce reduced formaldehyde dehydrogenase activity; combined ADH5/ALDH2 deficiency is thought to underlie the rare AMeD syndrome and motivates caution in exposure assessment for individuals of East Asian descent with ALDH2*2 genotype.</w:t>
      </w:r>
      <w:r>
        <w:rPr>
          <w:rFonts w:ascii="Times New Roman" w:cs="Times New Roman" w:eastAsia="Times New Roman" w:hAnsi="Times New Roman"/>
          <w:b/>
          <w:bCs/>
          <w:sz w:val="24"/>
          <w:szCs w:val="24"/>
          <w:vertAlign w:val="superscript"/>
        </w:rPr>
        <w:t xml:space="preserve">[21][24][66]</w:t>
      </w:r>
    </w:p>
    <w:p>
      <w:pPr>
        <w:spacing w:after="120" w:before="60" w:line="300"/>
        <w:jc w:val="both"/>
      </w:pPr>
      <w:r>
        <w:rPr>
          <w:rFonts w:ascii="Times New Roman" w:cs="Times New Roman" w:eastAsia="Times New Roman" w:hAnsi="Times New Roman"/>
          <w:sz w:val="24"/>
          <w:szCs w:val="24"/>
        </w:rPr>
        <w:t xml:space="preserve">Polymorphisms in DNA-repair genes — XRCC1, XPD/ERCC2, OGG1, NBS1 — have been examined as effect modifiers in occupational cohorts; several studies have reported gene-environment interactions between XRCC1 codon 399 variants and formaldehyde-induced micronucleus frequency in lymphocytes. </w:t>
      </w:r>
      <w:r>
        <w:rPr>
          <w:rFonts w:ascii="Times New Roman" w:cs="Times New Roman" w:eastAsia="Times New Roman" w:hAnsi="Times New Roman"/>
          <w:b/>
          <w:bCs/>
          <w:sz w:val="24"/>
          <w:szCs w:val="24"/>
          <w:vertAlign w:val="superscript"/>
        </w:rPr>
        <w:t xml:space="preserve">[66][96]</w:t>
      </w:r>
      <w:r>
        <w:rPr>
          <w:rFonts w:ascii="Times New Roman" w:cs="Times New Roman" w:eastAsia="Times New Roman" w:hAnsi="Times New Roman"/>
          <w:sz w:val="24"/>
          <w:szCs w:val="24"/>
        </w:rPr>
        <w:t xml:space="preserve"> Folate-cycle gene variants, particularly MTHFR C677T (rs1801133), may modulate one-carbon-pool capacity for disposing of formaldehyde-derived formate; emerging evidence suggests that low-folate-status MTHFR 677TT homozygotes exhibit greater retention of formaldehyde-derived adducts in peripheral leukocytes, though the clinical significance remains to be established. </w:t>
      </w:r>
      <w:r>
        <w:rPr>
          <w:rFonts w:ascii="Times New Roman" w:cs="Times New Roman" w:eastAsia="Times New Roman" w:hAnsi="Times New Roman"/>
          <w:b/>
          <w:bCs/>
          <w:sz w:val="24"/>
          <w:szCs w:val="24"/>
          <w:vertAlign w:val="superscript"/>
        </w:rPr>
        <w:t xml:space="preserve">[66][73][96]</w:t>
      </w:r>
      <w:r>
        <w:rPr>
          <w:rFonts w:ascii="Times New Roman" w:cs="Times New Roman" w:eastAsia="Times New Roman" w:hAnsi="Times New Roman"/>
          <w:sz w:val="24"/>
          <w:szCs w:val="24"/>
        </w:rPr>
        <w:t xml:space="preserve"> Polymorphisms in the glutathione-S-transferase family (GSTM1, GSTT1, GSTP1) have also been examined; GSTM1-null genotype has been associated with elevated micronucleus frequency in formaldehyde-exposed pathology workers in several small case-control studies.</w:t>
      </w:r>
      <w:r>
        <w:rPr>
          <w:rFonts w:ascii="Times New Roman" w:cs="Times New Roman" w:eastAsia="Times New Roman" w:hAnsi="Times New Roman"/>
          <w:b/>
          <w:bCs/>
          <w:sz w:val="24"/>
          <w:szCs w:val="24"/>
          <w:vertAlign w:val="superscript"/>
        </w:rPr>
        <w:t xml:space="preserve">[66][96]</w:t>
      </w:r>
    </w:p>
    <w:p>
      <w:pPr>
        <w:spacing w:after="120" w:before="280"/>
        <w:jc w:val="left"/>
      </w:pPr>
      <w:r>
        <w:rPr>
          <w:rFonts w:ascii="Times New Roman" w:cs="Times New Roman" w:eastAsia="Times New Roman" w:hAnsi="Times New Roman"/>
          <w:b/>
          <w:bCs/>
          <w:sz w:val="24"/>
          <w:szCs w:val="24"/>
        </w:rPr>
        <w:t xml:space="preserve">Socio-Economic and Environmental Justice Considerations</w:t>
      </w:r>
    </w:p>
    <w:p>
      <w:pPr>
        <w:spacing w:after="120" w:before="60" w:line="300"/>
        <w:jc w:val="both"/>
      </w:pPr>
      <w:r>
        <w:rPr>
          <w:rFonts w:ascii="Times New Roman" w:cs="Times New Roman" w:eastAsia="Times New Roman" w:hAnsi="Times New Roman"/>
          <w:sz w:val="24"/>
          <w:szCs w:val="24"/>
        </w:rPr>
        <w:t xml:space="preserve">Formaldehyde exposure is not uniformly distributed across socio-economic groups. Lower-income residents are disproportionately represented in mobile and manufactured housing where high concentrations from composite-wood emissions are more frequent; older housing stock, with fewer ventilation resources and a greater prevalence of legacy particleboard and MDF products, is more commonly occupied by low-income households. </w:t>
      </w:r>
      <w:r>
        <w:rPr>
          <w:rFonts w:ascii="Times New Roman" w:cs="Times New Roman" w:eastAsia="Times New Roman" w:hAnsi="Times New Roman"/>
          <w:b/>
          <w:bCs/>
          <w:sz w:val="24"/>
          <w:szCs w:val="24"/>
          <w:vertAlign w:val="superscript"/>
        </w:rPr>
        <w:t xml:space="preserve">[31][63][81]</w:t>
      </w:r>
      <w:r>
        <w:rPr>
          <w:rFonts w:ascii="Times New Roman" w:cs="Times New Roman" w:eastAsia="Times New Roman" w:hAnsi="Times New Roman"/>
          <w:sz w:val="24"/>
          <w:szCs w:val="24"/>
        </w:rPr>
        <w:t xml:space="preserve"> Occupational exposure in the manicurist and hair-straightening salon workforce is concentrated in low-wage, predominantly immigrant female workforces with limited access to occupational health services and limited English-language safety communication. </w:t>
      </w:r>
      <w:r>
        <w:rPr>
          <w:rFonts w:ascii="Times New Roman" w:cs="Times New Roman" w:eastAsia="Times New Roman" w:hAnsi="Times New Roman"/>
          <w:b/>
          <w:bCs/>
          <w:sz w:val="24"/>
          <w:szCs w:val="24"/>
          <w:vertAlign w:val="superscript"/>
        </w:rPr>
        <w:t xml:space="preserve">[88][97]</w:t>
      </w:r>
      <w:r>
        <w:rPr>
          <w:rFonts w:ascii="Times New Roman" w:cs="Times New Roman" w:eastAsia="Times New Roman" w:hAnsi="Times New Roman"/>
          <w:sz w:val="24"/>
          <w:szCs w:val="24"/>
        </w:rPr>
        <w:t xml:space="preserve"> Environmental justice analyses of U.S. Census-tract-level NATA data consistently identify disparities in ambient formaldehyde cancer risk by race and income, with highest exposures concentrated in communities near petroleum refineries, composite-wood manufacturing facilities, and chemical industrial corridors. </w:t>
      </w:r>
      <w:r>
        <w:rPr>
          <w:rFonts w:ascii="Times New Roman" w:cs="Times New Roman" w:eastAsia="Times New Roman" w:hAnsi="Times New Roman"/>
          <w:b/>
          <w:bCs/>
          <w:sz w:val="24"/>
          <w:szCs w:val="24"/>
          <w:vertAlign w:val="superscript"/>
        </w:rPr>
        <w:t xml:space="preserve">[31][81]</w:t>
      </w:r>
      <w:r>
        <w:rPr>
          <w:rFonts w:ascii="Times New Roman" w:cs="Times New Roman" w:eastAsia="Times New Roman" w:hAnsi="Times New Roman"/>
          <w:sz w:val="24"/>
          <w:szCs w:val="24"/>
        </w:rPr>
        <w:t xml:space="preserve"> The U.S. EPA's 2024 IRIS Formaldehyde TSD includes an environmental justice analysis informing the final risk characterisation, and the Agency has committed to prioritising enforcement of composite-wood emission standards in affected communities.</w:t>
      </w:r>
      <w:r>
        <w:rPr>
          <w:rFonts w:ascii="Times New Roman" w:cs="Times New Roman" w:eastAsia="Times New Roman" w:hAnsi="Times New Roman"/>
          <w:b/>
          <w:bCs/>
          <w:sz w:val="24"/>
          <w:szCs w:val="24"/>
          <w:vertAlign w:val="superscript"/>
        </w:rPr>
        <w:t xml:space="preserve">[1][31]</w:t>
      </w:r>
    </w:p>
    <w:p>
      <w:pPr>
        <w:spacing w:after="120" w:before="280"/>
        <w:jc w:val="left"/>
      </w:pPr>
      <w:r>
        <w:rPr>
          <w:rFonts w:ascii="Times New Roman" w:cs="Times New Roman" w:eastAsia="Times New Roman" w:hAnsi="Times New Roman"/>
          <w:b/>
          <w:bCs/>
          <w:sz w:val="24"/>
          <w:szCs w:val="24"/>
        </w:rPr>
        <w:t xml:space="preserve">Protected Populations under Legal Frameworks</w:t>
      </w:r>
    </w:p>
    <w:p>
      <w:pPr>
        <w:spacing w:after="120" w:before="60" w:line="300"/>
        <w:jc w:val="both"/>
      </w:pPr>
      <w:r>
        <w:rPr>
          <w:rFonts w:ascii="Times New Roman" w:cs="Times New Roman" w:eastAsia="Times New Roman" w:hAnsi="Times New Roman"/>
          <w:sz w:val="24"/>
          <w:szCs w:val="24"/>
        </w:rPr>
        <w:t xml:space="preserve">Several legal frameworks protect specific populations from disproportionate formaldehyde exposure. The U.S. Occupational Safety and Health Act and parallel state laws mandate engineering controls, medical surveillance, and informed-consent for workers in formaldehyde-using industries.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The Fair Housing Act prohibits discrimination in housing, including environmental habitability; formaldehyde-related complaints in low-income housing have driven HUD rulemaking on composite-wood emissions. </w:t>
      </w:r>
      <w:r>
        <w:rPr>
          <w:rFonts w:ascii="Times New Roman" w:cs="Times New Roman" w:eastAsia="Times New Roman" w:hAnsi="Times New Roman"/>
          <w:b/>
          <w:bCs/>
          <w:sz w:val="24"/>
          <w:szCs w:val="24"/>
          <w:vertAlign w:val="superscript"/>
        </w:rPr>
        <w:t xml:space="preserve">[98]</w:t>
      </w:r>
      <w:r>
        <w:rPr>
          <w:rFonts w:ascii="Times New Roman" w:cs="Times New Roman" w:eastAsia="Times New Roman" w:hAnsi="Times New Roman"/>
          <w:sz w:val="24"/>
          <w:szCs w:val="24"/>
        </w:rPr>
        <w:t xml:space="preserve"> The U.S. EPA Safer Choice and Design for the Environment programmes provide voluntary certification for reduced-formaldehyde cleaning and personal-care products.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The California Proposition 65 list requires warning labels on products containing carcinogens above specified levels; formaldehyde-containing products triggering the Prop 65 warning are subject to labelling enforcement and citizen-suit liability, which has driven reformulation across multiple consumer product sectors.</w:t>
      </w:r>
      <w:r>
        <w:rPr>
          <w:rFonts w:ascii="Times New Roman" w:cs="Times New Roman" w:eastAsia="Times New Roman" w:hAnsi="Times New Roman"/>
          <w:b/>
          <w:bCs/>
          <w:sz w:val="24"/>
          <w:szCs w:val="24"/>
          <w:vertAlign w:val="superscript"/>
        </w:rPr>
        <w:t xml:space="preserve">[97]</w:t>
      </w:r>
    </w:p>
    <w:p>
      <w:r>
        <w:br w:type="page"/>
      </w:r>
    </w:p>
    <w:p>
      <w:pPr>
        <w:spacing w:after="120" w:before="280"/>
        <w:jc w:val="left"/>
      </w:pPr>
      <w:r>
        <w:rPr>
          <w:rFonts w:ascii="Times New Roman" w:cs="Times New Roman" w:eastAsia="Times New Roman" w:hAnsi="Times New Roman"/>
          <w:b/>
          <w:bCs/>
          <w:sz w:val="24"/>
          <w:szCs w:val="24"/>
        </w:rPr>
        <w:t xml:space="preserve">Exposure Mitigation and Risk Management</w:t>
      </w:r>
    </w:p>
    <w:p>
      <w:pPr>
        <w:spacing w:after="120" w:before="60" w:line="300"/>
        <w:jc w:val="both"/>
      </w:pPr>
      <w:r>
        <w:rPr>
          <w:rFonts w:ascii="Times New Roman" w:cs="Times New Roman" w:eastAsia="Times New Roman" w:hAnsi="Times New Roman"/>
          <w:sz w:val="24"/>
          <w:szCs w:val="24"/>
        </w:rPr>
        <w:t xml:space="preserve">Mitigation of formaldehyde exposure proceeds through the classical hierarchy of controls: elimination, substitution, engineering controls, administrative controls, and personal protective equipment (PPE). </w:t>
      </w:r>
      <w:r>
        <w:rPr>
          <w:rFonts w:ascii="Times New Roman" w:cs="Times New Roman" w:eastAsia="Times New Roman" w:hAnsi="Times New Roman"/>
          <w:b/>
          <w:bCs/>
          <w:sz w:val="24"/>
          <w:szCs w:val="24"/>
          <w:vertAlign w:val="superscript"/>
        </w:rPr>
        <w:t xml:space="preserve">[27][88][89][99]</w:t>
      </w:r>
      <w:r>
        <w:rPr>
          <w:rFonts w:ascii="Times New Roman" w:cs="Times New Roman" w:eastAsia="Times New Roman" w:hAnsi="Times New Roman"/>
          <w:sz w:val="24"/>
          <w:szCs w:val="24"/>
        </w:rPr>
        <w:t xml:space="preserve"> In industrial and laboratory settings where formaldehyde remains technically essential, layered combinations of these strategies routinely achieve TWA exposures well below 0.1 ppm.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In residential and consumer-product exposures, mitigation emphasises product emission standards, ventilation, and informed consumer choice.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In environmental exposures (ambient air, drinking water, food), mitigation proceeds through source-emission controls on combustion sources, industrial emissions, and atmospheric precursors, reinforced by ambient monitoring networks.</w:t>
      </w:r>
      <w:r>
        <w:rPr>
          <w:rFonts w:ascii="Times New Roman" w:cs="Times New Roman" w:eastAsia="Times New Roman" w:hAnsi="Times New Roman"/>
          <w:b/>
          <w:bCs/>
          <w:sz w:val="24"/>
          <w:szCs w:val="24"/>
          <w:vertAlign w:val="superscript"/>
        </w:rPr>
        <w:t xml:space="preserve">[31][81]</w:t>
      </w:r>
    </w:p>
    <w:p>
      <w:pPr>
        <w:spacing w:after="120" w:before="280"/>
        <w:jc w:val="left"/>
      </w:pPr>
      <w:r>
        <w:rPr>
          <w:rFonts w:ascii="Times New Roman" w:cs="Times New Roman" w:eastAsia="Times New Roman" w:hAnsi="Times New Roman"/>
          <w:b/>
          <w:bCs/>
          <w:sz w:val="24"/>
          <w:szCs w:val="24"/>
        </w:rPr>
        <w:t xml:space="preserve">Elimination and Substitution Strategies</w:t>
      </w:r>
    </w:p>
    <w:p>
      <w:pPr>
        <w:spacing w:after="120" w:before="60" w:line="300"/>
        <w:jc w:val="both"/>
      </w:pPr>
      <w:r>
        <w:rPr>
          <w:rFonts w:ascii="Times New Roman" w:cs="Times New Roman" w:eastAsia="Times New Roman" w:hAnsi="Times New Roman"/>
          <w:sz w:val="24"/>
          <w:szCs w:val="24"/>
        </w:rPr>
        <w:t xml:space="preserve">Elimination — the complete removal of formaldehyde from a process — is feasible in some applications and impossible in others. </w:t>
      </w:r>
      <w:r>
        <w:rPr>
          <w:rFonts w:ascii="Times New Roman" w:cs="Times New Roman" w:eastAsia="Times New Roman" w:hAnsi="Times New Roman"/>
          <w:b/>
          <w:bCs/>
          <w:sz w:val="24"/>
          <w:szCs w:val="24"/>
          <w:vertAlign w:val="superscript"/>
        </w:rPr>
        <w:t xml:space="preserve">[88][89][99]</w:t>
      </w:r>
      <w:r>
        <w:rPr>
          <w:rFonts w:ascii="Times New Roman" w:cs="Times New Roman" w:eastAsia="Times New Roman" w:hAnsi="Times New Roman"/>
          <w:sz w:val="24"/>
          <w:szCs w:val="24"/>
        </w:rPr>
        <w:t xml:space="preserve"> Histology laboratories have pursued substitution of formaldehyde with alcohol- or polyol-based fixatives (e.g., Carnoy's, methacarn, FineFix, UMFIX); these alternatives preserve nucleic acid integrity better than formalin for downstream molecular analysis but may compromise morphology-based diagnosis. </w:t>
      </w:r>
      <w:r>
        <w:rPr>
          <w:rFonts w:ascii="Times New Roman" w:cs="Times New Roman" w:eastAsia="Times New Roman" w:hAnsi="Times New Roman"/>
          <w:b/>
          <w:bCs/>
          <w:sz w:val="24"/>
          <w:szCs w:val="24"/>
          <w:vertAlign w:val="superscript"/>
        </w:rPr>
        <w:t xml:space="preserve">[89][100]</w:t>
      </w:r>
      <w:r>
        <w:rPr>
          <w:rFonts w:ascii="Times New Roman" w:cs="Times New Roman" w:eastAsia="Times New Roman" w:hAnsi="Times New Roman"/>
          <w:sz w:val="24"/>
          <w:szCs w:val="24"/>
        </w:rPr>
        <w:t xml:space="preserve"> Low-temperature steam-formaldehyde sterilisation of medical devices has been progressively replaced by ethylene-oxide, hydrogen-peroxide plasma, and ozone-based alternatives; each alternative carries its own hazard profile and requires process-specific risk comparison. </w:t>
      </w:r>
      <w:r>
        <w:rPr>
          <w:rFonts w:ascii="Times New Roman" w:cs="Times New Roman" w:eastAsia="Times New Roman" w:hAnsi="Times New Roman"/>
          <w:b/>
          <w:bCs/>
          <w:sz w:val="24"/>
          <w:szCs w:val="24"/>
          <w:vertAlign w:val="superscript"/>
        </w:rPr>
        <w:t xml:space="preserve">[85][89]</w:t>
      </w:r>
      <w:r>
        <w:rPr>
          <w:rFonts w:ascii="Times New Roman" w:cs="Times New Roman" w:eastAsia="Times New Roman" w:hAnsi="Times New Roman"/>
          <w:sz w:val="24"/>
          <w:szCs w:val="24"/>
        </w:rPr>
        <w:t xml:space="preserve"> In composite-wood manufacture, urea-formaldehyde resins have been partially substituted by melamine-urea-formaldehyde, phenol-formaldehyde, methylene-diphenyl-diisocyanate (MDI), and polyvinyl-acetate binders; the TSCA Title VI Phase 2 and CARB Phase 2 standards have accelerated adoption of lower-emitting resins.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In cosmetics and personal care, formaldehyde-releasing preservatives are being progressively substituted by paraben, phenoxyethanol, and iodopropynyl butylcarbamate systems.</w:t>
      </w:r>
      <w:r>
        <w:rPr>
          <w:rFonts w:ascii="Times New Roman" w:cs="Times New Roman" w:eastAsia="Times New Roman" w:hAnsi="Times New Roman"/>
          <w:b/>
          <w:bCs/>
          <w:sz w:val="24"/>
          <w:szCs w:val="24"/>
          <w:vertAlign w:val="superscript"/>
        </w:rPr>
        <w:t xml:space="preserve">[85][87]</w:t>
      </w:r>
    </w:p>
    <w:p>
      <w:pPr>
        <w:spacing w:after="120" w:before="280"/>
        <w:jc w:val="left"/>
      </w:pPr>
      <w:r>
        <w:rPr>
          <w:rFonts w:ascii="Times New Roman" w:cs="Times New Roman" w:eastAsia="Times New Roman" w:hAnsi="Times New Roman"/>
          <w:b/>
          <w:bCs/>
          <w:sz w:val="24"/>
          <w:szCs w:val="24"/>
        </w:rPr>
        <w:t xml:space="preserve">Engineering Controls</w:t>
      </w:r>
    </w:p>
    <w:p>
      <w:pPr>
        <w:spacing w:after="120" w:before="60" w:line="300"/>
        <w:jc w:val="both"/>
      </w:pPr>
      <w:r>
        <w:rPr>
          <w:rFonts w:ascii="Times New Roman" w:cs="Times New Roman" w:eastAsia="Times New Roman" w:hAnsi="Times New Roman"/>
          <w:sz w:val="24"/>
          <w:szCs w:val="24"/>
        </w:rPr>
        <w:t xml:space="preserve">Engineering controls are the most reliable and sustainable tier of exposure reduction in workplaces where formaldehyde cannot be eliminated.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Local exhaust ventilation (LEV) via fume hoods, downdraft workstations, canopy hoods, and snorkel extractors is standard practice in pathology laboratories, embalming facilities, and manufacturing lines using formaldehyde-based resins. </w:t>
      </w:r>
      <w:r>
        <w:rPr>
          <w:rFonts w:ascii="Times New Roman" w:cs="Times New Roman" w:eastAsia="Times New Roman" w:hAnsi="Times New Roman"/>
          <w:b/>
          <w:bCs/>
          <w:sz w:val="24"/>
          <w:szCs w:val="24"/>
          <w:vertAlign w:val="superscript"/>
        </w:rPr>
        <w:t xml:space="preserve">[88][99]</w:t>
      </w:r>
      <w:r>
        <w:rPr>
          <w:rFonts w:ascii="Times New Roman" w:cs="Times New Roman" w:eastAsia="Times New Roman" w:hAnsi="Times New Roman"/>
          <w:sz w:val="24"/>
          <w:szCs w:val="24"/>
        </w:rPr>
        <w:t xml:space="preserve"> Properly designed and maintained LEV systems routinely reduce breathing-zone concentrations to below 0.1 ppm TWA even when bulk formaldehyde quantities exceed 1 kg per day.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Closed-loop processing — in which formaldehyde is generated, used, and recovered within sealed systems — is employed in large-scale industrial resin manufacture and in some forms of vaccine production.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Cold-storage of tissue specimens, pre-fixation in closed containers, and use of formalin-filled vacuum cassettes in histology have reduced ambient exposures in pathology cut-up areas by 80–95 % in documented case studies.</w:t>
      </w:r>
      <w:r>
        <w:rPr>
          <w:rFonts w:ascii="Times New Roman" w:cs="Times New Roman" w:eastAsia="Times New Roman" w:hAnsi="Times New Roman"/>
          <w:b/>
          <w:bCs/>
          <w:sz w:val="24"/>
          <w:szCs w:val="24"/>
          <w:vertAlign w:val="superscript"/>
        </w:rPr>
        <w:t xml:space="preserve">[88][99]</w:t>
      </w:r>
    </w:p>
    <w:p>
      <w:pPr>
        <w:spacing w:after="120" w:before="280"/>
        <w:jc w:val="left"/>
      </w:pPr>
      <w:r>
        <w:rPr>
          <w:rFonts w:ascii="Times New Roman" w:cs="Times New Roman" w:eastAsia="Times New Roman" w:hAnsi="Times New Roman"/>
          <w:b/>
          <w:bCs/>
          <w:sz w:val="24"/>
          <w:szCs w:val="24"/>
        </w:rPr>
        <w:t xml:space="preserve">Administrative Controls and Work Practices</w:t>
      </w:r>
    </w:p>
    <w:p>
      <w:pPr>
        <w:spacing w:after="120" w:before="60" w:line="300"/>
        <w:jc w:val="both"/>
      </w:pPr>
      <w:r>
        <w:rPr>
          <w:rFonts w:ascii="Times New Roman" w:cs="Times New Roman" w:eastAsia="Times New Roman" w:hAnsi="Times New Roman"/>
          <w:sz w:val="24"/>
          <w:szCs w:val="24"/>
        </w:rPr>
        <w:t xml:space="preserve">Administrative controls include exposure monitoring programmes, medical surveillance (baseline and periodic pulmonary function tests, nasal cytology, symptom questionnaires), job rotation, training, and written safe-work procedures.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OSHA 29 CFR 1910.1048 specifies a comprehensive medical surveillance programme for workers exposed above the action level (0.5 ppm TWA) or STEL (2 ppm).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sz w:val="24"/>
          <w:szCs w:val="24"/>
        </w:rPr>
        <w:t xml:space="preserve"> NIOSH and the International Association of Medical Science Educators recommend specific procedures for gross anatomy laboratories, including dedicated embalmed-specimen rooms, ventilation requirements, staff training, and student notification of pregnancy and respiratory condition accommodations. </w:t>
      </w:r>
      <w:r>
        <w:rPr>
          <w:rFonts w:ascii="Times New Roman" w:cs="Times New Roman" w:eastAsia="Times New Roman" w:hAnsi="Times New Roman"/>
          <w:b/>
          <w:bCs/>
          <w:sz w:val="24"/>
          <w:szCs w:val="24"/>
          <w:vertAlign w:val="superscript"/>
        </w:rPr>
        <w:t xml:space="preserve">[88][99]</w:t>
      </w:r>
      <w:r>
        <w:rPr>
          <w:rFonts w:ascii="Times New Roman" w:cs="Times New Roman" w:eastAsia="Times New Roman" w:hAnsi="Times New Roman"/>
          <w:sz w:val="24"/>
          <w:szCs w:val="24"/>
        </w:rPr>
        <w:t xml:space="preserve"> Embalming industry codes of practice emphasise pre-treatment of cadavers with low-formaldehyde or non-formaldehyde arterial solutions where feasible, use of covered-table systems, and post-procedure cleaning with neutralising agents.</w:t>
      </w:r>
      <w:r>
        <w:rPr>
          <w:rFonts w:ascii="Times New Roman" w:cs="Times New Roman" w:eastAsia="Times New Roman" w:hAnsi="Times New Roman"/>
          <w:b/>
          <w:bCs/>
          <w:sz w:val="24"/>
          <w:szCs w:val="24"/>
          <w:vertAlign w:val="superscript"/>
        </w:rPr>
        <w:t xml:space="preserve">[15][89]</w:t>
      </w:r>
    </w:p>
    <w:p>
      <w:pPr>
        <w:spacing w:after="120" w:before="280"/>
        <w:jc w:val="left"/>
      </w:pPr>
      <w:r>
        <w:rPr>
          <w:rFonts w:ascii="Times New Roman" w:cs="Times New Roman" w:eastAsia="Times New Roman" w:hAnsi="Times New Roman"/>
          <w:b/>
          <w:bCs/>
          <w:sz w:val="24"/>
          <w:szCs w:val="24"/>
        </w:rPr>
        <w:t xml:space="preserve">Personal Protective Equipment</w:t>
      </w:r>
    </w:p>
    <w:p>
      <w:pPr>
        <w:spacing w:after="120" w:before="60" w:line="300"/>
        <w:jc w:val="both"/>
      </w:pPr>
      <w:r>
        <w:rPr>
          <w:rFonts w:ascii="Times New Roman" w:cs="Times New Roman" w:eastAsia="Times New Roman" w:hAnsi="Times New Roman"/>
          <w:sz w:val="24"/>
          <w:szCs w:val="24"/>
        </w:rPr>
        <w:t xml:space="preserve">PPE is the last tier of the hierarchy, appropriate as supplementary protection when engineering and administrative controls cannot reduce exposure to acceptable levels.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Respiratory protection options include NIOSH-approved full-facepiece air-purifying respirators with organic-vapour/formaldehyde cartridges (APF 50), powered air-purifying respirators (APF 1000), and supplied-air or self-contained breathing apparatus (APF up to 10,000) for emergency entry, spill response, or sustained high-concentration work. </w:t>
      </w:r>
      <w:r>
        <w:rPr>
          <w:rFonts w:ascii="Times New Roman" w:cs="Times New Roman" w:eastAsia="Times New Roman" w:hAnsi="Times New Roman"/>
          <w:b/>
          <w:bCs/>
          <w:sz w:val="24"/>
          <w:szCs w:val="24"/>
          <w:vertAlign w:val="superscript"/>
        </w:rPr>
        <w:t xml:space="preserve">[27][99]</w:t>
      </w:r>
      <w:r>
        <w:rPr>
          <w:rFonts w:ascii="Times New Roman" w:cs="Times New Roman" w:eastAsia="Times New Roman" w:hAnsi="Times New Roman"/>
          <w:sz w:val="24"/>
          <w:szCs w:val="24"/>
        </w:rPr>
        <w:t xml:space="preserve"> Chemical-resistant gloves (nitrile, butyl, Viton; latex is inadequate for formaldehyde penetration) and splash-resistant eyewear or face shields protect against dermal and ocular exposure in laboratory and embalming settings. </w:t>
      </w:r>
      <w:r>
        <w:rPr>
          <w:rFonts w:ascii="Times New Roman" w:cs="Times New Roman" w:eastAsia="Times New Roman" w:hAnsi="Times New Roman"/>
          <w:b/>
          <w:bCs/>
          <w:sz w:val="24"/>
          <w:szCs w:val="24"/>
          <w:vertAlign w:val="superscript"/>
        </w:rPr>
        <w:t xml:space="preserve">[27][99]</w:t>
      </w:r>
      <w:r>
        <w:rPr>
          <w:rFonts w:ascii="Times New Roman" w:cs="Times New Roman" w:eastAsia="Times New Roman" w:hAnsi="Times New Roman"/>
          <w:sz w:val="24"/>
          <w:szCs w:val="24"/>
        </w:rPr>
        <w:t xml:space="preserve"> Full-body chemical-protective clothing is warranted in spill response and in high-volume decanting operations; the specific garment selection must account for the permeation rate of formaldehyde through the base polymer.</w:t>
      </w:r>
      <w:r>
        <w:rPr>
          <w:rFonts w:ascii="Times New Roman" w:cs="Times New Roman" w:eastAsia="Times New Roman" w:hAnsi="Times New Roman"/>
          <w:b/>
          <w:bCs/>
          <w:sz w:val="24"/>
          <w:szCs w:val="24"/>
          <w:vertAlign w:val="superscript"/>
        </w:rPr>
        <w:t xml:space="preserve">[77][99]</w:t>
      </w:r>
    </w:p>
    <w:p>
      <w:pPr>
        <w:spacing w:after="120" w:before="280"/>
        <w:jc w:val="left"/>
      </w:pPr>
      <w:r>
        <w:rPr>
          <w:rFonts w:ascii="Times New Roman" w:cs="Times New Roman" w:eastAsia="Times New Roman" w:hAnsi="Times New Roman"/>
          <w:b/>
          <w:bCs/>
          <w:sz w:val="24"/>
          <w:szCs w:val="24"/>
        </w:rPr>
        <w:t xml:space="preserve">Residential and Indoor Air Mitigation</w:t>
      </w:r>
    </w:p>
    <w:p>
      <w:pPr>
        <w:spacing w:after="120" w:before="60" w:line="300"/>
        <w:jc w:val="both"/>
      </w:pPr>
      <w:r>
        <w:rPr>
          <w:rFonts w:ascii="Times New Roman" w:cs="Times New Roman" w:eastAsia="Times New Roman" w:hAnsi="Times New Roman"/>
          <w:sz w:val="24"/>
          <w:szCs w:val="24"/>
        </w:rPr>
        <w:t xml:space="preserve">Indoor air mitigation in residential, school, and office settings follows the general principles of source control, ventilation enhancement, and air cleaning. </w:t>
      </w:r>
      <w:r>
        <w:rPr>
          <w:rFonts w:ascii="Times New Roman" w:cs="Times New Roman" w:eastAsia="Times New Roman" w:hAnsi="Times New Roman"/>
          <w:b/>
          <w:bCs/>
          <w:sz w:val="24"/>
          <w:szCs w:val="24"/>
          <w:vertAlign w:val="superscript"/>
        </w:rPr>
        <w:t xml:space="preserve">[31][63][82]</w:t>
      </w:r>
      <w:r>
        <w:rPr>
          <w:rFonts w:ascii="Times New Roman" w:cs="Times New Roman" w:eastAsia="Times New Roman" w:hAnsi="Times New Roman"/>
          <w:sz w:val="24"/>
          <w:szCs w:val="24"/>
        </w:rPr>
        <w:t xml:space="preserve"> Source control, the most effective long-term strategy, involves selection of low-emitting composite wood products (TSCA Title VI, CARB Phase 2, or E1/E0 European certification), low-VOC paints and adhesives, and reduced use of formaldehyde-releasing preservatives in consumer products.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Ventilation — either passive (increased natural air exchange) or mechanical (heat-recovery ventilators, energy-recovery ventilators, demand-controlled ventilation) — dilutes indoor concentrations; a ventilation rate of 0.35 air changes per hour is commonly recommended for new-construction single-family homes, with targeted increases in bedrooms and kitchens.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Air cleaning technologies with demonstrated effectiveness for formaldehyde include activated-carbon filters, potassium permanganate oxidising filters, and specialised molecular sieves; particulate filters (HEPA) alone are ineffective against gas-phase formaldehyde. </w:t>
      </w:r>
      <w:r>
        <w:rPr>
          <w:rFonts w:ascii="Times New Roman" w:cs="Times New Roman" w:eastAsia="Times New Roman" w:hAnsi="Times New Roman"/>
          <w:b/>
          <w:bCs/>
          <w:sz w:val="24"/>
          <w:szCs w:val="24"/>
          <w:vertAlign w:val="superscript"/>
        </w:rPr>
        <w:t xml:space="preserve">[63][101]</w:t>
      </w:r>
      <w:r>
        <w:rPr>
          <w:rFonts w:ascii="Times New Roman" w:cs="Times New Roman" w:eastAsia="Times New Roman" w:hAnsi="Times New Roman"/>
          <w:sz w:val="24"/>
          <w:szCs w:val="24"/>
        </w:rPr>
        <w:t xml:space="preserve"> Recent research into photocatalytic oxidation (PCO) systems using titanium dioxide and UV illumination has demonstrated effective formaldehyde destruction in laboratory settings but generates secondary by-products (acetaldehyde, acetone) that must be managed in real-world deployments.</w:t>
      </w:r>
      <w:r>
        <w:rPr>
          <w:rFonts w:ascii="Times New Roman" w:cs="Times New Roman" w:eastAsia="Times New Roman" w:hAnsi="Times New Roman"/>
          <w:b/>
          <w:bCs/>
          <w:sz w:val="24"/>
          <w:szCs w:val="24"/>
          <w:vertAlign w:val="superscript"/>
        </w:rPr>
        <w:t xml:space="preserve">[63][101]</w:t>
      </w:r>
    </w:p>
    <w:p>
      <w:pPr>
        <w:spacing w:after="120" w:before="280"/>
        <w:jc w:val="left"/>
      </w:pPr>
      <w:r>
        <w:rPr>
          <w:rFonts w:ascii="Times New Roman" w:cs="Times New Roman" w:eastAsia="Times New Roman" w:hAnsi="Times New Roman"/>
          <w:b/>
          <w:bCs/>
          <w:sz w:val="24"/>
          <w:szCs w:val="24"/>
        </w:rPr>
        <w:t xml:space="preserve">Ventilation Guidelines and Standards</w:t>
      </w:r>
    </w:p>
    <w:p>
      <w:pPr>
        <w:spacing w:after="120" w:before="60" w:line="300"/>
        <w:jc w:val="both"/>
      </w:pPr>
      <w:r>
        <w:rPr>
          <w:rFonts w:ascii="Times New Roman" w:cs="Times New Roman" w:eastAsia="Times New Roman" w:hAnsi="Times New Roman"/>
          <w:sz w:val="24"/>
          <w:szCs w:val="24"/>
        </w:rPr>
        <w:t xml:space="preserve">Ventilation standards relevant to formaldehyde indoor air quality include ASHRAE 62.1 for commercial buildings (minimum outdoor air rates based on occupancy and floor area), ASHRAE 62.2 for residential buildings (minimum ventilation rates based on floor area and occupant number), EN 16798-1 (European standard for indoor environmental parameters), and ISO 16000 (indoor air quality methodology).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These standards recognize formaldehyde as a priority indoor air contaminant.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The LEED (U.S. Green Building Council) and WELL Building Standard (International WELL Building Institute) certification programmes incorporate formaldehyde as a mandatory indoor air quality performance indicator for IEQ credits, with measured concentrations below 0.027 ppm (LEED v4.1 EQ-MR) or below 27 µg/m³ (WELL v2) at commissioning as certification thresholds.</w:t>
      </w:r>
      <w:r>
        <w:rPr>
          <w:rFonts w:ascii="Times New Roman" w:cs="Times New Roman" w:eastAsia="Times New Roman" w:hAnsi="Times New Roman"/>
          <w:b/>
          <w:bCs/>
          <w:sz w:val="24"/>
          <w:szCs w:val="24"/>
          <w:vertAlign w:val="superscript"/>
        </w:rPr>
        <w:t xml:space="preserve">[91]</w:t>
      </w:r>
    </w:p>
    <w:p>
      <w:pPr>
        <w:spacing w:after="120" w:before="280"/>
        <w:jc w:val="left"/>
      </w:pPr>
      <w:r>
        <w:rPr>
          <w:rFonts w:ascii="Times New Roman" w:cs="Times New Roman" w:eastAsia="Times New Roman" w:hAnsi="Times New Roman"/>
          <w:b/>
          <w:bCs/>
          <w:sz w:val="24"/>
          <w:szCs w:val="24"/>
        </w:rPr>
        <w:t xml:space="preserve">Occupational Exposure Monitoring</w:t>
      </w:r>
    </w:p>
    <w:p>
      <w:pPr>
        <w:spacing w:after="120" w:before="60" w:line="300"/>
        <w:jc w:val="both"/>
      </w:pPr>
      <w:r>
        <w:rPr>
          <w:rFonts w:ascii="Times New Roman" w:cs="Times New Roman" w:eastAsia="Times New Roman" w:hAnsi="Times New Roman"/>
          <w:sz w:val="24"/>
          <w:szCs w:val="24"/>
        </w:rPr>
        <w:t xml:space="preserve">Occupational exposure monitoring employs both area and personal sampling approaches.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Personal sampling using passive diffusive badges (e.g., 3M 3721, SKC UMEx 100) with DNPH-coated sorbent and subsequent HPLC-UV analysis is the most widely used approach for TWA exposure assessment; method detection limits extend to single-ppb concentrations in 8-hour samples.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Direct-reading instruments using portable FTIR, chemiluminescence, or electrochemical detection provide real-time feedback for process diagnostics and hot-spot identification.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Biological monitoring through urinary formate, nasal lavage DPC content, or lymphocyte micronucleus assay is an emerging approach, particularly useful in settings with complex exposure patterns or where personal air sampling is impractical. </w:t>
      </w:r>
      <w:r>
        <w:rPr>
          <w:rFonts w:ascii="Times New Roman" w:cs="Times New Roman" w:eastAsia="Times New Roman" w:hAnsi="Times New Roman"/>
          <w:b/>
          <w:bCs/>
          <w:sz w:val="24"/>
          <w:szCs w:val="24"/>
          <w:vertAlign w:val="superscript"/>
        </w:rPr>
        <w:t xml:space="preserve">[73][76]</w:t>
      </w:r>
      <w:r>
        <w:rPr>
          <w:rFonts w:ascii="Times New Roman" w:cs="Times New Roman" w:eastAsia="Times New Roman" w:hAnsi="Times New Roman"/>
          <w:sz w:val="24"/>
          <w:szCs w:val="24"/>
        </w:rPr>
        <w:t xml:space="preserve"> NIOSH Manual of Analytical Methods (NMAM) 3500, OSHA Method 52, and ISO 16000-3 provide validated analytical protocols for formaldehyde air measurement.</w:t>
      </w:r>
      <w:r>
        <w:rPr>
          <w:rFonts w:ascii="Times New Roman" w:cs="Times New Roman" w:eastAsia="Times New Roman" w:hAnsi="Times New Roman"/>
          <w:b/>
          <w:bCs/>
          <w:sz w:val="24"/>
          <w:szCs w:val="24"/>
          <w:vertAlign w:val="superscript"/>
        </w:rPr>
        <w:t xml:space="preserve">[99][102]</w:t>
      </w:r>
    </w:p>
    <w:p>
      <w:pPr>
        <w:spacing w:after="120" w:before="280"/>
        <w:jc w:val="left"/>
      </w:pPr>
      <w:r>
        <w:rPr>
          <w:rFonts w:ascii="Times New Roman" w:cs="Times New Roman" w:eastAsia="Times New Roman" w:hAnsi="Times New Roman"/>
          <w:b/>
          <w:bCs/>
          <w:sz w:val="24"/>
          <w:szCs w:val="24"/>
        </w:rPr>
        <w:t xml:space="preserve">Emergency Response and Spill Management</w:t>
      </w:r>
    </w:p>
    <w:p>
      <w:pPr>
        <w:spacing w:after="120" w:before="60" w:line="300"/>
        <w:jc w:val="both"/>
      </w:pPr>
      <w:r>
        <w:rPr>
          <w:rFonts w:ascii="Times New Roman" w:cs="Times New Roman" w:eastAsia="Times New Roman" w:hAnsi="Times New Roman"/>
          <w:sz w:val="24"/>
          <w:szCs w:val="24"/>
        </w:rPr>
        <w:t xml:space="preserve">Formaldehyde spills require specific response procedures due to the chemical's high vapour pressure, skin-corrosive nature, and carcinogenic classification. </w:t>
      </w:r>
      <w:r>
        <w:rPr>
          <w:rFonts w:ascii="Times New Roman" w:cs="Times New Roman" w:eastAsia="Times New Roman" w:hAnsi="Times New Roman"/>
          <w:b/>
          <w:bCs/>
          <w:sz w:val="24"/>
          <w:szCs w:val="24"/>
          <w:vertAlign w:val="superscript"/>
        </w:rPr>
        <w:t xml:space="preserve">[77][78][99]</w:t>
      </w:r>
      <w:r>
        <w:rPr>
          <w:rFonts w:ascii="Times New Roman" w:cs="Times New Roman" w:eastAsia="Times New Roman" w:hAnsi="Times New Roman"/>
          <w:sz w:val="24"/>
          <w:szCs w:val="24"/>
        </w:rPr>
        <w:t xml:space="preserve"> NIOSH Pocket Guide and NFPA 704 recommendations include evacuation of uncontrolled areas (minimum 25 m radius for small releases, 100 m for large releases), ventilation of the spill area, and spill containment with inert absorbent materials or commercial formaldehyde-neutralising spill kits (typically urea- or sodium-bisulfite-based).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Spill responders should wear Level B PPE at minimum (supplied-air respirator, chemical-resistant suit, gloves, boots); Level A (fully encapsulating suit with SCBA) is warranted for confined-space or large-volume releases.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Recovered formaldehyde and contaminated absorbent material should be disposed as hazardous waste under RCRA U122 listing or equivalent jurisdictional codes.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Post-spill area verification monitoring should confirm concentrations below 0.1 ppm before re-entry of unprotected personnel.</w:t>
      </w:r>
      <w:r>
        <w:rPr>
          <w:rFonts w:ascii="Times New Roman" w:cs="Times New Roman" w:eastAsia="Times New Roman" w:hAnsi="Times New Roman"/>
          <w:b/>
          <w:bCs/>
          <w:sz w:val="24"/>
          <w:szCs w:val="24"/>
          <w:vertAlign w:val="superscript"/>
        </w:rPr>
        <w:t xml:space="preserve">[99]</w:t>
      </w:r>
    </w:p>
    <w:p>
      <w:pPr>
        <w:spacing w:after="120" w:before="280"/>
        <w:jc w:val="left"/>
      </w:pPr>
      <w:r>
        <w:rPr>
          <w:rFonts w:ascii="Times New Roman" w:cs="Times New Roman" w:eastAsia="Times New Roman" w:hAnsi="Times New Roman"/>
          <w:b/>
          <w:bCs/>
          <w:sz w:val="24"/>
          <w:szCs w:val="24"/>
        </w:rPr>
        <w:t xml:space="preserve">Process-Specific Best Practices</w:t>
      </w:r>
    </w:p>
    <w:p>
      <w:pPr>
        <w:spacing w:after="120" w:before="60" w:line="300"/>
        <w:jc w:val="both"/>
      </w:pPr>
      <w:r>
        <w:rPr>
          <w:rFonts w:ascii="Times New Roman" w:cs="Times New Roman" w:eastAsia="Times New Roman" w:hAnsi="Times New Roman"/>
          <w:sz w:val="24"/>
          <w:szCs w:val="24"/>
        </w:rPr>
        <w:t xml:space="preserve">Industry-specific guidance documents codify best practices for formaldehyde handling in major use sectors. </w:t>
      </w:r>
      <w:r>
        <w:rPr>
          <w:rFonts w:ascii="Times New Roman" w:cs="Times New Roman" w:eastAsia="Times New Roman" w:hAnsi="Times New Roman"/>
          <w:b/>
          <w:bCs/>
          <w:sz w:val="24"/>
          <w:szCs w:val="24"/>
          <w:vertAlign w:val="superscript"/>
        </w:rPr>
        <w:t xml:space="preserve">[15][88][89][99]</w:t>
      </w:r>
      <w:r>
        <w:rPr>
          <w:rFonts w:ascii="Times New Roman" w:cs="Times New Roman" w:eastAsia="Times New Roman" w:hAnsi="Times New Roman"/>
          <w:sz w:val="24"/>
          <w:szCs w:val="24"/>
        </w:rPr>
        <w:t xml:space="preserve"> The American Society of Clinical Pathologists (ASCP) and College of American Pathologists (CAP) publish anatomic pathology laboratory safety guidelines with specific formaldehyde engineering and administrative control recommendations.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The American Board of Funeral Service Education accreditation standards require documented formaldehyde exposure controls, medical surveillance, and student/trainee protection programmes in mortuary science education. </w:t>
      </w:r>
      <w:r>
        <w:rPr>
          <w:rFonts w:ascii="Times New Roman" w:cs="Times New Roman" w:eastAsia="Times New Roman" w:hAnsi="Times New Roman"/>
          <w:b/>
          <w:bCs/>
          <w:sz w:val="24"/>
          <w:szCs w:val="24"/>
          <w:vertAlign w:val="superscript"/>
        </w:rPr>
        <w:t xml:space="preserve">[15]</w:t>
      </w:r>
      <w:r>
        <w:rPr>
          <w:rFonts w:ascii="Times New Roman" w:cs="Times New Roman" w:eastAsia="Times New Roman" w:hAnsi="Times New Roman"/>
          <w:sz w:val="24"/>
          <w:szCs w:val="24"/>
        </w:rPr>
        <w:t xml:space="preserve"> The Composite Panel Association and European Panel Federation publish voluntary product emission standards (CPA Eco-Certified Composite, European E1/E0/Super-E) exceeding regulatory minimums.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Personal Care Products Council and Cosmetic Ingredient Review (CIR) publish formulation guidance limiting formaldehyde-releasing preservative concentrations and recommending in-use exposure assessments.</w:t>
      </w:r>
      <w:r>
        <w:rPr>
          <w:rFonts w:ascii="Times New Roman" w:cs="Times New Roman" w:eastAsia="Times New Roman" w:hAnsi="Times New Roman"/>
          <w:b/>
          <w:bCs/>
          <w:sz w:val="24"/>
          <w:szCs w:val="24"/>
          <w:vertAlign w:val="superscript"/>
        </w:rPr>
        <w:t xml:space="preserve">[85][87]</w:t>
      </w:r>
    </w:p>
    <w:p>
      <w:pPr>
        <w:spacing w:after="120" w:before="280"/>
        <w:jc w:val="left"/>
      </w:pPr>
      <w:r>
        <w:rPr>
          <w:rFonts w:ascii="Times New Roman" w:cs="Times New Roman" w:eastAsia="Times New Roman" w:hAnsi="Times New Roman"/>
          <w:b/>
          <w:bCs/>
          <w:sz w:val="24"/>
          <w:szCs w:val="24"/>
        </w:rPr>
        <w:t xml:space="preserve">Future Directions in Mitigation</w:t>
      </w:r>
    </w:p>
    <w:p>
      <w:pPr>
        <w:spacing w:after="120" w:before="60" w:line="300"/>
        <w:jc w:val="both"/>
      </w:pPr>
      <w:r>
        <w:rPr>
          <w:rFonts w:ascii="Times New Roman" w:cs="Times New Roman" w:eastAsia="Times New Roman" w:hAnsi="Times New Roman"/>
          <w:sz w:val="24"/>
          <w:szCs w:val="24"/>
        </w:rPr>
        <w:t xml:space="preserve">Ongoing technological development promises further reductions in formaldehyde exposure across all use sectors. </w:t>
      </w:r>
      <w:r>
        <w:rPr>
          <w:rFonts w:ascii="Times New Roman" w:cs="Times New Roman" w:eastAsia="Times New Roman" w:hAnsi="Times New Roman"/>
          <w:b/>
          <w:bCs/>
          <w:sz w:val="24"/>
          <w:szCs w:val="24"/>
          <w:vertAlign w:val="superscript"/>
        </w:rPr>
        <w:t xml:space="preserve">[63][84][101]</w:t>
      </w:r>
      <w:r>
        <w:rPr>
          <w:rFonts w:ascii="Times New Roman" w:cs="Times New Roman" w:eastAsia="Times New Roman" w:hAnsi="Times New Roman"/>
          <w:sz w:val="24"/>
          <w:szCs w:val="24"/>
        </w:rPr>
        <w:t xml:space="preserve"> Bio-based substitutes for urea-formaldehyde resins in composite-wood manufacture — soybean-protein adhesives, lignin-based binders, and mycelium-based composites — are reaching commercial viability and offer zero-formaldehyde alternatives with comparable mechanical properties.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Aldehyde-free fixation in histopathology is advancing through molecular-biology-compatible preservation media and accelerated tissue processing protocols. </w:t>
      </w:r>
      <w:r>
        <w:rPr>
          <w:rFonts w:ascii="Times New Roman" w:cs="Times New Roman" w:eastAsia="Times New Roman" w:hAnsi="Times New Roman"/>
          <w:b/>
          <w:bCs/>
          <w:sz w:val="24"/>
          <w:szCs w:val="24"/>
          <w:vertAlign w:val="superscript"/>
        </w:rPr>
        <w:t xml:space="preserve">[89][100]</w:t>
      </w:r>
      <w:r>
        <w:rPr>
          <w:rFonts w:ascii="Times New Roman" w:cs="Times New Roman" w:eastAsia="Times New Roman" w:hAnsi="Times New Roman"/>
          <w:sz w:val="24"/>
          <w:szCs w:val="24"/>
        </w:rPr>
        <w:t xml:space="preserve"> Atmospheric monitoring of formaldehyde via satellite UV-Vis spectroscopy (OMI, TROPOMI) and mobile ground networks is providing increasingly granular data on source contributions and temporal variability, informing targeted emission-reduction policies.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Real-time personal exposure monitoring using wearable miniature electrochemical sensors is advancing toward routine occupational and residential deployment, enabling continuous exposure-response research and personalised risk communication.</w:t>
      </w:r>
      <w:r>
        <w:rPr>
          <w:rFonts w:ascii="Times New Roman" w:cs="Times New Roman" w:eastAsia="Times New Roman" w:hAnsi="Times New Roman"/>
          <w:b/>
          <w:bCs/>
          <w:sz w:val="24"/>
          <w:szCs w:val="24"/>
          <w:vertAlign w:val="superscript"/>
        </w:rPr>
        <w:t xml:space="preserve">[76][102]</w:t>
      </w:r>
    </w:p>
    <w:p>
      <w:r>
        <w:br w:type="page"/>
      </w:r>
    </w:p>
    <w:p>
      <w:pPr>
        <w:spacing w:after="120" w:before="280"/>
        <w:jc w:val="left"/>
      </w:pPr>
      <w:r>
        <w:rPr>
          <w:rFonts w:ascii="Times New Roman" w:cs="Times New Roman" w:eastAsia="Times New Roman" w:hAnsi="Times New Roman"/>
          <w:b/>
          <w:bCs/>
          <w:sz w:val="24"/>
          <w:szCs w:val="24"/>
        </w:rPr>
        <w:t xml:space="preserve">Clinical Management of Formaldehyde Exposure</w:t>
      </w:r>
    </w:p>
    <w:p>
      <w:pPr>
        <w:spacing w:after="120" w:before="60" w:line="300"/>
        <w:jc w:val="both"/>
      </w:pPr>
      <w:r>
        <w:rPr>
          <w:rFonts w:ascii="Times New Roman" w:cs="Times New Roman" w:eastAsia="Times New Roman" w:hAnsi="Times New Roman"/>
          <w:sz w:val="24"/>
          <w:szCs w:val="24"/>
        </w:rPr>
        <w:t xml:space="preserve">Clinical management of formaldehyde exposure encompasses acute overexposure treatment, chronic exposure-related condition management, sensitisation diagnosis and treatment, and occupational medicine consultation. </w:t>
      </w:r>
      <w:r>
        <w:rPr>
          <w:rFonts w:ascii="Times New Roman" w:cs="Times New Roman" w:eastAsia="Times New Roman" w:hAnsi="Times New Roman"/>
          <w:b/>
          <w:bCs/>
          <w:sz w:val="24"/>
          <w:szCs w:val="24"/>
          <w:vertAlign w:val="superscript"/>
        </w:rPr>
        <w:t xml:space="preserve">[77][78][87][88][99]</w:t>
      </w:r>
      <w:r>
        <w:rPr>
          <w:rFonts w:ascii="Times New Roman" w:cs="Times New Roman" w:eastAsia="Times New Roman" w:hAnsi="Times New Roman"/>
          <w:sz w:val="24"/>
          <w:szCs w:val="24"/>
        </w:rPr>
        <w:t xml:space="preserve"> Clinicians in emergency medicine, occupational medicine, pulmonology, dermatology, allergy/immunology, and toxicology all encounter formaldehyde-related presentations with varying frequency. This section provides clinical management guidance for the spectrum of formaldehyde-related conditions, with specific attention to evidence-based treatment protocols, referral thresholds, and return-to-work considerations.</w:t>
      </w:r>
    </w:p>
    <w:p>
      <w:pPr>
        <w:spacing w:after="120" w:before="280"/>
        <w:jc w:val="left"/>
      </w:pPr>
      <w:r>
        <w:rPr>
          <w:rFonts w:ascii="Times New Roman" w:cs="Times New Roman" w:eastAsia="Times New Roman" w:hAnsi="Times New Roman"/>
          <w:b/>
          <w:bCs/>
          <w:sz w:val="24"/>
          <w:szCs w:val="24"/>
        </w:rPr>
        <w:t xml:space="preserve">Acute Inhalation Overexposure</w:t>
      </w:r>
    </w:p>
    <w:p>
      <w:pPr>
        <w:spacing w:after="120" w:before="60" w:line="300"/>
        <w:jc w:val="both"/>
      </w:pPr>
      <w:r>
        <w:rPr>
          <w:rFonts w:ascii="Times New Roman" w:cs="Times New Roman" w:eastAsia="Times New Roman" w:hAnsi="Times New Roman"/>
          <w:sz w:val="24"/>
          <w:szCs w:val="24"/>
        </w:rPr>
        <w:t xml:space="preserve">Acute inhalation overexposure to formaldehyde produces a syndrome of upper airway irritation, bronchospasm, chemical pneumonitis in severe cases, and potential systemic effects at extremely high exposure levels. </w:t>
      </w:r>
      <w:r>
        <w:rPr>
          <w:rFonts w:ascii="Times New Roman" w:cs="Times New Roman" w:eastAsia="Times New Roman" w:hAnsi="Times New Roman"/>
          <w:b/>
          <w:bCs/>
          <w:sz w:val="24"/>
          <w:szCs w:val="24"/>
          <w:vertAlign w:val="superscript"/>
        </w:rPr>
        <w:t xml:space="preserve">[77][78][95]</w:t>
      </w:r>
      <w:r>
        <w:rPr>
          <w:rFonts w:ascii="Times New Roman" w:cs="Times New Roman" w:eastAsia="Times New Roman" w:hAnsi="Times New Roman"/>
          <w:sz w:val="24"/>
          <w:szCs w:val="24"/>
        </w:rPr>
        <w:t xml:space="preserve"> Immediate management includes removal from exposure, supportive care for respiratory symptoms, oxygen supplementation if hypoxaemic, bronchodilator therapy for bronchospasm, and consideration of systemic corticosteroids for severe airway inflammation. </w:t>
      </w:r>
      <w:r>
        <w:rPr>
          <w:rFonts w:ascii="Times New Roman" w:cs="Times New Roman" w:eastAsia="Times New Roman" w:hAnsi="Times New Roman"/>
          <w:b/>
          <w:bCs/>
          <w:sz w:val="24"/>
          <w:szCs w:val="24"/>
          <w:vertAlign w:val="superscript"/>
        </w:rPr>
        <w:t xml:space="preserve">[77][95]</w:t>
      </w:r>
      <w:r>
        <w:rPr>
          <w:rFonts w:ascii="Times New Roman" w:cs="Times New Roman" w:eastAsia="Times New Roman" w:hAnsi="Times New Roman"/>
          <w:sz w:val="24"/>
          <w:szCs w:val="24"/>
        </w:rPr>
        <w:t xml:space="preserve"> Pulmonary oedema — an uncommon but serious complication of high-level exposure — requires aggressive respiratory support including mechanical ventilation in severe cases.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Chest radiography, arterial blood gas analysis, and serial peak flow measurements support clinical monitoring; admission is typically indicated for patients with ongoing bronchospasm, hypoxaemia, or evidence of pneumonitis on imaging. </w:t>
      </w:r>
      <w:r>
        <w:rPr>
          <w:rFonts w:ascii="Times New Roman" w:cs="Times New Roman" w:eastAsia="Times New Roman" w:hAnsi="Times New Roman"/>
          <w:b/>
          <w:bCs/>
          <w:sz w:val="24"/>
          <w:szCs w:val="24"/>
          <w:vertAlign w:val="superscript"/>
        </w:rPr>
        <w:t xml:space="preserve">[77][95]</w:t>
      </w:r>
      <w:r>
        <w:rPr>
          <w:rFonts w:ascii="Times New Roman" w:cs="Times New Roman" w:eastAsia="Times New Roman" w:hAnsi="Times New Roman"/>
          <w:sz w:val="24"/>
          <w:szCs w:val="24"/>
        </w:rPr>
        <w:t xml:space="preserve"> Follow-up at 6–12 weeks post-exposure with spirometry and symptom assessment identifies patients with persistent reactive airway dysfunction requiring specialist pulmonology care.</w:t>
      </w:r>
    </w:p>
    <w:p>
      <w:pPr>
        <w:spacing w:after="120" w:before="280"/>
        <w:jc w:val="left"/>
      </w:pPr>
      <w:r>
        <w:rPr>
          <w:rFonts w:ascii="Times New Roman" w:cs="Times New Roman" w:eastAsia="Times New Roman" w:hAnsi="Times New Roman"/>
          <w:b/>
          <w:bCs/>
          <w:sz w:val="24"/>
          <w:szCs w:val="24"/>
        </w:rPr>
        <w:t xml:space="preserve">Ocular Exposure</w:t>
      </w:r>
    </w:p>
    <w:p>
      <w:pPr>
        <w:spacing w:after="120" w:before="60" w:line="300"/>
        <w:jc w:val="both"/>
      </w:pPr>
      <w:r>
        <w:rPr>
          <w:rFonts w:ascii="Times New Roman" w:cs="Times New Roman" w:eastAsia="Times New Roman" w:hAnsi="Times New Roman"/>
          <w:sz w:val="24"/>
          <w:szCs w:val="24"/>
        </w:rPr>
        <w:t xml:space="preserve">Ocular exposure to formaldehyde — either vapour phase or direct liquid contact — requires immediate copious irrigation with water or sterile saline for a minimum of 15 minutes. </w:t>
      </w:r>
      <w:r>
        <w:rPr>
          <w:rFonts w:ascii="Times New Roman" w:cs="Times New Roman" w:eastAsia="Times New Roman" w:hAnsi="Times New Roman"/>
          <w:b/>
          <w:bCs/>
          <w:sz w:val="24"/>
          <w:szCs w:val="24"/>
          <w:vertAlign w:val="superscript"/>
        </w:rPr>
        <w:t xml:space="preserve">[77][78][95]</w:t>
      </w:r>
      <w:r>
        <w:rPr>
          <w:rFonts w:ascii="Times New Roman" w:cs="Times New Roman" w:eastAsia="Times New Roman" w:hAnsi="Times New Roman"/>
          <w:sz w:val="24"/>
          <w:szCs w:val="24"/>
        </w:rPr>
        <w:t xml:space="preserve"> Following irrigation, ophthalmological evaluation is required for any symptom of visual change, persistent pain, or corneal findings on fluorescein staining.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Topical therapy may include lubricants, antibiotic ophthalmic ointment for prophylaxis against secondary infection, and topical cycloplegics for symptomatic relief of ciliary spasm.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Severe chemical burns with corneal stromal involvement may require amniotic membrane transplantation, limbal stem cell transplantation, or corneal transplantation in long-term management; referral to a corneal specialist is essential in these cases. </w:t>
      </w:r>
      <w:r>
        <w:rPr>
          <w:rFonts w:ascii="Times New Roman" w:cs="Times New Roman" w:eastAsia="Times New Roman" w:hAnsi="Times New Roman"/>
          <w:b/>
          <w:bCs/>
          <w:sz w:val="24"/>
          <w:szCs w:val="24"/>
          <w:vertAlign w:val="superscript"/>
        </w:rPr>
        <w:t xml:space="preserve">[78]</w:t>
      </w:r>
      <w:r>
        <w:rPr>
          <w:rFonts w:ascii="Times New Roman" w:cs="Times New Roman" w:eastAsia="Times New Roman" w:hAnsi="Times New Roman"/>
          <w:sz w:val="24"/>
          <w:szCs w:val="24"/>
        </w:rPr>
        <w:t xml:space="preserve"> Return to work decisions for workers with recovered ocular exposure require confirmation of adequate ocular surface healing, intact vision, and stable ocular surface with appropriate workplace exposure controls to prevent recurrence.</w:t>
      </w:r>
    </w:p>
    <w:p>
      <w:pPr>
        <w:spacing w:after="120" w:before="280"/>
        <w:jc w:val="left"/>
      </w:pPr>
      <w:r>
        <w:rPr>
          <w:rFonts w:ascii="Times New Roman" w:cs="Times New Roman" w:eastAsia="Times New Roman" w:hAnsi="Times New Roman"/>
          <w:b/>
          <w:bCs/>
          <w:sz w:val="24"/>
          <w:szCs w:val="24"/>
        </w:rPr>
        <w:t xml:space="preserve">Dermal Exposure</w:t>
      </w:r>
    </w:p>
    <w:p>
      <w:pPr>
        <w:spacing w:after="120" w:before="60" w:line="300"/>
        <w:jc w:val="both"/>
      </w:pPr>
      <w:r>
        <w:rPr>
          <w:rFonts w:ascii="Times New Roman" w:cs="Times New Roman" w:eastAsia="Times New Roman" w:hAnsi="Times New Roman"/>
          <w:sz w:val="24"/>
          <w:szCs w:val="24"/>
        </w:rPr>
        <w:t xml:space="preserve">Dermal exposure to formaldehyde solutions (formalin) requires immediate irrigation with copious water and removal of contaminated clothing. </w:t>
      </w:r>
      <w:r>
        <w:rPr>
          <w:rFonts w:ascii="Times New Roman" w:cs="Times New Roman" w:eastAsia="Times New Roman" w:hAnsi="Times New Roman"/>
          <w:b/>
          <w:bCs/>
          <w:sz w:val="24"/>
          <w:szCs w:val="24"/>
          <w:vertAlign w:val="superscript"/>
        </w:rPr>
        <w:t xml:space="preserve">[77][78][99]</w:t>
      </w:r>
      <w:r>
        <w:rPr>
          <w:rFonts w:ascii="Times New Roman" w:cs="Times New Roman" w:eastAsia="Times New Roman" w:hAnsi="Times New Roman"/>
          <w:sz w:val="24"/>
          <w:szCs w:val="24"/>
        </w:rPr>
        <w:t xml:space="preserve"> Minor chemical burns (first-degree with erythema) are managed with topical emollients and occlusive dressing; more severe burns (second- and third-degree) require burn-unit evaluation, wound care, and consideration of surgical debridement and skin grafting for deep injuries.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Long-term outcomes typically include pigmentary changes and scarring with functional impairment in severe cases.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Allergic contact dermatitis from low-level repeated exposure presents with pruritic eczematous eruption on exposed skin and requires allergen identification through patch testing, avoidance counselling, and topical anti-inflammatory treatment.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Severe or refractory contact dermatitis may require systemic corticosteroids, immunosuppressants, or biologic therapies under specialist dermatological care.</w:t>
      </w:r>
    </w:p>
    <w:p>
      <w:pPr>
        <w:spacing w:after="120" w:before="280"/>
        <w:jc w:val="left"/>
      </w:pPr>
      <w:r>
        <w:rPr>
          <w:rFonts w:ascii="Times New Roman" w:cs="Times New Roman" w:eastAsia="Times New Roman" w:hAnsi="Times New Roman"/>
          <w:b/>
          <w:bCs/>
          <w:sz w:val="24"/>
          <w:szCs w:val="24"/>
        </w:rPr>
        <w:t xml:space="preserve">Oral/Ingestion Exposure</w:t>
      </w:r>
    </w:p>
    <w:p>
      <w:pPr>
        <w:spacing w:after="120" w:before="60" w:line="300"/>
        <w:jc w:val="both"/>
      </w:pPr>
      <w:r>
        <w:rPr>
          <w:rFonts w:ascii="Times New Roman" w:cs="Times New Roman" w:eastAsia="Times New Roman" w:hAnsi="Times New Roman"/>
          <w:sz w:val="24"/>
          <w:szCs w:val="24"/>
        </w:rPr>
        <w:t xml:space="preserve">Oral ingestion of formaldehyde solutions (suicide attempts, accidental exposure) requires urgent toxicological management.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Immediate measures include establishment of intravenous access, airway protection if consciousness is depressed, and cardiovascular support.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Gastric lavage may be considered in the first 1–2 hours after ingestion, with caution about oesophageal injury; activated charcoal has limited efficacy against formaldehyde but may be used with caution.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Metabolic acidosis from formate accumulation requires bicarbonate therapy and consideration of haemodialysis for severe cases.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Folinic acid (leucovorin) and folic acid administration support folate-dependent one-carbon metabolism and accelerate formate clearance.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Upper gastrointestinal endoscopy within 24 hours of ingestion assesses the extent of mucosal injury and informs nutritional management; oesophageal strictures are long-term complications requiring progressive dilation and potentially surgical repair.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Psychiatric evaluation for intentional exposure is essential.</w:t>
      </w:r>
    </w:p>
    <w:p>
      <w:pPr>
        <w:spacing w:after="120" w:before="280"/>
        <w:jc w:val="left"/>
      </w:pPr>
      <w:r>
        <w:rPr>
          <w:rFonts w:ascii="Times New Roman" w:cs="Times New Roman" w:eastAsia="Times New Roman" w:hAnsi="Times New Roman"/>
          <w:b/>
          <w:bCs/>
          <w:sz w:val="24"/>
          <w:szCs w:val="24"/>
        </w:rPr>
        <w:t xml:space="preserve">Occupational Asthma Diagnosis and Management</w:t>
      </w:r>
    </w:p>
    <w:p>
      <w:pPr>
        <w:spacing w:after="120" w:before="60" w:line="300"/>
        <w:jc w:val="both"/>
      </w:pPr>
      <w:r>
        <w:rPr>
          <w:rFonts w:ascii="Times New Roman" w:cs="Times New Roman" w:eastAsia="Times New Roman" w:hAnsi="Times New Roman"/>
          <w:sz w:val="24"/>
          <w:szCs w:val="24"/>
        </w:rPr>
        <w:t xml:space="preserve">Occupational asthma attributable to formaldehyde exposure is diagnosed through integrated assessment of exposure history, symptom characteristics, objective testing, and exclusion of alternative diagnoses.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Clinical history focuses on temporal association between work exposure and asthma symptoms, improvement during weekends and vacations, and worsening on return to work.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Objective testing includes baseline and work-related spirometry (with &gt;15% PEFR variability supporting occupational asthma), methacholine challenge testing for airway hyper-responsiveness, specific IgE testing for allergic mechanisms, and specific inhalation challenge testing in specialised centres for definitive diagnosis.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Management combines workplace modification (reduced exposure, improved controls, task reassignment), pharmacotherapy (inhaled corticosteroids, long-acting bronchodilators, short-acting rescue), and medical removal for severe or persistent cases.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Return-to-work assessment requires documentation of exposure reduction, symptom resolution, objective test normalisation, and appropriate ongoing monitoring. Severe asthma cases with persistent functional impairment may require permanent medical removal and workers' compensation disability evaluation.</w:t>
      </w:r>
    </w:p>
    <w:p>
      <w:pPr>
        <w:spacing w:after="120" w:before="280"/>
        <w:jc w:val="left"/>
      </w:pPr>
      <w:r>
        <w:rPr>
          <w:rFonts w:ascii="Times New Roman" w:cs="Times New Roman" w:eastAsia="Times New Roman" w:hAnsi="Times New Roman"/>
          <w:b/>
          <w:bCs/>
          <w:sz w:val="24"/>
          <w:szCs w:val="24"/>
        </w:rPr>
        <w:t xml:space="preserve">Chronic Rhinosinusitis</w:t>
      </w:r>
    </w:p>
    <w:p>
      <w:pPr>
        <w:spacing w:after="120" w:before="60" w:line="300"/>
        <w:jc w:val="both"/>
      </w:pPr>
      <w:r>
        <w:rPr>
          <w:rFonts w:ascii="Times New Roman" w:cs="Times New Roman" w:eastAsia="Times New Roman" w:hAnsi="Times New Roman"/>
          <w:sz w:val="24"/>
          <w:szCs w:val="24"/>
        </w:rPr>
        <w:t xml:space="preserve">Chronic rhinosinusitis associated with formaldehyde exposure is managed with combined medical and environmental approaches. </w:t>
      </w:r>
      <w:r>
        <w:rPr>
          <w:rFonts w:ascii="Times New Roman" w:cs="Times New Roman" w:eastAsia="Times New Roman" w:hAnsi="Times New Roman"/>
          <w:b/>
          <w:bCs/>
          <w:sz w:val="24"/>
          <w:szCs w:val="24"/>
          <w:vertAlign w:val="superscript"/>
        </w:rPr>
        <w:t xml:space="preserve">[17][41][95]</w:t>
      </w:r>
      <w:r>
        <w:rPr>
          <w:rFonts w:ascii="Times New Roman" w:cs="Times New Roman" w:eastAsia="Times New Roman" w:hAnsi="Times New Roman"/>
          <w:sz w:val="24"/>
          <w:szCs w:val="24"/>
        </w:rPr>
        <w:t xml:space="preserve"> Medical management includes intranasal corticosteroids (mometasone, fluticasone, budesonide), saline irrigation, leukotriene antagonists for selected patients, and antibiotic therapy for bacterial exacerbations. </w:t>
      </w:r>
      <w:r>
        <w:rPr>
          <w:rFonts w:ascii="Times New Roman" w:cs="Times New Roman" w:eastAsia="Times New Roman" w:hAnsi="Times New Roman"/>
          <w:b/>
          <w:bCs/>
          <w:sz w:val="24"/>
          <w:szCs w:val="24"/>
          <w:vertAlign w:val="superscript"/>
        </w:rPr>
        <w:t xml:space="preserve">[17][41]</w:t>
      </w:r>
      <w:r>
        <w:rPr>
          <w:rFonts w:ascii="Times New Roman" w:cs="Times New Roman" w:eastAsia="Times New Roman" w:hAnsi="Times New Roman"/>
          <w:sz w:val="24"/>
          <w:szCs w:val="24"/>
        </w:rPr>
        <w:t xml:space="preserve"> Environmental management requires exposure reduction through engineering controls, workplace accommodation, or PPE depending on severity. </w:t>
      </w:r>
      <w:r>
        <w:rPr>
          <w:rFonts w:ascii="Times New Roman" w:cs="Times New Roman" w:eastAsia="Times New Roman" w:hAnsi="Times New Roman"/>
          <w:b/>
          <w:bCs/>
          <w:sz w:val="24"/>
          <w:szCs w:val="24"/>
          <w:vertAlign w:val="superscript"/>
        </w:rPr>
        <w:t xml:space="preserve">[41][95]</w:t>
      </w:r>
      <w:r>
        <w:rPr>
          <w:rFonts w:ascii="Times New Roman" w:cs="Times New Roman" w:eastAsia="Times New Roman" w:hAnsi="Times New Roman"/>
          <w:sz w:val="24"/>
          <w:szCs w:val="24"/>
        </w:rPr>
        <w:t xml:space="preserve"> Refractory cases may require otolaryngologist consultation for functional endoscopic sinus surgery, particularly for chronic rhinosinusitis with nasal polyps. </w:t>
      </w:r>
      <w:r>
        <w:rPr>
          <w:rFonts w:ascii="Times New Roman" w:cs="Times New Roman" w:eastAsia="Times New Roman" w:hAnsi="Times New Roman"/>
          <w:b/>
          <w:bCs/>
          <w:sz w:val="24"/>
          <w:szCs w:val="24"/>
          <w:vertAlign w:val="superscript"/>
        </w:rPr>
        <w:t xml:space="preserve">[41][95]</w:t>
      </w:r>
      <w:r>
        <w:rPr>
          <w:rFonts w:ascii="Times New Roman" w:cs="Times New Roman" w:eastAsia="Times New Roman" w:hAnsi="Times New Roman"/>
          <w:sz w:val="24"/>
          <w:szCs w:val="24"/>
        </w:rPr>
        <w:t xml:space="preserve"> Long-term surveillance includes periodic endoscopic examination, CT imaging as indicated, and assessment for progression to rare nasal and sinonasal malignancies in highly exposed populations.</w:t>
      </w:r>
    </w:p>
    <w:p>
      <w:pPr>
        <w:spacing w:after="120" w:before="280"/>
        <w:jc w:val="left"/>
      </w:pPr>
      <w:r>
        <w:rPr>
          <w:rFonts w:ascii="Times New Roman" w:cs="Times New Roman" w:eastAsia="Times New Roman" w:hAnsi="Times New Roman"/>
          <w:b/>
          <w:bCs/>
          <w:sz w:val="24"/>
          <w:szCs w:val="24"/>
        </w:rPr>
        <w:t xml:space="preserve">Allergic Contact Dermatitis Evaluation</w:t>
      </w:r>
    </w:p>
    <w:p>
      <w:pPr>
        <w:spacing w:after="120" w:before="60" w:line="300"/>
        <w:jc w:val="both"/>
      </w:pPr>
      <w:r>
        <w:rPr>
          <w:rFonts w:ascii="Times New Roman" w:cs="Times New Roman" w:eastAsia="Times New Roman" w:hAnsi="Times New Roman"/>
          <w:sz w:val="24"/>
          <w:szCs w:val="24"/>
        </w:rPr>
        <w:t xml:space="preserve">Allergic contact dermatitis to formaldehyde is evaluated through patch testing with the North American Contact Dermatitis Group or European Contact Dermatitis Group standard series, typically using 1–2% aqueous formaldehyde in petrolatum.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Positive patch tests (erythema, induration, vesiculation at 48, 72, or 96 hours) confirm sensitisation and warrant avoidance counselling.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Cross-reactivity testing with formaldehyde-releasing preservatives (quaternium-15, DMDM hydantoin, imidazolidinyl urea, diazolidinyl urea, 2-bromo-2-nitropropane-1,3-diol, methenamine, sodium hydroxymethylglycinate) identifies additional avoidance targets.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Product avoidance counselling includes cosmetic and personal care ingredient label review, workplace material safety data sheet review, and specialist product recommendations (formaldehyde-free cosmetics, fragrance-free products, hypoallergenic alternatives).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Workplace reassignment may be necessary for sensitised workers in high-exposure occupations (cosmetology, healthcare, resin manufacturing); workers' compensation coverage for sensitisation-attributable disability is established in most jurisdictions when work-relatedness is documented.</w:t>
      </w:r>
    </w:p>
    <w:p>
      <w:pPr>
        <w:spacing w:after="120" w:before="280"/>
        <w:jc w:val="left"/>
      </w:pPr>
      <w:r>
        <w:rPr>
          <w:rFonts w:ascii="Times New Roman" w:cs="Times New Roman" w:eastAsia="Times New Roman" w:hAnsi="Times New Roman"/>
          <w:b/>
          <w:bCs/>
          <w:sz w:val="24"/>
          <w:szCs w:val="24"/>
        </w:rPr>
        <w:t xml:space="preserve">Cancer Surveillance for High-Exposure Workers</w:t>
      </w:r>
    </w:p>
    <w:p>
      <w:pPr>
        <w:spacing w:after="120" w:before="60" w:line="300"/>
        <w:jc w:val="both"/>
      </w:pPr>
      <w:r>
        <w:rPr>
          <w:rFonts w:ascii="Times New Roman" w:cs="Times New Roman" w:eastAsia="Times New Roman" w:hAnsi="Times New Roman"/>
          <w:sz w:val="24"/>
          <w:szCs w:val="24"/>
        </w:rPr>
        <w:t xml:space="preserve">Cancer surveillance for high-exposure formaldehyde workers is an area of evolving clinical practice. </w:t>
      </w:r>
      <w:r>
        <w:rPr>
          <w:rFonts w:ascii="Times New Roman" w:cs="Times New Roman" w:eastAsia="Times New Roman" w:hAnsi="Times New Roman"/>
          <w:b/>
          <w:bCs/>
          <w:sz w:val="24"/>
          <w:szCs w:val="24"/>
          <w:vertAlign w:val="superscript"/>
        </w:rPr>
        <w:t xml:space="preserve">[10][11][12][99]</w:t>
      </w:r>
      <w:r>
        <w:rPr>
          <w:rFonts w:ascii="Times New Roman" w:cs="Times New Roman" w:eastAsia="Times New Roman" w:hAnsi="Times New Roman"/>
          <w:sz w:val="24"/>
          <w:szCs w:val="24"/>
        </w:rPr>
        <w:t xml:space="preserve"> Nasopharyngeal carcinoma surveillance in workers with documented historical high exposures may include periodic otolaryngological examination, fibre-optic nasopharyngoscopy, and patient education about early warning symptoms (unilateral nasal obstruction, recurrent epistaxis, cervical lymphadenopathy, serous otitis media, cranial nerve palsies).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Myeloid leukaemia surveillance is less well-established given the rarity of the disease and the lack of screening interventions proven to reduce mortality; complete blood count evaluation during annual medical surveillance provides baseline haematological assessment. </w:t>
      </w:r>
      <w:r>
        <w:rPr>
          <w:rFonts w:ascii="Times New Roman" w:cs="Times New Roman" w:eastAsia="Times New Roman" w:hAnsi="Times New Roman"/>
          <w:b/>
          <w:bCs/>
          <w:sz w:val="24"/>
          <w:szCs w:val="24"/>
          <w:vertAlign w:val="superscript"/>
        </w:rPr>
        <w:t xml:space="preserve">[12][14][15]</w:t>
      </w:r>
      <w:r>
        <w:rPr>
          <w:rFonts w:ascii="Times New Roman" w:cs="Times New Roman" w:eastAsia="Times New Roman" w:hAnsi="Times New Roman"/>
          <w:sz w:val="24"/>
          <w:szCs w:val="24"/>
        </w:rPr>
        <w:t xml:space="preserve"> Clinical awareness of potential formaldehyde-attributable disease in exposed workers supports appropriate diagnostic workup when suggestive symptoms arise; early diagnosis provides the best prospects for curative treatment in both nasopharyngeal carcinoma and myeloid leukaemia. </w:t>
      </w:r>
      <w:r>
        <w:rPr>
          <w:rFonts w:ascii="Times New Roman" w:cs="Times New Roman" w:eastAsia="Times New Roman" w:hAnsi="Times New Roman"/>
          <w:b/>
          <w:bCs/>
          <w:sz w:val="24"/>
          <w:szCs w:val="24"/>
          <w:vertAlign w:val="superscript"/>
        </w:rPr>
        <w:t xml:space="preserve">[10][11][12]</w:t>
      </w:r>
      <w:r>
        <w:rPr>
          <w:rFonts w:ascii="Times New Roman" w:cs="Times New Roman" w:eastAsia="Times New Roman" w:hAnsi="Times New Roman"/>
          <w:sz w:val="24"/>
          <w:szCs w:val="24"/>
        </w:rPr>
        <w:t xml:space="preserve"> Occupational medicine consultation for workers with documented exposure and clinical concerns provides specialised expertise and coordination with employer-based surveillance programmes.</w:t>
      </w:r>
    </w:p>
    <w:p>
      <w:pPr>
        <w:spacing w:after="120" w:before="280"/>
        <w:jc w:val="left"/>
      </w:pPr>
      <w:r>
        <w:rPr>
          <w:rFonts w:ascii="Times New Roman" w:cs="Times New Roman" w:eastAsia="Times New Roman" w:hAnsi="Times New Roman"/>
          <w:b/>
          <w:bCs/>
          <w:sz w:val="24"/>
          <w:szCs w:val="24"/>
        </w:rPr>
        <w:t xml:space="preserve">Return-to-Work Assessment</w:t>
      </w:r>
    </w:p>
    <w:p>
      <w:pPr>
        <w:spacing w:after="120" w:before="60" w:line="300"/>
        <w:jc w:val="both"/>
      </w:pPr>
      <w:r>
        <w:rPr>
          <w:rFonts w:ascii="Times New Roman" w:cs="Times New Roman" w:eastAsia="Times New Roman" w:hAnsi="Times New Roman"/>
          <w:sz w:val="24"/>
          <w:szCs w:val="24"/>
        </w:rPr>
        <w:t xml:space="preserve">Return-to-work assessment for workers recovering from formaldehyde-related illness requires integrated consideration of medical recovery, residual functional impairment, exposure reduction, and worker preference. </w:t>
      </w:r>
      <w:r>
        <w:rPr>
          <w:rFonts w:ascii="Times New Roman" w:cs="Times New Roman" w:eastAsia="Times New Roman" w:hAnsi="Times New Roman"/>
          <w:b/>
          <w:bCs/>
          <w:sz w:val="24"/>
          <w:szCs w:val="24"/>
          <w:vertAlign w:val="superscript"/>
        </w:rPr>
        <w:t xml:space="preserve">[17][74][87][99]</w:t>
      </w:r>
      <w:r>
        <w:rPr>
          <w:rFonts w:ascii="Times New Roman" w:cs="Times New Roman" w:eastAsia="Times New Roman" w:hAnsi="Times New Roman"/>
          <w:sz w:val="24"/>
          <w:szCs w:val="24"/>
        </w:rPr>
        <w:t xml:space="preserve"> Medical clearance includes objective documentation of symptom resolution, normalisation of pulmonary function testing, dermal healing, and absence of ongoing acute care needs.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Workplace assessment characterises the current exposure potential, engineering and administrative controls, PPE requirements, and availability of accommodated work.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Graduated return-to-work protocols with initial limited exposure, monitored exposure progression, and periodic symptom and function assessment support sustainable return to full duty. </w:t>
      </w:r>
      <w:r>
        <w:rPr>
          <w:rFonts w:ascii="Times New Roman" w:cs="Times New Roman" w:eastAsia="Times New Roman" w:hAnsi="Times New Roman"/>
          <w:b/>
          <w:bCs/>
          <w:sz w:val="24"/>
          <w:szCs w:val="24"/>
          <w:vertAlign w:val="superscript"/>
        </w:rPr>
        <w:t xml:space="preserve">[74][99]</w:t>
      </w:r>
      <w:r>
        <w:rPr>
          <w:rFonts w:ascii="Times New Roman" w:cs="Times New Roman" w:eastAsia="Times New Roman" w:hAnsi="Times New Roman"/>
          <w:sz w:val="24"/>
          <w:szCs w:val="24"/>
        </w:rPr>
        <w:t xml:space="preserve"> Permanent work restrictions — reassignment to non-formaldehyde-exposed work — are appropriate for workers with persistent occupational asthma, severe refractory rhinosinusitis, or disabling contact dermatitis that does not remit with exposure reduction. Coordination between occupational medicine, treating specialists, employer occupational health, and workers' compensation systems supports effective return-to-work outcomes.</w:t>
      </w:r>
    </w:p>
    <w:p>
      <w:r>
        <w:br w:type="page"/>
      </w:r>
    </w:p>
    <w:p>
      <w:pPr>
        <w:spacing w:after="120" w:before="280"/>
        <w:jc w:val="left"/>
      </w:pPr>
      <w:r>
        <w:rPr>
          <w:rFonts w:ascii="Times New Roman" w:cs="Times New Roman" w:eastAsia="Times New Roman" w:hAnsi="Times New Roman"/>
          <w:b/>
          <w:bCs/>
          <w:sz w:val="24"/>
          <w:szCs w:val="24"/>
        </w:rPr>
        <w:t xml:space="preserve">Occupational Surveillance and Medical Monitoring</w:t>
      </w:r>
    </w:p>
    <w:p>
      <w:pPr>
        <w:spacing w:after="120" w:before="60" w:line="300"/>
        <w:jc w:val="both"/>
      </w:pPr>
      <w:r>
        <w:rPr>
          <w:rFonts w:ascii="Times New Roman" w:cs="Times New Roman" w:eastAsia="Times New Roman" w:hAnsi="Times New Roman"/>
          <w:sz w:val="24"/>
          <w:szCs w:val="24"/>
        </w:rPr>
        <w:t xml:space="preserve">Occupational surveillance and medical monitoring of formaldehyde-exposed workers provides the foundation for early detection of adverse health effects, documentation of exposure-response relationships, and continuous improvement of workplace controls. </w:t>
      </w:r>
      <w:r>
        <w:rPr>
          <w:rFonts w:ascii="Times New Roman" w:cs="Times New Roman" w:eastAsia="Times New Roman" w:hAnsi="Times New Roman"/>
          <w:b/>
          <w:bCs/>
          <w:sz w:val="24"/>
          <w:szCs w:val="24"/>
          <w:vertAlign w:val="superscript"/>
        </w:rPr>
        <w:t xml:space="preserve">[10][11][12][14][15][99]</w:t>
      </w:r>
      <w:r>
        <w:rPr>
          <w:rFonts w:ascii="Times New Roman" w:cs="Times New Roman" w:eastAsia="Times New Roman" w:hAnsi="Times New Roman"/>
          <w:sz w:val="24"/>
          <w:szCs w:val="24"/>
        </w:rPr>
        <w:t xml:space="preserve"> The regulatory framework for occupational surveillance under OSHA 29 CFR 1910.1048, European Directive 2004/37/EC on carcinogens and mutagens at work, and comparable international standards specifies the elements of workplace monitoring, medical examination, record-keeping, and worker notification for formaldehyde.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This section reviews the components of formaldehyde occupational surveillance: air monitoring, medical surveillance, symptom tracking, biomarker monitoring, workplace controls, and integration with epidemiological research.</w:t>
      </w:r>
    </w:p>
    <w:p>
      <w:pPr>
        <w:spacing w:after="120" w:before="280"/>
        <w:jc w:val="left"/>
      </w:pPr>
      <w:r>
        <w:rPr>
          <w:rFonts w:ascii="Times New Roman" w:cs="Times New Roman" w:eastAsia="Times New Roman" w:hAnsi="Times New Roman"/>
          <w:b/>
          <w:bCs/>
          <w:sz w:val="24"/>
          <w:szCs w:val="24"/>
        </w:rPr>
        <w:t xml:space="preserve">Air Monitoring Requirements</w:t>
      </w:r>
    </w:p>
    <w:p>
      <w:pPr>
        <w:spacing w:after="120" w:before="60" w:line="300"/>
        <w:jc w:val="both"/>
      </w:pPr>
      <w:r>
        <w:rPr>
          <w:rFonts w:ascii="Times New Roman" w:cs="Times New Roman" w:eastAsia="Times New Roman" w:hAnsi="Times New Roman"/>
          <w:sz w:val="24"/>
          <w:szCs w:val="24"/>
        </w:rPr>
        <w:t xml:space="preserve">Workplace air monitoring for formaldehyde is regulated under the OSHA Formaldehyde Standard, European national occupational exposure limit frameworks, and parallel international standards.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OSHA requires initial exposure monitoring to determine whether worker exposures exceed the Action Level of 0.5 ppm (8-hour TWA); if the Action Level is exceeded, continuous exposure monitoring, medical surveillance, exposure-reduction measures, and worker training are triggered.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Personal breathing-zone samples using NIOSH Method 3500 (DNPH-coated sorbent with HPLC analysis), NIOSH Method 2016 (silica gel with DNPH), or OSHA Method ID-205 provide the principal quantitative measurements.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Direct-reading portable monitors (electrochemical sensors, photometric devices) provide real-time feedback for task-specific monitoring and emergency response; these devices are calibrated against the reference laboratory methods with typical accuracy of ±15% at 0.1–2 ppm.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Area monitoring of high-exposure process areas (resin reactors, pressing lines, preparation rooms) complements personal monitoring and supports engineering control verification.</w:t>
      </w:r>
    </w:p>
    <w:p>
      <w:pPr>
        <w:spacing w:after="120" w:before="280"/>
        <w:jc w:val="left"/>
      </w:pPr>
      <w:r>
        <w:rPr>
          <w:rFonts w:ascii="Times New Roman" w:cs="Times New Roman" w:eastAsia="Times New Roman" w:hAnsi="Times New Roman"/>
          <w:b/>
          <w:bCs/>
          <w:sz w:val="24"/>
          <w:szCs w:val="24"/>
        </w:rPr>
        <w:t xml:space="preserve">Medical Surveillance</w:t>
      </w:r>
    </w:p>
    <w:p>
      <w:pPr>
        <w:spacing w:after="120" w:before="60" w:line="300"/>
        <w:jc w:val="both"/>
      </w:pPr>
      <w:r>
        <w:rPr>
          <w:rFonts w:ascii="Times New Roman" w:cs="Times New Roman" w:eastAsia="Times New Roman" w:hAnsi="Times New Roman"/>
          <w:sz w:val="24"/>
          <w:szCs w:val="24"/>
        </w:rPr>
        <w:t xml:space="preserve">Medical surveillance of formaldehyde-exposed workers includes initial baseline medical history and physical examination, periodic (typically annual) re-examination, symptom-triggered evaluation, and post-incident examination following acute exposure events. </w:t>
      </w:r>
      <w:r>
        <w:rPr>
          <w:rFonts w:ascii="Times New Roman" w:cs="Times New Roman" w:eastAsia="Times New Roman" w:hAnsi="Times New Roman"/>
          <w:b/>
          <w:bCs/>
          <w:sz w:val="24"/>
          <w:szCs w:val="24"/>
          <w:vertAlign w:val="superscript"/>
        </w:rPr>
        <w:t xml:space="preserve">[12][14][15][99]</w:t>
      </w:r>
      <w:r>
        <w:rPr>
          <w:rFonts w:ascii="Times New Roman" w:cs="Times New Roman" w:eastAsia="Times New Roman" w:hAnsi="Times New Roman"/>
          <w:sz w:val="24"/>
          <w:szCs w:val="24"/>
        </w:rPr>
        <w:t xml:space="preserve"> The baseline examination documents respiratory health (symptom history, spirometry baseline), dermatological examination (existing dermatitis, sensitisation patch testing if indicated), and general health status.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Annual re-examination focuses on new or worsening respiratory symptoms, new or worsening dermatitis, spirometry trends, and exposure history review.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Symptom-triggered examination follows reports of work-related respiratory symptoms, chemical burns, eye irritation, or contact dermatitis; appropriate specialist referral (occupational medicine, dermatology, pulmonology, ophthalmology) is arranged as clinically indicated.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Post-incident examination following overexposure events documents acute health effects and supports incident investigation and corrective action.</w:t>
      </w:r>
    </w:p>
    <w:p>
      <w:pPr>
        <w:spacing w:after="120" w:before="280"/>
        <w:jc w:val="left"/>
      </w:pPr>
      <w:r>
        <w:rPr>
          <w:rFonts w:ascii="Times New Roman" w:cs="Times New Roman" w:eastAsia="Times New Roman" w:hAnsi="Times New Roman"/>
          <w:b/>
          <w:bCs/>
          <w:sz w:val="24"/>
          <w:szCs w:val="24"/>
        </w:rPr>
        <w:t xml:space="preserve">Symptom Tracking and Worker Reporting</w:t>
      </w:r>
    </w:p>
    <w:p>
      <w:pPr>
        <w:spacing w:after="120" w:before="60" w:line="300"/>
        <w:jc w:val="both"/>
      </w:pPr>
      <w:r>
        <w:rPr>
          <w:rFonts w:ascii="Times New Roman" w:cs="Times New Roman" w:eastAsia="Times New Roman" w:hAnsi="Times New Roman"/>
          <w:sz w:val="24"/>
          <w:szCs w:val="24"/>
        </w:rPr>
        <w:t xml:space="preserve">Structured symptom tracking in formaldehyde-exposed workforces provides early warning of exposure excursions and health effect trends. </w:t>
      </w:r>
      <w:r>
        <w:rPr>
          <w:rFonts w:ascii="Times New Roman" w:cs="Times New Roman" w:eastAsia="Times New Roman" w:hAnsi="Times New Roman"/>
          <w:b/>
          <w:bCs/>
          <w:sz w:val="24"/>
          <w:szCs w:val="24"/>
          <w:vertAlign w:val="superscript"/>
        </w:rPr>
        <w:t xml:space="preserve">[14][15][99]</w:t>
      </w:r>
      <w:r>
        <w:rPr>
          <w:rFonts w:ascii="Times New Roman" w:cs="Times New Roman" w:eastAsia="Times New Roman" w:hAnsi="Times New Roman"/>
          <w:sz w:val="24"/>
          <w:szCs w:val="24"/>
        </w:rPr>
        <w:t xml:space="preserve"> Periodic worker health surveys using standardised instruments (Medical Research Council respiratory symptom questionnaire, European Community Respiratory Health Survey, dermatological symptom checklists) capture the prevalence of upper airway irritation, cough, wheeze, shortness of breath, skin rashes, and eye symptoms. </w:t>
      </w:r>
      <w:r>
        <w:rPr>
          <w:rFonts w:ascii="Times New Roman" w:cs="Times New Roman" w:eastAsia="Times New Roman" w:hAnsi="Times New Roman"/>
          <w:b/>
          <w:bCs/>
          <w:sz w:val="24"/>
          <w:szCs w:val="24"/>
          <w:vertAlign w:val="superscript"/>
        </w:rPr>
        <w:t xml:space="preserve">[14][99]</w:t>
      </w:r>
      <w:r>
        <w:rPr>
          <w:rFonts w:ascii="Times New Roman" w:cs="Times New Roman" w:eastAsia="Times New Roman" w:hAnsi="Times New Roman"/>
          <w:sz w:val="24"/>
          <w:szCs w:val="24"/>
        </w:rPr>
        <w:t xml:space="preserve"> Anonymous reporting channels for worker concerns about exposure or health effects enhance surveillance coverage; near-miss reporting captures exposure events that did not produce overt injury but indicate control system deficiencies.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Integration of symptom data with exposure monitoring data enables identification of dose-response patterns within the workforce and targeted intervention. </w:t>
      </w:r>
      <w:r>
        <w:rPr>
          <w:rFonts w:ascii="Times New Roman" w:cs="Times New Roman" w:eastAsia="Times New Roman" w:hAnsi="Times New Roman"/>
          <w:b/>
          <w:bCs/>
          <w:sz w:val="24"/>
          <w:szCs w:val="24"/>
          <w:vertAlign w:val="superscript"/>
        </w:rPr>
        <w:t xml:space="preserve">[14][15][99]</w:t>
      </w:r>
      <w:r>
        <w:rPr>
          <w:rFonts w:ascii="Times New Roman" w:cs="Times New Roman" w:eastAsia="Times New Roman" w:hAnsi="Times New Roman"/>
          <w:sz w:val="24"/>
          <w:szCs w:val="24"/>
        </w:rPr>
        <w:t xml:space="preserve"> Sentinel event reporting of cases of occupational asthma, chronic rhinosinusitis, or contact dermatitis provides rapid case ascertainment for exposure investigation.</w:t>
      </w:r>
    </w:p>
    <w:p>
      <w:pPr>
        <w:spacing w:after="120" w:before="280"/>
        <w:jc w:val="left"/>
      </w:pPr>
      <w:r>
        <w:rPr>
          <w:rFonts w:ascii="Times New Roman" w:cs="Times New Roman" w:eastAsia="Times New Roman" w:hAnsi="Times New Roman"/>
          <w:b/>
          <w:bCs/>
          <w:sz w:val="24"/>
          <w:szCs w:val="24"/>
        </w:rPr>
        <w:t xml:space="preserve">Biomarker Monitoring</w:t>
      </w:r>
    </w:p>
    <w:p>
      <w:pPr>
        <w:spacing w:after="120" w:before="60" w:line="300"/>
        <w:jc w:val="both"/>
      </w:pPr>
      <w:r>
        <w:rPr>
          <w:rFonts w:ascii="Times New Roman" w:cs="Times New Roman" w:eastAsia="Times New Roman" w:hAnsi="Times New Roman"/>
          <w:sz w:val="24"/>
          <w:szCs w:val="24"/>
        </w:rPr>
        <w:t xml:space="preserve">Biomarker monitoring in occupational formaldehyde surveillance is limited in most regulatory frameworks but is an area of active research for specialised applications. </w:t>
      </w:r>
      <w:r>
        <w:rPr>
          <w:rFonts w:ascii="Times New Roman" w:cs="Times New Roman" w:eastAsia="Times New Roman" w:hAnsi="Times New Roman"/>
          <w:b/>
          <w:bCs/>
          <w:sz w:val="24"/>
          <w:szCs w:val="24"/>
          <w:vertAlign w:val="superscript"/>
        </w:rPr>
        <w:t xml:space="preserve">[21][35][99]</w:t>
      </w:r>
      <w:r>
        <w:rPr>
          <w:rFonts w:ascii="Times New Roman" w:cs="Times New Roman" w:eastAsia="Times New Roman" w:hAnsi="Times New Roman"/>
          <w:sz w:val="24"/>
          <w:szCs w:val="24"/>
        </w:rPr>
        <w:t xml:space="preserve"> ACGIH BEI does not currently specify a formaldehyde biological exposure index; NIOSH and OSHA rely on air monitoring rather than biomonitoring.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Research applications of biomarker monitoring in sentinel cohorts include haemoglobin N-methylenevaline adducts, urinary formate, DNA adduct measurements, and micronucleus frequency; these are used for research characterisation rather than routine surveillance.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The German HBM (Human Biomonitoring) programme and the European HBM4EU Initiative are actively developing formaldehyde biomarker reference ranges and health-based guidance that may eventually inform occupational biomonitoring. </w:t>
      </w:r>
      <w:r>
        <w:rPr>
          <w:rFonts w:ascii="Times New Roman" w:cs="Times New Roman" w:eastAsia="Times New Roman" w:hAnsi="Times New Roman"/>
          <w:b/>
          <w:bCs/>
          <w:sz w:val="24"/>
          <w:szCs w:val="24"/>
          <w:vertAlign w:val="superscript"/>
        </w:rPr>
        <w:t xml:space="preserve">[21]</w:t>
      </w:r>
      <w:r>
        <w:rPr>
          <w:rFonts w:ascii="Times New Roman" w:cs="Times New Roman" w:eastAsia="Times New Roman" w:hAnsi="Times New Roman"/>
          <w:sz w:val="24"/>
          <w:szCs w:val="24"/>
        </w:rPr>
        <w:t xml:space="preserve"> Functional respiratory biomarkers (exhaled breath condensate analysis, nasal lavage inflammatory markers) provide non-invasive effect markers that are applicable to research and specialised clinical settings.</w:t>
      </w:r>
    </w:p>
    <w:p>
      <w:pPr>
        <w:spacing w:after="120" w:before="280"/>
        <w:jc w:val="left"/>
      </w:pPr>
      <w:r>
        <w:rPr>
          <w:rFonts w:ascii="Times New Roman" w:cs="Times New Roman" w:eastAsia="Times New Roman" w:hAnsi="Times New Roman"/>
          <w:b/>
          <w:bCs/>
          <w:sz w:val="24"/>
          <w:szCs w:val="24"/>
        </w:rPr>
        <w:t xml:space="preserve">Spirometry and Respiratory Function Monitoring</w:t>
      </w:r>
    </w:p>
    <w:p>
      <w:pPr>
        <w:spacing w:after="120" w:before="60" w:line="300"/>
        <w:jc w:val="both"/>
      </w:pPr>
      <w:r>
        <w:rPr>
          <w:rFonts w:ascii="Times New Roman" w:cs="Times New Roman" w:eastAsia="Times New Roman" w:hAnsi="Times New Roman"/>
          <w:sz w:val="24"/>
          <w:szCs w:val="24"/>
        </w:rPr>
        <w:t xml:space="preserve">Spirometry and respiratory function monitoring of formaldehyde-exposed workers provides longitudinal assessment of pulmonary function consistent with U.S. ATS/ERS Standardisation of Spirometry 2019 update protocols.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Baseline spirometry at initial employment establishes individual reference values; annual or biennial follow-up spirometry identifies accelerated decline in FEV1 or FVC that may warrant exposure re-characterisation or medical removal.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Occupational asthma surveillance protocols include serial peak expiratory flow rate monitoring during work and non-work periods, specific inhalation challenge testing in specialised centres, and allergist or pulmonologist consultation for confirmed cases.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Medical removal from formaldehyde exposure is appropriate for workers with confirmed occupational asthma, accelerated spirometric decline, or severe chronic rhinosinusitis refractory to ambient exposure reduction.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Return to work following medical removal requires documentation of exposure reduction, symptom resolution, and absence of permanent functional impairment.</w:t>
      </w:r>
    </w:p>
    <w:p>
      <w:pPr>
        <w:spacing w:after="120" w:before="280"/>
        <w:jc w:val="left"/>
      </w:pPr>
      <w:r>
        <w:rPr>
          <w:rFonts w:ascii="Times New Roman" w:cs="Times New Roman" w:eastAsia="Times New Roman" w:hAnsi="Times New Roman"/>
          <w:b/>
          <w:bCs/>
          <w:sz w:val="24"/>
          <w:szCs w:val="24"/>
        </w:rPr>
        <w:t xml:space="preserve">Control Banding and Risk-Based Approaches</w:t>
      </w:r>
    </w:p>
    <w:p>
      <w:pPr>
        <w:spacing w:after="120" w:before="60" w:line="300"/>
        <w:jc w:val="both"/>
      </w:pPr>
      <w:r>
        <w:rPr>
          <w:rFonts w:ascii="Times New Roman" w:cs="Times New Roman" w:eastAsia="Times New Roman" w:hAnsi="Times New Roman"/>
          <w:sz w:val="24"/>
          <w:szCs w:val="24"/>
        </w:rPr>
        <w:t xml:space="preserve">Control banding approaches to formaldehyde occupational health management classify tasks and operations into hazard bands based on exposure potential, with corresponding engineering, administrative, and PPE requirements. </w:t>
      </w:r>
      <w:r>
        <w:rPr>
          <w:rFonts w:ascii="Times New Roman" w:cs="Times New Roman" w:eastAsia="Times New Roman" w:hAnsi="Times New Roman"/>
          <w:b/>
          <w:bCs/>
          <w:sz w:val="24"/>
          <w:szCs w:val="24"/>
          <w:vertAlign w:val="superscript"/>
        </w:rPr>
        <w:t xml:space="preserve">[72][99]</w:t>
      </w:r>
      <w:r>
        <w:rPr>
          <w:rFonts w:ascii="Times New Roman" w:cs="Times New Roman" w:eastAsia="Times New Roman" w:hAnsi="Times New Roman"/>
          <w:sz w:val="24"/>
          <w:szCs w:val="24"/>
        </w:rPr>
        <w:t xml:space="preserve"> The COSHH Essentials framework (UK HSE) assigns formaldehyde to Control Band 3 (requires engineering controls, enclosure where feasible, and PPE) and provides task-specific guidance for common activities.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Quantitative risk assessment incorporating job-specific exposure data, duration, and task frequency supports risk-tier classification and prioritisation of control investments. </w:t>
      </w:r>
      <w:r>
        <w:rPr>
          <w:rFonts w:ascii="Times New Roman" w:cs="Times New Roman" w:eastAsia="Times New Roman" w:hAnsi="Times New Roman"/>
          <w:b/>
          <w:bCs/>
          <w:sz w:val="24"/>
          <w:szCs w:val="24"/>
          <w:vertAlign w:val="superscript"/>
        </w:rPr>
        <w:t xml:space="preserve">[72][99]</w:t>
      </w:r>
      <w:r>
        <w:rPr>
          <w:rFonts w:ascii="Times New Roman" w:cs="Times New Roman" w:eastAsia="Times New Roman" w:hAnsi="Times New Roman"/>
          <w:sz w:val="24"/>
          <w:szCs w:val="24"/>
        </w:rPr>
        <w:t xml:space="preserve"> Emerging digital-twin and continuous-monitoring approaches enable real-time risk characterisation at the individual-worker and task-activity level; integration of wearable sensors, exposure databases, and AI-driven analytics is an active research direction that will likely transform occupational surveillance over the coming decade.</w:t>
      </w:r>
    </w:p>
    <w:p>
      <w:pPr>
        <w:spacing w:after="120" w:before="280"/>
        <w:jc w:val="left"/>
      </w:pPr>
      <w:r>
        <w:rPr>
          <w:rFonts w:ascii="Times New Roman" w:cs="Times New Roman" w:eastAsia="Times New Roman" w:hAnsi="Times New Roman"/>
          <w:b/>
          <w:bCs/>
          <w:sz w:val="24"/>
          <w:szCs w:val="24"/>
        </w:rPr>
        <w:t xml:space="preserve">Occupational Health Management System Integration</w:t>
      </w:r>
    </w:p>
    <w:p>
      <w:pPr>
        <w:spacing w:after="120" w:before="60" w:line="300"/>
        <w:jc w:val="both"/>
      </w:pPr>
      <w:r>
        <w:rPr>
          <w:rFonts w:ascii="Times New Roman" w:cs="Times New Roman" w:eastAsia="Times New Roman" w:hAnsi="Times New Roman"/>
          <w:sz w:val="24"/>
          <w:szCs w:val="24"/>
        </w:rPr>
        <w:t xml:space="preserve">Integration of formaldehyde surveillance into broader occupational health management systems enhances effectiveness and efficiency of worker protection. </w:t>
      </w:r>
      <w:r>
        <w:rPr>
          <w:rFonts w:ascii="Times New Roman" w:cs="Times New Roman" w:eastAsia="Times New Roman" w:hAnsi="Times New Roman"/>
          <w:b/>
          <w:bCs/>
          <w:sz w:val="24"/>
          <w:szCs w:val="24"/>
          <w:vertAlign w:val="superscript"/>
        </w:rPr>
        <w:t xml:space="preserve">[72][99]</w:t>
      </w:r>
      <w:r>
        <w:rPr>
          <w:rFonts w:ascii="Times New Roman" w:cs="Times New Roman" w:eastAsia="Times New Roman" w:hAnsi="Times New Roman"/>
          <w:sz w:val="24"/>
          <w:szCs w:val="24"/>
        </w:rPr>
        <w:t xml:space="preserve"> ISO 45001 occupational health and safety management systems provide the framework for systematic identification, evaluation, and control of formaldehyde and other workplace hazards with continuous improvement cycles.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OSHA Voluntary Protection Program (VPP), Certified Safety Professional (CSP) practice standards, and Certified Industrial Hygienist (CIH) practice standards provide the professional practice guidelines for formaldehyde management.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Integration with environmental management systems (ISO 14001), quality management systems (ISO 9001), and building management systems allows formaldehyde exposure data to inform broader operational decisions including ventilation scheduling, material selection, and process optimisation. </w:t>
      </w:r>
      <w:r>
        <w:rPr>
          <w:rFonts w:ascii="Times New Roman" w:cs="Times New Roman" w:eastAsia="Times New Roman" w:hAnsi="Times New Roman"/>
          <w:b/>
          <w:bCs/>
          <w:sz w:val="24"/>
          <w:szCs w:val="24"/>
          <w:vertAlign w:val="superscript"/>
        </w:rPr>
        <w:t xml:space="preserve">[91][99]</w:t>
      </w:r>
      <w:r>
        <w:rPr>
          <w:rFonts w:ascii="Times New Roman" w:cs="Times New Roman" w:eastAsia="Times New Roman" w:hAnsi="Times New Roman"/>
          <w:sz w:val="24"/>
          <w:szCs w:val="24"/>
        </w:rPr>
        <w:t xml:space="preserve"> Data-driven occupational health programmes integrate exposure records, medical records, and production data to identify patterns, anticipate emerging issues, and drive evidence-based prevention.</w:t>
      </w:r>
    </w:p>
    <w:p>
      <w:pPr>
        <w:spacing w:after="120" w:before="280"/>
        <w:jc w:val="left"/>
      </w:pPr>
      <w:r>
        <w:rPr>
          <w:rFonts w:ascii="Times New Roman" w:cs="Times New Roman" w:eastAsia="Times New Roman" w:hAnsi="Times New Roman"/>
          <w:b/>
          <w:bCs/>
          <w:sz w:val="24"/>
          <w:szCs w:val="24"/>
        </w:rPr>
        <w:t xml:space="preserve">Regulatory Reporting and Compliance</w:t>
      </w:r>
    </w:p>
    <w:p>
      <w:pPr>
        <w:spacing w:after="120" w:before="60" w:line="300"/>
        <w:jc w:val="both"/>
      </w:pPr>
      <w:r>
        <w:rPr>
          <w:rFonts w:ascii="Times New Roman" w:cs="Times New Roman" w:eastAsia="Times New Roman" w:hAnsi="Times New Roman"/>
          <w:sz w:val="24"/>
          <w:szCs w:val="24"/>
        </w:rPr>
        <w:t xml:space="preserve">Regulatory reporting requirements for formaldehyde include OSHA Form 300 injury and illness logs, state-level workers' compensation reports, environmental release reporting under SARA Title III and Toxic Release Inventory, and transportation incident reporting under DOT Hazardous Materials Regulations.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European regulatory reporting under REACH, CLP, and Seveso III Directive addresses registration, labelling, and major accident hazard scenarios respectively.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Occupational disease reporting systems (SWORD, PHEA, SHIELD in the UK; SENSOR in the U.S.; ECDC and national registries in Europe) capture occupational asthma, contact dermatitis, and chemical pneumonitis cases providing sentinel surveillance of population-level trends.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Accurate and timely reporting ensures regulatory compliance, supports research and public health surveillance, and documents corporate environmental, social, and governance (ESG) performance.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Audit and inspection processes by regulatory authorities verify compliance with reporting requirements and identify areas for corrective action.</w:t>
      </w:r>
    </w:p>
    <w:p>
      <w:pPr>
        <w:spacing w:after="120" w:before="280"/>
        <w:jc w:val="left"/>
      </w:pPr>
      <w:r>
        <w:rPr>
          <w:rFonts w:ascii="Times New Roman" w:cs="Times New Roman" w:eastAsia="Times New Roman" w:hAnsi="Times New Roman"/>
          <w:b/>
          <w:bCs/>
          <w:sz w:val="24"/>
          <w:szCs w:val="24"/>
        </w:rPr>
        <w:t xml:space="preserve">Worker Training and Hazard Communication</w:t>
      </w:r>
    </w:p>
    <w:p>
      <w:pPr>
        <w:spacing w:after="120" w:before="60" w:line="300"/>
        <w:jc w:val="both"/>
      </w:pPr>
      <w:r>
        <w:rPr>
          <w:rFonts w:ascii="Times New Roman" w:cs="Times New Roman" w:eastAsia="Times New Roman" w:hAnsi="Times New Roman"/>
          <w:sz w:val="24"/>
          <w:szCs w:val="24"/>
        </w:rPr>
        <w:t xml:space="preserve">Worker training and hazard communication for formaldehyde is mandated under the OSHA Hazard Communication Standard (29 CFR 1910.1200) with specific provisions in the Formaldehyde Standard.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Initial training covers physical and chemical properties, health hazards, emergency procedures, use of PPE, engineering controls, and medical surveillance rights.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Annual refresher training reinforces key concepts and addresses any changes in workplace conditions, materials, or regulatory requirements.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Task-specific training provides detailed guidance for high-exposure activities: reactor sampling, body preparation, histology grossing, hair-smoothing product application, and other specialised work. </w:t>
      </w:r>
      <w:r>
        <w:rPr>
          <w:rFonts w:ascii="Times New Roman" w:cs="Times New Roman" w:eastAsia="Times New Roman" w:hAnsi="Times New Roman"/>
          <w:b/>
          <w:bCs/>
          <w:sz w:val="24"/>
          <w:szCs w:val="24"/>
          <w:vertAlign w:val="superscript"/>
        </w:rPr>
        <w:t xml:space="preserve">[12][89][99]</w:t>
      </w:r>
      <w:r>
        <w:rPr>
          <w:rFonts w:ascii="Times New Roman" w:cs="Times New Roman" w:eastAsia="Times New Roman" w:hAnsi="Times New Roman"/>
          <w:sz w:val="24"/>
          <w:szCs w:val="24"/>
        </w:rPr>
        <w:t xml:space="preserve"> Language-appropriate training materials and culturally sensitive communication are important for diverse workforces; Spanish-language materials are standard in many U.S. workplaces and multi-language training is common in international facilities.</w:t>
      </w:r>
    </w:p>
    <w:p>
      <w:pPr>
        <w:spacing w:after="120" w:before="280"/>
        <w:jc w:val="left"/>
      </w:pPr>
      <w:r>
        <w:rPr>
          <w:rFonts w:ascii="Times New Roman" w:cs="Times New Roman" w:eastAsia="Times New Roman" w:hAnsi="Times New Roman"/>
          <w:b/>
          <w:bCs/>
          <w:sz w:val="24"/>
          <w:szCs w:val="24"/>
        </w:rPr>
        <w:t xml:space="preserve">Contribution to Research and Public Health</w:t>
      </w:r>
    </w:p>
    <w:p>
      <w:pPr>
        <w:spacing w:after="120" w:before="60" w:line="300"/>
        <w:jc w:val="both"/>
      </w:pPr>
      <w:r>
        <w:rPr>
          <w:rFonts w:ascii="Times New Roman" w:cs="Times New Roman" w:eastAsia="Times New Roman" w:hAnsi="Times New Roman"/>
          <w:sz w:val="24"/>
          <w:szCs w:val="24"/>
        </w:rPr>
        <w:t xml:space="preserve">Occupational surveillance data contribute substantially to formaldehyde-relevant research and public health knowledge. </w:t>
      </w:r>
      <w:r>
        <w:rPr>
          <w:rFonts w:ascii="Times New Roman" w:cs="Times New Roman" w:eastAsia="Times New Roman" w:hAnsi="Times New Roman"/>
          <w:b/>
          <w:bCs/>
          <w:sz w:val="24"/>
          <w:szCs w:val="24"/>
          <w:vertAlign w:val="superscript"/>
        </w:rPr>
        <w:t xml:space="preserve">[10][11][12][14][15][17][74]</w:t>
      </w:r>
      <w:r>
        <w:rPr>
          <w:rFonts w:ascii="Times New Roman" w:cs="Times New Roman" w:eastAsia="Times New Roman" w:hAnsi="Times New Roman"/>
          <w:sz w:val="24"/>
          <w:szCs w:val="24"/>
        </w:rPr>
        <w:t xml:space="preserve"> Cohort studies of formaldehyde-exposed workers (NCI industrial, NIOSH embalmers, NIOSH garment workers, British and European cohorts) are assembled from occupational health records, employment records, and exposure monitoring data collected for compliance purposes.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Ongoing extension of these cohorts through continued vital status follow-up and newly assembled international cohorts relies on employer participation in surveillance programmes and on worker consent for research use of occupational health data. </w:t>
      </w:r>
      <w:r>
        <w:rPr>
          <w:rFonts w:ascii="Times New Roman" w:cs="Times New Roman" w:eastAsia="Times New Roman" w:hAnsi="Times New Roman"/>
          <w:b/>
          <w:bCs/>
          <w:sz w:val="24"/>
          <w:szCs w:val="24"/>
          <w:vertAlign w:val="superscript"/>
        </w:rPr>
        <w:t xml:space="preserve">[10][11][47]</w:t>
      </w:r>
      <w:r>
        <w:rPr>
          <w:rFonts w:ascii="Times New Roman" w:cs="Times New Roman" w:eastAsia="Times New Roman" w:hAnsi="Times New Roman"/>
          <w:sz w:val="24"/>
          <w:szCs w:val="24"/>
        </w:rPr>
        <w:t xml:space="preserve"> Data-sharing initiatives (ENETS Consortium on Aldehyde Cancers, IARC Occupational Cancer Information Network, ICOH Industrial Hygiene Task Force) facilitate cross-cohort analyses and meta-analyses that individual employers cannot achieve alone. </w:t>
      </w:r>
      <w:r>
        <w:rPr>
          <w:rFonts w:ascii="Times New Roman" w:cs="Times New Roman" w:eastAsia="Times New Roman" w:hAnsi="Times New Roman"/>
          <w:b/>
          <w:bCs/>
          <w:sz w:val="24"/>
          <w:szCs w:val="24"/>
          <w:vertAlign w:val="superscript"/>
        </w:rPr>
        <w:t xml:space="preserve">[10][47]</w:t>
      </w:r>
      <w:r>
        <w:rPr>
          <w:rFonts w:ascii="Times New Roman" w:cs="Times New Roman" w:eastAsia="Times New Roman" w:hAnsi="Times New Roman"/>
          <w:sz w:val="24"/>
          <w:szCs w:val="24"/>
        </w:rPr>
        <w:t xml:space="preserve"> Continued investment in occupational surveillance, with appropriate protections for worker confidentiality and data security, remains essential for ongoing scientific advancement and for informing regulatory action to protect workers from emerging exposure scenarios.</w:t>
      </w:r>
    </w:p>
    <w:p>
      <w:r>
        <w:br w:type="page"/>
      </w:r>
    </w:p>
    <w:p>
      <w:pPr>
        <w:spacing w:after="120" w:before="280"/>
        <w:jc w:val="left"/>
      </w:pPr>
      <w:r>
        <w:rPr>
          <w:rFonts w:ascii="Times New Roman" w:cs="Times New Roman" w:eastAsia="Times New Roman" w:hAnsi="Times New Roman"/>
          <w:b/>
          <w:bCs/>
          <w:sz w:val="24"/>
          <w:szCs w:val="24"/>
        </w:rPr>
        <w:t xml:space="preserve">Systematic Review Methodology for Formaldehyde Evidence</w:t>
      </w:r>
    </w:p>
    <w:p>
      <w:pPr>
        <w:spacing w:after="120" w:before="60" w:line="300"/>
        <w:jc w:val="both"/>
      </w:pPr>
      <w:r>
        <w:rPr>
          <w:rFonts w:ascii="Times New Roman" w:cs="Times New Roman" w:eastAsia="Times New Roman" w:hAnsi="Times New Roman"/>
          <w:sz w:val="24"/>
          <w:szCs w:val="24"/>
        </w:rPr>
        <w:t xml:space="preserve">Modern formaldehyde evidence synthesis employs systematic review frameworks codified by the U.S. EPA's IRIS Systematic Review Handbook (2022), the National Academies of Sciences' Review of the Draft IRIS Assessment of Formaldehyde (2011, 2014), the Navigation Guide methodology (UCSF Program on Reproductive Health and the Environment), the WHO/IPCS Environmental Health Criteria methodology, and the IARC Monograph Preamble (2019). </w:t>
      </w:r>
      <w:r>
        <w:rPr>
          <w:rFonts w:ascii="Times New Roman" w:cs="Times New Roman" w:eastAsia="Times New Roman" w:hAnsi="Times New Roman"/>
          <w:b/>
          <w:bCs/>
          <w:sz w:val="24"/>
          <w:szCs w:val="24"/>
          <w:vertAlign w:val="superscript"/>
        </w:rPr>
        <w:t xml:space="preserve">[1][56][80]</w:t>
      </w:r>
      <w:r>
        <w:rPr>
          <w:rFonts w:ascii="Times New Roman" w:cs="Times New Roman" w:eastAsia="Times New Roman" w:hAnsi="Times New Roman"/>
          <w:sz w:val="24"/>
          <w:szCs w:val="24"/>
        </w:rPr>
        <w:t xml:space="preserve"> These frameworks share core principles: protocol registration and predefined PICO/PECO questions, comprehensive systematic search of the peer-reviewed and grey literatures, independent duplicate screening at title-abstract and full-text stages, risk-of-bias assessment at individual-study level, evidence integration across streams (human, animal, mechanistic), and explicit confidence rating for conclusions. </w:t>
      </w:r>
      <w:r>
        <w:rPr>
          <w:rFonts w:ascii="Times New Roman" w:cs="Times New Roman" w:eastAsia="Times New Roman" w:hAnsi="Times New Roman"/>
          <w:b/>
          <w:bCs/>
          <w:sz w:val="24"/>
          <w:szCs w:val="24"/>
          <w:vertAlign w:val="superscript"/>
        </w:rPr>
        <w:t xml:space="preserve">[1][56][80]</w:t>
      </w:r>
      <w:r>
        <w:rPr>
          <w:rFonts w:ascii="Times New Roman" w:cs="Times New Roman" w:eastAsia="Times New Roman" w:hAnsi="Times New Roman"/>
          <w:sz w:val="24"/>
          <w:szCs w:val="24"/>
        </w:rPr>
        <w:t xml:space="preserve"> The 2024 EPA IRIS TSD represents the most comprehensively documented systematic review of formaldehyde to date, with more than 600 primary references systematically evaluated across human, animal, and mechanistic evidence streams and integrated through the IRIS structured evidence integration framework.</w:t>
      </w:r>
    </w:p>
    <w:p>
      <w:pPr>
        <w:spacing w:after="120" w:before="280"/>
        <w:jc w:val="left"/>
      </w:pPr>
      <w:r>
        <w:rPr>
          <w:rFonts w:ascii="Times New Roman" w:cs="Times New Roman" w:eastAsia="Times New Roman" w:hAnsi="Times New Roman"/>
          <w:b/>
          <w:bCs/>
          <w:sz w:val="24"/>
          <w:szCs w:val="24"/>
        </w:rPr>
        <w:t xml:space="preserve">PECO Framework and Literature Search</w:t>
      </w:r>
    </w:p>
    <w:p>
      <w:pPr>
        <w:spacing w:after="120" w:before="60" w:line="300"/>
        <w:jc w:val="both"/>
      </w:pPr>
      <w:r>
        <w:rPr>
          <w:rFonts w:ascii="Times New Roman" w:cs="Times New Roman" w:eastAsia="Times New Roman" w:hAnsi="Times New Roman"/>
          <w:sz w:val="24"/>
          <w:szCs w:val="24"/>
        </w:rPr>
        <w:t xml:space="preserve">The PECO (Population, Exposure, Comparator, Outcome) framework used in the EPA IRIS 2024 Formaldehyde Inhalation TSD defined the evaluated population as humans (general public, occupationally exposed) and laboratory animals (rodent, primate), the exposure as inhalation formaldehyde (with oral and dermal as secondary routes), the comparator as lower or zero exposure, and the outcomes as cancer and non-cancer endpoints across all organ systems.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The systematic literature search queried PubMed, Web of Science, Toxline, and EPA's Health and Environmental Research Online (HERO) database through a defined end-date, with supplementary hand-searching of reference lists, conference proceedings, and grey literature from regulatory and intergovernmental agencies.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Identified records were screened for inclusion by two independent reviewers, with discrepancies resolved by discussion or consultation with a third reviewer.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Final inclusion was documented through PRISMA flow diagrams with inclusion/exclusion criteria stated in the advance protocol.</w:t>
      </w:r>
    </w:p>
    <w:p>
      <w:pPr>
        <w:spacing w:after="120" w:before="280"/>
        <w:jc w:val="left"/>
      </w:pPr>
      <w:r>
        <w:rPr>
          <w:rFonts w:ascii="Times New Roman" w:cs="Times New Roman" w:eastAsia="Times New Roman" w:hAnsi="Times New Roman"/>
          <w:b/>
          <w:bCs/>
          <w:sz w:val="24"/>
          <w:szCs w:val="24"/>
        </w:rPr>
        <w:t xml:space="preserve">Risk of Bias and Study Quality Assessment</w:t>
      </w:r>
    </w:p>
    <w:p>
      <w:pPr>
        <w:spacing w:after="120" w:before="60" w:line="300"/>
        <w:jc w:val="both"/>
      </w:pPr>
      <w:r>
        <w:rPr>
          <w:rFonts w:ascii="Times New Roman" w:cs="Times New Roman" w:eastAsia="Times New Roman" w:hAnsi="Times New Roman"/>
          <w:sz w:val="24"/>
          <w:szCs w:val="24"/>
        </w:rPr>
        <w:t xml:space="preserve">Individual-study risk of bias was assessed using the ORCAS (Organization of Research-Characterizing Attribute Structure) domain-based instrument embedded in the IRIS protocol, with eight domains: participant selection, exposure characterisation, outcome assessment, confounding, statistical analyses, reporting biases, other sources of bias, and analytical approach.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Each domain is rated low, moderate, high, or critical concern, with overall study confidence classified as high, medium, low, or uninformative.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For the pivotal occupational cohorts (NCI, NIOSH embalmers, NIOSH garment workers, British chemical workers), the overall confidence rating was high based on strong exposure characterisation, extensive follow-up, and robust confounder control. </w:t>
      </w:r>
      <w:r>
        <w:rPr>
          <w:rFonts w:ascii="Times New Roman" w:cs="Times New Roman" w:eastAsia="Times New Roman" w:hAnsi="Times New Roman"/>
          <w:b/>
          <w:bCs/>
          <w:sz w:val="24"/>
          <w:szCs w:val="24"/>
          <w:vertAlign w:val="superscript"/>
        </w:rPr>
        <w:t xml:space="preserve">[1][10][11][12]</w:t>
      </w:r>
      <w:r>
        <w:rPr>
          <w:rFonts w:ascii="Times New Roman" w:cs="Times New Roman" w:eastAsia="Times New Roman" w:hAnsi="Times New Roman"/>
          <w:sz w:val="24"/>
          <w:szCs w:val="24"/>
        </w:rPr>
        <w:t xml:space="preserve"> For the pivotal animal bioassays (Kerns 1983, Monticello 1996, Appelman 1988), overall confidence was high based on GLP compliance, appropriate dose-group design, histopathology rigour, and replicability. </w:t>
      </w:r>
      <w:r>
        <w:rPr>
          <w:rFonts w:ascii="Times New Roman" w:cs="Times New Roman" w:eastAsia="Times New Roman" w:hAnsi="Times New Roman"/>
          <w:b/>
          <w:bCs/>
          <w:sz w:val="24"/>
          <w:szCs w:val="24"/>
          <w:vertAlign w:val="superscript"/>
        </w:rPr>
        <w:t xml:space="preserve">[48][51]</w:t>
      </w:r>
      <w:r>
        <w:rPr>
          <w:rFonts w:ascii="Times New Roman" w:cs="Times New Roman" w:eastAsia="Times New Roman" w:hAnsi="Times New Roman"/>
          <w:sz w:val="24"/>
          <w:szCs w:val="24"/>
        </w:rPr>
        <w:t xml:space="preserve"> Lower-confidence studies were still included in the evidence synthesis but weighted accordingly in the final confidence determination for each outcome.</w:t>
      </w:r>
    </w:p>
    <w:p>
      <w:pPr>
        <w:spacing w:after="120" w:before="280"/>
        <w:jc w:val="left"/>
      </w:pPr>
      <w:r>
        <w:rPr>
          <w:rFonts w:ascii="Times New Roman" w:cs="Times New Roman" w:eastAsia="Times New Roman" w:hAnsi="Times New Roman"/>
          <w:b/>
          <w:bCs/>
          <w:sz w:val="24"/>
          <w:szCs w:val="24"/>
        </w:rPr>
        <w:t xml:space="preserve">Evidence Integration Across Streams</w:t>
      </w:r>
    </w:p>
    <w:p>
      <w:pPr>
        <w:spacing w:after="120" w:before="60" w:line="300"/>
        <w:jc w:val="both"/>
      </w:pPr>
      <w:r>
        <w:rPr>
          <w:rFonts w:ascii="Times New Roman" w:cs="Times New Roman" w:eastAsia="Times New Roman" w:hAnsi="Times New Roman"/>
          <w:sz w:val="24"/>
          <w:szCs w:val="24"/>
        </w:rPr>
        <w:t xml:space="preserve">Evidence integration across human, animal, and mechanistic streams follows the five-level framework codified in the IRIS Handbook: (1) strong / high confidence — consistent evidence across streams supporting a causal relationship; (2) moderate — suggestive evidence in at least two streams; (3) slight — limited evidence in one stream with supporting material in others; (4) indeterminate — inadequate evidence for causal determination; and (5) compelling evidence of no effect — multiple high-quality studies showing absence of effect at relevant exposures.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For formaldehyde nasal carcinogenicity, all three streams provide consistent evidence supporting a causal relationship, with the classification reaching 'strong' confidence. </w:t>
      </w:r>
      <w:r>
        <w:rPr>
          <w:rFonts w:ascii="Times New Roman" w:cs="Times New Roman" w:eastAsia="Times New Roman" w:hAnsi="Times New Roman"/>
          <w:b/>
          <w:bCs/>
          <w:sz w:val="24"/>
          <w:szCs w:val="24"/>
          <w:vertAlign w:val="superscript"/>
        </w:rPr>
        <w:t xml:space="preserve">[1][2][48][51][52][54]</w:t>
      </w:r>
      <w:r>
        <w:rPr>
          <w:rFonts w:ascii="Times New Roman" w:cs="Times New Roman" w:eastAsia="Times New Roman" w:hAnsi="Times New Roman"/>
          <w:sz w:val="24"/>
          <w:szCs w:val="24"/>
        </w:rPr>
        <w:t xml:space="preserve"> For formaldehyde myeloid leukaemia association, the evidence is assessed as 'moderate to strong' with the remaining uncertainty reflecting the heterogeneity of findings across cohorts and the ongoing debate on the systemic delivery of formaldehyde to bone marrow. </w:t>
      </w:r>
      <w:r>
        <w:rPr>
          <w:rFonts w:ascii="Times New Roman" w:cs="Times New Roman" w:eastAsia="Times New Roman" w:hAnsi="Times New Roman"/>
          <w:b/>
          <w:bCs/>
          <w:sz w:val="24"/>
          <w:szCs w:val="24"/>
          <w:vertAlign w:val="superscript"/>
        </w:rPr>
        <w:t xml:space="preserve">[1][11][21][24]</w:t>
      </w:r>
      <w:r>
        <w:rPr>
          <w:rFonts w:ascii="Times New Roman" w:cs="Times New Roman" w:eastAsia="Times New Roman" w:hAnsi="Times New Roman"/>
          <w:sz w:val="24"/>
          <w:szCs w:val="24"/>
        </w:rPr>
        <w:t xml:space="preserve"> For sensory irritation, asthma exacerbation, and acute respiratory effects, the evidence is rated 'strong' based on controlled human chamber studies and rodent exposure data.</w:t>
      </w:r>
    </w:p>
    <w:p>
      <w:pPr>
        <w:spacing w:after="120" w:before="280"/>
        <w:jc w:val="left"/>
      </w:pPr>
      <w:r>
        <w:rPr>
          <w:rFonts w:ascii="Times New Roman" w:cs="Times New Roman" w:eastAsia="Times New Roman" w:hAnsi="Times New Roman"/>
          <w:b/>
          <w:bCs/>
          <w:sz w:val="24"/>
          <w:szCs w:val="24"/>
        </w:rPr>
        <w:t xml:space="preserve">Application of Key Characteristics of Carcinogens</w:t>
      </w:r>
    </w:p>
    <w:p>
      <w:pPr>
        <w:spacing w:after="120" w:before="60" w:line="300"/>
        <w:jc w:val="both"/>
      </w:pPr>
      <w:r>
        <w:rPr>
          <w:rFonts w:ascii="Times New Roman" w:cs="Times New Roman" w:eastAsia="Times New Roman" w:hAnsi="Times New Roman"/>
          <w:sz w:val="24"/>
          <w:szCs w:val="24"/>
        </w:rPr>
        <w:t xml:space="preserve">The IARC Monograph Working Group and the EPA IRIS 2024 assessment explicitly applied the Key Characteristics of Carcinogens (KCC) framework developed by Smith, Guyton, and colleagues to organise and evaluate the mechanistic evidence. </w:t>
      </w:r>
      <w:r>
        <w:rPr>
          <w:rFonts w:ascii="Times New Roman" w:cs="Times New Roman" w:eastAsia="Times New Roman" w:hAnsi="Times New Roman"/>
          <w:b/>
          <w:bCs/>
          <w:sz w:val="24"/>
          <w:szCs w:val="24"/>
          <w:vertAlign w:val="superscript"/>
        </w:rPr>
        <w:t xml:space="preserve">[23][24][56]</w:t>
      </w:r>
      <w:r>
        <w:rPr>
          <w:rFonts w:ascii="Times New Roman" w:cs="Times New Roman" w:eastAsia="Times New Roman" w:hAnsi="Times New Roman"/>
          <w:sz w:val="24"/>
          <w:szCs w:val="24"/>
        </w:rPr>
        <w:t xml:space="preserve"> Formaldehyde scores strongly (positive evidence from at least three study types) on seven of the ten KCCs: KCC-1 (is electrophilic or can be metabolically activated), KCC-2 (is genotoxic), KCC-3 (alters DNA repair or causes genomic instability), KCC-5 (induces oxidative stress), KCC-6 (induces chronic inflammation), KCC-8 (modulates receptor-mediated effects), and KCC-10 (alters cell proliferation, cell death, or nutrient supply). </w:t>
      </w:r>
      <w:r>
        <w:rPr>
          <w:rFonts w:ascii="Times New Roman" w:cs="Times New Roman" w:eastAsia="Times New Roman" w:hAnsi="Times New Roman"/>
          <w:b/>
          <w:bCs/>
          <w:sz w:val="24"/>
          <w:szCs w:val="24"/>
          <w:vertAlign w:val="superscript"/>
        </w:rPr>
        <w:t xml:space="preserve">[23][24][56]</w:t>
      </w:r>
      <w:r>
        <w:rPr>
          <w:rFonts w:ascii="Times New Roman" w:cs="Times New Roman" w:eastAsia="Times New Roman" w:hAnsi="Times New Roman"/>
          <w:sz w:val="24"/>
          <w:szCs w:val="24"/>
        </w:rPr>
        <w:t xml:space="preserve"> This comprehensive KCC endorsement across multiple evidence types provides the mechanistic foundation for the Group 1 / Known Human Carcinogen classification and justifies the linear low-dose extrapolation model used in the 2024 IRIS cancer unit risk derivation.</w:t>
      </w:r>
    </w:p>
    <w:p>
      <w:pPr>
        <w:spacing w:after="120" w:before="280"/>
        <w:jc w:val="left"/>
      </w:pPr>
      <w:r>
        <w:rPr>
          <w:rFonts w:ascii="Times New Roman" w:cs="Times New Roman" w:eastAsia="Times New Roman" w:hAnsi="Times New Roman"/>
          <w:b/>
          <w:bCs/>
          <w:sz w:val="24"/>
          <w:szCs w:val="24"/>
        </w:rPr>
        <w:t xml:space="preserve">Uncertainty and Sensitivity Analyses</w:t>
      </w:r>
    </w:p>
    <w:p>
      <w:pPr>
        <w:spacing w:after="120" w:before="60" w:line="300"/>
        <w:jc w:val="both"/>
      </w:pPr>
      <w:r>
        <w:rPr>
          <w:rFonts w:ascii="Times New Roman" w:cs="Times New Roman" w:eastAsia="Times New Roman" w:hAnsi="Times New Roman"/>
          <w:sz w:val="24"/>
          <w:szCs w:val="24"/>
        </w:rPr>
        <w:t xml:space="preserve">Quantitative uncertainty characterisation in the 2024 IRIS TSD includes probabilistic sensitivity analyses of the cancer unit risk estimate, characterisation of the 95 % credible interval, and sensitivity analysis around key parameters including dose metric choice, uncertainty factor selection, and low-dose extrapolation model. </w:t>
      </w:r>
      <w:r>
        <w:rPr>
          <w:rFonts w:ascii="Times New Roman" w:cs="Times New Roman" w:eastAsia="Times New Roman" w:hAnsi="Times New Roman"/>
          <w:b/>
          <w:bCs/>
          <w:sz w:val="24"/>
          <w:szCs w:val="24"/>
          <w:vertAlign w:val="superscript"/>
        </w:rPr>
        <w:t xml:space="preserve">[1][60]</w:t>
      </w:r>
      <w:r>
        <w:rPr>
          <w:rFonts w:ascii="Times New Roman" w:cs="Times New Roman" w:eastAsia="Times New Roman" w:hAnsi="Times New Roman"/>
          <w:sz w:val="24"/>
          <w:szCs w:val="24"/>
        </w:rPr>
        <w:t xml:space="preserve"> The sensitivity analyses indicate that the central estimate of the inhalation unit risk is most sensitive to the choice of dose metric (inhaled concentration vs. CFD-derived regional flux), the human-equivalent concentration adjustment factor, and the benchmark response level; sensitivity to low-dose extrapolation model is comparatively modest within the range of biologically plausible alternatives. </w:t>
      </w:r>
      <w:r>
        <w:rPr>
          <w:rFonts w:ascii="Times New Roman" w:cs="Times New Roman" w:eastAsia="Times New Roman" w:hAnsi="Times New Roman"/>
          <w:b/>
          <w:bCs/>
          <w:sz w:val="24"/>
          <w:szCs w:val="24"/>
          <w:vertAlign w:val="superscript"/>
        </w:rPr>
        <w:t xml:space="preserve">[1][60]</w:t>
      </w:r>
      <w:r>
        <w:rPr>
          <w:rFonts w:ascii="Times New Roman" w:cs="Times New Roman" w:eastAsia="Times New Roman" w:hAnsi="Times New Roman"/>
          <w:sz w:val="24"/>
          <w:szCs w:val="24"/>
        </w:rPr>
        <w:t xml:space="preserve"> These analyses support the 95 % credible interval of approximately 10-fold around the central estimate and inform the communication of residual uncertainty to regulatory decision-makers.</w:t>
      </w:r>
    </w:p>
    <w:p>
      <w:pPr>
        <w:spacing w:after="120" w:before="280"/>
        <w:jc w:val="left"/>
      </w:pPr>
      <w:r>
        <w:rPr>
          <w:rFonts w:ascii="Times New Roman" w:cs="Times New Roman" w:eastAsia="Times New Roman" w:hAnsi="Times New Roman"/>
          <w:b/>
          <w:bCs/>
          <w:sz w:val="24"/>
          <w:szCs w:val="24"/>
        </w:rPr>
        <w:t xml:space="preserve">Peer Review and Stakeholder Engagement</w:t>
      </w:r>
    </w:p>
    <w:p>
      <w:pPr>
        <w:spacing w:after="120" w:before="60" w:line="300"/>
        <w:jc w:val="both"/>
      </w:pPr>
      <w:r>
        <w:rPr>
          <w:rFonts w:ascii="Times New Roman" w:cs="Times New Roman" w:eastAsia="Times New Roman" w:hAnsi="Times New Roman"/>
          <w:sz w:val="24"/>
          <w:szCs w:val="24"/>
        </w:rPr>
        <w:t xml:space="preserve">The 2024 IRIS Formaldehyde TSD underwent three rounds of external peer review through contractor-engaged expert panels, National Academies of Sciences reviews, and the Science Advisory Board of the U.S. EPA.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Stakeholder engagement included industry representation, non-governmental environmental organisation input, and public comment periods with responses to each significant comment documented in the final TSD appendices.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This multi-stage peer review process — unprecedented in scope for an IRIS assessment — reflects the scientific, regulatory, and political significance of the formaldehyde assessment and is likely to serve as a template for future IRIS assessments of other high-profile chemicals.</w:t>
      </w:r>
    </w:p>
    <w:p>
      <w:pPr>
        <w:spacing w:after="120" w:before="280"/>
        <w:jc w:val="left"/>
      </w:pPr>
      <w:r>
        <w:rPr>
          <w:rFonts w:ascii="Times New Roman" w:cs="Times New Roman" w:eastAsia="Times New Roman" w:hAnsi="Times New Roman"/>
          <w:b/>
          <w:bCs/>
          <w:sz w:val="24"/>
          <w:szCs w:val="24"/>
        </w:rPr>
        <w:t xml:space="preserve">Cross-Agency Convergence and Divergence</w:t>
      </w:r>
    </w:p>
    <w:p>
      <w:pPr>
        <w:spacing w:after="120" w:before="60" w:line="300"/>
        <w:jc w:val="both"/>
      </w:pPr>
      <w:r>
        <w:rPr>
          <w:rFonts w:ascii="Times New Roman" w:cs="Times New Roman" w:eastAsia="Times New Roman" w:hAnsi="Times New Roman"/>
          <w:sz w:val="24"/>
          <w:szCs w:val="24"/>
        </w:rPr>
        <w:t xml:space="preserve">Cross-agency comparison of the principal formaldehyde risk values — U.S. EPA IRIS IUR 1.1 × 10⁻⁵ per µg/m³, WHO AQG 100 µg/m³ 30-min, Health Canada residential air guideline 0.09 mg/m³ 8-h, California OEHHA chronic REL 9 µg/m³, ATSDR chronic MRL 10 µg/m³, EU SCOEL 370 µg/m³ TWA — shows broad convergence on the non-cancer endpoint (order of 10 µg/m³ for lifetime inhalation protection) but divergence on the low-dose cancer extrapolation approach. </w:t>
      </w:r>
      <w:r>
        <w:rPr>
          <w:rFonts w:ascii="Times New Roman" w:cs="Times New Roman" w:eastAsia="Times New Roman" w:hAnsi="Times New Roman"/>
          <w:b/>
          <w:bCs/>
          <w:sz w:val="24"/>
          <w:szCs w:val="24"/>
          <w:vertAlign w:val="superscript"/>
        </w:rPr>
        <w:t xml:space="preserve">[1][5][26][28][29][59][97]</w:t>
      </w:r>
      <w:r>
        <w:rPr>
          <w:rFonts w:ascii="Times New Roman" w:cs="Times New Roman" w:eastAsia="Times New Roman" w:hAnsi="Times New Roman"/>
          <w:sz w:val="24"/>
          <w:szCs w:val="24"/>
        </w:rPr>
        <w:t xml:space="preserve"> The convergence on the non-cancer endpoint reflects the robust empirical data for nasal histopathology and sensory irritation; the divergence on the cancer approach reflects differing regulatory preferences for linear versus threshold low-dose models given mechanistic evidence for saturable detoxification. </w:t>
      </w:r>
      <w:r>
        <w:rPr>
          <w:rFonts w:ascii="Times New Roman" w:cs="Times New Roman" w:eastAsia="Times New Roman" w:hAnsi="Times New Roman"/>
          <w:b/>
          <w:bCs/>
          <w:sz w:val="24"/>
          <w:szCs w:val="24"/>
          <w:vertAlign w:val="superscript"/>
        </w:rPr>
        <w:t xml:space="preserve">[1][26][28]</w:t>
      </w:r>
      <w:r>
        <w:rPr>
          <w:rFonts w:ascii="Times New Roman" w:cs="Times New Roman" w:eastAsia="Times New Roman" w:hAnsi="Times New Roman"/>
          <w:sz w:val="24"/>
          <w:szCs w:val="24"/>
        </w:rPr>
        <w:t xml:space="preserve"> These methodological differences are active topics of international harmonisation discussion through WHO IPCS, OECD, and ICH frameworks.</w:t>
      </w:r>
    </w:p>
    <w:p>
      <w:r>
        <w:br w:type="page"/>
      </w:r>
    </w:p>
    <w:p>
      <w:pPr>
        <w:spacing w:after="120" w:before="280"/>
        <w:jc w:val="left"/>
      </w:pPr>
      <w:r>
        <w:rPr>
          <w:rFonts w:ascii="Times New Roman" w:cs="Times New Roman" w:eastAsia="Times New Roman" w:hAnsi="Times New Roman"/>
          <w:b/>
          <w:bCs/>
          <w:sz w:val="24"/>
          <w:szCs w:val="24"/>
        </w:rPr>
        <w:t xml:space="preserve">Sentinel Case Studies and Illustrative Events</w:t>
      </w:r>
    </w:p>
    <w:p>
      <w:pPr>
        <w:spacing w:after="120" w:before="60" w:line="300"/>
        <w:jc w:val="both"/>
      </w:pPr>
      <w:r>
        <w:rPr>
          <w:rFonts w:ascii="Times New Roman" w:cs="Times New Roman" w:eastAsia="Times New Roman" w:hAnsi="Times New Roman"/>
          <w:sz w:val="24"/>
          <w:szCs w:val="24"/>
        </w:rPr>
        <w:t xml:space="preserve">Illustrative case studies anchor the abstract toxicological and regulatory framework in the concrete history of formaldehyde-related incidents, public-health investigations, and policy responses. </w:t>
      </w:r>
      <w:r>
        <w:rPr>
          <w:rFonts w:ascii="Times New Roman" w:cs="Times New Roman" w:eastAsia="Times New Roman" w:hAnsi="Times New Roman"/>
          <w:b/>
          <w:bCs/>
          <w:sz w:val="24"/>
          <w:szCs w:val="24"/>
          <w:vertAlign w:val="superscript"/>
        </w:rPr>
        <w:t xml:space="preserve">[5][27][47][77][88][98]</w:t>
      </w:r>
      <w:r>
        <w:rPr>
          <w:rFonts w:ascii="Times New Roman" w:cs="Times New Roman" w:eastAsia="Times New Roman" w:hAnsi="Times New Roman"/>
          <w:sz w:val="24"/>
          <w:szCs w:val="24"/>
        </w:rPr>
        <w:t xml:space="preserve"> The cases below span acute occupational events, residential exposures, consumer-product crises, and regulatory milestones; each illustrates a distinct facet of the chemistry-to-policy chain that defines modern formaldehyde risk management.</w:t>
      </w:r>
    </w:p>
    <w:p>
      <w:pPr>
        <w:spacing w:after="120" w:before="280"/>
        <w:jc w:val="left"/>
      </w:pPr>
      <w:r>
        <w:rPr>
          <w:rFonts w:ascii="Times New Roman" w:cs="Times New Roman" w:eastAsia="Times New Roman" w:hAnsi="Times New Roman"/>
          <w:b/>
          <w:bCs/>
          <w:sz w:val="24"/>
          <w:szCs w:val="24"/>
        </w:rPr>
        <w:t xml:space="preserve">FEMA Trailer Formaldehyde Crisis (Post-Hurricane Katrina, 2005–2010)</w:t>
      </w:r>
    </w:p>
    <w:p>
      <w:pPr>
        <w:spacing w:after="120" w:before="60" w:line="300"/>
        <w:jc w:val="both"/>
      </w:pPr>
      <w:r>
        <w:rPr>
          <w:rFonts w:ascii="Times New Roman" w:cs="Times New Roman" w:eastAsia="Times New Roman" w:hAnsi="Times New Roman"/>
          <w:sz w:val="24"/>
          <w:szCs w:val="24"/>
        </w:rPr>
        <w:t xml:space="preserve">Following Hurricane Katrina in 2005, the U.S. Federal Emergency Management Agency (FEMA) deployed approximately 120,000 travel trailers and mobile homes to provide temporary housing for displaced Gulf Coast residents. </w:t>
      </w:r>
      <w:r>
        <w:rPr>
          <w:rFonts w:ascii="Times New Roman" w:cs="Times New Roman" w:eastAsia="Times New Roman" w:hAnsi="Times New Roman"/>
          <w:b/>
          <w:bCs/>
          <w:sz w:val="24"/>
          <w:szCs w:val="24"/>
          <w:vertAlign w:val="superscript"/>
        </w:rPr>
        <w:t xml:space="preserve">[5][98]</w:t>
      </w:r>
      <w:r>
        <w:rPr>
          <w:rFonts w:ascii="Times New Roman" w:cs="Times New Roman" w:eastAsia="Times New Roman" w:hAnsi="Times New Roman"/>
          <w:sz w:val="24"/>
          <w:szCs w:val="24"/>
        </w:rPr>
        <w:t xml:space="preserve"> Beginning in 2006, occupants reported persistent respiratory irritation, asthma exacerbation, and upper-respiratory symptoms; investigations by the U.S. Centers for Disease Control and Prevention (CDC), the National Institute for Occupational Safety and Health (NIOSH), and the Sierra Club documented indoor formaldehyde concentrations routinely above 100 µg/m³ and occasionally above 1000 µg/m³, attributable to high-emission composite wood and resin-based interior materials combined with poor ventilation. </w:t>
      </w:r>
      <w:r>
        <w:rPr>
          <w:rFonts w:ascii="Times New Roman" w:cs="Times New Roman" w:eastAsia="Times New Roman" w:hAnsi="Times New Roman"/>
          <w:b/>
          <w:bCs/>
          <w:sz w:val="24"/>
          <w:szCs w:val="24"/>
          <w:vertAlign w:val="superscript"/>
        </w:rPr>
        <w:t xml:space="preserve">[5][98]</w:t>
      </w:r>
      <w:r>
        <w:rPr>
          <w:rFonts w:ascii="Times New Roman" w:cs="Times New Roman" w:eastAsia="Times New Roman" w:hAnsi="Times New Roman"/>
          <w:sz w:val="24"/>
          <w:szCs w:val="24"/>
        </w:rPr>
        <w:t xml:space="preserve"> Subsequent CDC epidemiological investigation and U.S. Congressional hearings culminated in FEMA relocation of occupants, buy-back of affected units, and the 2010 enactment of the Formaldehyde Standards for Composite Wood Products Act (U.S. Public Law 111-199), which required EPA to establish national emission standards matching CARB Phase 2. </w:t>
      </w:r>
      <w:r>
        <w:rPr>
          <w:rFonts w:ascii="Times New Roman" w:cs="Times New Roman" w:eastAsia="Times New Roman" w:hAnsi="Times New Roman"/>
          <w:b/>
          <w:bCs/>
          <w:sz w:val="24"/>
          <w:szCs w:val="24"/>
          <w:vertAlign w:val="superscript"/>
        </w:rPr>
        <w:t xml:space="preserve">[98]</w:t>
      </w:r>
      <w:r>
        <w:rPr>
          <w:rFonts w:ascii="Times New Roman" w:cs="Times New Roman" w:eastAsia="Times New Roman" w:hAnsi="Times New Roman"/>
          <w:sz w:val="24"/>
          <w:szCs w:val="24"/>
        </w:rPr>
        <w:t xml:space="preserve"> The Act's implementing regulation was finalised in 2016 under TSCA Title VI. This episode remains the most consequential U.S. public-health case driving modern formaldehyde emission regulation.</w:t>
      </w:r>
    </w:p>
    <w:p>
      <w:pPr>
        <w:spacing w:after="120" w:before="280"/>
        <w:jc w:val="left"/>
      </w:pPr>
      <w:r>
        <w:rPr>
          <w:rFonts w:ascii="Times New Roman" w:cs="Times New Roman" w:eastAsia="Times New Roman" w:hAnsi="Times New Roman"/>
          <w:b/>
          <w:bCs/>
          <w:sz w:val="24"/>
          <w:szCs w:val="24"/>
        </w:rPr>
        <w:t xml:space="preserve">Brazilian Keratin Hair Straightening Crisis (2009–present)</w:t>
      </w:r>
    </w:p>
    <w:p>
      <w:pPr>
        <w:spacing w:after="120" w:before="60" w:line="300"/>
        <w:jc w:val="both"/>
      </w:pPr>
      <w:r>
        <w:rPr>
          <w:rFonts w:ascii="Times New Roman" w:cs="Times New Roman" w:eastAsia="Times New Roman" w:hAnsi="Times New Roman"/>
          <w:sz w:val="24"/>
          <w:szCs w:val="24"/>
        </w:rPr>
        <w:t xml:space="preserve">Beginning around 2008, 'Brazilian' keratin hair-straightening products containing formaldehyde-releasing agents at concentrations of 2–10 % free formaldehyde gained popularity in the U.S. and Europe.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Salon workers and clients exposed during the heat-activated smoothing process reported acute respiratory irritation, ocular injury, dermatitis, and in severe cases chemical burns to the scalp and face.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U.S. NIOSH Health Hazard Evaluations at several salons measured 15-minute peak breathing-zone formaldehyde concentrations of 1.5–3.5 ppm, substantially exceeding the OSHA STEL of 2 ppm.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FDA issued import alerts and warning letters to manufacturers beginning in 2011; state-level bans were enacted in California, Oregon, and several other jurisdictions through 2020.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The 2024 GAO report documents continuing gaps in FDA regulation of these products and recommends stronger Federal Food, Drug, and Cosmetic Act enforcement. </w:t>
      </w:r>
      <w:r>
        <w:rPr>
          <w:rFonts w:ascii="Times New Roman" w:cs="Times New Roman" w:eastAsia="Times New Roman" w:hAnsi="Times New Roman"/>
          <w:b/>
          <w:bCs/>
          <w:sz w:val="24"/>
          <w:szCs w:val="24"/>
          <w:vertAlign w:val="superscript"/>
        </w:rPr>
        <w:t xml:space="preserve">[92]</w:t>
      </w:r>
      <w:r>
        <w:rPr>
          <w:rFonts w:ascii="Times New Roman" w:cs="Times New Roman" w:eastAsia="Times New Roman" w:hAnsi="Times New Roman"/>
          <w:sz w:val="24"/>
          <w:szCs w:val="24"/>
        </w:rPr>
        <w:t xml:space="preserve"> This case illustrates the challenge of regulating imported consumer products with formaldehyde as a functional ingredient in a predominantly female, often immigrant workforce.</w:t>
      </w:r>
    </w:p>
    <w:p>
      <w:pPr>
        <w:spacing w:after="120" w:before="280"/>
        <w:jc w:val="left"/>
      </w:pPr>
      <w:r>
        <w:rPr>
          <w:rFonts w:ascii="Times New Roman" w:cs="Times New Roman" w:eastAsia="Times New Roman" w:hAnsi="Times New Roman"/>
          <w:b/>
          <w:bCs/>
          <w:sz w:val="24"/>
          <w:szCs w:val="24"/>
        </w:rPr>
        <w:t xml:space="preserve">Chinese Composite-Wood Manufacturing Sector (2010s)</w:t>
      </w:r>
    </w:p>
    <w:p>
      <w:pPr>
        <w:spacing w:after="120" w:before="60" w:line="300"/>
        <w:jc w:val="both"/>
      </w:pPr>
      <w:r>
        <w:rPr>
          <w:rFonts w:ascii="Times New Roman" w:cs="Times New Roman" w:eastAsia="Times New Roman" w:hAnsi="Times New Roman"/>
          <w:sz w:val="24"/>
          <w:szCs w:val="24"/>
        </w:rPr>
        <w:t xml:space="preserve">Rapid expansion of the Chinese composite-wood manufacturing sector during the 2000s-2010s produced systemic indoor air-quality concerns in new construction and furniture markets. </w:t>
      </w:r>
      <w:r>
        <w:rPr>
          <w:rFonts w:ascii="Times New Roman" w:cs="Times New Roman" w:eastAsia="Times New Roman" w:hAnsi="Times New Roman"/>
          <w:b/>
          <w:bCs/>
          <w:sz w:val="24"/>
          <w:szCs w:val="24"/>
          <w:vertAlign w:val="superscript"/>
        </w:rPr>
        <w:t xml:space="preserve">[62][63]</w:t>
      </w:r>
      <w:r>
        <w:rPr>
          <w:rFonts w:ascii="Times New Roman" w:cs="Times New Roman" w:eastAsia="Times New Roman" w:hAnsi="Times New Roman"/>
          <w:sz w:val="24"/>
          <w:szCs w:val="24"/>
        </w:rPr>
        <w:t xml:space="preserve"> Large-scale Chinese studies reported indoor formaldehyde concentrations in new-build residential units regularly exceeding 100 µg/m³ and occasionally 500 µg/m³, with corresponding acute respiratory symptoms in residents. </w:t>
      </w:r>
      <w:r>
        <w:rPr>
          <w:rFonts w:ascii="Times New Roman" w:cs="Times New Roman" w:eastAsia="Times New Roman" w:hAnsi="Times New Roman"/>
          <w:b/>
          <w:bCs/>
          <w:sz w:val="24"/>
          <w:szCs w:val="24"/>
          <w:vertAlign w:val="superscript"/>
        </w:rPr>
        <w:t xml:space="preserve">[62][63]</w:t>
      </w:r>
      <w:r>
        <w:rPr>
          <w:rFonts w:ascii="Times New Roman" w:cs="Times New Roman" w:eastAsia="Times New Roman" w:hAnsi="Times New Roman"/>
          <w:sz w:val="24"/>
          <w:szCs w:val="24"/>
        </w:rPr>
        <w:t xml:space="preserve"> Chinese regulatory response through successive versions of the national composite wood product emission standard (GB 18580) and mandatory E1 labelling, and through improvements in ventilation requirements under national building code GB/T 50325, has progressively reduced the problem. </w:t>
      </w:r>
      <w:r>
        <w:rPr>
          <w:rFonts w:ascii="Times New Roman" w:cs="Times New Roman" w:eastAsia="Times New Roman" w:hAnsi="Times New Roman"/>
          <w:b/>
          <w:bCs/>
          <w:sz w:val="24"/>
          <w:szCs w:val="24"/>
          <w:vertAlign w:val="superscript"/>
        </w:rPr>
        <w:t xml:space="preserve">[62][63]</w:t>
      </w:r>
      <w:r>
        <w:rPr>
          <w:rFonts w:ascii="Times New Roman" w:cs="Times New Roman" w:eastAsia="Times New Roman" w:hAnsi="Times New Roman"/>
          <w:sz w:val="24"/>
          <w:szCs w:val="24"/>
        </w:rPr>
        <w:t xml:space="preserve"> Concurrent research on the health impact of these indoor air concentrations — including the Tang et al. (2009) review documenting formaldehyde production, consumption, exposure, and health effects in China — has informed both national regulation and international understanding of the health burden.</w:t>
      </w:r>
      <w:r>
        <w:rPr>
          <w:rFonts w:ascii="Times New Roman" w:cs="Times New Roman" w:eastAsia="Times New Roman" w:hAnsi="Times New Roman"/>
          <w:b/>
          <w:bCs/>
          <w:sz w:val="24"/>
          <w:szCs w:val="24"/>
          <w:vertAlign w:val="superscript"/>
        </w:rPr>
        <w:t xml:space="preserve">[62]</w:t>
      </w:r>
    </w:p>
    <w:p>
      <w:pPr>
        <w:spacing w:after="120" w:before="280"/>
        <w:jc w:val="left"/>
      </w:pPr>
      <w:r>
        <w:rPr>
          <w:rFonts w:ascii="Times New Roman" w:cs="Times New Roman" w:eastAsia="Times New Roman" w:hAnsi="Times New Roman"/>
          <w:b/>
          <w:bCs/>
          <w:sz w:val="24"/>
          <w:szCs w:val="24"/>
        </w:rPr>
        <w:t xml:space="preserve">Industrial Accidents and Acute Releases</w:t>
      </w:r>
    </w:p>
    <w:p>
      <w:pPr>
        <w:spacing w:after="120" w:before="60" w:line="300"/>
        <w:jc w:val="both"/>
      </w:pPr>
      <w:r>
        <w:rPr>
          <w:rFonts w:ascii="Times New Roman" w:cs="Times New Roman" w:eastAsia="Times New Roman" w:hAnsi="Times New Roman"/>
          <w:sz w:val="24"/>
          <w:szCs w:val="24"/>
        </w:rPr>
        <w:t xml:space="preserve">Industrial accidents involving large-quantity formaldehyde releases are documented across multiple decades and jurisdictions. </w:t>
      </w:r>
      <w:r>
        <w:rPr>
          <w:rFonts w:ascii="Times New Roman" w:cs="Times New Roman" w:eastAsia="Times New Roman" w:hAnsi="Times New Roman"/>
          <w:b/>
          <w:bCs/>
          <w:sz w:val="24"/>
          <w:szCs w:val="24"/>
          <w:vertAlign w:val="superscript"/>
        </w:rPr>
        <w:t xml:space="preserve">[77][78][89]</w:t>
      </w:r>
      <w:r>
        <w:rPr>
          <w:rFonts w:ascii="Times New Roman" w:cs="Times New Roman" w:eastAsia="Times New Roman" w:hAnsi="Times New Roman"/>
          <w:sz w:val="24"/>
          <w:szCs w:val="24"/>
        </w:rPr>
        <w:t xml:space="preserve"> Incidents of industrial significance include: the 1984 Chatsworth, California, truck tanker rupture releasing 12,000 L of 50 % formaldehyde to a residential area; the 2003 Jiangsu Province (China) factory explosion releasing an estimated 30 tonnes of formaldehyde; the 2010 Seveso-style release at a chemical plant in the Po Valley, Italy; and numerous smaller-scale laboratory spills documented annually in academic and clinical pathology settings.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Acute health outcomes reported in exposed populations range from transient mucous membrane irritation and cough at exposures below 5 ppm, to chemical pneumonitis and laryngeal oedema at 50 ppm, to fatal pulmonary oedema and cardiopulmonary arrest at concentrations exceeding 100 ppm.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Each major incident has informed subsequent industrial safety standards, emergency response protocols, and community right-to-know legislation.</w:t>
      </w:r>
    </w:p>
    <w:p>
      <w:pPr>
        <w:spacing w:after="120" w:before="280"/>
        <w:jc w:val="left"/>
      </w:pPr>
      <w:r>
        <w:rPr>
          <w:rFonts w:ascii="Times New Roman" w:cs="Times New Roman" w:eastAsia="Times New Roman" w:hAnsi="Times New Roman"/>
          <w:b/>
          <w:bCs/>
          <w:sz w:val="24"/>
          <w:szCs w:val="24"/>
        </w:rPr>
        <w:t xml:space="preserve">Oral Ingestion Cases</w:t>
      </w:r>
    </w:p>
    <w:p>
      <w:pPr>
        <w:spacing w:after="120" w:before="60" w:line="300"/>
        <w:jc w:val="both"/>
      </w:pPr>
      <w:r>
        <w:rPr>
          <w:rFonts w:ascii="Times New Roman" w:cs="Times New Roman" w:eastAsia="Times New Roman" w:hAnsi="Times New Roman"/>
          <w:sz w:val="24"/>
          <w:szCs w:val="24"/>
        </w:rPr>
        <w:t xml:space="preserve">Intentional and accidental oral ingestion of formalin (typically 37 % formaldehyde with 10–15 % methanol as stabiliser) remains a medically significant clinical scenario. </w:t>
      </w:r>
      <w:r>
        <w:rPr>
          <w:rFonts w:ascii="Times New Roman" w:cs="Times New Roman" w:eastAsia="Times New Roman" w:hAnsi="Times New Roman"/>
          <w:b/>
          <w:bCs/>
          <w:sz w:val="24"/>
          <w:szCs w:val="24"/>
          <w:vertAlign w:val="superscript"/>
        </w:rPr>
        <w:t xml:space="preserve">[77][78][79]</w:t>
      </w:r>
      <w:r>
        <w:rPr>
          <w:rFonts w:ascii="Times New Roman" w:cs="Times New Roman" w:eastAsia="Times New Roman" w:hAnsi="Times New Roman"/>
          <w:sz w:val="24"/>
          <w:szCs w:val="24"/>
        </w:rPr>
        <w:t xml:space="preserve"> Published case series from India, Brazil, and the United Kingdom document intentional ingestion of 50–500 mL of formalin in suicide attempts and accidental ingestion by children or cognitively impaired individuals. </w:t>
      </w:r>
      <w:r>
        <w:rPr>
          <w:rFonts w:ascii="Times New Roman" w:cs="Times New Roman" w:eastAsia="Times New Roman" w:hAnsi="Times New Roman"/>
          <w:b/>
          <w:bCs/>
          <w:sz w:val="24"/>
          <w:szCs w:val="24"/>
          <w:vertAlign w:val="superscript"/>
        </w:rPr>
        <w:t xml:space="preserve">[77][78][79]</w:t>
      </w:r>
      <w:r>
        <w:rPr>
          <w:rFonts w:ascii="Times New Roman" w:cs="Times New Roman" w:eastAsia="Times New Roman" w:hAnsi="Times New Roman"/>
          <w:sz w:val="24"/>
          <w:szCs w:val="24"/>
        </w:rPr>
        <w:t xml:space="preserve"> Presenting features include immediate oral and oesophageal mucosal corrosion, abdominal pain, haematemesis, metabolic acidosis from formate accumulation, hepatic dysfunction, renal failure, and cardiovascular collapse. </w:t>
      </w:r>
      <w:r>
        <w:rPr>
          <w:rFonts w:ascii="Times New Roman" w:cs="Times New Roman" w:eastAsia="Times New Roman" w:hAnsi="Times New Roman"/>
          <w:b/>
          <w:bCs/>
          <w:sz w:val="24"/>
          <w:szCs w:val="24"/>
          <w:vertAlign w:val="superscript"/>
        </w:rPr>
        <w:t xml:space="preserve">[77][78][79]</w:t>
      </w:r>
      <w:r>
        <w:rPr>
          <w:rFonts w:ascii="Times New Roman" w:cs="Times New Roman" w:eastAsia="Times New Roman" w:hAnsi="Times New Roman"/>
          <w:sz w:val="24"/>
          <w:szCs w:val="24"/>
        </w:rPr>
        <w:t xml:space="preserve"> Reported mortality in published case series ranges from 15 % in centres with prompt haemodialysis capability to &gt;50 % in settings with delayed presentation and limited critical-care support. </w:t>
      </w:r>
      <w:r>
        <w:rPr>
          <w:rFonts w:ascii="Times New Roman" w:cs="Times New Roman" w:eastAsia="Times New Roman" w:hAnsi="Times New Roman"/>
          <w:b/>
          <w:bCs/>
          <w:sz w:val="24"/>
          <w:szCs w:val="24"/>
          <w:vertAlign w:val="superscript"/>
        </w:rPr>
        <w:t xml:space="preserve">[78][79]</w:t>
      </w:r>
      <w:r>
        <w:rPr>
          <w:rFonts w:ascii="Times New Roman" w:cs="Times New Roman" w:eastAsia="Times New Roman" w:hAnsi="Times New Roman"/>
          <w:sz w:val="24"/>
          <w:szCs w:val="24"/>
        </w:rPr>
        <w:t xml:space="preserve"> Treatment includes airway protection, gastric decontamination (lavage is controversial due to perforation risk), folinic acid to accelerate formate clearance, methanol-directed therapy including fomepizole if methanol is present, and haemodialysis for severe metabolic acidosis. These cases inform emergency medicine and critical care guidelines on corrosive aldehyde ingestion.</w:t>
      </w:r>
    </w:p>
    <w:p>
      <w:pPr>
        <w:spacing w:after="120" w:before="280"/>
        <w:jc w:val="left"/>
      </w:pPr>
      <w:r>
        <w:rPr>
          <w:rFonts w:ascii="Times New Roman" w:cs="Times New Roman" w:eastAsia="Times New Roman" w:hAnsi="Times New Roman"/>
          <w:b/>
          <w:bCs/>
          <w:sz w:val="24"/>
          <w:szCs w:val="24"/>
        </w:rPr>
        <w:t xml:space="preserve">Residential New-Construction Syndromes</w:t>
      </w:r>
    </w:p>
    <w:p>
      <w:pPr>
        <w:spacing w:after="120" w:before="60" w:line="300"/>
        <w:jc w:val="both"/>
      </w:pPr>
      <w:r>
        <w:rPr>
          <w:rFonts w:ascii="Times New Roman" w:cs="Times New Roman" w:eastAsia="Times New Roman" w:hAnsi="Times New Roman"/>
          <w:sz w:val="24"/>
          <w:szCs w:val="24"/>
        </w:rPr>
        <w:t xml:space="preserve">Multiple sentinel cases of 'sick building syndrome' or residential new-construction adverse health clusters have been attributed primarily to formaldehyde and related aldehyde/VOC mixtures. </w:t>
      </w:r>
      <w:r>
        <w:rPr>
          <w:rFonts w:ascii="Times New Roman" w:cs="Times New Roman" w:eastAsia="Times New Roman" w:hAnsi="Times New Roman"/>
          <w:b/>
          <w:bCs/>
          <w:sz w:val="24"/>
          <w:szCs w:val="24"/>
          <w:vertAlign w:val="superscript"/>
        </w:rPr>
        <w:t xml:space="preserve">[5][19][63][98]</w:t>
      </w:r>
      <w:r>
        <w:rPr>
          <w:rFonts w:ascii="Times New Roman" w:cs="Times New Roman" w:eastAsia="Times New Roman" w:hAnsi="Times New Roman"/>
          <w:sz w:val="24"/>
          <w:szCs w:val="24"/>
        </w:rPr>
        <w:t xml:space="preserve"> The Japanese 'sick house syndrome' (シックハウス症候群) crisis of the early 2000s prompted nationwide indoor air quality guidelines (MHLW 2002) setting residential formaldehyde target concentrations at 0.08 ppm and requiring labelling of construction products for formaldehyde emission. </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 Similar investigations in Sweden, Denmark, and Finland through the 2000s-2010s identified formaldehyde as a principal driver of residential respiratory symptom clusters in newly constructed buildings with poor ventilation and high-emission interior materials. </w:t>
      </w:r>
      <w:r>
        <w:rPr>
          <w:rFonts w:ascii="Times New Roman" w:cs="Times New Roman" w:eastAsia="Times New Roman" w:hAnsi="Times New Roman"/>
          <w:b/>
          <w:bCs/>
          <w:sz w:val="24"/>
          <w:szCs w:val="24"/>
          <w:vertAlign w:val="superscript"/>
        </w:rPr>
        <w:t xml:space="preserve">[19][63]</w:t>
      </w:r>
      <w:r>
        <w:rPr>
          <w:rFonts w:ascii="Times New Roman" w:cs="Times New Roman" w:eastAsia="Times New Roman" w:hAnsi="Times New Roman"/>
          <w:sz w:val="24"/>
          <w:szCs w:val="24"/>
        </w:rPr>
        <w:t xml:space="preserve"> These episodes contributed to European E1 and E0 composite-wood standards and to the progressive tightening of residential ventilation requirements across EU Member States.</w:t>
      </w:r>
    </w:p>
    <w:p>
      <w:pPr>
        <w:spacing w:after="120" w:before="280"/>
        <w:jc w:val="left"/>
      </w:pPr>
      <w:r>
        <w:rPr>
          <w:rFonts w:ascii="Times New Roman" w:cs="Times New Roman" w:eastAsia="Times New Roman" w:hAnsi="Times New Roman"/>
          <w:b/>
          <w:bCs/>
          <w:sz w:val="24"/>
          <w:szCs w:val="24"/>
        </w:rPr>
        <w:t xml:space="preserve">School and Childcare Setting Exposures</w:t>
      </w:r>
    </w:p>
    <w:p>
      <w:pPr>
        <w:spacing w:after="120" w:before="60" w:line="300"/>
        <w:jc w:val="both"/>
      </w:pPr>
      <w:r>
        <w:rPr>
          <w:rFonts w:ascii="Times New Roman" w:cs="Times New Roman" w:eastAsia="Times New Roman" w:hAnsi="Times New Roman"/>
          <w:sz w:val="24"/>
          <w:szCs w:val="24"/>
        </w:rPr>
        <w:t xml:space="preserve">Formaldehyde exposure in schools and childcare centres has been investigated in multiple studies documenting elevated indoor concentrations particularly in newly constructed or recently renovated facilities.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A French IOM-sponsored survey of 1,000 schools measured mean formaldehyde concentrations of 27 µg/m³ (range 5–150 µg/m³); approximately 15 % of classrooms exceeded the WHO indoor air guideline. </w:t>
      </w:r>
      <w:r>
        <w:rPr>
          <w:rFonts w:ascii="Times New Roman" w:cs="Times New Roman" w:eastAsia="Times New Roman" w:hAnsi="Times New Roman"/>
          <w:b/>
          <w:bCs/>
          <w:sz w:val="24"/>
          <w:szCs w:val="24"/>
          <w:vertAlign w:val="superscript"/>
        </w:rPr>
        <w:t xml:space="preserve">[63][93]</w:t>
      </w:r>
      <w:r>
        <w:rPr>
          <w:rFonts w:ascii="Times New Roman" w:cs="Times New Roman" w:eastAsia="Times New Roman" w:hAnsi="Times New Roman"/>
          <w:sz w:val="24"/>
          <w:szCs w:val="24"/>
        </w:rPr>
        <w:t xml:space="preserve"> A Korean national survey of 110 childcare centres reported median formaldehyde of 33 µg/m³. </w:t>
      </w:r>
      <w:r>
        <w:rPr>
          <w:rFonts w:ascii="Times New Roman" w:cs="Times New Roman" w:eastAsia="Times New Roman" w:hAnsi="Times New Roman"/>
          <w:b/>
          <w:bCs/>
          <w:sz w:val="24"/>
          <w:szCs w:val="24"/>
          <w:vertAlign w:val="superscript"/>
        </w:rPr>
        <w:t xml:space="preserve">[93]</w:t>
      </w:r>
      <w:r>
        <w:rPr>
          <w:rFonts w:ascii="Times New Roman" w:cs="Times New Roman" w:eastAsia="Times New Roman" w:hAnsi="Times New Roman"/>
          <w:sz w:val="24"/>
          <w:szCs w:val="24"/>
        </w:rPr>
        <w:t xml:space="preserve"> U.S. EPA school IAQ Tools for Schools programme has documented similar ranges. </w:t>
      </w:r>
      <w:r>
        <w:rPr>
          <w:rFonts w:ascii="Times New Roman" w:cs="Times New Roman" w:eastAsia="Times New Roman" w:hAnsi="Times New Roman"/>
          <w:b/>
          <w:bCs/>
          <w:sz w:val="24"/>
          <w:szCs w:val="24"/>
          <w:vertAlign w:val="superscript"/>
        </w:rPr>
        <w:t xml:space="preserve">[82][91]</w:t>
      </w:r>
      <w:r>
        <w:rPr>
          <w:rFonts w:ascii="Times New Roman" w:cs="Times New Roman" w:eastAsia="Times New Roman" w:hAnsi="Times New Roman"/>
          <w:sz w:val="24"/>
          <w:szCs w:val="24"/>
        </w:rPr>
        <w:t xml:space="preserve"> Health outcomes associated with school formaldehyde concentrations above 30 µg/m³ in epidemiological studies include increased asthma symptom days, elevated respiratory-related school absence, and reduced peak expiratory flow in affected children; these findings motivate continued attention to school ventilation, renovation timing, and low-emitting-material selection in educational facilities.</w:t>
      </w:r>
    </w:p>
    <w:p>
      <w:pPr>
        <w:spacing w:after="120" w:before="280"/>
        <w:jc w:val="left"/>
      </w:pPr>
      <w:r>
        <w:rPr>
          <w:rFonts w:ascii="Times New Roman" w:cs="Times New Roman" w:eastAsia="Times New Roman" w:hAnsi="Times New Roman"/>
          <w:b/>
          <w:bCs/>
          <w:sz w:val="24"/>
          <w:szCs w:val="24"/>
        </w:rPr>
        <w:t xml:space="preserve">Historical Discovery and Naming</w:t>
      </w:r>
    </w:p>
    <w:p>
      <w:pPr>
        <w:spacing w:after="120" w:before="60" w:line="300"/>
        <w:jc w:val="both"/>
      </w:pPr>
      <w:r>
        <w:rPr>
          <w:rFonts w:ascii="Times New Roman" w:cs="Times New Roman" w:eastAsia="Times New Roman" w:hAnsi="Times New Roman"/>
          <w:sz w:val="24"/>
          <w:szCs w:val="24"/>
        </w:rPr>
        <w:t xml:space="preserve">The historical arc of formaldehyde toxicology from laboratory curiosity (Butlerov, 1859) through industrial ubiquity (late 19th century) to acknowledged human carcinogen (IARC 2006) illustrates the protracted maturation of chemical hazard understanding. </w:t>
      </w:r>
      <w:r>
        <w:rPr>
          <w:rFonts w:ascii="Times New Roman" w:cs="Times New Roman" w:eastAsia="Times New Roman" w:hAnsi="Times New Roman"/>
          <w:b/>
          <w:bCs/>
          <w:sz w:val="24"/>
          <w:szCs w:val="24"/>
          <w:vertAlign w:val="superscript"/>
        </w:rPr>
        <w:t xml:space="preserve">[3][5][35]</w:t>
      </w:r>
      <w:r>
        <w:rPr>
          <w:rFonts w:ascii="Times New Roman" w:cs="Times New Roman" w:eastAsia="Times New Roman" w:hAnsi="Times New Roman"/>
          <w:sz w:val="24"/>
          <w:szCs w:val="24"/>
        </w:rPr>
        <w:t xml:space="preserve"> The first credible case report linking occupational formaldehyde exposure to chronic respiratory symptoms appears in the British Medical Journal for 1887, more than a century before the 2006 IARC Group 1 classification.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The first peer-reviewed report of formaldehyde-associated NPC appeared in 1978 (Walrath et al., New England Journal of Medicine), five years before the pivotal 1983 Kerns rodent bioassay. </w:t>
      </w:r>
      <w:r>
        <w:rPr>
          <w:rFonts w:ascii="Times New Roman" w:cs="Times New Roman" w:eastAsia="Times New Roman" w:hAnsi="Times New Roman"/>
          <w:b/>
          <w:bCs/>
          <w:sz w:val="24"/>
          <w:szCs w:val="24"/>
          <w:vertAlign w:val="superscript"/>
        </w:rPr>
        <w:t xml:space="preserve">[48][5]</w:t>
      </w:r>
      <w:r>
        <w:rPr>
          <w:rFonts w:ascii="Times New Roman" w:cs="Times New Roman" w:eastAsia="Times New Roman" w:hAnsi="Times New Roman"/>
          <w:sz w:val="24"/>
          <w:szCs w:val="24"/>
        </w:rPr>
        <w:t xml:space="preserve"> The protracted interval between clinical signal and regulatory classification reflects both the complexity of disentangling formaldehyde-specific effects from co-exposures in industrial cohorts, and the methodological challenges of quantifying causation for a widely endogenous metabolite. </w:t>
      </w:r>
      <w:r>
        <w:rPr>
          <w:rFonts w:ascii="Times New Roman" w:cs="Times New Roman" w:eastAsia="Times New Roman" w:hAnsi="Times New Roman"/>
          <w:sz w:val="24"/>
          <w:szCs w:val="24"/>
        </w:rPr>
        <w:t xml:space="preserve"> Contemporary systematic review methodologies and improved exposure assessment tools are now accelerating the recognition-to-action interval for emerging chemical hazards, with formaldehyde serving as an important historical reference case for risk-assessment methodology evolution.</w:t>
      </w:r>
    </w:p>
    <w:p>
      <w:r>
        <w:br w:type="page"/>
      </w:r>
    </w:p>
    <w:p>
      <w:pPr>
        <w:spacing w:after="120" w:before="280"/>
        <w:jc w:val="left"/>
      </w:pPr>
      <w:r>
        <w:rPr>
          <w:rFonts w:ascii="Times New Roman" w:cs="Times New Roman" w:eastAsia="Times New Roman" w:hAnsi="Times New Roman"/>
          <w:b/>
          <w:bCs/>
          <w:sz w:val="24"/>
          <w:szCs w:val="24"/>
        </w:rPr>
        <w:t xml:space="preserve">Economic Burden and Cost-Benefit Analysis</w:t>
      </w:r>
    </w:p>
    <w:p>
      <w:pPr>
        <w:spacing w:after="120" w:before="60" w:line="300"/>
        <w:jc w:val="both"/>
      </w:pPr>
      <w:r>
        <w:rPr>
          <w:rFonts w:ascii="Times New Roman" w:cs="Times New Roman" w:eastAsia="Times New Roman" w:hAnsi="Times New Roman"/>
          <w:sz w:val="24"/>
          <w:szCs w:val="24"/>
        </w:rPr>
        <w:t xml:space="preserve">The economic dimensions of formaldehyde regulation, public health protection, and industrial use are substantial. </w:t>
      </w:r>
      <w:r>
        <w:rPr>
          <w:rFonts w:ascii="Times New Roman" w:cs="Times New Roman" w:eastAsia="Times New Roman" w:hAnsi="Times New Roman"/>
          <w:b/>
          <w:bCs/>
          <w:sz w:val="24"/>
          <w:szCs w:val="24"/>
          <w:vertAlign w:val="superscript"/>
        </w:rPr>
        <w:t xml:space="preserve">[31][47][85][91]</w:t>
      </w:r>
      <w:r>
        <w:rPr>
          <w:rFonts w:ascii="Times New Roman" w:cs="Times New Roman" w:eastAsia="Times New Roman" w:hAnsi="Times New Roman"/>
          <w:sz w:val="24"/>
          <w:szCs w:val="24"/>
        </w:rPr>
        <w:t xml:space="preserve"> Regulatory impact analyses, healthcare cost estimates, productivity impact assessments, and cost-benefit calculations inform policy decisions on exposure limits, product emission standards, and technology investments. </w:t>
      </w:r>
      <w:r>
        <w:rPr>
          <w:rFonts w:ascii="Times New Roman" w:cs="Times New Roman" w:eastAsia="Times New Roman" w:hAnsi="Times New Roman"/>
          <w:b/>
          <w:bCs/>
          <w:sz w:val="24"/>
          <w:szCs w:val="24"/>
          <w:vertAlign w:val="superscript"/>
        </w:rPr>
        <w:t xml:space="preserve">[31][85][91]</w:t>
      </w:r>
      <w:r>
        <w:rPr>
          <w:rFonts w:ascii="Times New Roman" w:cs="Times New Roman" w:eastAsia="Times New Roman" w:hAnsi="Times New Roman"/>
          <w:sz w:val="24"/>
          <w:szCs w:val="24"/>
        </w:rPr>
        <w:t xml:space="preserve"> This section reviews the economic burden of formaldehyde-attributable disease, the cost of compliance with regulatory standards, the benefits of exposure reduction, and the broader market dynamics shaping formaldehyde use and substitution.</w:t>
      </w:r>
    </w:p>
    <w:p>
      <w:pPr>
        <w:spacing w:after="120" w:before="280"/>
        <w:jc w:val="left"/>
      </w:pPr>
      <w:r>
        <w:rPr>
          <w:rFonts w:ascii="Times New Roman" w:cs="Times New Roman" w:eastAsia="Times New Roman" w:hAnsi="Times New Roman"/>
          <w:b/>
          <w:bCs/>
          <w:sz w:val="24"/>
          <w:szCs w:val="24"/>
        </w:rPr>
        <w:t xml:space="preserve">Healthcare Cost Estimates</w:t>
      </w:r>
    </w:p>
    <w:p>
      <w:pPr>
        <w:spacing w:after="120" w:before="60" w:line="300"/>
        <w:jc w:val="both"/>
      </w:pPr>
      <w:r>
        <w:rPr>
          <w:rFonts w:ascii="Times New Roman" w:cs="Times New Roman" w:eastAsia="Times New Roman" w:hAnsi="Times New Roman"/>
          <w:sz w:val="24"/>
          <w:szCs w:val="24"/>
        </w:rPr>
        <w:t xml:space="preserve">Healthcare costs attributable to formaldehyde exposure include direct medical costs of exposure-related disease treatment, indirect costs of morbidity (productivity loss, disability payments), and premature mortality costs measured through value of statistical life or disability-adjusted life-year (DALY) frameworks. </w:t>
      </w:r>
      <w:r>
        <w:rPr>
          <w:rFonts w:ascii="Times New Roman" w:cs="Times New Roman" w:eastAsia="Times New Roman" w:hAnsi="Times New Roman"/>
          <w:b/>
          <w:bCs/>
          <w:sz w:val="24"/>
          <w:szCs w:val="24"/>
          <w:vertAlign w:val="superscript"/>
        </w:rPr>
        <w:t xml:space="preserve">[47][91]</w:t>
      </w:r>
      <w:r>
        <w:rPr>
          <w:rFonts w:ascii="Times New Roman" w:cs="Times New Roman" w:eastAsia="Times New Roman" w:hAnsi="Times New Roman"/>
          <w:sz w:val="24"/>
          <w:szCs w:val="24"/>
        </w:rPr>
        <w:t xml:space="preserve"> U.S. EPA regulatory impact analysis for the TSCA Title VI composite wood products rule estimated annual health cost savings of $30–100 million through reduced respiratory disease and cancer incidence at the chosen emission standards.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Broader estimates of formaldehyde-attributable cancer burden at global level through the IHME Global Burden of Disease project attribute approximately 3,000–15,000 global cancer deaths annually to formaldehyde exposure across all sources combined.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These estimates carry substantial uncertainty but provide the scale-setting framework for public health prioritisation and regulatory investment decisions. </w:t>
      </w:r>
      <w:r>
        <w:rPr>
          <w:rFonts w:ascii="Times New Roman" w:cs="Times New Roman" w:eastAsia="Times New Roman" w:hAnsi="Times New Roman"/>
          <w:b/>
          <w:bCs/>
          <w:sz w:val="24"/>
          <w:szCs w:val="24"/>
          <w:vertAlign w:val="superscript"/>
        </w:rPr>
        <w:t xml:space="preserve">[47][91]</w:t>
      </w:r>
      <w:r>
        <w:rPr>
          <w:rFonts w:ascii="Times New Roman" w:cs="Times New Roman" w:eastAsia="Times New Roman" w:hAnsi="Times New Roman"/>
          <w:sz w:val="24"/>
          <w:szCs w:val="24"/>
        </w:rPr>
        <w:t xml:space="preserve"> National and sub-national healthcare cost assessments in Europe, Canada, Australia, and East Asia report broadly consistent findings with scale of formaldehyde-attributable costs in the hundreds of millions of dollars annually per major economy.</w:t>
      </w:r>
    </w:p>
    <w:p>
      <w:pPr>
        <w:spacing w:after="120" w:before="280"/>
        <w:jc w:val="left"/>
      </w:pPr>
      <w:r>
        <w:rPr>
          <w:rFonts w:ascii="Times New Roman" w:cs="Times New Roman" w:eastAsia="Times New Roman" w:hAnsi="Times New Roman"/>
          <w:b/>
          <w:bCs/>
          <w:sz w:val="24"/>
          <w:szCs w:val="24"/>
        </w:rPr>
        <w:t xml:space="preserve">Occupational Disease Costs</w:t>
      </w:r>
    </w:p>
    <w:p>
      <w:pPr>
        <w:spacing w:after="120" w:before="60" w:line="300"/>
        <w:jc w:val="both"/>
      </w:pPr>
      <w:r>
        <w:rPr>
          <w:rFonts w:ascii="Times New Roman" w:cs="Times New Roman" w:eastAsia="Times New Roman" w:hAnsi="Times New Roman"/>
          <w:sz w:val="24"/>
          <w:szCs w:val="24"/>
        </w:rPr>
        <w:t xml:space="preserve">Occupational formaldehyde-attributable disease costs include workers' compensation claims, medical treatment, lost productivity, disability payments, and litigation.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Occupational asthma cases attributable to formaldehyde are estimated at several thousand annually in the U.S. at lifetime costs per case of $200,000–$1 million in direct and indirect expenses.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Occupational contact dermatitis cases number in the tens of thousands annually with cumulative costs in the hundreds of millions of dollars.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Cancer claims attributable to formaldehyde exposure — particularly myeloid leukaemia and nasopharyngeal carcinoma in documented high-exposure occupations — carry large individual awards when causation is established. </w:t>
      </w:r>
      <w:r>
        <w:rPr>
          <w:rFonts w:ascii="Times New Roman" w:cs="Times New Roman" w:eastAsia="Times New Roman" w:hAnsi="Times New Roman"/>
          <w:b/>
          <w:bCs/>
          <w:sz w:val="24"/>
          <w:szCs w:val="24"/>
          <w:vertAlign w:val="superscript"/>
        </w:rPr>
        <w:t xml:space="preserve">[10][11][12][47]</w:t>
      </w:r>
      <w:r>
        <w:rPr>
          <w:rFonts w:ascii="Times New Roman" w:cs="Times New Roman" w:eastAsia="Times New Roman" w:hAnsi="Times New Roman"/>
          <w:sz w:val="24"/>
          <w:szCs w:val="24"/>
        </w:rPr>
        <w:t xml:space="preserve"> Insurance and workers' compensation costs drive employer investment in engineering controls, PPE, and medical surveillance as loss-prevention measures; these costs are substantial contributors to the business case for exposure reduction.</w:t>
      </w:r>
    </w:p>
    <w:p>
      <w:pPr>
        <w:spacing w:after="120" w:before="280"/>
        <w:jc w:val="left"/>
      </w:pPr>
      <w:r>
        <w:rPr>
          <w:rFonts w:ascii="Times New Roman" w:cs="Times New Roman" w:eastAsia="Times New Roman" w:hAnsi="Times New Roman"/>
          <w:b/>
          <w:bCs/>
          <w:sz w:val="24"/>
          <w:szCs w:val="24"/>
        </w:rPr>
        <w:t xml:space="preserve">Cost of Regulatory Compliance</w:t>
      </w:r>
    </w:p>
    <w:p>
      <w:pPr>
        <w:spacing w:after="120" w:before="60" w:line="300"/>
        <w:jc w:val="both"/>
      </w:pPr>
      <w:r>
        <w:rPr>
          <w:rFonts w:ascii="Times New Roman" w:cs="Times New Roman" w:eastAsia="Times New Roman" w:hAnsi="Times New Roman"/>
          <w:sz w:val="24"/>
          <w:szCs w:val="24"/>
        </w:rPr>
        <w:t xml:space="preserve">Regulatory compliance costs for formaldehyde-using industries include capital investment in engineering controls, operating cost of ventilation and monitoring systems, personnel time for training and surveillance, materials cost of lower-emitting alternative resins, and administrative cost of regulatory reporting. </w:t>
      </w:r>
      <w:r>
        <w:rPr>
          <w:rFonts w:ascii="Times New Roman" w:cs="Times New Roman" w:eastAsia="Times New Roman" w:hAnsi="Times New Roman"/>
          <w:b/>
          <w:bCs/>
          <w:sz w:val="24"/>
          <w:szCs w:val="24"/>
          <w:vertAlign w:val="superscript"/>
        </w:rPr>
        <w:t xml:space="preserve">[31][85][91][99]</w:t>
      </w:r>
      <w:r>
        <w:rPr>
          <w:rFonts w:ascii="Times New Roman" w:cs="Times New Roman" w:eastAsia="Times New Roman" w:hAnsi="Times New Roman"/>
          <w:sz w:val="24"/>
          <w:szCs w:val="24"/>
        </w:rPr>
        <w:t xml:space="preserve"> U.S. EPA regulatory impact analyses for the TSCA Title VI rule estimated annualised compliance costs of $20–60 million for the composite wood products industry; similar analyses for the California CARB Phase 2 rule, European E1/E0 standards, and other jurisdictional requirements report costs of comparable magnitude.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Occupational Safety and Health Administration compliance cost estimates for the Formaldehyde Standard implementation (1987, updated 1992) documented per-worker compliance costs of $200–500 annually with substantial variation across industry sectors.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European REACH registration and evaluation costs for formaldehyde have been substantial, with aggregate industry expenditure in the hundreds of millions of euros for data generation, assessment, and administrative compliance.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These compliance costs are widely passed through to consumers in product prices but are generally small in proportion to total product value.</w:t>
      </w:r>
    </w:p>
    <w:p>
      <w:pPr>
        <w:spacing w:after="120" w:before="280"/>
        <w:jc w:val="left"/>
      </w:pPr>
      <w:r>
        <w:rPr>
          <w:rFonts w:ascii="Times New Roman" w:cs="Times New Roman" w:eastAsia="Times New Roman" w:hAnsi="Times New Roman"/>
          <w:b/>
          <w:bCs/>
          <w:sz w:val="24"/>
          <w:szCs w:val="24"/>
        </w:rPr>
        <w:t xml:space="preserve">Benefits of Exposure Reduction</w:t>
      </w:r>
    </w:p>
    <w:p>
      <w:pPr>
        <w:spacing w:after="120" w:before="60" w:line="300"/>
        <w:jc w:val="both"/>
      </w:pPr>
      <w:r>
        <w:rPr>
          <w:rFonts w:ascii="Times New Roman" w:cs="Times New Roman" w:eastAsia="Times New Roman" w:hAnsi="Times New Roman"/>
          <w:sz w:val="24"/>
          <w:szCs w:val="24"/>
        </w:rPr>
        <w:t xml:space="preserve">Benefits of exposure reduction include reduced healthcare costs, reduced occupational disease claims, improved worker productivity, improved indoor air quality and occupant satisfaction, and reduced regulatory and legal liability. </w:t>
      </w:r>
      <w:r>
        <w:rPr>
          <w:rFonts w:ascii="Times New Roman" w:cs="Times New Roman" w:eastAsia="Times New Roman" w:hAnsi="Times New Roman"/>
          <w:b/>
          <w:bCs/>
          <w:sz w:val="24"/>
          <w:szCs w:val="24"/>
          <w:vertAlign w:val="superscript"/>
        </w:rPr>
        <w:t xml:space="preserve">[31][91][99]</w:t>
      </w:r>
      <w:r>
        <w:rPr>
          <w:rFonts w:ascii="Times New Roman" w:cs="Times New Roman" w:eastAsia="Times New Roman" w:hAnsi="Times New Roman"/>
          <w:sz w:val="24"/>
          <w:szCs w:val="24"/>
        </w:rPr>
        <w:t xml:space="preserve"> U.S. EPA regulatory impact analysis estimated benefit-cost ratios of 2:1 to 10:1 for the TSCA Title VI rule depending on valuation assumptions; European analyses of tightening indoor air quality standards report similar favourable benefit-cost profiles.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Beyond direct health benefits, exposure reduction supports corporate ESG (environmental, social, governance) performance, green-building certification, and brand equity in consumer markets.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Voluntary exposure reduction beyond regulatory minima — through adoption of more stringent industry certifications, proactive substitution of hazardous materials, and investment in best-available technologies — is increasingly driven by these market and reputational factors as well as by health protection.</w:t>
      </w:r>
    </w:p>
    <w:p>
      <w:pPr>
        <w:spacing w:after="120" w:before="280"/>
        <w:jc w:val="left"/>
      </w:pPr>
      <w:r>
        <w:rPr>
          <w:rFonts w:ascii="Times New Roman" w:cs="Times New Roman" w:eastAsia="Times New Roman" w:hAnsi="Times New Roman"/>
          <w:b/>
          <w:bCs/>
          <w:sz w:val="24"/>
          <w:szCs w:val="24"/>
        </w:rPr>
        <w:t xml:space="preserve">Substitution Economics</w:t>
      </w:r>
    </w:p>
    <w:p>
      <w:pPr>
        <w:spacing w:after="120" w:before="60" w:line="300"/>
        <w:jc w:val="both"/>
      </w:pPr>
      <w:r>
        <w:rPr>
          <w:rFonts w:ascii="Times New Roman" w:cs="Times New Roman" w:eastAsia="Times New Roman" w:hAnsi="Times New Roman"/>
          <w:sz w:val="24"/>
          <w:szCs w:val="24"/>
        </w:rPr>
        <w:t xml:space="preserve">Economic analysis of formaldehyde substitution — replacement of formaldehyde-based resins, preservatives, and processes with alternative chemistries — is a complex multi-criteria decision problem. </w:t>
      </w:r>
      <w:r>
        <w:rPr>
          <w:rFonts w:ascii="Times New Roman" w:cs="Times New Roman" w:eastAsia="Times New Roman" w:hAnsi="Times New Roman"/>
          <w:b/>
          <w:bCs/>
          <w:sz w:val="24"/>
          <w:szCs w:val="24"/>
          <w:vertAlign w:val="superscript"/>
        </w:rPr>
        <w:t xml:space="preserve">[31][85][91]</w:t>
      </w:r>
      <w:r>
        <w:rPr>
          <w:rFonts w:ascii="Times New Roman" w:cs="Times New Roman" w:eastAsia="Times New Roman" w:hAnsi="Times New Roman"/>
          <w:sz w:val="24"/>
          <w:szCs w:val="24"/>
        </w:rPr>
        <w:t xml:space="preserve"> Alternative resin systems (MDI, soy-protein, lignin-based, ion-catalysed phenolic) typically cost 20–100% more than traditional urea-formaldehyde resins at current market volumes; progressive substitution requires corresponding product price increases or absorption of margin compression.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Alternative cosmetic preservatives (parabens, isothiazolinones, organic acids, phenoxyethanol) have different cost profiles, efficacy characteristics, and regulatory restrictions; substitution decisions require integrated evaluation of technical performance, regulatory requirements, and consumer acceptance.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Life-cycle assessment methodologies quantify the full environmental and health burden of alternatives including production, use, and end-of-life phases; formaldehyde's relative environmental profile is mixed, with the concern about emissions during use balanced by the favourable attributes of low-energy production and effective performance.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Informed substitution decisions balance these multiple factors with explicit consideration of regulatory trajectory, market signals, and stakeholder expectations.</w:t>
      </w:r>
    </w:p>
    <w:p>
      <w:pPr>
        <w:spacing w:after="120" w:before="280"/>
        <w:jc w:val="left"/>
      </w:pPr>
      <w:r>
        <w:rPr>
          <w:rFonts w:ascii="Times New Roman" w:cs="Times New Roman" w:eastAsia="Times New Roman" w:hAnsi="Times New Roman"/>
          <w:b/>
          <w:bCs/>
          <w:sz w:val="24"/>
          <w:szCs w:val="24"/>
        </w:rPr>
        <w:t xml:space="preserve">Market Dynamics and Industry Structure</w:t>
      </w:r>
    </w:p>
    <w:p>
      <w:pPr>
        <w:spacing w:after="120" w:before="60" w:line="300"/>
        <w:jc w:val="both"/>
      </w:pPr>
      <w:r>
        <w:rPr>
          <w:rFonts w:ascii="Times New Roman" w:cs="Times New Roman" w:eastAsia="Times New Roman" w:hAnsi="Times New Roman"/>
          <w:sz w:val="24"/>
          <w:szCs w:val="24"/>
        </w:rPr>
        <w:t xml:space="preserve">Formaldehyde industry structure has consolidated over the past three decades with leading producers including BASF, Dynea, Hexion, Celanese, Perstorp, and several Asian producers (Mitsui Chemicals, Sumitomo, Sinopec, LG Chem).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Global formaldehyde production of ~40 million tonnes annually is consumed primarily by captive downstream operations (resin manufacturing, specialty chemicals) with merchant market sales concentrated in specific geographic regions.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Long-term supply contracts with ten-year or longer horizons are common in the resin manufacturing sector, with price formulas typically indexed to methanol feedstock cost and energy prices.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Industry associations — Formaldehyde Panel of the American Chemistry Council, Formacare (Europe), JETOC Formaldehyde Committee (Japan) — coordinate regulatory engagement, research funding, and industry best-practice development. </w:t>
      </w:r>
      <w:r>
        <w:rPr>
          <w:rFonts w:ascii="Times New Roman" w:cs="Times New Roman" w:eastAsia="Times New Roman" w:hAnsi="Times New Roman"/>
          <w:b/>
          <w:bCs/>
          <w:sz w:val="24"/>
          <w:szCs w:val="24"/>
          <w:vertAlign w:val="superscript"/>
        </w:rPr>
        <w:t xml:space="preserve">[85][91]</w:t>
      </w:r>
      <w:r>
        <w:rPr>
          <w:rFonts w:ascii="Times New Roman" w:cs="Times New Roman" w:eastAsia="Times New Roman" w:hAnsi="Times New Roman"/>
          <w:sz w:val="24"/>
          <w:szCs w:val="24"/>
        </w:rPr>
        <w:t xml:space="preserve"> Emerging market dynamics include shift of resin and composite wood production from Europe and North America to China and Southeast Asia, consolidation among furniture retailers driving demand for low-emitting products, and regulatory convergence across markets reducing compliance-related geographic arbitrage opportunities.</w:t>
      </w:r>
    </w:p>
    <w:p>
      <w:pPr>
        <w:spacing w:after="120" w:before="280"/>
        <w:jc w:val="left"/>
      </w:pPr>
      <w:r>
        <w:rPr>
          <w:rFonts w:ascii="Times New Roman" w:cs="Times New Roman" w:eastAsia="Times New Roman" w:hAnsi="Times New Roman"/>
          <w:b/>
          <w:bCs/>
          <w:sz w:val="24"/>
          <w:szCs w:val="24"/>
        </w:rPr>
        <w:t xml:space="preserve">Insurance and Financial Risk</w:t>
      </w:r>
    </w:p>
    <w:p>
      <w:pPr>
        <w:spacing w:after="120" w:before="60" w:line="300"/>
        <w:jc w:val="both"/>
      </w:pPr>
      <w:r>
        <w:rPr>
          <w:rFonts w:ascii="Times New Roman" w:cs="Times New Roman" w:eastAsia="Times New Roman" w:hAnsi="Times New Roman"/>
          <w:sz w:val="24"/>
          <w:szCs w:val="24"/>
        </w:rPr>
        <w:t xml:space="preserve">Insurance and financial risk considerations related to formaldehyde include general liability insurance for product and premises claims, workers' compensation insurance for occupational disease, environmental impairment liability for releases and legacy contamination, and directors' and officers' (D&amp;O) liability for corporate governance of chemical risks. </w:t>
      </w:r>
      <w:r>
        <w:rPr>
          <w:rFonts w:ascii="Times New Roman" w:cs="Times New Roman" w:eastAsia="Times New Roman" w:hAnsi="Times New Roman"/>
          <w:b/>
          <w:bCs/>
          <w:sz w:val="24"/>
          <w:szCs w:val="24"/>
          <w:vertAlign w:val="superscript"/>
        </w:rPr>
        <w:t xml:space="preserve">[91][97]</w:t>
      </w:r>
      <w:r>
        <w:rPr>
          <w:rFonts w:ascii="Times New Roman" w:cs="Times New Roman" w:eastAsia="Times New Roman" w:hAnsi="Times New Roman"/>
          <w:sz w:val="24"/>
          <w:szCs w:val="24"/>
        </w:rPr>
        <w:t xml:space="preserve"> Insurance pricing reflects historical loss experience, current exposure profiles, and risk-mitigation investment; companies with documented exposure reduction, strong safety culture, and proactive regulatory engagement typically achieve favourable insurance pricing.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Corporate ESG scoring by rating agencies (MSCI, Sustainalytics, ISS) incorporates chemical hazard management and health protection metrics; formaldehyde-intensive operations are specifically evaluated in sector-specific rating methodologies.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Investor engagement on chemical hazards, including formaldehyde, is increasing through the Principles for Responsible Investment (PRI), the Investor Alliance for Human Rights, and similar frameworks; investor pressure supports corporate adoption of progressive exposure reduction beyond regulatory minima.</w:t>
      </w:r>
    </w:p>
    <w:p>
      <w:pPr>
        <w:spacing w:after="120" w:before="280"/>
        <w:jc w:val="left"/>
      </w:pPr>
      <w:r>
        <w:rPr>
          <w:rFonts w:ascii="Times New Roman" w:cs="Times New Roman" w:eastAsia="Times New Roman" w:hAnsi="Times New Roman"/>
          <w:b/>
          <w:bCs/>
          <w:sz w:val="24"/>
          <w:szCs w:val="24"/>
        </w:rPr>
        <w:t xml:space="preserve">International Development Dimensions</w:t>
      </w:r>
    </w:p>
    <w:p>
      <w:pPr>
        <w:spacing w:after="120" w:before="60" w:line="300"/>
        <w:jc w:val="both"/>
      </w:pPr>
      <w:r>
        <w:rPr>
          <w:rFonts w:ascii="Times New Roman" w:cs="Times New Roman" w:eastAsia="Times New Roman" w:hAnsi="Times New Roman"/>
          <w:sz w:val="24"/>
          <w:szCs w:val="24"/>
        </w:rPr>
        <w:t xml:space="preserve">International development dimensions of formaldehyde include technology transfer, capacity building for regulatory oversight, and workforce training in emerging economies. </w:t>
      </w:r>
      <w:r>
        <w:rPr>
          <w:rFonts w:ascii="Times New Roman" w:cs="Times New Roman" w:eastAsia="Times New Roman" w:hAnsi="Times New Roman"/>
          <w:b/>
          <w:bCs/>
          <w:sz w:val="24"/>
          <w:szCs w:val="24"/>
          <w:vertAlign w:val="superscript"/>
        </w:rPr>
        <w:t xml:space="preserve">[85][90][91]</w:t>
      </w:r>
      <w:r>
        <w:rPr>
          <w:rFonts w:ascii="Times New Roman" w:cs="Times New Roman" w:eastAsia="Times New Roman" w:hAnsi="Times New Roman"/>
          <w:sz w:val="24"/>
          <w:szCs w:val="24"/>
        </w:rPr>
        <w:t xml:space="preserve"> World Bank, IFC, and regional development bank support for manufacturing projects in emerging economies increasingly incorporates environmental health and safety performance standards; formaldehyde exposure management is a specific focus in wood products, textile, and furniture manufacturing projects. </w:t>
      </w:r>
      <w:r>
        <w:rPr>
          <w:rFonts w:ascii="Times New Roman" w:cs="Times New Roman" w:eastAsia="Times New Roman" w:hAnsi="Times New Roman"/>
          <w:b/>
          <w:bCs/>
          <w:sz w:val="24"/>
          <w:szCs w:val="24"/>
          <w:vertAlign w:val="superscript"/>
        </w:rPr>
        <w:t xml:space="preserve">[85][91]</w:t>
      </w:r>
      <w:r>
        <w:rPr>
          <w:rFonts w:ascii="Times New Roman" w:cs="Times New Roman" w:eastAsia="Times New Roman" w:hAnsi="Times New Roman"/>
          <w:sz w:val="24"/>
          <w:szCs w:val="24"/>
        </w:rPr>
        <w:t xml:space="preserve"> UNIDO, UNEP, and WHO capacity building programmes in emerging economies include formaldehyde-relevant activities: chemical safety management, occupational health inspectorate training, environmental monitoring, and public health surveillance. </w:t>
      </w:r>
      <w:r>
        <w:rPr>
          <w:rFonts w:ascii="Times New Roman" w:cs="Times New Roman" w:eastAsia="Times New Roman" w:hAnsi="Times New Roman"/>
          <w:b/>
          <w:bCs/>
          <w:sz w:val="24"/>
          <w:szCs w:val="24"/>
          <w:vertAlign w:val="superscript"/>
        </w:rPr>
        <w:t xml:space="preserve">[85][90]</w:t>
      </w:r>
      <w:r>
        <w:rPr>
          <w:rFonts w:ascii="Times New Roman" w:cs="Times New Roman" w:eastAsia="Times New Roman" w:hAnsi="Times New Roman"/>
          <w:sz w:val="24"/>
          <w:szCs w:val="24"/>
        </w:rPr>
        <w:t xml:space="preserve"> Sustainable Development Goal 3.9 (substantially reduce deaths and illnesses from hazardous chemicals) and SDG 8.8 (protect labour rights and promote safe and secure working environments) provide the international policy framework for action on formaldehyde and comparable hazards. </w:t>
      </w:r>
      <w:r>
        <w:rPr>
          <w:rFonts w:ascii="Times New Roman" w:cs="Times New Roman" w:eastAsia="Times New Roman" w:hAnsi="Times New Roman"/>
          <w:b/>
          <w:bCs/>
          <w:sz w:val="24"/>
          <w:szCs w:val="24"/>
          <w:vertAlign w:val="superscript"/>
        </w:rPr>
        <w:t xml:space="preserve">[85][90]</w:t>
      </w:r>
      <w:r>
        <w:rPr>
          <w:rFonts w:ascii="Times New Roman" w:cs="Times New Roman" w:eastAsia="Times New Roman" w:hAnsi="Times New Roman"/>
          <w:sz w:val="24"/>
          <w:szCs w:val="24"/>
        </w:rPr>
        <w:t xml:space="preserve"> Progressive harmonisation of formaldehyde regulation across jurisdictions supports ethical and effective international commerce and contributes to global public health protection.</w:t>
      </w:r>
    </w:p>
    <w:p>
      <w:pPr>
        <w:spacing w:after="120" w:before="280"/>
        <w:jc w:val="left"/>
      </w:pPr>
      <w:r>
        <w:rPr>
          <w:rFonts w:ascii="Times New Roman" w:cs="Times New Roman" w:eastAsia="Times New Roman" w:hAnsi="Times New Roman"/>
          <w:b/>
          <w:bCs/>
          <w:sz w:val="24"/>
          <w:szCs w:val="24"/>
        </w:rPr>
        <w:t xml:space="preserve">Long-Term Economic Trajectory</w:t>
      </w:r>
    </w:p>
    <w:p>
      <w:pPr>
        <w:spacing w:after="120" w:before="60" w:line="300"/>
        <w:jc w:val="both"/>
      </w:pPr>
      <w:r>
        <w:rPr>
          <w:rFonts w:ascii="Times New Roman" w:cs="Times New Roman" w:eastAsia="Times New Roman" w:hAnsi="Times New Roman"/>
          <w:sz w:val="24"/>
          <w:szCs w:val="24"/>
        </w:rPr>
        <w:t xml:space="preserve">The long-term economic trajectory of formaldehyde use is shaped by continued regulatory tightening, progressive substitution with alternatives, and evolution of downstream product markets. </w:t>
      </w:r>
      <w:r>
        <w:rPr>
          <w:rFonts w:ascii="Times New Roman" w:cs="Times New Roman" w:eastAsia="Times New Roman" w:hAnsi="Times New Roman"/>
          <w:b/>
          <w:bCs/>
          <w:sz w:val="24"/>
          <w:szCs w:val="24"/>
          <w:vertAlign w:val="superscript"/>
        </w:rPr>
        <w:t xml:space="preserve">[22][31][85][91]</w:t>
      </w:r>
      <w:r>
        <w:rPr>
          <w:rFonts w:ascii="Times New Roman" w:cs="Times New Roman" w:eastAsia="Times New Roman" w:hAnsi="Times New Roman"/>
          <w:sz w:val="24"/>
          <w:szCs w:val="24"/>
        </w:rPr>
        <w:t xml:space="preserve"> Global formaldehyde demand growth over the coming decade is projected at 2–3% annually, driven primarily by construction and furniture demand in emerging economies; growth is attenuated in developed markets by substitution with lower-formaldehyde alternatives.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Investment in low-emitting alternative resin production capacity (MDI, bio-based binders) is substantial and is expected to continue displacing urea-formaldehyde in high-value applications.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Emerging economy regulatory modernisation, driven by public health awareness and international trade considerations, is gradually aligning standards with the international best practice represented by the U.S., European, and Japanese frameworks. </w:t>
      </w:r>
      <w:r>
        <w:rPr>
          <w:rFonts w:ascii="Times New Roman" w:cs="Times New Roman" w:eastAsia="Times New Roman" w:hAnsi="Times New Roman"/>
          <w:b/>
          <w:bCs/>
          <w:sz w:val="24"/>
          <w:szCs w:val="24"/>
          <w:vertAlign w:val="superscript"/>
        </w:rPr>
        <w:t xml:space="preserve">[26][85][90]</w:t>
      </w:r>
      <w:r>
        <w:rPr>
          <w:rFonts w:ascii="Times New Roman" w:cs="Times New Roman" w:eastAsia="Times New Roman" w:hAnsi="Times New Roman"/>
          <w:sz w:val="24"/>
          <w:szCs w:val="24"/>
        </w:rPr>
        <w:t xml:space="preserve"> The combination of market forces and regulatory action suggests continued incremental reduction in aggregate formaldehyde exposure across both developed and developing economies over the coming decades, with corresponding reduction in attributable disease burden and expansion of safe product choice for consumers.</w:t>
      </w:r>
    </w:p>
    <w:p>
      <w:r>
        <w:br w:type="page"/>
      </w:r>
    </w:p>
    <w:p>
      <w:pPr>
        <w:spacing w:after="120" w:before="280"/>
        <w:jc w:val="left"/>
      </w:pPr>
      <w:r>
        <w:rPr>
          <w:rFonts w:ascii="Times New Roman" w:cs="Times New Roman" w:eastAsia="Times New Roman" w:hAnsi="Times New Roman"/>
          <w:b/>
          <w:bCs/>
          <w:sz w:val="24"/>
          <w:szCs w:val="24"/>
        </w:rPr>
        <w:t xml:space="preserve">Emerging Research Directions and Outstanding Questions</w:t>
      </w:r>
    </w:p>
    <w:p>
      <w:pPr>
        <w:spacing w:after="120" w:before="60" w:line="300"/>
        <w:jc w:val="both"/>
      </w:pPr>
      <w:r>
        <w:rPr>
          <w:rFonts w:ascii="Times New Roman" w:cs="Times New Roman" w:eastAsia="Times New Roman" w:hAnsi="Times New Roman"/>
          <w:sz w:val="24"/>
          <w:szCs w:val="24"/>
        </w:rPr>
        <w:t xml:space="preserve">The formaldehyde research landscape continues to evolve rapidly across several interconnected fronts. </w:t>
      </w:r>
      <w:r>
        <w:rPr>
          <w:rFonts w:ascii="Times New Roman" w:cs="Times New Roman" w:eastAsia="Times New Roman" w:hAnsi="Times New Roman"/>
          <w:b/>
          <w:bCs/>
          <w:sz w:val="24"/>
          <w:szCs w:val="24"/>
          <w:vertAlign w:val="superscript"/>
        </w:rPr>
        <w:t xml:space="preserve">[21][23][24][42][47][52][60][90]</w:t>
      </w:r>
      <w:r>
        <w:rPr>
          <w:rFonts w:ascii="Times New Roman" w:cs="Times New Roman" w:eastAsia="Times New Roman" w:hAnsi="Times New Roman"/>
          <w:sz w:val="24"/>
          <w:szCs w:val="24"/>
        </w:rPr>
        <w:t xml:space="preserve"> This concluding substantive section surveys the emerging research directions, outstanding scientific questions, and prospective methodological advances that are likely to shape the next decade of formaldehyde toxicology, exposure science, and risk assessment. Topics include: molecular epidemiology and adductomics; single-cell biology and systems toxicology; environmental justice and exposure disparities; translational biomarker development; integration of NAMs into regulatory practice; and emerging exposure scenarios.</w:t>
      </w:r>
    </w:p>
    <w:p>
      <w:pPr>
        <w:spacing w:after="120" w:before="280"/>
        <w:jc w:val="left"/>
      </w:pPr>
      <w:r>
        <w:rPr>
          <w:rFonts w:ascii="Times New Roman" w:cs="Times New Roman" w:eastAsia="Times New Roman" w:hAnsi="Times New Roman"/>
          <w:b/>
          <w:bCs/>
          <w:sz w:val="24"/>
          <w:szCs w:val="24"/>
        </w:rPr>
        <w:t xml:space="preserve">Molecular Epidemiology and Adductomics</w:t>
      </w:r>
    </w:p>
    <w:p>
      <w:pPr>
        <w:spacing w:after="120" w:before="60" w:line="300"/>
        <w:jc w:val="both"/>
      </w:pPr>
      <w:r>
        <w:rPr>
          <w:rFonts w:ascii="Times New Roman" w:cs="Times New Roman" w:eastAsia="Times New Roman" w:hAnsi="Times New Roman"/>
          <w:sz w:val="24"/>
          <w:szCs w:val="24"/>
        </w:rPr>
        <w:t xml:space="preserve">Adductomics — comprehensive mass-spectrometric profiling of covalent modifications on DNA, proteins, and metabolites — represents a major frontier for formaldehyde molecular epidemiology. </w:t>
      </w:r>
      <w:r>
        <w:rPr>
          <w:rFonts w:ascii="Times New Roman" w:cs="Times New Roman" w:eastAsia="Times New Roman" w:hAnsi="Times New Roman"/>
          <w:b/>
          <w:bCs/>
          <w:sz w:val="24"/>
          <w:szCs w:val="24"/>
          <w:vertAlign w:val="superscript"/>
        </w:rPr>
        <w:t xml:space="preserve">[21][23][24][52]</w:t>
      </w:r>
      <w:r>
        <w:rPr>
          <w:rFonts w:ascii="Times New Roman" w:cs="Times New Roman" w:eastAsia="Times New Roman" w:hAnsi="Times New Roman"/>
          <w:sz w:val="24"/>
          <w:szCs w:val="24"/>
        </w:rPr>
        <w:t xml:space="preserve"> Global DNA adductomics methods based on triple-quadrupole or Orbitrap mass spectrometry can identify and quantify hundreds of DNA adducts simultaneously, including formaldehyde-specific hydroxymethyl adducts and their derivatives. </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 Protein adductomics targeting haemoglobin, serum albumin, and specific protein targets provides cumulative exposure biomarkers with 1–120-day integration windows. </w:t>
      </w:r>
      <w:r>
        <w:rPr>
          <w:rFonts w:ascii="Times New Roman" w:cs="Times New Roman" w:eastAsia="Times New Roman" w:hAnsi="Times New Roman"/>
          <w:b/>
          <w:bCs/>
          <w:sz w:val="24"/>
          <w:szCs w:val="24"/>
          <w:vertAlign w:val="superscript"/>
        </w:rPr>
        <w:t xml:space="preserve">[21][35][52]</w:t>
      </w:r>
      <w:r>
        <w:rPr>
          <w:rFonts w:ascii="Times New Roman" w:cs="Times New Roman" w:eastAsia="Times New Roman" w:hAnsi="Times New Roman"/>
          <w:sz w:val="24"/>
          <w:szCs w:val="24"/>
        </w:rPr>
        <w:t xml:space="preserve"> Integration with population-scale biobanks (UK Biobank, All of Us Research Program, China Kadoorie Biobank) positions formaldehyde biomarker research to link cumulative exposure, biomarker profiles, and disease outcomes across millions of participants.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These developments will likely refine the formaldehyde exposure-disease linkages and provide mechanistic biomarkers for occupational and environmental surveillance.</w:t>
      </w:r>
    </w:p>
    <w:p>
      <w:pPr>
        <w:spacing w:after="120" w:before="280"/>
        <w:jc w:val="left"/>
      </w:pPr>
      <w:r>
        <w:rPr>
          <w:rFonts w:ascii="Times New Roman" w:cs="Times New Roman" w:eastAsia="Times New Roman" w:hAnsi="Times New Roman"/>
          <w:b/>
          <w:bCs/>
          <w:sz w:val="24"/>
          <w:szCs w:val="24"/>
        </w:rPr>
        <w:t xml:space="preserve">Single-Cell Biology</w:t>
      </w:r>
    </w:p>
    <w:p>
      <w:pPr>
        <w:spacing w:after="120" w:before="60" w:line="300"/>
        <w:jc w:val="both"/>
      </w:pPr>
      <w:r>
        <w:rPr>
          <w:rFonts w:ascii="Times New Roman" w:cs="Times New Roman" w:eastAsia="Times New Roman" w:hAnsi="Times New Roman"/>
          <w:sz w:val="24"/>
          <w:szCs w:val="24"/>
        </w:rPr>
        <w:t xml:space="preserve">Single-cell biology — encompassing single-cell RNA sequencing, single-cell ATAC-seq, CITE-seq, and spatial transcriptomics — provides unprecedented resolution of cell-type-specific responses to formaldehyde exposure. </w:t>
      </w:r>
      <w:r>
        <w:rPr>
          <w:rFonts w:ascii="Times New Roman" w:cs="Times New Roman" w:eastAsia="Times New Roman" w:hAnsi="Times New Roman"/>
          <w:b/>
          <w:bCs/>
          <w:sz w:val="24"/>
          <w:szCs w:val="24"/>
          <w:vertAlign w:val="superscript"/>
        </w:rPr>
        <w:t xml:space="preserve">[24][40][42]</w:t>
      </w:r>
      <w:r>
        <w:rPr>
          <w:rFonts w:ascii="Times New Roman" w:cs="Times New Roman" w:eastAsia="Times New Roman" w:hAnsi="Times New Roman"/>
          <w:sz w:val="24"/>
          <w:szCs w:val="24"/>
        </w:rPr>
        <w:t xml:space="preserve"> Single-cell transcriptomic profiling of nasal epithelium identifies cell-type-specific responses in basal, ciliated, secretory, and immune cell sub-populations with differential sensitivity to formaldehyde cytotoxicity and regeneration.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Single-cell profiling of bone marrow compartments reveals stem-cell-specific responses relevant to the myeloid leukaemia hypothesis, including altered haematopoietic stem cell quiescence, differentiation, and DNA damage response. </w:t>
      </w:r>
      <w:r>
        <w:rPr>
          <w:rFonts w:ascii="Times New Roman" w:cs="Times New Roman" w:eastAsia="Times New Roman" w:hAnsi="Times New Roman"/>
          <w:b/>
          <w:bCs/>
          <w:sz w:val="24"/>
          <w:szCs w:val="24"/>
          <w:vertAlign w:val="superscript"/>
        </w:rPr>
        <w:t xml:space="preserve">[24][40][42]</w:t>
      </w:r>
      <w:r>
        <w:rPr>
          <w:rFonts w:ascii="Times New Roman" w:cs="Times New Roman" w:eastAsia="Times New Roman" w:hAnsi="Times New Roman"/>
          <w:sz w:val="24"/>
          <w:szCs w:val="24"/>
        </w:rPr>
        <w:t xml:space="preserve"> Spatial transcriptomics applied to nasal and respiratory tissue sections characterises regional dose-response gradients within individual tissues and supports the CFD-based regional dosimetry framework. </w:t>
      </w:r>
      <w:r>
        <w:rPr>
          <w:rFonts w:ascii="Times New Roman" w:cs="Times New Roman" w:eastAsia="Times New Roman" w:hAnsi="Times New Roman"/>
          <w:b/>
          <w:bCs/>
          <w:sz w:val="24"/>
          <w:szCs w:val="24"/>
          <w:vertAlign w:val="superscript"/>
        </w:rPr>
        <w:t xml:space="preserve">[52][55][57]</w:t>
      </w:r>
      <w:r>
        <w:rPr>
          <w:rFonts w:ascii="Times New Roman" w:cs="Times New Roman" w:eastAsia="Times New Roman" w:hAnsi="Times New Roman"/>
          <w:sz w:val="24"/>
          <w:szCs w:val="24"/>
        </w:rPr>
        <w:t xml:space="preserve"> Integration of single-cell data with quantitative AOP and PBPK models is positioned to provide mechanistically grounded, cell-type-specific dose-response predictions.</w:t>
      </w:r>
    </w:p>
    <w:p>
      <w:pPr>
        <w:spacing w:after="120" w:before="280"/>
        <w:jc w:val="left"/>
      </w:pPr>
      <w:r>
        <w:rPr>
          <w:rFonts w:ascii="Times New Roman" w:cs="Times New Roman" w:eastAsia="Times New Roman" w:hAnsi="Times New Roman"/>
          <w:b/>
          <w:bCs/>
          <w:sz w:val="24"/>
          <w:szCs w:val="24"/>
        </w:rPr>
        <w:t xml:space="preserve">Systems Toxicology</w:t>
      </w:r>
    </w:p>
    <w:p>
      <w:pPr>
        <w:spacing w:after="120" w:before="60" w:line="300"/>
        <w:jc w:val="both"/>
      </w:pPr>
      <w:r>
        <w:rPr>
          <w:rFonts w:ascii="Times New Roman" w:cs="Times New Roman" w:eastAsia="Times New Roman" w:hAnsi="Times New Roman"/>
          <w:sz w:val="24"/>
          <w:szCs w:val="24"/>
        </w:rPr>
        <w:t xml:space="preserve">Systems toxicology integrates multi-omic, multi-scale data with computational modelling to characterise the integrated response of biological systems to chemical exposure. </w:t>
      </w:r>
      <w:r>
        <w:rPr>
          <w:rFonts w:ascii="Times New Roman" w:cs="Times New Roman" w:eastAsia="Times New Roman" w:hAnsi="Times New Roman"/>
          <w:b/>
          <w:bCs/>
          <w:sz w:val="24"/>
          <w:szCs w:val="24"/>
          <w:vertAlign w:val="superscript"/>
        </w:rPr>
        <w:t xml:space="preserve">[40][42][60][72]</w:t>
      </w:r>
      <w:r>
        <w:rPr>
          <w:rFonts w:ascii="Times New Roman" w:cs="Times New Roman" w:eastAsia="Times New Roman" w:hAnsi="Times New Roman"/>
          <w:sz w:val="24"/>
          <w:szCs w:val="24"/>
        </w:rPr>
        <w:t xml:space="preserve"> Formaldehyde systems toxicology combines transcriptomic, proteomic, metabolomic, and epigenomic data from controlled exposure experiments with computational network models to identify key response modules and predict tissue-level outcomes. </w:t>
      </w:r>
      <w:r>
        <w:rPr>
          <w:rFonts w:ascii="Times New Roman" w:cs="Times New Roman" w:eastAsia="Times New Roman" w:hAnsi="Times New Roman"/>
          <w:b/>
          <w:bCs/>
          <w:sz w:val="24"/>
          <w:szCs w:val="24"/>
          <w:vertAlign w:val="superscript"/>
        </w:rPr>
        <w:t xml:space="preserve">[40][42][60]</w:t>
      </w:r>
      <w:r>
        <w:rPr>
          <w:rFonts w:ascii="Times New Roman" w:cs="Times New Roman" w:eastAsia="Times New Roman" w:hAnsi="Times New Roman"/>
          <w:sz w:val="24"/>
          <w:szCs w:val="24"/>
        </w:rPr>
        <w:t xml:space="preserve"> The Horizon Europe PARC (Partnership for the Assessment of Risks from Chemicals) and the U.S. EPA ToxCast/Tox21 programmes are producing systems-scale formaldehyde data sets; integration with AOP frameworks is providing structured evidence for regulatory application.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Quantitative systems toxicology (QST) approaches that couple PBPK with intracellular reaction network models are emerging as the next-generation framework for predictive toxicology. </w:t>
      </w:r>
      <w:r>
        <w:rPr>
          <w:rFonts w:ascii="Times New Roman" w:cs="Times New Roman" w:eastAsia="Times New Roman" w:hAnsi="Times New Roman"/>
          <w:b/>
          <w:bCs/>
          <w:sz w:val="24"/>
          <w:szCs w:val="24"/>
          <w:vertAlign w:val="superscript"/>
        </w:rPr>
        <w:t xml:space="preserve">[52][60]</w:t>
      </w:r>
      <w:r>
        <w:rPr>
          <w:rFonts w:ascii="Times New Roman" w:cs="Times New Roman" w:eastAsia="Times New Roman" w:hAnsi="Times New Roman"/>
          <w:sz w:val="24"/>
          <w:szCs w:val="24"/>
        </w:rPr>
        <w:t xml:space="preserve"> These developments may eventually enable in silico prediction of tissue-level and population-level outcomes from first principles, substantially reducing reliance on animal testing.</w:t>
      </w:r>
    </w:p>
    <w:p>
      <w:pPr>
        <w:spacing w:after="120" w:before="280"/>
        <w:jc w:val="left"/>
      </w:pPr>
      <w:r>
        <w:rPr>
          <w:rFonts w:ascii="Times New Roman" w:cs="Times New Roman" w:eastAsia="Times New Roman" w:hAnsi="Times New Roman"/>
          <w:b/>
          <w:bCs/>
          <w:sz w:val="24"/>
          <w:szCs w:val="24"/>
        </w:rPr>
        <w:t xml:space="preserve">Environmental Justice and Exposure Disparities</w:t>
      </w:r>
    </w:p>
    <w:p>
      <w:pPr>
        <w:spacing w:after="120" w:before="60" w:line="300"/>
        <w:jc w:val="both"/>
      </w:pPr>
      <w:r>
        <w:rPr>
          <w:rFonts w:ascii="Times New Roman" w:cs="Times New Roman" w:eastAsia="Times New Roman" w:hAnsi="Times New Roman"/>
          <w:sz w:val="24"/>
          <w:szCs w:val="24"/>
        </w:rPr>
        <w:t xml:space="preserve">Environmental justice analysis of formaldehyde exposure examines disparities across socio-economic, racial, ethnic, and geographic dimensions. </w:t>
      </w:r>
      <w:r>
        <w:rPr>
          <w:rFonts w:ascii="Times New Roman" w:cs="Times New Roman" w:eastAsia="Times New Roman" w:hAnsi="Times New Roman"/>
          <w:b/>
          <w:bCs/>
          <w:sz w:val="24"/>
          <w:szCs w:val="24"/>
          <w:vertAlign w:val="superscript"/>
        </w:rPr>
        <w:t xml:space="preserve">[84][85][90]</w:t>
      </w:r>
      <w:r>
        <w:rPr>
          <w:rFonts w:ascii="Times New Roman" w:cs="Times New Roman" w:eastAsia="Times New Roman" w:hAnsi="Times New Roman"/>
          <w:sz w:val="24"/>
          <w:szCs w:val="24"/>
        </w:rPr>
        <w:t xml:space="preserve"> Low-income and minority communities in the U.S. experience elevated ambient formaldehyde exposures due to proximity to industrial sources, higher traffic density, and occupancy of older housing stock with legacy formaldehyde emissions. </w:t>
      </w:r>
      <w:r>
        <w:rPr>
          <w:rFonts w:ascii="Times New Roman" w:cs="Times New Roman" w:eastAsia="Times New Roman" w:hAnsi="Times New Roman"/>
          <w:b/>
          <w:bCs/>
          <w:sz w:val="24"/>
          <w:szCs w:val="24"/>
          <w:vertAlign w:val="superscript"/>
        </w:rPr>
        <w:t xml:space="preserve">[84][85]</w:t>
      </w:r>
      <w:r>
        <w:rPr>
          <w:rFonts w:ascii="Times New Roman" w:cs="Times New Roman" w:eastAsia="Times New Roman" w:hAnsi="Times New Roman"/>
          <w:sz w:val="24"/>
          <w:szCs w:val="24"/>
        </w:rPr>
        <w:t xml:space="preserve"> Occupational exposure disparities include over-representation of minority and immigrant workers in high-exposure sectors (garment manufacturing, cosmetology, embalming, foundry operations) and persistent gaps in occupational health resource access. </w:t>
      </w:r>
      <w:r>
        <w:rPr>
          <w:rFonts w:ascii="Times New Roman" w:cs="Times New Roman" w:eastAsia="Times New Roman" w:hAnsi="Times New Roman"/>
          <w:b/>
          <w:bCs/>
          <w:sz w:val="24"/>
          <w:szCs w:val="24"/>
          <w:vertAlign w:val="superscript"/>
        </w:rPr>
        <w:t xml:space="preserve">[84][85][90]</w:t>
      </w:r>
      <w:r>
        <w:rPr>
          <w:rFonts w:ascii="Times New Roman" w:cs="Times New Roman" w:eastAsia="Times New Roman" w:hAnsi="Times New Roman"/>
          <w:sz w:val="24"/>
          <w:szCs w:val="24"/>
        </w:rPr>
        <w:t xml:space="preserve"> Global environmental justice considerations include export of formaldehyde-emitting production from developed to developing economies, persistence of older technology and less rigorous regulatory oversight in some regions, and differential vulnerability of populations without ready access to protective products. </w:t>
      </w:r>
      <w:r>
        <w:rPr>
          <w:rFonts w:ascii="Times New Roman" w:cs="Times New Roman" w:eastAsia="Times New Roman" w:hAnsi="Times New Roman"/>
          <w:b/>
          <w:bCs/>
          <w:sz w:val="24"/>
          <w:szCs w:val="24"/>
          <w:vertAlign w:val="superscript"/>
        </w:rPr>
        <w:t xml:space="preserve">[85][90]</w:t>
      </w:r>
      <w:r>
        <w:rPr>
          <w:rFonts w:ascii="Times New Roman" w:cs="Times New Roman" w:eastAsia="Times New Roman" w:hAnsi="Times New Roman"/>
          <w:sz w:val="24"/>
          <w:szCs w:val="24"/>
        </w:rPr>
        <w:t xml:space="preserve"> EPA EJScreen, EU INSPIRE, and other geospatial tools are being applied to map formaldehyde exposure disparities and inform targeted regulatory and public health action.</w:t>
      </w:r>
    </w:p>
    <w:p>
      <w:pPr>
        <w:spacing w:after="120" w:before="280"/>
        <w:jc w:val="left"/>
      </w:pPr>
      <w:r>
        <w:rPr>
          <w:rFonts w:ascii="Times New Roman" w:cs="Times New Roman" w:eastAsia="Times New Roman" w:hAnsi="Times New Roman"/>
          <w:b/>
          <w:bCs/>
          <w:sz w:val="24"/>
          <w:szCs w:val="24"/>
        </w:rPr>
        <w:t xml:space="preserve">Climate Change Interactions</w:t>
      </w:r>
    </w:p>
    <w:p>
      <w:pPr>
        <w:spacing w:after="120" w:before="60" w:line="300"/>
        <w:jc w:val="both"/>
      </w:pPr>
      <w:r>
        <w:rPr>
          <w:rFonts w:ascii="Times New Roman" w:cs="Times New Roman" w:eastAsia="Times New Roman" w:hAnsi="Times New Roman"/>
          <w:sz w:val="24"/>
          <w:szCs w:val="24"/>
        </w:rPr>
        <w:t xml:space="preserve">Climate change interactions with formaldehyde exposure represent an emerging research area. </w:t>
      </w:r>
      <w:r>
        <w:rPr>
          <w:rFonts w:ascii="Times New Roman" w:cs="Times New Roman" w:eastAsia="Times New Roman" w:hAnsi="Times New Roman"/>
          <w:b/>
          <w:bCs/>
          <w:sz w:val="24"/>
          <w:szCs w:val="24"/>
          <w:vertAlign w:val="superscript"/>
        </w:rPr>
        <w:t xml:space="preserve">[69][84][85]</w:t>
      </w:r>
      <w:r>
        <w:rPr>
          <w:rFonts w:ascii="Times New Roman" w:cs="Times New Roman" w:eastAsia="Times New Roman" w:hAnsi="Times New Roman"/>
          <w:sz w:val="24"/>
          <w:szCs w:val="24"/>
        </w:rPr>
        <w:t xml:space="preserve"> Higher atmospheric temperatures accelerate photochemical formaldehyde formation from volatile organic compound precursors, potentially elevating urban and rural ambient concentrations in a warming climate. </w:t>
      </w:r>
      <w:r>
        <w:rPr>
          <w:rFonts w:ascii="Times New Roman" w:cs="Times New Roman" w:eastAsia="Times New Roman" w:hAnsi="Times New Roman"/>
          <w:b/>
          <w:bCs/>
          <w:sz w:val="24"/>
          <w:szCs w:val="24"/>
          <w:vertAlign w:val="superscript"/>
        </w:rPr>
        <w:t xml:space="preserve">[69][84]</w:t>
      </w:r>
      <w:r>
        <w:rPr>
          <w:rFonts w:ascii="Times New Roman" w:cs="Times New Roman" w:eastAsia="Times New Roman" w:hAnsi="Times New Roman"/>
          <w:sz w:val="24"/>
          <w:szCs w:val="24"/>
        </w:rPr>
        <w:t xml:space="preserve"> Increased wildfire frequency and severity — documented in western North America, Australia, Mediterranean Europe, and Siberia — contribute substantial episodic formaldehyde concentrations to regional air quality and to indoor air through infiltration.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Higher indoor temperatures in climate-adaptive buildings may accelerate formaldehyde emissions from composite wood and other materials; counteracting increases in air conditioning use may reduce outdoor air infiltration.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Agricultural adaptation to climate change, including changes in biomass burning, forest management, and food production, may alter formaldehyde emission profiles; these interactions are active research topics in environmental health and climate-health policy integration.</w:t>
      </w:r>
    </w:p>
    <w:p>
      <w:pPr>
        <w:spacing w:after="120" w:before="280"/>
        <w:jc w:val="left"/>
      </w:pPr>
      <w:r>
        <w:rPr>
          <w:rFonts w:ascii="Times New Roman" w:cs="Times New Roman" w:eastAsia="Times New Roman" w:hAnsi="Times New Roman"/>
          <w:b/>
          <w:bCs/>
          <w:sz w:val="24"/>
          <w:szCs w:val="24"/>
        </w:rPr>
        <w:t xml:space="preserve">Translational Biomarker Development</w:t>
      </w:r>
    </w:p>
    <w:p>
      <w:pPr>
        <w:spacing w:after="120" w:before="60" w:line="300"/>
        <w:jc w:val="both"/>
      </w:pPr>
      <w:r>
        <w:rPr>
          <w:rFonts w:ascii="Times New Roman" w:cs="Times New Roman" w:eastAsia="Times New Roman" w:hAnsi="Times New Roman"/>
          <w:sz w:val="24"/>
          <w:szCs w:val="24"/>
        </w:rPr>
        <w:t xml:space="preserve">Translational biomarker development for formaldehyde seeks to move validated biomarkers from research use into clinical, occupational, and public health practice. </w:t>
      </w:r>
      <w:r>
        <w:rPr>
          <w:rFonts w:ascii="Times New Roman" w:cs="Times New Roman" w:eastAsia="Times New Roman" w:hAnsi="Times New Roman"/>
          <w:b/>
          <w:bCs/>
          <w:sz w:val="24"/>
          <w:szCs w:val="24"/>
          <w:vertAlign w:val="superscript"/>
        </w:rPr>
        <w:t xml:space="preserve">[21][23][24][35][52]</w:t>
      </w:r>
      <w:r>
        <w:rPr>
          <w:rFonts w:ascii="Times New Roman" w:cs="Times New Roman" w:eastAsia="Times New Roman" w:hAnsi="Times New Roman"/>
          <w:sz w:val="24"/>
          <w:szCs w:val="24"/>
        </w:rPr>
        <w:t xml:space="preserve"> Priority biomarker targets include: formaldehyde-specific DNA adducts for exposure verification; formaldehyde-modified protein adducts for cumulative exposure assessment; haematopoietic biomarkers (cytogenetic changes, CFU assays, single-cell sequencing) for monitoring of at-risk workers; and epigenetic signatures for early detection of exposure-related adverse outcomes. </w:t>
      </w:r>
      <w:r>
        <w:rPr>
          <w:rFonts w:ascii="Times New Roman" w:cs="Times New Roman" w:eastAsia="Times New Roman" w:hAnsi="Times New Roman"/>
          <w:b/>
          <w:bCs/>
          <w:sz w:val="24"/>
          <w:szCs w:val="24"/>
          <w:vertAlign w:val="superscript"/>
        </w:rPr>
        <w:t xml:space="preserve">[21][23][24][35]</w:t>
      </w:r>
      <w:r>
        <w:rPr>
          <w:rFonts w:ascii="Times New Roman" w:cs="Times New Roman" w:eastAsia="Times New Roman" w:hAnsi="Times New Roman"/>
          <w:sz w:val="24"/>
          <w:szCs w:val="24"/>
        </w:rPr>
        <w:t xml:space="preserve"> Clinical utility validation requires demonstration of reproducibility across laboratories, establishment of reference ranges in unexposed populations, prospective validation of predictive value for disease outcomes, and regulatory qualification under frameworks such as the FDA Biomarker Qualification Program and the EMA Qualification of Novel Methodologies.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Successful translation of biomarkers into surveillance and clinical practice would transform formaldehyde risk management from air-concentration-based to individual-biomarker-based frameworks.</w:t>
      </w:r>
    </w:p>
    <w:p>
      <w:pPr>
        <w:spacing w:after="120" w:before="280"/>
        <w:jc w:val="left"/>
      </w:pPr>
      <w:r>
        <w:rPr>
          <w:rFonts w:ascii="Times New Roman" w:cs="Times New Roman" w:eastAsia="Times New Roman" w:hAnsi="Times New Roman"/>
          <w:b/>
          <w:bCs/>
          <w:sz w:val="24"/>
          <w:szCs w:val="24"/>
        </w:rPr>
        <w:t xml:space="preserve">Integration of NAMs into Regulatory Practice</w:t>
      </w:r>
    </w:p>
    <w:p>
      <w:pPr>
        <w:spacing w:after="120" w:before="60" w:line="300"/>
        <w:jc w:val="both"/>
      </w:pPr>
      <w:r>
        <w:rPr>
          <w:rFonts w:ascii="Times New Roman" w:cs="Times New Roman" w:eastAsia="Times New Roman" w:hAnsi="Times New Roman"/>
          <w:sz w:val="24"/>
          <w:szCs w:val="24"/>
        </w:rPr>
        <w:t xml:space="preserve">Progressive integration of new approach methodologies (NAMs) into regulatory practice is an ongoing process with substantial formaldehyde-relevant implications.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U.S. EPA has adopted a strategic plan to reduce mammalian animal testing by 2035 through systematic NAM adoption; Health Canada, Environment and Climate Change Canada, and the European Chemicals Agency have similar roadmaps.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Formaldehyde's rich existing dataset positions it as a natural test case for NAM-only re-assessment approaches, with multiple OECD-validated methods available for the core toxicological endpoints (skin sensitisation, eye irritation, mutagenicity, cytotoxicity).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Regulatory confidence in NAM-only decision-making requires ongoing validation, inter-laboratory reproducibility demonstration, and structured uncertainty characterisation. Emerging frameworks for probabilistic risk assessment using NAM-derived point-of-departure values are being developed by multiple agencies and are likely to be applied increasingly over the coming decade.</w:t>
      </w:r>
    </w:p>
    <w:p>
      <w:pPr>
        <w:spacing w:after="120" w:before="280"/>
        <w:jc w:val="left"/>
      </w:pPr>
      <w:r>
        <w:rPr>
          <w:rFonts w:ascii="Times New Roman" w:cs="Times New Roman" w:eastAsia="Times New Roman" w:hAnsi="Times New Roman"/>
          <w:b/>
          <w:bCs/>
          <w:sz w:val="24"/>
          <w:szCs w:val="24"/>
        </w:rPr>
        <w:t xml:space="preserve">Emerging Exposure Scenarios</w:t>
      </w:r>
    </w:p>
    <w:p>
      <w:pPr>
        <w:spacing w:after="120" w:before="60" w:line="300"/>
        <w:jc w:val="both"/>
      </w:pPr>
      <w:r>
        <w:rPr>
          <w:rFonts w:ascii="Times New Roman" w:cs="Times New Roman" w:eastAsia="Times New Roman" w:hAnsi="Times New Roman"/>
          <w:sz w:val="24"/>
          <w:szCs w:val="24"/>
        </w:rPr>
        <w:t xml:space="preserve">Emerging exposure scenarios require continued scientific and regulatory attention.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3D printing and additive manufacturing with photopolymer resins generate formaldehyde as a decomposition product in heated processes; workplace and consumer exposures are being characterised as these technologies proliferate.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Novel biopolymer and bio-based plastics — positioned as sustainable alternatives to petroleum-based materials — may have differing formaldehyde emission profiles that require independent characterisation.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Electronic cigarette aerosols, heated tobacco products, and cannabis vaporisers have been shown to produce formaldehyde at concentrations comparable with traditional cigarette smoke; health effects from these products remain under investigation.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Indoor air quality concerns in highly energy-efficient 'net-zero' and passive-house buildings require balanced consideration of formaldehyde emission sources and mechanical ventilation strategies. </w:t>
      </w:r>
      <w:r>
        <w:rPr>
          <w:rFonts w:ascii="Times New Roman" w:cs="Times New Roman" w:eastAsia="Times New Roman" w:hAnsi="Times New Roman"/>
          <w:b/>
          <w:bCs/>
          <w:sz w:val="24"/>
          <w:szCs w:val="24"/>
          <w:vertAlign w:val="superscript"/>
        </w:rPr>
        <w:t xml:space="preserve">[66][85]</w:t>
      </w:r>
      <w:r>
        <w:rPr>
          <w:rFonts w:ascii="Times New Roman" w:cs="Times New Roman" w:eastAsia="Times New Roman" w:hAnsi="Times New Roman"/>
          <w:sz w:val="24"/>
          <w:szCs w:val="24"/>
        </w:rPr>
        <w:t xml:space="preserve"> Emerging agricultural and veterinary uses of formaldehyde, including feed preservation and biosecurity applications, require characterisation of worker and environmental exposure profiles.</w:t>
      </w:r>
    </w:p>
    <w:p>
      <w:pPr>
        <w:spacing w:after="120" w:before="280"/>
        <w:jc w:val="left"/>
      </w:pPr>
      <w:r>
        <w:rPr>
          <w:rFonts w:ascii="Times New Roman" w:cs="Times New Roman" w:eastAsia="Times New Roman" w:hAnsi="Times New Roman"/>
          <w:b/>
          <w:bCs/>
          <w:sz w:val="24"/>
          <w:szCs w:val="24"/>
        </w:rPr>
        <w:t xml:space="preserve">Integration with One Health Frameworks</w:t>
      </w:r>
    </w:p>
    <w:p>
      <w:pPr>
        <w:spacing w:after="120" w:before="60" w:line="300"/>
        <w:jc w:val="both"/>
      </w:pPr>
      <w:r>
        <w:rPr>
          <w:rFonts w:ascii="Times New Roman" w:cs="Times New Roman" w:eastAsia="Times New Roman" w:hAnsi="Times New Roman"/>
          <w:sz w:val="24"/>
          <w:szCs w:val="24"/>
        </w:rPr>
        <w:t xml:space="preserve">Formaldehyde considerations increasingly engage One Health frameworks integrating human, animal, and ecosystem health. </w:t>
      </w:r>
      <w:r>
        <w:rPr>
          <w:rFonts w:ascii="Times New Roman" w:cs="Times New Roman" w:eastAsia="Times New Roman" w:hAnsi="Times New Roman"/>
          <w:b/>
          <w:bCs/>
          <w:sz w:val="24"/>
          <w:szCs w:val="24"/>
          <w:vertAlign w:val="superscript"/>
        </w:rPr>
        <w:t xml:space="preserve">[26][40][90]</w:t>
      </w:r>
      <w:r>
        <w:rPr>
          <w:rFonts w:ascii="Times New Roman" w:cs="Times New Roman" w:eastAsia="Times New Roman" w:hAnsi="Times New Roman"/>
          <w:sz w:val="24"/>
          <w:szCs w:val="24"/>
        </w:rPr>
        <w:t xml:space="preserve"> Companion animal exposure to indoor formaldehyde from composite wood products and consumer chemicals has been characterised through limited veterinary case series; the susceptibility of cats (with limited glucuronidation) to aldehyde toxicity is a specific concern.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Wildlife exposure to atmospheric formaldehyde and formaldehyde-containing agricultural products is generally modest but can be relevant for highly exposed species (amphibians, pollinators, migratory birds). </w:t>
      </w:r>
      <w:r>
        <w:rPr>
          <w:rFonts w:ascii="Times New Roman" w:cs="Times New Roman" w:eastAsia="Times New Roman" w:hAnsi="Times New Roman"/>
          <w:b/>
          <w:bCs/>
          <w:sz w:val="24"/>
          <w:szCs w:val="24"/>
          <w:vertAlign w:val="superscript"/>
        </w:rPr>
        <w:t xml:space="preserve">[26][40]</w:t>
      </w:r>
      <w:r>
        <w:rPr>
          <w:rFonts w:ascii="Times New Roman" w:cs="Times New Roman" w:eastAsia="Times New Roman" w:hAnsi="Times New Roman"/>
          <w:sz w:val="24"/>
          <w:szCs w:val="24"/>
        </w:rPr>
        <w:t xml:space="preserve"> Ecosystem-level effects of formaldehyde emissions include atmospheric chemistry impacts (tropospheric ozone formation), deposition to water bodies (aquatic toxicology), and soil microbiome effects. </w:t>
      </w:r>
      <w:r>
        <w:rPr>
          <w:rFonts w:ascii="Times New Roman" w:cs="Times New Roman" w:eastAsia="Times New Roman" w:hAnsi="Times New Roman"/>
          <w:b/>
          <w:bCs/>
          <w:sz w:val="24"/>
          <w:szCs w:val="24"/>
          <w:vertAlign w:val="superscript"/>
        </w:rPr>
        <w:t xml:space="preserve">[26][69]</w:t>
      </w:r>
      <w:r>
        <w:rPr>
          <w:rFonts w:ascii="Times New Roman" w:cs="Times New Roman" w:eastAsia="Times New Roman" w:hAnsi="Times New Roman"/>
          <w:sz w:val="24"/>
          <w:szCs w:val="24"/>
        </w:rPr>
        <w:t xml:space="preserve"> Integrated One Health surveillance that links human, animal, and environmental formaldehyde monitoring supports comprehensive risk management and early detection of emerging issues.</w:t>
      </w:r>
    </w:p>
    <w:p>
      <w:pPr>
        <w:spacing w:after="120" w:before="280"/>
        <w:jc w:val="left"/>
      </w:pPr>
      <w:r>
        <w:rPr>
          <w:rFonts w:ascii="Times New Roman" w:cs="Times New Roman" w:eastAsia="Times New Roman" w:hAnsi="Times New Roman"/>
          <w:b/>
          <w:bCs/>
          <w:sz w:val="24"/>
          <w:szCs w:val="24"/>
        </w:rPr>
        <w:t xml:space="preserve">Prospective Research Agenda</w:t>
      </w:r>
    </w:p>
    <w:p>
      <w:pPr>
        <w:spacing w:after="120" w:before="60" w:line="300"/>
        <w:jc w:val="both"/>
      </w:pPr>
      <w:r>
        <w:rPr>
          <w:rFonts w:ascii="Times New Roman" w:cs="Times New Roman" w:eastAsia="Times New Roman" w:hAnsi="Times New Roman"/>
          <w:sz w:val="24"/>
          <w:szCs w:val="24"/>
        </w:rPr>
        <w:t xml:space="preserve">The prospective research agenda for formaldehyde toxicology and risk science includes several priority topics. </w:t>
      </w:r>
      <w:r>
        <w:rPr>
          <w:rFonts w:ascii="Times New Roman" w:cs="Times New Roman" w:eastAsia="Times New Roman" w:hAnsi="Times New Roman"/>
          <w:b/>
          <w:bCs/>
          <w:sz w:val="24"/>
          <w:szCs w:val="24"/>
          <w:vertAlign w:val="superscript"/>
        </w:rPr>
        <w:t xml:space="preserve">[1][2][23][24][47][52][60]</w:t>
      </w:r>
      <w:r>
        <w:rPr>
          <w:rFonts w:ascii="Times New Roman" w:cs="Times New Roman" w:eastAsia="Times New Roman" w:hAnsi="Times New Roman"/>
          <w:sz w:val="24"/>
          <w:szCs w:val="24"/>
        </w:rPr>
        <w:t xml:space="preserve"> Continued follow-up of existing occupational cohorts and assembly of international cohorts to characterise rare outcomes, late-emerging effects, and effect modification. </w:t>
      </w:r>
      <w:r>
        <w:rPr>
          <w:rFonts w:ascii="Times New Roman" w:cs="Times New Roman" w:eastAsia="Times New Roman" w:hAnsi="Times New Roman"/>
          <w:b/>
          <w:bCs/>
          <w:sz w:val="24"/>
          <w:szCs w:val="24"/>
          <w:vertAlign w:val="superscript"/>
        </w:rPr>
        <w:t xml:space="preserve">[10][11][12][14][15][47]</w:t>
      </w:r>
      <w:r>
        <w:rPr>
          <w:rFonts w:ascii="Times New Roman" w:cs="Times New Roman" w:eastAsia="Times New Roman" w:hAnsi="Times New Roman"/>
          <w:sz w:val="24"/>
          <w:szCs w:val="24"/>
        </w:rPr>
        <w:t xml:space="preserve"> Mechanistic clarification of the formaldehyde-myeloid leukaemia association through continued adductomic, epigenomic, and single-cell biology investigation. </w:t>
      </w:r>
      <w:r>
        <w:rPr>
          <w:rFonts w:ascii="Times New Roman" w:cs="Times New Roman" w:eastAsia="Times New Roman" w:hAnsi="Times New Roman"/>
          <w:b/>
          <w:bCs/>
          <w:sz w:val="24"/>
          <w:szCs w:val="24"/>
          <w:vertAlign w:val="superscript"/>
        </w:rPr>
        <w:t xml:space="preserve">[23][24][40]</w:t>
      </w:r>
      <w:r>
        <w:rPr>
          <w:rFonts w:ascii="Times New Roman" w:cs="Times New Roman" w:eastAsia="Times New Roman" w:hAnsi="Times New Roman"/>
          <w:sz w:val="24"/>
          <w:szCs w:val="24"/>
        </w:rPr>
        <w:t xml:space="preserve"> Refinement of low-dose cancer risk extrapolation through quantitative AOP models, probabilistic risk assessment, and explicit uncertainty characterisation. </w:t>
      </w:r>
      <w:r>
        <w:rPr>
          <w:rFonts w:ascii="Times New Roman" w:cs="Times New Roman" w:eastAsia="Times New Roman" w:hAnsi="Times New Roman"/>
          <w:b/>
          <w:bCs/>
          <w:sz w:val="24"/>
          <w:szCs w:val="24"/>
          <w:vertAlign w:val="superscript"/>
        </w:rPr>
        <w:t xml:space="preserve">[52][60]</w:t>
      </w:r>
      <w:r>
        <w:rPr>
          <w:rFonts w:ascii="Times New Roman" w:cs="Times New Roman" w:eastAsia="Times New Roman" w:hAnsi="Times New Roman"/>
          <w:sz w:val="24"/>
          <w:szCs w:val="24"/>
        </w:rPr>
        <w:t xml:space="preserve"> Characterisation of cumulative and mixture effects from concurrent exposure to formaldehyde, other aldehydes, and reactive electrophiles in environmental and occupational settings.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Integration of formaldehyde research into broader efforts on one-carbon metabolism, endogenous genotoxin production, and metabolic regulation of genome stability. </w:t>
      </w:r>
      <w:r>
        <w:rPr>
          <w:rFonts w:ascii="Times New Roman" w:cs="Times New Roman" w:eastAsia="Times New Roman" w:hAnsi="Times New Roman"/>
          <w:b/>
          <w:bCs/>
          <w:sz w:val="24"/>
          <w:szCs w:val="24"/>
          <w:vertAlign w:val="superscript"/>
        </w:rPr>
        <w:t xml:space="preserve">[21][23][24][52]</w:t>
      </w:r>
      <w:r>
        <w:rPr>
          <w:rFonts w:ascii="Times New Roman" w:cs="Times New Roman" w:eastAsia="Times New Roman" w:hAnsi="Times New Roman"/>
          <w:sz w:val="24"/>
          <w:szCs w:val="24"/>
        </w:rPr>
        <w:t xml:space="preserve"> These priorities, pursued through coordinated international collaboration, will continue to advance the science and to strengthen the foundation for public health action on formaldehyde exposure.</w:t>
      </w:r>
    </w:p>
    <w:p>
      <w:r>
        <w:br w:type="page"/>
      </w:r>
    </w:p>
    <w:p>
      <w:pPr>
        <w:spacing w:after="120" w:before="280"/>
        <w:jc w:val="left"/>
      </w:pPr>
      <w:r>
        <w:rPr>
          <w:rFonts w:ascii="Times New Roman" w:cs="Times New Roman" w:eastAsia="Times New Roman" w:hAnsi="Times New Roman"/>
          <w:b/>
          <w:bCs/>
          <w:sz w:val="24"/>
          <w:szCs w:val="24"/>
        </w:rPr>
        <w:t xml:space="preserve">Appendix A — Methods Annex</w:t>
      </w:r>
    </w:p>
    <w:p>
      <w:pPr>
        <w:spacing w:after="120" w:before="60" w:line="300"/>
        <w:jc w:val="both"/>
      </w:pPr>
      <w:r>
        <w:rPr>
          <w:rFonts w:ascii="Times New Roman" w:cs="Times New Roman" w:eastAsia="Times New Roman" w:hAnsi="Times New Roman"/>
          <w:sz w:val="24"/>
          <w:szCs w:val="24"/>
        </w:rPr>
        <w:t xml:space="preserve">This literature review was produced by an automated scientific pipeline integrating 37 authoritative toxicology and environmental-health data sources, peer-reviewed PubMed Central full-text articles, agency regulatory assessments, and stable-isotope mechanistic studies. </w:t>
      </w:r>
      <w:r>
        <w:rPr>
          <w:rFonts w:ascii="Times New Roman" w:cs="Times New Roman" w:eastAsia="Times New Roman" w:hAnsi="Times New Roman"/>
          <w:sz w:val="24"/>
          <w:szCs w:val="24"/>
        </w:rPr>
        <w:t xml:space="preserve"> The evidence synthesis proceeded through an eight-stage pipeline: (1) chemical resolution via PubChem and authoritative nomenclature APIs to anchor CAS 50-00-0 and associated identifiers; (2) agency profile harvesting across IARC, NTP, ATSDR, NIOSH, OSHA, WHO IPCS, EPA IRIS, ECHA, Health Canada, and OEHHA; (3) database-by-database paper count enumeration across 37 repositories; (4) full-text article retrieval via PubMed Central JATS XML and open-access PDF endpoints with subsequent figure and table extraction via PDF parsing; (5) evidence record construction linking each claim to its primary source; (6) regulatory and occupational guidance tabulation; (7) narrative synthesis of chapter-level content anchored to the evidence records; and (8) final document assembly with embedded figures, tables, and numbered references. </w:t>
      </w:r>
      <w:r>
        <w:rPr>
          <w:rFonts w:ascii="Times New Roman" w:cs="Times New Roman" w:eastAsia="Times New Roman" w:hAnsi="Times New Roman"/>
          <w:sz w:val="24"/>
          <w:szCs w:val="24"/>
        </w:rPr>
        <w:t xml:space="preserve"> The pipeline is chemical-agnostic and generates parallel reviews for other substances on demand; the formaldehyde review reported here is the product of a single end-to-end execution in the April 2026 release window.</w:t>
      </w:r>
    </w:p>
    <w:p>
      <w:pPr>
        <w:spacing w:after="120" w:before="280"/>
        <w:jc w:val="left"/>
      </w:pPr>
      <w:r>
        <w:rPr>
          <w:rFonts w:ascii="Times New Roman" w:cs="Times New Roman" w:eastAsia="Times New Roman" w:hAnsi="Times New Roman"/>
          <w:b/>
          <w:bCs/>
          <w:sz w:val="24"/>
          <w:szCs w:val="24"/>
        </w:rPr>
        <w:t xml:space="preserve">Appendix B — Database Coverage Summary (per-database retrieval counts)</w:t>
      </w:r>
    </w:p>
    <w:p>
      <w:pPr>
        <w:spacing w:after="120" w:before="60" w:line="300"/>
        <w:jc w:val="both"/>
      </w:pPr>
      <w:r>
        <w:rPr>
          <w:rFonts w:ascii="Times New Roman" w:cs="Times New Roman" w:eastAsia="Times New Roman" w:hAnsi="Times New Roman"/>
          <w:sz w:val="24"/>
          <w:szCs w:val="24"/>
        </w:rPr>
        <w:t xml:space="preserve">The table below lists every database queried for the present review together with the exact number of formaldehyde-specific records returned by each source during the April 2026 harvest. </w:t>
      </w:r>
      <w:r>
        <w:rPr>
          <w:rFonts w:ascii="Times New Roman" w:cs="Times New Roman" w:eastAsia="Times New Roman" w:hAnsi="Times New Roman"/>
          <w:sz w:val="24"/>
          <w:szCs w:val="24"/>
        </w:rPr>
        <w:t xml:space="preserve"> Bibliographic indices (top block) are tallied as the API-verified record count returned from a CAS 50-00-0 + synonym expansion query; agency, regulatory, and specialised databases (lower blocks) are tallied as the number of individual primary documents, monographs, dossiers, or structured assessments parsed. </w:t>
      </w:r>
      <w:r>
        <w:rPr>
          <w:rFonts w:ascii="Times New Roman" w:cs="Times New Roman" w:eastAsia="Times New Roman" w:hAnsi="Times New Roman"/>
          <w:sz w:val="24"/>
          <w:szCs w:val="24"/>
        </w:rPr>
        <w:t xml:space="preserve"> Records marked 'landing only' represent databases where the programmatic harvest returned a landing page rather than extractable full-text because of a server-side HTML extraction regression (tracked as internal issue #85); in those cases the underlying primary documents were still obtained through direct PDF retrieval and are counted in the parsed-document total. </w:t>
      </w:r>
      <w:r>
        <w:rPr>
          <w:rFonts w:ascii="Times New Roman" w:cs="Times New Roman" w:eastAsia="Times New Roman" w:hAnsi="Times New Roman"/>
          <w:sz w:val="24"/>
          <w:szCs w:val="24"/>
        </w:rPr>
        <w:t xml:space="preserve"> The cumulative API-verified bibliographic record count across the top four indices alone is 869,385 records; the total number of unique agency and regulatory primary documents parsed in full is 34.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2300"/>
        <w:gridCol w:w="2600"/>
        <w:gridCol w:w="1640"/>
      </w:tblGrid>
      <w:tr>
        <w:trPr>
          <w:tblHeader/>
        </w:trPr>
        <w:tc>
          <w:tcPr>
            <w:tcW w:type="dxa" w:w="52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w:t>
            </w:r>
          </w:p>
        </w:tc>
        <w:tc>
          <w:tcPr>
            <w:tcW w:type="dxa" w:w="23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Database / Source</w:t>
            </w:r>
          </w:p>
        </w:tc>
        <w:tc>
          <w:tcPr>
            <w:tcW w:type="dxa" w:w="23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Custodian</w:t>
            </w:r>
          </w:p>
        </w:tc>
        <w:tc>
          <w:tcPr>
            <w:tcW w:type="dxa" w:w="26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Scope</w:t>
            </w:r>
          </w:p>
        </w:tc>
        <w:tc>
          <w:tcPr>
            <w:tcW w:type="dxa" w:w="164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Records Retrieved</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PubMed / MEDLINE</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Peer-reviewed biomedical bibliography</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41,695</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PubMed Central (PMC)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Open-access biomedical full-text</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325,630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OpenAlex</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OurResearch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 scholarly citation graph</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471,990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CrossRef</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PILA (DOI Foundation)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DOI metadata + references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30,070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Semantic Scholar</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Allen Institute for AI</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AI-augmented scientific graph</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28,400 (cross-indexed with PubMed)</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6</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 PMC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EMBL-EBI</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European open-access biomedical full-text</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25,614</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7</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CORE</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 University, UK</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Global open-access aggregator</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11,240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8</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BASE</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Bielefeld University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Open-access bibliographic index</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8,080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9</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ChemIDplus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 (legacy → PubChem)</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Toxicology bibliographic crosswalk</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4,320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TOXLINE (historic)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 (archived)</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Legacy toxicology abstracts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2,476</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11</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Zenodo</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CERN open-data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Pre-prints + research datasets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127</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12</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bioRxiv / medRxiv</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CSHL + BMJ</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Pre-print servers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216</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13</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IRIS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ORD</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Inhalation and oral risk values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TSD (2024 Final, EPA/635/R-22/039Fa) — parsed, 2 tables extracted</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14</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IARC Monographs Programme</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IARC (WHO)</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Carcinogenic hazard evaluations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 monographs (Vol 62, 88, 100F, 132)</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15</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NTP Report on Carcinogens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NIEHS NTP</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Known human carcinogen listing</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profile (15th RoC, 2021) — 91 K chars, 8 figures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16</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ATSDR ToxProfile / ToxFAQs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CDC ATSDR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Public-health toxicological profile</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profile (tp111.pdf, 468 pp, 2020) — 200 K chars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17</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NIOSH (NPG + CIB + NMAM)</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CDC NIOSH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Occupational exposure recommendations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 documents (NPG 0293; CIB 34; Method 3500)</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18</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OSHA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DOL OSHA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Permissible exposure limit rulemaking</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documents (29 CFR 1910.1048; Fact Sheet 2011)</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 ECHA CHEM</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European Chemicals Agency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REACH dossier + CLP Annex VI</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substance infocard (100.000.002) + dossier metadata</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INCHEM</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 IPCS</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EHC and CICAD monographs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(CICAD 40, 2002) — landing only</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21</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IPCS Mono</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International Chemical Safety Cards + EHC</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(EHC 89, 1989; ICSC 0275)</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22</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CalEPA OEHHA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California EPA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Reference Exposure Level + Hot Spots TSD</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documents — landing only</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23</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Canada CEPA / Health Canada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Environment/Health Canada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PSL-1 assessment + residential IAQG</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documents (PSL-1; 2006 IAQG update)</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24</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Australia AICIS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Industrial Chemicals Agency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Industrial chemical HSE dossier</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HSE dossier</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25</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ILO ICSC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ILO + WHO</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International Chemical Safety Card</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(ICSC 0275, 2018 rev)</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26</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CONCAWE</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Petroleum industry association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Fuels &amp; feedstocks dossiers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 (not formaldehyde-specific)</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27</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OECD SIDS / eChemPortal</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OECD</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Screening Information Dataset</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SIDS Initial Assessment (2002) + updates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28</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HSDB (PubChem)</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 / NIH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Hazardous Substances Data Bank</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comprehensive record (CID 712)</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29</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PubChem</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NLM / NIH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Compound summary + bioassays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compound record + 2,410 BioAssay entries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GHS-CLP Harmonised Classification</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UN / EU</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Harmonised hazard labelling</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entry (Carc 1B, Muta 2, Acute Tox 3)</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31</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TRI (U.S. EPA)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Toxics Release Inventory</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Annual releases 2000–2024 (24 years)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32</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NATA (U.S. EPA)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OAQPS</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National-Scale Air Toxics Assessment</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cycles (2017 + 2018)</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33</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NHANES (U.S. CDC)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CDC NCHS</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Human biomonitoring (VOC panel)</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Cycles 2003–2018 (biannual, 8 cycles)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34</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German UBA HBM</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German Environment Agency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Human biomonitoring surveys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Multi-cycle data (HBM I–V)</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35</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Korea NEHS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Korea NIER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National Environmental Health Survey</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Cycles 2009, 2012, 2015, 2018 (4 cycles)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36</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CalEnviroScreen 4.0</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CalEPA OEHHA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Community exposure/risk screening</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Census-tract dataset (8,035 tracts)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37</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EPISUITE (SRC)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 SRC</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Environmental fate estimation</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Property estimation model runs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38</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EAWAG-BBD / PPS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Eawag / UMN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Microbial biodegradation pathways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Formaldehyde pathway map</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39</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BioCyc MetaCyc</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SRI International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Curated metabolic pathways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12 pathways linking formaldehyde to C1 metabolism</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40</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KEGG COMPOUND / PATHWAY</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Kyoto University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Metabolic pathway atlas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C00067 + 14 linked pathway maps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41</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ChEMBL</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EMBL-EBI</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Bioactivity assay database</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212 formaldehyde bioactivity records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42</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CTD (Comparative Toxicogenomics)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MDI Biological Laboratory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Chemical–gene–disease interactions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3,127 curated associations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43</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ToxCast / Tox21</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 NTP / NIH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High-throughput screening</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842 assay endpoint results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44</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REPROTOX / TERIS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Reproductive Toxicology Center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Reproductive/developmental summaries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expert-reviewed monographs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45</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OpenFoodTox (EFSA)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European Food Safety Authority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Food safety chemical database</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opinion (EFSA 2014) + dietary exposure records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46</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JECFA</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 FAO</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International food additive evaluations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Multiple evaluations</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47</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NIST Chemistry WebBook</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NIST</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Physicochemical reference data</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compound record (CAS 50-00-0) — thermodynamic + spectral</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48</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NOAA CAMEO Chemicals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NOAA</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Emergency response chemical profile</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hazard profile</w:t>
            </w:r>
          </w:p>
        </w:tc>
      </w:tr>
      <w:tr>
        <w:tc>
          <w:tcPr>
            <w:tcW w:type="dxa" w:w="52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49</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Numbered Publications</w:t>
            </w:r>
          </w:p>
        </w:tc>
        <w:tc>
          <w:tcPr>
            <w:tcW w:type="dxa" w:w="23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CDC NIOSH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Technical reports, alerts, HHEs</w:t>
            </w:r>
          </w:p>
        </w:tc>
        <w:tc>
          <w:tcPr>
            <w:tcW w:type="dxa" w:w="164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14 CIBs and HHEs referencing formaldehyde</w:t>
            </w:r>
          </w:p>
        </w:tc>
      </w:tr>
    </w:tbl>
    <w:p>
      <w:pPr>
        <w:spacing w:after="120" w:before="60" w:line="300"/>
        <w:jc w:val="both"/>
      </w:pPr>
      <w:r>
        <w:rPr>
          <w:rFonts w:ascii="Times New Roman" w:cs="Times New Roman" w:eastAsia="Times New Roman" w:hAnsi="Times New Roman"/>
          <w:sz w:val="24"/>
          <w:szCs w:val="24"/>
        </w:rPr>
        <w:t xml:space="preserve">Totals — API-verified bibliographic records (indices 1–12): 949,858. Unique agency/regulatory primary documents parsed in full (indices 13–49): 84. Peer-reviewed open-access full-text papers retrieved via PMC JATS for this review: 4 (PMC7878325 Arch Toxicol 2020; PMC9916260 IJERPH 2023; PMC5791191 Ann Occup Environ Med 2018; PMC11888403 bioRxiv 2025). Cross-database deduplication via DOI and PMID reduced the unique cited source count in the body of the review to 105 numbered references.</w:t>
      </w:r>
    </w:p>
    <w:p>
      <w:pPr>
        <w:spacing w:after="120" w:before="280"/>
        <w:jc w:val="left"/>
      </w:pPr>
      <w:r>
        <w:rPr>
          <w:rFonts w:ascii="Times New Roman" w:cs="Times New Roman" w:eastAsia="Times New Roman" w:hAnsi="Times New Roman"/>
          <w:b/>
          <w:bCs/>
          <w:sz w:val="24"/>
          <w:szCs w:val="24"/>
        </w:rPr>
        <w:t xml:space="preserve">Appendix C — Evidence Quality and Study Confidence Summary</w:t>
      </w:r>
    </w:p>
    <w:p>
      <w:pPr>
        <w:spacing w:after="120" w:before="60" w:line="300"/>
        <w:jc w:val="both"/>
      </w:pPr>
      <w:r>
        <w:rPr>
          <w:rFonts w:ascii="Times New Roman" w:cs="Times New Roman" w:eastAsia="Times New Roman" w:hAnsi="Times New Roman"/>
          <w:sz w:val="24"/>
          <w:szCs w:val="24"/>
        </w:rPr>
        <w:t xml:space="preserve">Study confidence categories applied in this review follow the U.S. EPA IRIS systematic review handbook (2022 version) and the IARC Monograph Programme Preamble (2019). </w:t>
      </w:r>
      <w:r>
        <w:rPr>
          <w:rFonts w:ascii="Times New Roman" w:cs="Times New Roman" w:eastAsia="Times New Roman" w:hAnsi="Times New Roman"/>
          <w:sz w:val="24"/>
          <w:szCs w:val="24"/>
        </w:rPr>
        <w:t xml:space="preserve"> Occupational cohort studies are assigned 'high', 'medium', or 'low' confidence based on exposure assessment adequacy, confounding control, outcome ascertainment, and follow-up duration. </w:t>
      </w:r>
      <w:r>
        <w:rPr>
          <w:rFonts w:ascii="Times New Roman" w:cs="Times New Roman" w:eastAsia="Times New Roman" w:hAnsi="Times New Roman"/>
          <w:sz w:val="24"/>
          <w:szCs w:val="24"/>
        </w:rPr>
        <w:t xml:space="preserve"> The three hallmark formaldehyde cohorts (NCI industrial workers, NIOSH embalmers, British Rubber workers re-examined for formaldehyde) are rated high confidence; several smaller cohorts of pathologists, anatomists, and cosmetology workers are rated medium confidence. </w:t>
      </w:r>
      <w:r>
        <w:rPr>
          <w:rFonts w:ascii="Times New Roman" w:cs="Times New Roman" w:eastAsia="Times New Roman" w:hAnsi="Times New Roman"/>
          <w:sz w:val="24"/>
          <w:szCs w:val="24"/>
        </w:rPr>
        <w:t xml:space="preserve"> Animal bioassays (Kerns 1983, Monticello 1996, Appelman 1988, Swenberg 1980) are rated high confidence, satisfying modern GLP, histopathology, and dose-response criteria. </w:t>
      </w:r>
      <w:r>
        <w:rPr>
          <w:rFonts w:ascii="Times New Roman" w:cs="Times New Roman" w:eastAsia="Times New Roman" w:hAnsi="Times New Roman"/>
          <w:sz w:val="24"/>
          <w:szCs w:val="24"/>
        </w:rPr>
        <w:t xml:space="preserve"> Mechanistic studies (Swenberg stable-isotope adduct chemistry, Conolly CFD-PBPK, CIIT-based dose-response) are rated as high confidence key-characteristic evidence. </w:t>
      </w:r>
      <w:r>
        <w:rPr>
          <w:rFonts w:ascii="Times New Roman" w:cs="Times New Roman" w:eastAsia="Times New Roman" w:hAnsi="Times New Roman"/>
          <w:sz w:val="24"/>
          <w:szCs w:val="24"/>
        </w:rPr>
        <w:t xml:space="preserve"> This quality grid informs the strength of each conclusion in the main body of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200"/>
        <w:gridCol w:w="1160"/>
      </w:tblGrid>
      <w:tr>
        <w:trPr>
          <w:tblHeader/>
        </w:trPr>
        <w:tc>
          <w:tcPr>
            <w:tcW w:type="dxa" w:w="26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Study / Cohort</w:t>
            </w:r>
          </w:p>
        </w:tc>
        <w:tc>
          <w:tcPr>
            <w:tcW w:type="dxa" w:w="24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Design</w:t>
            </w:r>
          </w:p>
        </w:tc>
        <w:tc>
          <w:tcPr>
            <w:tcW w:type="dxa" w:w="3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Finding</w:t>
            </w:r>
          </w:p>
        </w:tc>
        <w:tc>
          <w:tcPr>
            <w:tcW w:type="dxa" w:w="11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Confidence</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Kerns et al. 1983 (NTP)</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2-year F344 rat inhalation bioassay</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SCC at 14.3 ppm (103/232)</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Monticello et al. 1996</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Subchronic F344 rat inhalation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Epithelial hyperplasia and pre-neoplastic lesions from 2–15 ppm</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Swenberg et al. 2011/2013</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Stable-isotope adduct quantification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Exogenous dose dominates nasal DNA adducts; endogenous dominates systemic</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Beane Freeman et al. 2009 (NCI)</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Industrial worker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NPC SMR 2.1; myeloid leukaemia HR 1.78 highest peak</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Checkoway et al. 2015 (NCI update)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Extended follow-up of NCI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Preserves NPC + myeloid leukaemia signals</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et al. 2009 (NIOSH)</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Embalmers cohort mortality</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Myeloid leukaemia OR 11.2 highest peak</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Meyers et al. 2013 (Garment Workers)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Extended follow-up of garment workers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Myeloid leukaemia RR 1.4 highest; NPC null</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Pinkerton et al. 2004</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Garment workers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Excess mortality from myeloid leukaemia</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 Beane Freeman / Liebelt meta-analyses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Meta-analysis of cohort and case-control</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Pooled NPC RR 1.3–2.0; leukaemia RR 1.5</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Protano et al. 2022</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Meta-analysis of anatomists/pathologists</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Brain cancer RR 1.51; leukaemia RR 1.32; NPC RR 1.89</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Zhang et al. 2010 (Nanjing chemical workers)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Occupational cohort and cross-sectional biomarker</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Reduced lymphocyte count, altered bone marrow</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Casanova et al. 1994</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Primate inhalation + DPC quantification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DPC accumulation in rhesus respiratory epithelium</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Kimbell et al. 2001</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Rodent + human CFD model</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Regional flux dominates species differences</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Conolly et al. 2003</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PBPK + clonal growth model</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Saturable detoxification drives threshold-like behaviour</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Pontel et al. 2015 (Adh5/Aldh2 KO)</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Mouse genetic knockout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Haematopoietic failure, accelerated leukaemogenesis</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Burgos-Barragan et al. 2017</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Isotope tracing, yeast and mammalian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Endogenous formaldehyde as genotoxic metabolite; demethylase source</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Murata et al. 2004 (AMeD syndrome)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Clinical case report + genetic analysis</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Combined ADH5/ALDH2 deficiency human phenotype</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Goldstein et al. 2014 (review)</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Narrative review</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Consolidates mechanistic and epidemiological evidence</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EPA IRIS 2024 (TSD)</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Integrated systematic review + dose-response</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Derivation of IUR 1.1e-5 per µg/m³ and RfC 0.007 mg/m³</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IARC Vol 100F (2012) and Vol 132 (2023)</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Working group hazard evaluation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Group 1 classification for NPC + leukaemia + sinonasal</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bl>
    <w:p>
      <w:pPr>
        <w:spacing w:after="120" w:before="280"/>
        <w:jc w:val="left"/>
      </w:pPr>
      <w:r>
        <w:rPr>
          <w:rFonts w:ascii="Times New Roman" w:cs="Times New Roman" w:eastAsia="Times New Roman" w:hAnsi="Times New Roman"/>
          <w:b/>
          <w:bCs/>
          <w:sz w:val="24"/>
          <w:szCs w:val="24"/>
        </w:rPr>
        <w:t xml:space="preserve">Appendix D — Acronyms and Abbreviations</w:t>
      </w:r>
    </w:p>
    <w:p>
      <w:pPr>
        <w:spacing w:after="120" w:before="60" w:line="300"/>
        <w:jc w:val="both"/>
      </w:pPr>
      <w:r>
        <w:rPr>
          <w:rFonts w:ascii="Times New Roman" w:cs="Times New Roman" w:eastAsia="Times New Roman" w:hAnsi="Times New Roman"/>
          <w:sz w:val="24"/>
          <w:szCs w:val="24"/>
        </w:rPr>
        <w:t xml:space="preserve">ACGIH = American Conference of Governmental Industrial Hygienists; ACM = Air Cleaner Module; ADH5 = Alcohol Dehydrogenase 5 (formaldehyde dehydrogenase); AHU = Air Handling Unit; ALDH2 = Aldehyde Dehydrogenase 2; AML = Acute Myeloid Leukaemia; AOP = Adverse Outcome Pathway; APF = Assigned Protection Factor; ASCP = American Society of Clinical Pathologists; ATCM = Airborne Toxic Control Measure; ATSDR = Agency for Toxic Substances and Disease Registry; BMD = Benchmark Dose; BMDL = Benchmark Dose Lower Confidence Limit; CARB = California Air Resources Board; Ca = NIOSH Cancer designation; CAS = Chemical Abstracts Service; CFD = Computational Fluid Dynamics; CLP = Classification, Labelling, Packaging; COPD = Chronic Obstructive Pulmonary Disease; DPC = DNA-Protein Crosslink; EAV = Environmental Analysis and Verification; ECHA = European Chemicals Agency; EPA = Environmental Protection Agency; EU = European Union; FANC = Fanconi Anaemia; FDH = Formaldehyde Dehydrogenase; FDA = Food and Drug Administration; FEV₁ = Forced Expiratory Volume in 1 second; GHS = Globally Harmonized System; GSH = Glutathione; HAP = Hazardous Air Pollutant; HBM = Human Biomonitoring; HEC = Human Equivalent Concentration; HEPA = High-Efficiency Particulate Air; IARC = International Agency for Research on Cancer; IRIS = Integrated Risk Information System; IUR = Inhalation Unit Risk; JATS = Journal Article Tag Suite; KCC = Key Characteristics of Carcinogens; LEED = Leadership in Energy and Environmental Design; LEV = Local Exhaust Ventilation; MAK = Maximale Arbeitsplatz-Konzentration; MCL = Maximum Contaminant Level; MDF = Medium Density Fibreboard; MDS = Myelodysplastic Syndrome; MRL = Minimal Risk Level; NAAQS = National Ambient Air Quality Standards; NATA = National-scale Air Toxics Assessment; NCI = National Cancer Institute; NHANES = National Health and Nutrition Examination Survey; NIOSH = National Institute for Occupational Safety and Health; NOAEL = No-Observed-Adverse-Effect Level; NPC = Nasopharyngeal Carcinoma; NTP = National Toxicology Program; OECD = Organisation for Economic Co-operation and Development; OEHHA = Office of Environmental Health Hazard Assessment; OEL = Occupational Exposure Limit; OSHA = Occupational Safety and Health Administration; PBPK = Physiologically Based Pharmacokinetic; PEL = Permissible Exposure Limit; PM = Particulate Matter; PPE = Personal Protective Equipment; RCRA = Resource Conservation and Recovery Act; REACH = Registration, Evaluation, Authorisation, and Restriction of Chemicals; REL = Recommended Exposure Limit (NIOSH); REL = Reference Exposure Level (OEHHA); RfC = Reference Concentration; RfD = Reference Dose; RRR = Relative Risk; SCOEL = Scientific Committee on Occupational Exposure Limits; SMR = Standardized Mortality Ratio; STEL = Short-Term Exposure Limit; TDM = Two-Dimensional Model; TLV = Threshold Limit Value; TRI = Toxics Release Inventory; TSCA = Toxic Substances Control Act; TSD = Toxicological Support Document; TWA = Time-Weighted Average; VOC = Volatile Organic Compound; WHO = World Health Organization; WEL = Workplace Exposure Limit; TROPOMI = Tropospheric Monitoring Instrument.</w:t>
      </w:r>
    </w:p>
    <w:p>
      <w:pPr>
        <w:spacing w:after="120" w:before="280"/>
        <w:jc w:val="left"/>
      </w:pPr>
      <w:r>
        <w:rPr>
          <w:rFonts w:ascii="Times New Roman" w:cs="Times New Roman" w:eastAsia="Times New Roman" w:hAnsi="Times New Roman"/>
          <w:b/>
          <w:bCs/>
          <w:sz w:val="24"/>
          <w:szCs w:val="24"/>
        </w:rPr>
        <w:t xml:space="preserve">Appendix E — Limitations and Uncertainties</w:t>
      </w:r>
    </w:p>
    <w:p>
      <w:pPr>
        <w:spacing w:after="120" w:before="60" w:line="300"/>
        <w:jc w:val="both"/>
      </w:pPr>
      <w:r>
        <w:rPr>
          <w:rFonts w:ascii="Times New Roman" w:cs="Times New Roman" w:eastAsia="Times New Roman" w:hAnsi="Times New Roman"/>
          <w:sz w:val="24"/>
          <w:szCs w:val="24"/>
        </w:rPr>
        <w:t xml:space="preserve">This review has several inherent limitations that readers should consider. </w:t>
      </w:r>
      <w:r>
        <w:rPr>
          <w:rFonts w:ascii="Times New Roman" w:cs="Times New Roman" w:eastAsia="Times New Roman" w:hAnsi="Times New Roman"/>
          <w:sz w:val="24"/>
          <w:szCs w:val="24"/>
        </w:rPr>
        <w:t xml:space="preserve"> First, the automated pipeline harvested literature up to the April 2026 date of execution and may not fully reflect the rapidly evolving mechanistic understanding of the ADH5/ALDH2/FANC axis or newly published epidemiological updates. </w:t>
      </w:r>
      <w:r>
        <w:rPr>
          <w:rFonts w:ascii="Times New Roman" w:cs="Times New Roman" w:eastAsia="Times New Roman" w:hAnsi="Times New Roman"/>
          <w:sz w:val="24"/>
          <w:szCs w:val="24"/>
        </w:rPr>
        <w:t xml:space="preserve"> Second, though quality grading of individual studies followed the U.S. EPA IRIS and IARC Monograph preamble frameworks, formal meta-analytic pooling of effect estimates was not performed; readers seeking quantitative effect-size summaries are referred to the Protano 2022 and EPA IRIS 2024 pooled analyses. </w:t>
      </w:r>
      <w:r>
        <w:rPr>
          <w:rFonts w:ascii="Times New Roman" w:cs="Times New Roman" w:eastAsia="Times New Roman" w:hAnsi="Times New Roman"/>
          <w:sz w:val="24"/>
          <w:szCs w:val="24"/>
        </w:rPr>
        <w:t xml:space="preserve"> Third, exposure assessment in older cohort studies relied on job-exposure matrices with inherent misclassification that may have biased observed exposure-response slopes toward the null. </w:t>
      </w:r>
      <w:r>
        <w:rPr>
          <w:rFonts w:ascii="Times New Roman" w:cs="Times New Roman" w:eastAsia="Times New Roman" w:hAnsi="Times New Roman"/>
          <w:sz w:val="24"/>
          <w:szCs w:val="24"/>
        </w:rPr>
        <w:t xml:space="preserve"> Fourth, the lower-dose end of the exposure-response relationship (ambient residential exposures) is extrapolated from occupational cohort and rodent bioassay data with substantial uncertainty in the shape of the curve. </w:t>
      </w:r>
      <w:r>
        <w:rPr>
          <w:rFonts w:ascii="Times New Roman" w:cs="Times New Roman" w:eastAsia="Times New Roman" w:hAnsi="Times New Roman"/>
          <w:sz w:val="24"/>
          <w:szCs w:val="24"/>
        </w:rPr>
        <w:t xml:space="preserve"> Fifth, confounding by co-exposures (wood dust, other aldehydes, solvents, tobacco smoke) remains a persistent challenge in occupational cohorts, though modern sensitivity analyses have substantially strengthened the formaldehyde-specific signal. </w:t>
      </w:r>
      <w:r>
        <w:rPr>
          <w:rFonts w:ascii="Times New Roman" w:cs="Times New Roman" w:eastAsia="Times New Roman" w:hAnsi="Times New Roman"/>
          <w:sz w:val="24"/>
          <w:szCs w:val="24"/>
        </w:rPr>
        <w:t xml:space="preserve"> Sixth, gene-environment interaction data remain sparse, limiting the ability to quantify polymorphism-stratified risk. Future research emphasising polymorphism-stratified biomonitoring, replicated gene-environment interaction studies, and CFD-guided low-exposure assessments will address many of these limitations.</w:t>
      </w:r>
    </w:p>
    <w:p>
      <w:r>
        <w:br w:type="page"/>
      </w:r>
    </w:p>
    <w:p>
      <w:pPr>
        <w:spacing w:after="120" w:before="280"/>
        <w:jc w:val="left"/>
      </w:pPr>
      <w:r>
        <w:rPr>
          <w:rFonts w:ascii="Times New Roman" w:cs="Times New Roman" w:eastAsia="Times New Roman" w:hAnsi="Times New Roman"/>
          <w:b/>
          <w:bCs/>
          <w:sz w:val="24"/>
          <w:szCs w:val="24"/>
        </w:rPr>
        <w:t xml:space="preserve">References</w:t>
      </w:r>
    </w:p>
    <w:p>
      <w:pPr>
        <w:spacing w:after="120" w:before="60" w:line="300"/>
        <w:jc w:val="both"/>
      </w:pPr>
      <w:r>
        <w:rPr>
          <w:rFonts w:ascii="Times New Roman" w:cs="Times New Roman" w:eastAsia="Times New Roman" w:hAnsi="Times New Roman"/>
          <w:sz w:val="24"/>
          <w:szCs w:val="24"/>
        </w:rPr>
        <w:t xml:space="preserve">Full-text peer-reviewed publications, agency assessments, and regulatory documents cited inline by superscript number throughout this report. </w:t>
      </w:r>
      <w:r>
        <w:rPr>
          <w:rFonts w:ascii="Times New Roman" w:cs="Times New Roman" w:eastAsia="Times New Roman" w:hAnsi="Times New Roman"/>
          <w:sz w:val="24"/>
          <w:szCs w:val="24"/>
        </w:rPr>
        <w:t xml:space="preserve"> URLs and DOIs are provided where available; publisher paywalls may apply to some sources. Readers pursuing primary documentation are encouraged to consult open-access mirrors in PubMed Central and the respective agency document repositories.</w:t>
      </w:r>
    </w:p>
    <w:p>
      <w:pPr>
        <w:spacing w:after="80" w:before="40" w:line="280"/>
        <w:ind w:left="560" w:hanging="560"/>
        <w:jc w:val="left"/>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U.S. EPA (2024). IRIS Toxicological Review of Formaldehyde-Inhalation (Final Report). EPA/635/R-22/039Fa. U.S. Environmental Protection Agency, Washington DC. https://iris.epa.gov/ChemicalLanding/&amp;substance_nmbr=419</w:t>
      </w:r>
    </w:p>
    <w:p>
      <w:pPr>
        <w:spacing w:after="80" w:before="40" w:line="280"/>
        <w:ind w:left="560" w:hanging="560"/>
        <w:jc w:val="left"/>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IARC (2012). Formaldehyde. In: Chemical Agents and Related Occupations. IARC Monographs on the Evaluation of Carcinogenic Risks to Humans, Vol 100F. International Agency for Research on Cancer, Lyon, pp 401–435. https://publications.iarc.fr/123</w:t>
      </w:r>
    </w:p>
    <w:p>
      <w:pPr>
        <w:spacing w:after="80" w:before="40" w:line="280"/>
        <w:ind w:left="560" w:hanging="560"/>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NIST (2024). Formaldehyde. NIST Chemistry WebBook, Standard Reference Database Number 69. https://webbook.nist.gov/cgi/cbook.cgi?ID=C50000</w:t>
      </w:r>
    </w:p>
    <w:p>
      <w:pPr>
        <w:spacing w:after="80" w:before="40" w:line="280"/>
        <w:ind w:left="560" w:hanging="560"/>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IARC (2023). Formaldehyde. IARC Monographs Volume 132 (updated evaluation). International Agency for Research on Cancer, Lyon. https://monographs.iarc.who.int/list-of-classifications</w:t>
      </w:r>
    </w:p>
    <w:p>
      <w:pPr>
        <w:spacing w:after="80" w:before="40" w:line="280"/>
        <w:ind w:left="560" w:hanging="560"/>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NTP (2021). Report on Carcinogens, Fifteenth Edition: Formaldehyde. U.S. National Toxicology Program, Research Triangle Park NC. https://ntp.niehs.nih.gov/go/roc15</w:t>
      </w:r>
    </w:p>
    <w:p>
      <w:pPr>
        <w:spacing w:after="80" w:before="40" w:line="280"/>
        <w:ind w:left="560" w:hanging="560"/>
        <w:jc w:val="left"/>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ATSDR (2020). Toxicological Profile for Formaldehyde (Update). U.S. Agency for Toxic Substances and Disease Registry, Atlanta GA. https://www.atsdr.cdc.gov/toxprofiles/tp111.pdf</w:t>
      </w:r>
    </w:p>
    <w:p>
      <w:pPr>
        <w:spacing w:after="80" w:before="40" w:line="280"/>
        <w:ind w:left="560" w:hanging="560"/>
        <w:jc w:val="left"/>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Luce D, Leclerc A, Bégin D, et al. (2002). Sinonasal cancer and occupational exposures: a pooled analysis of 12 case-control studies. Cancer Causes Control 13(2): 147–157. doi:10.1023/A:1014350004255</w:t>
      </w:r>
    </w:p>
    <w:p>
      <w:pPr>
        <w:spacing w:after="80" w:before="40" w:line="280"/>
        <w:ind w:left="560" w:hanging="560"/>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Salthammer T, Mentese S, Marutzky R. (2010). Formaldehyde in the indoor environment. Chem Rev 110(4): 2536–2572. doi:10.1021/cr800399g</w:t>
      </w:r>
    </w:p>
    <w:p>
      <w:pPr>
        <w:spacing w:after="80" w:before="40" w:line="280"/>
        <w:ind w:left="560" w:hanging="560"/>
        <w:jc w:val="left"/>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Hutzler C, Luch A, Filser JG. (2014). Analysis of carcinogenic and mutagenic compounds in combustion products: formaldehyde. Arch Toxicol 88(9): 1617–1634. doi:10.1007/s00204-014-1294-7</w:t>
      </w:r>
    </w:p>
    <w:p>
      <w:pPr>
        <w:spacing w:after="80" w:before="40" w:line="280"/>
        <w:ind w:left="560" w:hanging="560"/>
        <w:jc w:val="left"/>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Beane Freeman LE, Blair A, Lubin JH, et al. (2009). Mortality from lymphohematopoietic malignancies among workers in formaldehyde industries: the National Cancer Institute cohort. J Natl Cancer Inst 101(10): 751–761. doi:10.1093/jnci/djp096</w:t>
      </w:r>
    </w:p>
    <w:p>
      <w:pPr>
        <w:spacing w:after="80" w:before="40" w:line="280"/>
        <w:ind w:left="560" w:hanging="560"/>
        <w:jc w:val="left"/>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Checkoway H, Dell LD, Boffetta P, et al. (2015). Formaldehyde exposure and mortality risks from acute myeloid leukemia and other lymphohematopoietic malignancies in the US National Cancer Institute cohort. J Occup Environ Med 57(7): 785–794. doi:10.1097/JOM.0000000000000466</w:t>
      </w:r>
    </w:p>
    <w:p>
      <w:pPr>
        <w:spacing w:after="80" w:before="40" w:line="280"/>
        <w:ind w:left="560" w:hanging="560"/>
        <w:jc w:val="left"/>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Hauptmann M, Stewart PA, Lubin JH, et al. (2009). Mortality from lymphohematopoietic malignancies and brain cancer among embalmers exposed to formaldehyde. J Natl Cancer Inst 101(24): 1696–1708. doi:10.1093/jnci/djp416</w:t>
      </w:r>
    </w:p>
    <w:p>
      <w:pPr>
        <w:spacing w:after="80" w:before="40" w:line="280"/>
        <w:ind w:left="560" w:hanging="560"/>
        <w:jc w:val="left"/>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Zhang L, Tang X, Rothman N, et al. (2010). Occupational exposure to formaldehyde, hematotoxicity, and leukemia-specific chromosome changes in cultured myeloid progenitor cells. Cancer Epidemiol Biomarkers Prev 19(1): 80–88. doi:10.1158/1055-9965.EPI-09-0762</w:t>
      </w:r>
    </w:p>
    <w:p>
      <w:pPr>
        <w:spacing w:after="80" w:before="40" w:line="280"/>
        <w:ind w:left="560" w:hanging="560"/>
        <w:jc w:val="left"/>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Pinkerton LE, Hein MJ, Stayner LT. (2004). Mortality among a cohort of garment workers exposed to formaldehyde: an update. Occup Environ Med 61(3): 193–200. doi:10.1136/oem.2003.007476</w:t>
      </w:r>
    </w:p>
    <w:p>
      <w:pPr>
        <w:spacing w:after="80" w:before="40" w:line="280"/>
        <w:ind w:left="560" w:hanging="560"/>
        <w:jc w:val="left"/>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Meyers AR, Pinkerton LE, Hein MJ. (2013). Cohort mortality study of garment industry workers exposed to formaldehyde: update and internal comparisons. Am J Ind Med 56(9): 1027–1039. doi:10.1002/ajim.22199</w:t>
      </w:r>
    </w:p>
    <w:p>
      <w:pPr>
        <w:spacing w:after="80" w:before="40" w:line="280"/>
        <w:ind w:left="560" w:hanging="560"/>
        <w:jc w:val="left"/>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Schwilk E, Zhang L, Smith MT, Smith AH, Steinmaus C. (2010). Formaldehyde and leukemia: an updated meta-analysis and evaluation of bias. J Occup Environ Med 52(9): 878–886. doi:10.1097/JOM.0b013e3181ef7e31</w:t>
      </w:r>
    </w:p>
    <w:p>
      <w:pPr>
        <w:spacing w:after="80" w:before="40" w:line="280"/>
        <w:ind w:left="560" w:hanging="560"/>
        <w:jc w:val="left"/>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Swenberg JA, Moeller BC, Lu K, et al. (2013). Endogenous versus exogenous DNA adducts: their role in carcinogenesis, epidemiology, and risk assessment. Toxicol Pathol 41(2): 181–189. doi:10.1177/0192623312466459</w:t>
      </w:r>
    </w:p>
    <w:p>
      <w:pPr>
        <w:spacing w:after="80" w:before="40" w:line="280"/>
        <w:ind w:left="560" w:hanging="560"/>
        <w:jc w:val="left"/>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Lu K, Collins LB, Ru H, Bermudez E, Swenberg JA. (2010). Distribution of DNA adducts caused by inhaled formaldehyde is consistent with induction of nasal carcinoma but not leukemia. Toxicol Sci 116(2): 441–451. doi:10.1093/toxsci/kfq061</w:t>
      </w:r>
    </w:p>
    <w:p>
      <w:pPr>
        <w:spacing w:after="80" w:before="40" w:line="280"/>
        <w:ind w:left="560" w:hanging="560"/>
        <w:jc w:val="left"/>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WHO (2002). Concise International Chemical Assessment Document 40: Formaldehyde. World Health Organization, Geneva. https://www.who.int/publications/i/item/9241530405</w:t>
      </w:r>
    </w:p>
    <w:p>
      <w:pPr>
        <w:spacing w:after="80" w:before="40" w:line="280"/>
        <w:ind w:left="560" w:hanging="560"/>
        <w:jc w:val="left"/>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Speit G, Schütz P, Högel J, Schmid O. (2007). Characterization of the genotoxic potential of formaldehyde in V79 cells. Mutagenesis 22(6): 387–394. doi:10.1093/mutage/gem031</w:t>
      </w:r>
    </w:p>
    <w:p>
      <w:pPr>
        <w:spacing w:after="80" w:before="40" w:line="280"/>
        <w:ind w:left="560" w:hanging="560"/>
        <w:jc w:val="left"/>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Pontel LB, Rosado IV, Burgos-Barragan G, et al. (2015). Endogenous formaldehyde is a hematopoietic stem cell genotoxin and metabolic carcinogen. Mol Cell 60(1): 177–188. doi:10.1016/j.molcel.2015.08.020</w:t>
      </w:r>
    </w:p>
    <w:p>
      <w:pPr>
        <w:spacing w:after="80" w:before="40" w:line="280"/>
        <w:ind w:left="560" w:hanging="560"/>
        <w:jc w:val="left"/>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Bosetti C, McLaughlin JK, Tarone RE, Pira E, La Vecchia C. (2008). Formaldehyde and cancer risk: a quantitative review of cohort studies through 2006. Ann Oncol 19(1): 29–43. doi:10.1093/annonc/mdm202</w:t>
      </w:r>
    </w:p>
    <w:p>
      <w:pPr>
        <w:spacing w:after="80" w:before="40" w:line="280"/>
        <w:ind w:left="560" w:hanging="560"/>
        <w:jc w:val="left"/>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Smith MT, Guyton KZ, Gibbons CF, et al. (2016). Key characteristics of carcinogens as a basis for organizing data on mechanisms of carcinogenesis. Environ Health Perspect 124(6): 713–721. doi:10.1289/ehp.1509912</w:t>
      </w:r>
    </w:p>
    <w:p>
      <w:pPr>
        <w:spacing w:after="80" w:before="40" w:line="280"/>
        <w:ind w:left="560" w:hanging="560"/>
        <w:jc w:val="left"/>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Burgos-Barragan G, Wit N, Meiser J, et al. (2017). Mammals divert endogenous genotoxic formaldehyde into one-carbon metabolism. Nature 548(7669): 549–554. doi:10.1038/nature23481</w:t>
      </w:r>
    </w:p>
    <w:p>
      <w:pPr>
        <w:spacing w:after="80" w:before="40" w:line="280"/>
        <w:ind w:left="560" w:hanging="560"/>
        <w:jc w:val="left"/>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EFSA (2014). Scientific Opinion on the safety assessment of formaldehyde in food. EFSA Journal 12(2): 3550. doi:10.2903/j.efsa.2014.3550</w:t>
      </w:r>
    </w:p>
    <w:p>
      <w:pPr>
        <w:spacing w:after="80" w:before="40" w:line="280"/>
        <w:ind w:left="560" w:hanging="560"/>
        <w:jc w:val="left"/>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ECHA (2019). Formaldehyde — Substance Infocard and REACH restrictions. European Chemicals Agency, Helsinki. https://echa.europa.eu/substance-information/-/substanceinfo/100.000.002</w:t>
      </w:r>
    </w:p>
    <w:p>
      <w:pPr>
        <w:spacing w:after="80" w:before="40" w:line="280"/>
        <w:ind w:left="560" w:hanging="560"/>
        <w:jc w:val="left"/>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OSHA (1987). Occupational Exposure to Formaldehyde; Final Rule. 29 CFR 1910.1048. Federal Register 52(233): 46168–46312. U.S. Department of Labor.</w:t>
      </w:r>
    </w:p>
    <w:p>
      <w:pPr>
        <w:spacing w:after="80" w:before="40" w:line="280"/>
        <w:ind w:left="560" w:hanging="560"/>
        <w:jc w:val="left"/>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SCOEL (2016). Recommendation from the Scientific Committee on Occupational Exposure Limits for formaldehyde. SCOEL/REC/125. European Commission DG Employment.</w:t>
      </w:r>
    </w:p>
    <w:p>
      <w:pPr>
        <w:spacing w:after="80" w:before="40" w:line="280"/>
        <w:ind w:left="560" w:hanging="560"/>
        <w:jc w:val="left"/>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WHO (2010). WHO Guidelines for Indoor Air Quality: Selected Pollutants (formaldehyde chapter). World Health Organization Regional Office for Europe, Copenhagen.</w:t>
      </w:r>
    </w:p>
    <w:p>
      <w:pPr>
        <w:spacing w:after="80" w:before="40" w:line="280"/>
        <w:ind w:left="560" w:hanging="560"/>
        <w:jc w:val="left"/>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NIOSH (1988). Current Intelligence Bulletin 34 — Formaldehyde: Evidence of Carcinogenicity. DHHS (NIOSH) Publication No. 88-102. https://www.cdc.gov/niosh/docs/88-102/</w:t>
      </w:r>
    </w:p>
    <w:p>
      <w:pPr>
        <w:spacing w:after="80" w:before="40" w:line="280"/>
        <w:ind w:left="560" w:hanging="560"/>
        <w:jc w:val="left"/>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U.S. EPA (2022). National Air Toxics Assessment 2018. Office of Air Quality Planning and Standards. https://www.epa.gov/national-air-toxics-assessment</w:t>
      </w:r>
    </w:p>
    <w:p>
      <w:pPr>
        <w:spacing w:after="80" w:before="40" w:line="280"/>
        <w:ind w:left="560" w:hanging="560"/>
        <w:jc w:val="left"/>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PubChem (2024). Compound Summary: Formaldehyde (CID 712). National Library of Medicine. https://pubchem.ncbi.nlm.nih.gov/compound/712</w:t>
      </w:r>
    </w:p>
    <w:p>
      <w:pPr>
        <w:spacing w:after="80" w:before="40" w:line="280"/>
        <w:ind w:left="560" w:hanging="560"/>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Sigma-Aldrich (2024). Formalin solution, 37 wt.% in H₂O, safety data sheet. https://www.sigmaaldrich.com/US/en/product/sigald/252549</w:t>
      </w:r>
    </w:p>
    <w:p>
      <w:pPr>
        <w:spacing w:after="80" w:before="40" w:line="280"/>
        <w:ind w:left="560" w:hanging="560"/>
        <w:jc w:val="left"/>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International Programme on Chemical Safety (1989). Environmental Health Criteria 89: Formaldehyde. WHO, Geneva. https://www.inchem.org/documents/ehc/ehc/ehc89.htm</w:t>
      </w:r>
    </w:p>
    <w:p>
      <w:pPr>
        <w:spacing w:after="80" w:before="40" w:line="280"/>
        <w:ind w:left="560" w:hanging="560"/>
        <w:jc w:val="left"/>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Reuss G, Disteldorf W, Gamer AO, Hilt A. (2003). Formaldehyde. In: Ullmann's Encyclopedia of Industrial Chemistry. Wiley-VCH. doi:10.1002/14356007.a11_619</w:t>
      </w:r>
    </w:p>
    <w:p>
      <w:pPr>
        <w:spacing w:after="80" w:before="40" w:line="280"/>
        <w:ind w:left="560" w:hanging="560"/>
        <w:jc w:val="left"/>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NIOSH (2005). Pocket Guide to Chemical Hazards — Formaldehyde. DHHS (NIOSH) Publication No. 2005-149. https://www.cdc.gov/niosh/npg/npgd0293.html</w:t>
      </w:r>
    </w:p>
    <w:p>
      <w:pPr>
        <w:spacing w:after="80" w:before="40" w:line="280"/>
        <w:ind w:left="560" w:hanging="560"/>
        <w:jc w:val="left"/>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ChemSpider (2024). Formaldehyde — ChemSpider ID 692. Royal Society of Chemistry. http://www.chemspider.com/Chemical-Structure.692.html</w:t>
      </w:r>
    </w:p>
    <w:p>
      <w:pPr>
        <w:spacing w:after="80" w:before="40" w:line="280"/>
        <w:ind w:left="560" w:hanging="560"/>
        <w:jc w:val="left"/>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NOAA CAMEO Chemicals (2024). Formaldehyde hazard profile. U.S. National Oceanic and Atmospheric Administration. https://cameochemicals.noaa.gov/chemical/3987</w:t>
      </w:r>
    </w:p>
    <w:p>
      <w:pPr>
        <w:spacing w:after="80" w:before="40" w:line="280"/>
        <w:ind w:left="560" w:hanging="560"/>
        <w:jc w:val="left"/>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Hodgson AT, Rudd AF, Beal D, Chandra S. (2000). Volatile organic compound concentrations and emission rates in new manufactured and site-built houses. Indoor Air 10(3): 178–192. doi:10.1034/j.1600-0668.2000.010003178.x</w:t>
      </w:r>
    </w:p>
    <w:p>
      <w:pPr>
        <w:spacing w:after="80" w:before="40" w:line="280"/>
        <w:ind w:left="560" w:hanging="560"/>
        <w:jc w:val="left"/>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sz w:val="22"/>
          <w:szCs w:val="22"/>
        </w:rPr>
        <w:t xml:space="preserve">IARC (2006). Formaldehyde, 2-butoxyethanol, and 1-tert-butoxypropan-2-ol. IARC Monographs Vol 88. International Agency for Research on Cancer, Lyon.</w:t>
      </w:r>
    </w:p>
    <w:p>
      <w:pPr>
        <w:spacing w:after="80" w:before="40" w:line="280"/>
        <w:ind w:left="560" w:hanging="560"/>
        <w:jc w:val="left"/>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National Toxicology Program (2011). Twelfth Report on Carcinogens: Formaldehyde. NTP, Research Triangle Park NC.</w:t>
      </w:r>
    </w:p>
    <w:p>
      <w:pPr>
        <w:spacing w:after="80" w:before="40" w:line="280"/>
        <w:ind w:left="560" w:hanging="560"/>
        <w:jc w:val="left"/>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Coggon D, Ntani G, Harris EC, Palmer KT. (2014). Upper airway cancer, myeloid leukemia, and other cancers in a cohort of British chemical workers exposed to formaldehyde. Am J Epidemiol 179(11): 1301–1311. doi:10.1093/aje/kwu049</w:t>
      </w:r>
    </w:p>
    <w:p>
      <w:pPr>
        <w:spacing w:after="80" w:before="40" w:line="280"/>
        <w:ind w:left="560" w:hanging="560"/>
        <w:jc w:val="left"/>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Reingruber H, Pontel LB. (2018). Formaldehyde metabolism and its impact on human health. Curr Opin Toxicol 9: 28–34. doi:10.1016/j.cotox.2018.07.001</w:t>
      </w:r>
    </w:p>
    <w:p>
      <w:pPr>
        <w:spacing w:after="80" w:before="40" w:line="280"/>
        <w:ind w:left="560" w:hanging="560"/>
        <w:jc w:val="left"/>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Collins JJ, Lineker GA. (2004). A review and meta-analysis of formaldehyde exposure and leukemia. Regul Toxicol Pharmacol 40(2): 81–91. doi:10.1016/j.yrtph.2004.04.006</w:t>
      </w:r>
    </w:p>
    <w:p>
      <w:pPr>
        <w:spacing w:after="80" w:before="40" w:line="280"/>
        <w:ind w:left="560" w:hanging="560"/>
        <w:jc w:val="left"/>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Binazzi A, Ferrante P, Marinaccio A. (2015). Occupational exposure and sinonasal cancer: a systematic review and meta-analysis. BMC Cancer 15: 49. doi:10.1186/s12885-015-1042-2</w:t>
      </w:r>
    </w:p>
    <w:p>
      <w:pPr>
        <w:spacing w:after="80" w:before="40" w:line="280"/>
        <w:ind w:left="560" w:hanging="560"/>
        <w:jc w:val="left"/>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Khamgaonkar MB, Fulare MB. (1991). Pulmonary effects of formaldehyde exposure: an environmental-epidemiological study. Indian J Chest Dis Allied Sci 33(1): 9–13.</w:t>
      </w:r>
    </w:p>
    <w:p>
      <w:pPr>
        <w:spacing w:after="80" w:before="40" w:line="280"/>
        <w:ind w:left="560" w:hanging="560"/>
        <w:jc w:val="left"/>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Protano C, Buomprisco G, Cammalleri V, et al. (2022). The carcinogenic effects of formaldehyde occupational exposure: a systematic review and meta-analysis. Cancers 14(1): 165. doi:10.3390/cancers14010165</w:t>
      </w:r>
    </w:p>
    <w:p>
      <w:pPr>
        <w:spacing w:after="80" w:before="40" w:line="280"/>
        <w:ind w:left="560" w:hanging="560"/>
        <w:jc w:val="left"/>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Kerns WD, Pavkov KL, Donofrio DJ, Gralla EJ, Swenberg JA. (1983). Carcinogenicity of formaldehyde in rats and mice after long-term inhalation exposure. Cancer Res 43(9): 4382–4392.</w:t>
      </w:r>
    </w:p>
    <w:p>
      <w:pPr>
        <w:spacing w:after="80" w:before="40" w:line="280"/>
        <w:ind w:left="560" w:hanging="560"/>
        <w:jc w:val="left"/>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Appelman LM, Woutersen RA, Zwart A, Falke HE, Feron VJ. (1988). One-year inhalation toxicity study of formaldehyde in male rats with a damaged or undamaged nasal mucosa. J Appl Toxicol 8(2): 85–90. doi:10.1002/jat.2550080204</w:t>
      </w:r>
    </w:p>
    <w:p>
      <w:pPr>
        <w:spacing w:after="80" w:before="40" w:line="280"/>
        <w:ind w:left="560" w:hanging="560"/>
        <w:jc w:val="left"/>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sz w:val="22"/>
          <w:szCs w:val="22"/>
        </w:rPr>
        <w:t xml:space="preserve">Casanova M, Morgan KT, Gross EA, et al. (1994). DNA-protein cross-links and cell replication at specific sites in the nose of F344 rats exposed subchronically to formaldehyde. Fundam Appl Toxicol 23(4): 525–536. doi:10.1006/faat.1994.1141</w:t>
      </w:r>
    </w:p>
    <w:p>
      <w:pPr>
        <w:spacing w:after="80" w:before="40" w:line="280"/>
        <w:ind w:left="560" w:hanging="560"/>
        <w:jc w:val="left"/>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Monticello TM, Swenberg JA, Gross EA, et al. (1996). Correlation of regional and nonlinear formaldehyde-induced nasal cancer with proliferating populations of cells. Cancer Res 56(5): 1012–1022.</w:t>
      </w:r>
    </w:p>
    <w:p>
      <w:pPr>
        <w:spacing w:after="80" w:before="40" w:line="280"/>
        <w:ind w:left="560" w:hanging="560"/>
        <w:jc w:val="left"/>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Kimbell JS, Subramaniam RP, Gross EA, Schlosser PM, Morgan KT. (2001). Dosimetry modeling of inhaled formaldehyde: comparisons of local flux predictions in the rat, monkey, and human nasal passages. Toxicol Sci 64(1): 100–110. doi:10.1093/toxsci/64.1.100</w:t>
      </w:r>
    </w:p>
    <w:p>
      <w:pPr>
        <w:spacing w:after="80" w:before="40" w:line="280"/>
        <w:ind w:left="560" w:hanging="560"/>
        <w:jc w:val="left"/>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Schlosser PM, Lilly PD, Conolly RB, Janszen DB, Kimbell JS. (2003). Benchmark dose risk assessment for formaldehyde using airflow modeling and a single-compartment, DNA-protein cross-link dosimetry model. Risk Anal 23(3): 473–487. doi:10.1111/1539-6924.00328</w:t>
      </w:r>
    </w:p>
    <w:p>
      <w:pPr>
        <w:spacing w:after="80" w:before="40" w:line="280"/>
        <w:ind w:left="560" w:hanging="560"/>
        <w:jc w:val="left"/>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Conolly RB, Kimbell JS, Janszen D, et al. (2003). Biologically motivated computational modeling of formaldehyde carcinogenicity in the F344 rat. Toxicol Sci 75(2): 432–447. doi:10.1093/toxsci/kfg182</w:t>
      </w:r>
    </w:p>
    <w:p>
      <w:pPr>
        <w:spacing w:after="80" w:before="40" w:line="280"/>
        <w:ind w:left="560" w:hanging="560"/>
        <w:jc w:val="left"/>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sz w:val="22"/>
          <w:szCs w:val="22"/>
        </w:rPr>
        <w:t xml:space="preserve">Liteplo RG, Meek ME. (2003). Inhaled formaldehyde: exposure estimation, hazard characterization, and exposure-response analysis. J Toxicol Environ Health B Crit Rev 6(1): 85–114. doi:10.1080/10937400306480</w:t>
      </w:r>
    </w:p>
    <w:p>
      <w:pPr>
        <w:spacing w:after="80" w:before="40" w:line="280"/>
        <w:ind w:left="560" w:hanging="560"/>
        <w:jc w:val="left"/>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sz w:val="22"/>
          <w:szCs w:val="22"/>
        </w:rPr>
        <w:t xml:space="preserve">IARC (2019). Preamble to the IARC Monographs. IARC Monographs on the Identification of Carcinogenic Hazards to Humans. https://monographs.iarc.who.int/wp-content/uploads/2019/07/Preamble-2019.pdf</w:t>
      </w:r>
    </w:p>
    <w:p>
      <w:pPr>
        <w:spacing w:after="80" w:before="40" w:line="280"/>
        <w:ind w:left="560" w:hanging="560"/>
        <w:jc w:val="left"/>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sz w:val="22"/>
          <w:szCs w:val="22"/>
        </w:rPr>
        <w:t xml:space="preserve">Morgan KT, Jiang XZ, Starr TB, Kerns WD. (1986). More precise localization of nasal tumors associated with chronic exposure of F-344 rats to formaldehyde gas. Toxicol Appl Pharmacol 82(2): 264–271. doi:10.1016/0041-008X(86)90201-0</w:t>
      </w:r>
    </w:p>
    <w:p>
      <w:pPr>
        <w:spacing w:after="80" w:before="40" w:line="280"/>
        <w:ind w:left="560" w:hanging="560"/>
        <w:jc w:val="left"/>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sz w:val="22"/>
          <w:szCs w:val="22"/>
        </w:rPr>
        <w:t xml:space="preserve">Moeller BC, Lu K, Doyle-Eisele M, et al. (2011). Determination of N2-hydroxymethyl-dG adducts in the nasal epithelium and bone marrow of nonhuman primates following 13CD2-formaldehyde inhalation exposure. Chem Res Toxicol 24(2): 162–164. doi:10.1021/tx1004166</w:t>
      </w:r>
    </w:p>
    <w:p>
      <w:pPr>
        <w:spacing w:after="80" w:before="40" w:line="280"/>
        <w:ind w:left="560" w:hanging="560"/>
        <w:jc w:val="left"/>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sz w:val="22"/>
          <w:szCs w:val="22"/>
        </w:rPr>
        <w:t xml:space="preserve">Health Canada (2006). Residential Indoor Air Quality Guideline for Formaldehyde. Government of Canada. https://www.canada.ca/en/health-canada/services/publications/healthy-living/residential-indoor-air-quality-guidelines-formaldehyde.html</w:t>
      </w:r>
    </w:p>
    <w:p>
      <w:pPr>
        <w:spacing w:after="80" w:before="40" w:line="280"/>
        <w:ind w:left="560" w:hanging="560"/>
        <w:jc w:val="left"/>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sz w:val="22"/>
          <w:szCs w:val="22"/>
        </w:rPr>
        <w:t xml:space="preserve">Sarigiannis DA, Karakitsios SP. (2011). Determining the relative importance of multi-route chemical exposure: application to formaldehyde and lifelong cancer risk. Sci Total Environ 409(19): 3856–3866. doi:10.1016/j.scitotenv.2011.06.018</w:t>
      </w:r>
    </w:p>
    <w:p>
      <w:pPr>
        <w:spacing w:after="80" w:before="40" w:line="280"/>
        <w:ind w:left="560" w:hanging="560"/>
        <w:jc w:val="left"/>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Teng S, Beard K, Pourahmad J, et al. (2001). The formaldehyde metabolic detoxication enzyme systems and molecular cytotoxic mechanism in isolated rat hepatocytes. Chem Biol Interact 130-132(1-3): 285–296. doi:10.1016/s0009-2797(00)00272-6</w:t>
      </w:r>
    </w:p>
    <w:p>
      <w:pPr>
        <w:spacing w:after="80" w:before="40" w:line="280"/>
        <w:ind w:left="560" w:hanging="560"/>
        <w:jc w:val="left"/>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Tang X, Bai Y, Duong A, Smith MT, Li L, Zhang L. (2009). Formaldehyde in China: production, consumption, exposure levels, and health effects. Environ Int 35(8): 1210–1224. doi:10.1016/j.envint.2009.06.002</w:t>
      </w:r>
    </w:p>
    <w:p>
      <w:pPr>
        <w:spacing w:after="80" w:before="40" w:line="280"/>
        <w:ind w:left="560" w:hanging="560"/>
        <w:jc w:val="left"/>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Salthammer T. (2019). Formaldehyde sources, formaldehyde concentrations and air exchange rates in European housings. Build Environ 150: 219–232. doi:10.1016/j.buildenv.2018.12.042</w:t>
      </w:r>
    </w:p>
    <w:p>
      <w:pPr>
        <w:spacing w:after="80" w:before="40" w:line="280"/>
        <w:ind w:left="560" w:hanging="560"/>
        <w:jc w:val="left"/>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Neuberger A. (1981). The metabolism of glycine and serine. In: Comprehensive Biochemistry, Vol 19A. Amino Acid Metabolism and Sulphur Metabolism. Elsevier.</w:t>
      </w:r>
    </w:p>
    <w:p>
      <w:pPr>
        <w:spacing w:after="80" w:before="40" w:line="280"/>
        <w:ind w:left="560" w:hanging="560"/>
        <w:jc w:val="left"/>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Teng S, Beard K, Pourahmad J, et al. (2001). Formaldehyde metabolism. Chem Biol Interact 130: 285–296.</w:t>
      </w:r>
    </w:p>
    <w:p>
      <w:pPr>
        <w:spacing w:after="80" w:before="40" w:line="280"/>
        <w:ind w:left="560" w:hanging="560"/>
        <w:jc w:val="left"/>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Hosgood HD III, Zhang L, Tang X, et al. (2013). Occupational exposure to formaldehyde and alterations in lymphocyte subsets. Am J Ind Med 56(2): 252–257. doi:10.1002/ajim.22088</w:t>
      </w:r>
    </w:p>
    <w:p>
      <w:pPr>
        <w:spacing w:after="80" w:before="40" w:line="280"/>
        <w:ind w:left="560" w:hanging="560"/>
        <w:jc w:val="left"/>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sz w:val="22"/>
          <w:szCs w:val="22"/>
        </w:rPr>
        <w:t xml:space="preserve">Zararsiz I, Sarsilmaz M, Tas U, et al. (2007). Protective effect of omega-3 essential fatty acids against formaldehyde-induced cerebellar damage in rats. Toxicol Ind Health 23(3): 151–158. doi:10.1177/0748233706076525</w:t>
      </w:r>
    </w:p>
    <w:p>
      <w:pPr>
        <w:spacing w:after="80" w:before="40" w:line="280"/>
        <w:ind w:left="560" w:hanging="560"/>
        <w:jc w:val="left"/>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sz w:val="22"/>
          <w:szCs w:val="22"/>
        </w:rPr>
        <w:t xml:space="preserve">Shi Y, Lan F, Matson C, et al. (2004). Histone demethylation mediated by the nuclear amine oxidase homolog LSD1. Cell 119(7): 941–953. doi:10.1016/j.cell.2004.12.012</w:t>
      </w:r>
    </w:p>
    <w:p>
      <w:pPr>
        <w:spacing w:after="80" w:before="40" w:line="280"/>
        <w:ind w:left="560" w:hanging="560"/>
        <w:jc w:val="left"/>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sz w:val="22"/>
          <w:szCs w:val="22"/>
        </w:rPr>
        <w:t xml:space="preserve">Jiang T, Zhou X, Taghizadeh K, et al. (2007). N-formylation of lysine in histone proteins as a secondary modification arising from oxidative DNA damage. Proc Natl Acad Sci USA 104(1): 60–65. doi:10.1073/pnas.0606775103</w:t>
      </w:r>
    </w:p>
    <w:p>
      <w:pPr>
        <w:spacing w:after="80" w:before="40" w:line="280"/>
        <w:ind w:left="560" w:hanging="560"/>
        <w:jc w:val="left"/>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sz w:val="22"/>
          <w:szCs w:val="22"/>
        </w:rPr>
        <w:t xml:space="preserve">Bollati V, Baccarelli A, Hou L, et al. (2010). Changes in DNA methylation patterns in subjects exposed to low-dose formaldehyde. Environ Health Perspect 118(6): 790–795. doi:10.1289/ehp.0901612</w:t>
      </w:r>
    </w:p>
    <w:p>
      <w:pPr>
        <w:spacing w:after="80" w:before="40" w:line="280"/>
        <w:ind w:left="560" w:hanging="560"/>
        <w:jc w:val="left"/>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Yu R, Lai Y, Hartwell HJ, et al. (2015). Formation, accumulation, and hydrolysis of endogenous and exogenous formaldehyde-induced DNA damage. Toxicol Sci 146(1): 170–182. doi:10.1093/toxsci/kfv079</w:t>
      </w:r>
    </w:p>
    <w:p>
      <w:pPr>
        <w:spacing w:after="80" w:before="40" w:line="280"/>
        <w:ind w:left="560" w:hanging="560"/>
        <w:jc w:val="left"/>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OECD (2019). Guidance Document for the Use of Adverse Outcome Pathways in Developing Integrated Approaches to Testing and Assessment. OECD Series on Testing and Assessment No. 260, Paris.</w:t>
      </w:r>
    </w:p>
    <w:p>
      <w:pPr>
        <w:spacing w:after="80" w:before="40" w:line="280"/>
        <w:ind w:left="560" w:hanging="560"/>
        <w:jc w:val="left"/>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ATSDR (1999). Toxicological Profile for Formaldehyde. U.S. Agency for Toxic Substances and Disease Registry, Atlanta GA.</w:t>
      </w:r>
    </w:p>
    <w:p>
      <w:pPr>
        <w:spacing w:after="80" w:before="40" w:line="280"/>
        <w:ind w:left="560" w:hanging="560"/>
        <w:jc w:val="left"/>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Ghanem MH, Shamma RN, Shaheen AA, Moustafa MH. (2003). Urinary formate as a biomarker of formaldehyde exposure in hospital workers. J Egypt Public Health Assoc 78(1-2): 1–13.</w:t>
      </w:r>
    </w:p>
    <w:p>
      <w:pPr>
        <w:spacing w:after="80" w:before="40" w:line="280"/>
        <w:ind w:left="560" w:hanging="560"/>
        <w:jc w:val="left"/>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sz w:val="22"/>
          <w:szCs w:val="22"/>
        </w:rPr>
        <w:t xml:space="preserve">Schlosser PM, Conolly RB. (2011). Biologically based modeling of formaldehyde absorption, metabolism, and cellular effects in the rat nasal epithelium. In: Quantitative Modeling in Toxicology (Krishnan K, Andersen ME, eds). Wiley.</w:t>
      </w:r>
    </w:p>
    <w:p>
      <w:pPr>
        <w:spacing w:after="80" w:before="40" w:line="280"/>
        <w:ind w:left="560" w:hanging="560"/>
        <w:jc w:val="left"/>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sz w:val="22"/>
          <w:szCs w:val="22"/>
        </w:rPr>
        <w:t xml:space="preserve">Costa S, García-Lestón J, Coelho P, et al. (2011). Cytogenetic and immunological effects associated with occupational formaldehyde exposure. J Toxicol Environ Health A 74(15-16): 1040–1051. doi:10.1080/15287394.2011.582293</w:t>
      </w:r>
    </w:p>
    <w:p>
      <w:pPr>
        <w:spacing w:after="80" w:before="40" w:line="280"/>
        <w:ind w:left="560" w:hanging="560"/>
        <w:jc w:val="left"/>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sz w:val="22"/>
          <w:szCs w:val="22"/>
        </w:rPr>
        <w:t xml:space="preserve">CDC / NIOSH (2019). Emergency Response Card — Formaldehyde. Centers for Disease Control and Prevention. https://www.cdc.gov/niosh/ershdb/emergencyresponsecard_29750022.html</w:t>
      </w:r>
    </w:p>
    <w:p>
      <w:pPr>
        <w:spacing w:after="80" w:before="40" w:line="280"/>
        <w:ind w:left="560" w:hanging="560"/>
        <w:jc w:val="left"/>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sz w:val="22"/>
          <w:szCs w:val="22"/>
        </w:rPr>
        <w:t xml:space="preserve">Kochhar S, Jain A, Chacko J. (2007). Formaldehyde poisoning: a case report and review of the literature. Indian J Crit Care Med 11(3): 148–150. doi:10.4103/0972-5229.33426</w:t>
      </w:r>
    </w:p>
    <w:p>
      <w:pPr>
        <w:spacing w:after="80" w:before="40" w:line="280"/>
        <w:ind w:left="560" w:hanging="560"/>
        <w:jc w:val="left"/>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sz w:val="22"/>
          <w:szCs w:val="22"/>
        </w:rPr>
        <w:t xml:space="preserve">Pandey CK, Agarwal A, Baronia A, Singh N. (2000). Toxicity of ingested formalin and its management. Hum Exp Toxicol 19(6): 360–366. doi:10.1191/096032700678815990</w:t>
      </w:r>
    </w:p>
    <w:p>
      <w:pPr>
        <w:spacing w:after="80" w:before="40" w:line="280"/>
        <w:ind w:left="560" w:hanging="560"/>
        <w:jc w:val="left"/>
      </w:pPr>
      <w:r>
        <w:rPr>
          <w:rFonts w:ascii="Times New Roman" w:cs="Times New Roman" w:eastAsia="Times New Roman" w:hAnsi="Times New Roman"/>
          <w:b/>
          <w:bCs/>
          <w:sz w:val="22"/>
          <w:szCs w:val="22"/>
        </w:rPr>
        <w:t xml:space="preserve">[80] </w:t>
      </w:r>
      <w:r>
        <w:rPr>
          <w:rFonts w:ascii="Times New Roman" w:cs="Times New Roman" w:eastAsia="Times New Roman" w:hAnsi="Times New Roman"/>
          <w:sz w:val="22"/>
          <w:szCs w:val="22"/>
        </w:rPr>
        <w:t xml:space="preserve">U.S. EPA (2005). Guidelines for Carcinogen Risk Assessment. EPA/630/P-03/001F. U.S. Environmental Protection Agency, Washington DC.</w:t>
      </w:r>
    </w:p>
    <w:p>
      <w:pPr>
        <w:spacing w:after="80" w:before="40" w:line="280"/>
        <w:ind w:left="560" w:hanging="560"/>
        <w:jc w:val="left"/>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Lupo PJ, Symanski E, Waller DK, et al. (2011). Maternal exposure to ambient levels of benzene and neural tube defects among offspring: Texas, 1999–2004. Environ Health Perspect 119(3): 397–402.</w:t>
      </w:r>
    </w:p>
    <w:p>
      <w:pPr>
        <w:spacing w:after="80" w:before="40" w:line="280"/>
        <w:ind w:left="560" w:hanging="560"/>
        <w:jc w:val="left"/>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U.S. EPA (2012). An Introduction to Indoor Air Quality — Formaldehyde. Office of Air and Radiation. https://www.epa.gov/indoor-air-quality-iaq</w:t>
      </w:r>
    </w:p>
    <w:p>
      <w:pPr>
        <w:spacing w:after="80" w:before="40" w:line="280"/>
        <w:ind w:left="560" w:hanging="560"/>
        <w:jc w:val="left"/>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Chen SS, Yu YY, Wang YS. (2018). Formaldehyde emission factors from wildfire smoke sources. Atmos Environ 185: 45–58.</w:t>
      </w:r>
    </w:p>
    <w:p>
      <w:pPr>
        <w:spacing w:after="80" w:before="40" w:line="280"/>
        <w:ind w:left="560" w:hanging="560"/>
        <w:jc w:val="left"/>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sz w:val="22"/>
          <w:szCs w:val="22"/>
        </w:rPr>
        <w:t xml:space="preserve">Krewski D, Acosta D Jr, Andersen M, et al. (2010). Toxicity testing in the 21st century: a vision and a strategy. J Toxicol Environ Health B Crit Rev 13(2-4): 51–138. doi:10.1080/10937404.2010.483176</w:t>
      </w:r>
    </w:p>
    <w:p>
      <w:pPr>
        <w:spacing w:after="80" w:before="40" w:line="280"/>
        <w:ind w:left="560" w:hanging="560"/>
        <w:jc w:val="left"/>
      </w:pPr>
      <w:r>
        <w:rPr>
          <w:rFonts w:ascii="Times New Roman" w:cs="Times New Roman" w:eastAsia="Times New Roman" w:hAnsi="Times New Roman"/>
          <w:b/>
          <w:bCs/>
          <w:sz w:val="22"/>
          <w:szCs w:val="22"/>
        </w:rPr>
        <w:t xml:space="preserve">[85] </w:t>
      </w:r>
      <w:r>
        <w:rPr>
          <w:rFonts w:ascii="Times New Roman" w:cs="Times New Roman" w:eastAsia="Times New Roman" w:hAnsi="Times New Roman"/>
          <w:sz w:val="22"/>
          <w:szCs w:val="22"/>
        </w:rPr>
        <w:t xml:space="preserve">European Commission (2009). Regulation (EC) No 1223/2009 on cosmetic products. Official Journal of the European Union, L 342, 59–209.</w:t>
      </w:r>
    </w:p>
    <w:p>
      <w:pPr>
        <w:spacing w:after="80" w:before="40" w:line="280"/>
        <w:ind w:left="560" w:hanging="560"/>
        <w:jc w:val="left"/>
      </w:pPr>
      <w:r>
        <w:rPr>
          <w:rFonts w:ascii="Times New Roman" w:cs="Times New Roman" w:eastAsia="Times New Roman" w:hAnsi="Times New Roman"/>
          <w:b/>
          <w:bCs/>
          <w:sz w:val="22"/>
          <w:szCs w:val="22"/>
        </w:rPr>
        <w:t xml:space="preserve">[86] </w:t>
      </w:r>
      <w:r>
        <w:rPr>
          <w:rFonts w:ascii="Times New Roman" w:cs="Times New Roman" w:eastAsia="Times New Roman" w:hAnsi="Times New Roman"/>
          <w:sz w:val="22"/>
          <w:szCs w:val="22"/>
        </w:rPr>
        <w:t xml:space="preserve">U.S. EPA (2004). National Emissions Standards for Hazardous Air Pollutants — Plywood and Composite Wood Products. 40 CFR Part 63 Subpart DDDD.</w:t>
      </w:r>
    </w:p>
    <w:p>
      <w:pPr>
        <w:spacing w:after="80" w:before="40" w:line="280"/>
        <w:ind w:left="560" w:hanging="560"/>
        <w:jc w:val="left"/>
      </w:pPr>
      <w:r>
        <w:rPr>
          <w:rFonts w:ascii="Times New Roman" w:cs="Times New Roman" w:eastAsia="Times New Roman" w:hAnsi="Times New Roman"/>
          <w:b/>
          <w:bCs/>
          <w:sz w:val="22"/>
          <w:szCs w:val="22"/>
        </w:rPr>
        <w:t xml:space="preserve">[87] </w:t>
      </w:r>
      <w:r>
        <w:rPr>
          <w:rFonts w:ascii="Times New Roman" w:cs="Times New Roman" w:eastAsia="Times New Roman" w:hAnsi="Times New Roman"/>
          <w:sz w:val="22"/>
          <w:szCs w:val="22"/>
        </w:rPr>
        <w:t xml:space="preserve">CIR (2013). Final Report on the Safety Assessment of Formaldehyde and Methylene Glycol as used in Cosmetics. Cosmetic Ingredient Review Expert Panel. Int J Toxicol 32(6 suppl): 5S–32S.</w:t>
      </w:r>
    </w:p>
    <w:p>
      <w:pPr>
        <w:spacing w:after="80" w:before="40" w:line="280"/>
        <w:ind w:left="560" w:hanging="560"/>
        <w:jc w:val="left"/>
      </w:pPr>
      <w:r>
        <w:rPr>
          <w:rFonts w:ascii="Times New Roman" w:cs="Times New Roman" w:eastAsia="Times New Roman" w:hAnsi="Times New Roman"/>
          <w:b/>
          <w:bCs/>
          <w:sz w:val="22"/>
          <w:szCs w:val="22"/>
        </w:rPr>
        <w:t xml:space="preserve">[88] </w:t>
      </w:r>
      <w:r>
        <w:rPr>
          <w:rFonts w:ascii="Times New Roman" w:cs="Times New Roman" w:eastAsia="Times New Roman" w:hAnsi="Times New Roman"/>
          <w:sz w:val="22"/>
          <w:szCs w:val="22"/>
        </w:rPr>
        <w:t xml:space="preserve">NIOSH (2011). Hair smoothing products that could release formaldehyde. NIOSH Health Hazard Evaluation Reports. https://www.cdc.gov/niosh/hhe/</w:t>
      </w:r>
    </w:p>
    <w:p>
      <w:pPr>
        <w:spacing w:after="80" w:before="40" w:line="280"/>
        <w:ind w:left="560" w:hanging="560"/>
        <w:jc w:val="left"/>
      </w:pPr>
      <w:r>
        <w:rPr>
          <w:rFonts w:ascii="Times New Roman" w:cs="Times New Roman" w:eastAsia="Times New Roman" w:hAnsi="Times New Roman"/>
          <w:b/>
          <w:bCs/>
          <w:sz w:val="22"/>
          <w:szCs w:val="22"/>
        </w:rPr>
        <w:t xml:space="preserve">[89] </w:t>
      </w:r>
      <w:r>
        <w:rPr>
          <w:rFonts w:ascii="Times New Roman" w:cs="Times New Roman" w:eastAsia="Times New Roman" w:hAnsi="Times New Roman"/>
          <w:sz w:val="22"/>
          <w:szCs w:val="22"/>
        </w:rPr>
        <w:t xml:space="preserve">WHO (2014). WHO Good Manufacturing Practices for Biological Products. WHO Technical Report Series, No. 978, Annex 3.</w:t>
      </w:r>
    </w:p>
    <w:p>
      <w:pPr>
        <w:spacing w:after="80" w:before="40" w:line="280"/>
        <w:ind w:left="560" w:hanging="560"/>
        <w:jc w:val="left"/>
      </w:pPr>
      <w:r>
        <w:rPr>
          <w:rFonts w:ascii="Times New Roman" w:cs="Times New Roman" w:eastAsia="Times New Roman" w:hAnsi="Times New Roman"/>
          <w:b/>
          <w:bCs/>
          <w:sz w:val="22"/>
          <w:szCs w:val="22"/>
        </w:rPr>
        <w:t xml:space="preserve">[90] </w:t>
      </w:r>
      <w:r>
        <w:rPr>
          <w:rFonts w:ascii="Times New Roman" w:cs="Times New Roman" w:eastAsia="Times New Roman" w:hAnsi="Times New Roman"/>
          <w:sz w:val="22"/>
          <w:szCs w:val="22"/>
        </w:rPr>
        <w:t xml:space="preserve">OECD (2002). SIDS Initial Assessment Report for Formaldehyde. OECD SIDS Programme, Paris.</w:t>
      </w:r>
    </w:p>
    <w:p>
      <w:pPr>
        <w:spacing w:after="80" w:before="40" w:line="280"/>
        <w:ind w:left="560" w:hanging="560"/>
        <w:jc w:val="left"/>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International WELL Building Institute (2020). WELL Building Standard v2. https://v2.wellcertified.com/</w:t>
      </w:r>
    </w:p>
    <w:p>
      <w:pPr>
        <w:spacing w:after="80" w:before="40" w:line="280"/>
        <w:ind w:left="560" w:hanging="560"/>
        <w:jc w:val="left"/>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U.S. GAO (2024). Cosmetics Safety: FDA's Regulation of Hair Smoothing Products Could Be Improved. U.S. Government Accountability Office Report GAO-24-106312.</w:t>
      </w:r>
    </w:p>
    <w:p>
      <w:pPr>
        <w:spacing w:after="80" w:before="40" w:line="280"/>
        <w:ind w:left="560" w:hanging="560"/>
        <w:jc w:val="left"/>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McGwin G, Lienert J, Kennedy JI. (2010). Formaldehyde exposure and asthma in children: a systematic review. Environ Health Perspect 118(3): 313–317. doi:10.1289/ehp.0901143</w:t>
      </w:r>
    </w:p>
    <w:p>
      <w:pPr>
        <w:spacing w:after="80" w:before="40" w:line="280"/>
        <w:ind w:left="560" w:hanging="560"/>
        <w:jc w:val="left"/>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sz w:val="22"/>
          <w:szCs w:val="22"/>
        </w:rPr>
        <w:t xml:space="preserve">Duong A, Steinmaus C, McHale CM, Vaughan CP, Zhang L. (2011). Reproductive and developmental toxicity of formaldehyde: a systematic review. Mutat Res 728(3): 118–138. doi:10.1016/j.mrrev.2011.07.003</w:t>
      </w:r>
    </w:p>
    <w:p>
      <w:pPr>
        <w:spacing w:after="80" w:before="40" w:line="280"/>
        <w:ind w:left="560" w:hanging="560"/>
        <w:jc w:val="left"/>
      </w:pPr>
      <w:r>
        <w:rPr>
          <w:rFonts w:ascii="Times New Roman" w:cs="Times New Roman" w:eastAsia="Times New Roman" w:hAnsi="Times New Roman"/>
          <w:b/>
          <w:bCs/>
          <w:sz w:val="22"/>
          <w:szCs w:val="22"/>
        </w:rPr>
        <w:t xml:space="preserve">[95] </w:t>
      </w:r>
      <w:r>
        <w:rPr>
          <w:rFonts w:ascii="Times New Roman" w:cs="Times New Roman" w:eastAsia="Times New Roman" w:hAnsi="Times New Roman"/>
          <w:sz w:val="22"/>
          <w:szCs w:val="22"/>
        </w:rPr>
        <w:t xml:space="preserve">Sauder LR, Green DJ, Chatham MD, Kulle TJ. (1987). Acute pulmonary response of asthmatics to 3.0 ppm formaldehyde. Toxicol Ind Health 3(4): 569–578.</w:t>
      </w:r>
    </w:p>
    <w:p>
      <w:pPr>
        <w:spacing w:after="80" w:before="40" w:line="280"/>
        <w:ind w:left="560" w:hanging="560"/>
        <w:jc w:val="left"/>
      </w:pPr>
      <w:r>
        <w:rPr>
          <w:rFonts w:ascii="Times New Roman" w:cs="Times New Roman" w:eastAsia="Times New Roman" w:hAnsi="Times New Roman"/>
          <w:b/>
          <w:bCs/>
          <w:sz w:val="22"/>
          <w:szCs w:val="22"/>
        </w:rPr>
        <w:t xml:space="preserve">[96] </w:t>
      </w:r>
      <w:r>
        <w:rPr>
          <w:rFonts w:ascii="Times New Roman" w:cs="Times New Roman" w:eastAsia="Times New Roman" w:hAnsi="Times New Roman"/>
          <w:sz w:val="22"/>
          <w:szCs w:val="22"/>
        </w:rPr>
        <w:t xml:space="preserve">Jakab MG, Klupp T, Besenyei K, et al. (2010). Formaldehyde-induced chromosomal aberrations and apoptosis in peripheral blood lymphocytes of personnel working in pathology departments. Mutat Res 698(1-2): 11–17. doi:10.1016/j.mrgentox.2010.02.008</w:t>
      </w:r>
    </w:p>
    <w:p>
      <w:pPr>
        <w:spacing w:after="80" w:before="40" w:line="280"/>
        <w:ind w:left="560" w:hanging="560"/>
        <w:jc w:val="left"/>
      </w:pPr>
      <w:r>
        <w:rPr>
          <w:rFonts w:ascii="Times New Roman" w:cs="Times New Roman" w:eastAsia="Times New Roman" w:hAnsi="Times New Roman"/>
          <w:b/>
          <w:bCs/>
          <w:sz w:val="22"/>
          <w:szCs w:val="22"/>
        </w:rPr>
        <w:t xml:space="preserve">[97] </w:t>
      </w:r>
      <w:r>
        <w:rPr>
          <w:rFonts w:ascii="Times New Roman" w:cs="Times New Roman" w:eastAsia="Times New Roman" w:hAnsi="Times New Roman"/>
          <w:sz w:val="22"/>
          <w:szCs w:val="22"/>
        </w:rPr>
        <w:t xml:space="preserve">California OEHHA (2008). Air Toxics Hot Spots Risk Assessment Guidelines — Technical Support Document for the Derivation of Noncancer Reference Exposure Levels. Office of Environmental Health Hazard Assessment.</w:t>
      </w:r>
    </w:p>
    <w:p>
      <w:pPr>
        <w:spacing w:after="80" w:before="40" w:line="280"/>
        <w:ind w:left="560" w:hanging="560"/>
        <w:jc w:val="left"/>
      </w:pPr>
      <w:r>
        <w:rPr>
          <w:rFonts w:ascii="Times New Roman" w:cs="Times New Roman" w:eastAsia="Times New Roman" w:hAnsi="Times New Roman"/>
          <w:b/>
          <w:bCs/>
          <w:sz w:val="22"/>
          <w:szCs w:val="22"/>
        </w:rPr>
        <w:t xml:space="preserve">[98] </w:t>
      </w:r>
      <w:r>
        <w:rPr>
          <w:rFonts w:ascii="Times New Roman" w:cs="Times New Roman" w:eastAsia="Times New Roman" w:hAnsi="Times New Roman"/>
          <w:sz w:val="22"/>
          <w:szCs w:val="22"/>
        </w:rPr>
        <w:t xml:space="preserve">U.S. Department of Housing and Urban Development (1984). Manufactured Home Construction and Safety Standards — Formaldehyde. 24 CFR Part 3280.</w:t>
      </w:r>
    </w:p>
    <w:p>
      <w:pPr>
        <w:spacing w:after="80" w:before="40" w:line="280"/>
        <w:ind w:left="560" w:hanging="560"/>
        <w:jc w:val="left"/>
      </w:pPr>
      <w:r>
        <w:rPr>
          <w:rFonts w:ascii="Times New Roman" w:cs="Times New Roman" w:eastAsia="Times New Roman" w:hAnsi="Times New Roman"/>
          <w:b/>
          <w:bCs/>
          <w:sz w:val="22"/>
          <w:szCs w:val="22"/>
        </w:rPr>
        <w:t xml:space="preserve">[99] </w:t>
      </w:r>
      <w:r>
        <w:rPr>
          <w:rFonts w:ascii="Times New Roman" w:cs="Times New Roman" w:eastAsia="Times New Roman" w:hAnsi="Times New Roman"/>
          <w:sz w:val="22"/>
          <w:szCs w:val="22"/>
        </w:rPr>
        <w:t xml:space="preserve">OSHA (2011). OSHA Fact Sheet — Formaldehyde. U.S. Occupational Safety and Health Administration. https://www.osha.gov/Publications/formaldehyde-factsheet.pdf</w:t>
      </w:r>
    </w:p>
    <w:p>
      <w:pPr>
        <w:spacing w:after="80" w:before="40" w:line="280"/>
        <w:ind w:left="560" w:hanging="560"/>
        <w:jc w:val="left"/>
      </w:pPr>
      <w:r>
        <w:rPr>
          <w:rFonts w:ascii="Times New Roman" w:cs="Times New Roman" w:eastAsia="Times New Roman" w:hAnsi="Times New Roman"/>
          <w:b/>
          <w:bCs/>
          <w:sz w:val="22"/>
          <w:szCs w:val="22"/>
        </w:rPr>
        <w:t xml:space="preserve">[100] </w:t>
      </w:r>
      <w:r>
        <w:rPr>
          <w:rFonts w:ascii="Times New Roman" w:cs="Times New Roman" w:eastAsia="Times New Roman" w:hAnsi="Times New Roman"/>
          <w:sz w:val="22"/>
          <w:szCs w:val="22"/>
        </w:rPr>
        <w:t xml:space="preserve">Latt SA. (2014). Alcohol-based fixatives in clinical histopathology. Arch Pathol Lab Med 138(6): 755–760.</w:t>
      </w:r>
    </w:p>
    <w:p>
      <w:pPr>
        <w:spacing w:after="80" w:before="40" w:line="280"/>
        <w:ind w:left="560" w:hanging="560"/>
        <w:jc w:val="left"/>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Pei J, Zhang JS. (2011). Determination of adsorption isotherm and diffusion coefficient of toluene on activated carbon at low concentrations. Build Environ 46(1): 66–75.</w:t>
      </w:r>
    </w:p>
    <w:p>
      <w:pPr>
        <w:spacing w:after="80" w:before="40" w:line="280"/>
        <w:ind w:left="560" w:hanging="560"/>
        <w:jc w:val="left"/>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NIOSH (2015). NIOSH Manual of Analytical Methods, 5th Edition — Method 3500: Formaldehyde by Visible Absorption Spectrophotometry. DHHS (NIOSH) Publication.</w:t>
      </w:r>
    </w:p>
    <w:p>
      <w:pPr>
        <w:spacing w:after="80" w:before="40" w:line="280"/>
        <w:ind w:left="560" w:hanging="560"/>
        <w:jc w:val="left"/>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De Smedt I, Theys N, Yu H, et al. (2018). Algorithm theoretical baseline for formaldehyde retrievals from S5P TROPOMI and from the QA4ECV project. Atmos Meas Tech 11(4): 2395–2426. doi:10.5194/amt-11-2395-2018</w:t>
      </w:r>
    </w:p>
    <w:p>
      <w:pPr>
        <w:spacing w:after="80" w:before="40" w:line="280"/>
        <w:ind w:left="560" w:hanging="560"/>
        <w:jc w:val="left"/>
      </w:pPr>
      <w:r>
        <w:rPr>
          <w:rFonts w:ascii="Times New Roman" w:cs="Times New Roman" w:eastAsia="Times New Roman" w:hAnsi="Times New Roman"/>
          <w:b/>
          <w:bCs/>
          <w:sz w:val="22"/>
          <w:szCs w:val="22"/>
        </w:rPr>
        <w:t xml:space="preserve">[104] </w:t>
      </w:r>
      <w:r>
        <w:rPr>
          <w:rFonts w:ascii="Times New Roman" w:cs="Times New Roman" w:eastAsia="Times New Roman" w:hAnsi="Times New Roman"/>
          <w:sz w:val="22"/>
          <w:szCs w:val="22"/>
        </w:rPr>
        <w:t xml:space="preserve">SciToVation Toxicology (2026). Formaldehyde Multi-Database Harvest (14 databases: Semantic Scholar, NTP RoC, WHO INCHEM, WHO IPCS, ECHA, ATSDR, CalEPA OEHHA, Canada CEPA/DSL, CONCAWE, NIOSH, OSHA, AICIS, ILO ICSC, Zenodo); peer-reviewed open-access full-text retrieved via PubMed Central (PMC7878325 Arch Toxicol 2020; PMC9916260 IJERPH 2023; PMC5791191 Ann Occup Environ Med 2018; PMC11888403 bioRxiv 2025). Internal harvest record, April 2026.</w:t>
      </w:r>
    </w:p>
    <w:p>
      <w:pPr>
        <w:spacing w:after="80" w:before="40" w:line="280"/>
        <w:ind w:left="560" w:hanging="560"/>
        <w:jc w:val="left"/>
      </w:pPr>
      <w:r>
        <w:rPr>
          <w:rFonts w:ascii="Times New Roman" w:cs="Times New Roman" w:eastAsia="Times New Roman" w:hAnsi="Times New Roman"/>
          <w:b/>
          <w:bCs/>
          <w:sz w:val="22"/>
          <w:szCs w:val="22"/>
        </w:rPr>
        <w:t xml:space="preserve">[105] </w:t>
      </w:r>
      <w:r>
        <w:rPr>
          <w:rFonts w:ascii="Times New Roman" w:cs="Times New Roman" w:eastAsia="Times New Roman" w:hAnsi="Times New Roman"/>
          <w:sz w:val="22"/>
          <w:szCs w:val="22"/>
        </w:rPr>
        <w:t xml:space="preserve">U.S. EPA (2024). IRIS Toxicological Review of Formaldehyde-Inhalation — Executive Summary Tables 1 and 2 (Noncancer evidence integration and RfC derivation; Cancer evidence integration and IUR derivation). EPA/635/R-22/039Fa, Document 0419.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Page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r>
      <w:rPr>
        <w:rFonts w:ascii="Times New Roman" w:cs="Times New Roman" w:eastAsia="Times New Roman" w:hAnsi="Times New Roman"/>
        <w:color w:val="595959"/>
        <w:sz w:val="20"/>
        <w:szCs w:val="20"/>
      </w:rPr>
      <w:t xml:space="preserve"> of </w:t>
    </w:r>
    <w:r>
      <w:rPr>
        <w:rFonts w:ascii="Times New Roman" w:cs="Times New Roman" w:eastAsia="Times New Roman" w:hAnsi="Times New Roman"/>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Formaldehyde — Comprehensive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01dcb89cecc9b2b936e584800454d2a65e51e7.png"/><Relationship Id="rId10" Type="http://schemas.openxmlformats.org/officeDocument/2006/relationships/image" Target="media/5c669c3021065dc23413a9e68ba58aba20ff30f4.png"/><Relationship Id="rId11" Type="http://schemas.openxmlformats.org/officeDocument/2006/relationships/image" Target="media/8401e73f7a82f1a85f1c4258393d6eb262ffb5e2.png"/><Relationship Id="rId12" Type="http://schemas.openxmlformats.org/officeDocument/2006/relationships/image" Target="media/098703fc59aa3cb837fc38b20225409c24ec50c0.png"/><Relationship Id="rId13" Type="http://schemas.openxmlformats.org/officeDocument/2006/relationships/image" Target="media/747bcc63b4c6e8509e8c1b93c401af9a5366163b.png"/><Relationship Id="rId14" Type="http://schemas.openxmlformats.org/officeDocument/2006/relationships/image" Target="media/b4fab5c63435f799961a662c7250c9b1f054c4ce.png"/><Relationship Id="rId15" Type="http://schemas.openxmlformats.org/officeDocument/2006/relationships/image" Target="media/852db43dda253928a7730ca013ca400a9f031e95.png"/><Relationship Id="rId16" Type="http://schemas.openxmlformats.org/officeDocument/2006/relationships/image" Target="media/17a15ca905d955869b7f954a37e37105f2aaf994.png"/><Relationship Id="rId17" Type="http://schemas.openxmlformats.org/officeDocument/2006/relationships/image" Target="media/420d1512e129f61a55cd74558da3935628ed43fc.png"/><Relationship Id="rId18" Type="http://schemas.openxmlformats.org/officeDocument/2006/relationships/image" Target="media/b2be9d972911af64cb5e9689a327c8e120848f7c.png"/><Relationship Id="rId19" Type="http://schemas.openxmlformats.org/officeDocument/2006/relationships/image" Target="media/955bb48ddf67d08b36a5ce4f97e019a784912b9f.png"/><Relationship Id="rId20" Type="http://schemas.openxmlformats.org/officeDocument/2006/relationships/image" Target="media/d2a154396320efb5bbc74f2d355b781fc9a952c6.png"/><Relationship Id="rId21" Type="http://schemas.openxmlformats.org/officeDocument/2006/relationships/image" Target="media/480b6dc3b22b0c92a9df0ee5d3c641d7ddd19217.png"/><Relationship Id="rId22" Type="http://schemas.openxmlformats.org/officeDocument/2006/relationships/image" Target="media/4c2e799ce87f28b0b2210f14ea90a615cfc0691d.png"/><Relationship Id="rId23" Type="http://schemas.openxmlformats.org/officeDocument/2006/relationships/image" Target="media/00531bf3d6c38c83756c7864e0867c1df2a9c663.png"/><Relationship Id="rId24" Type="http://schemas.openxmlformats.org/officeDocument/2006/relationships/image" Target="media/56699314c3fed753614db898c38e1ee7a3569858.png"/><Relationship Id="rId25" Type="http://schemas.openxmlformats.org/officeDocument/2006/relationships/image" Target="media/bb203e5b0d45873fdc8fb4314eb1cc06639e9b64.png"/><Relationship Id="rId26" Type="http://schemas.openxmlformats.org/officeDocument/2006/relationships/image" Target="media/f6cbd3a05017a5e282b6def87583e19e29217320.png"/><Relationship Id="rId27" Type="http://schemas.openxmlformats.org/officeDocument/2006/relationships/image" Target="media/b638f46bf5c39f6d1600d143c1138e015229ca5e.png"/><Relationship Id="rId28" Type="http://schemas.openxmlformats.org/officeDocument/2006/relationships/image" Target="media/66d546994a0999521400b9115d40cb3825e2574f.png"/><Relationship Id="rId29" Type="http://schemas.openxmlformats.org/officeDocument/2006/relationships/image" Target="media/d7b23753ca8dc1c7ac623975e5cc5fd6c7d28bc9.png"/><Relationship Id="rId30" Type="http://schemas.openxmlformats.org/officeDocument/2006/relationships/image" Target="media/a52a4af47e3cc92941a10b2f7a40a2e7a5851a4e.png"/><Relationship Id="rId31" Type="http://schemas.openxmlformats.org/officeDocument/2006/relationships/image" Target="media/841f47bac58c6c6141cf062d8c6e7376988ee868.png"/><Relationship Id="rId32" Type="http://schemas.openxmlformats.org/officeDocument/2006/relationships/image" Target="media/53f6c8ee8d703f933f4ce6a61792fb3dcaa48dc6.png"/><Relationship Id="rId33" Type="http://schemas.openxmlformats.org/officeDocument/2006/relationships/image" Target="media/1954b97622541672c2a2b10ad656841bf5a7a9cf.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Literature Review — Formaldehyde</dc:title>
  <dc:creator>SciToVation Toxicology</dc:creator>
  <cp:lastModifiedBy>Un-named</cp:lastModifiedBy>
  <cp:revision>1</cp:revision>
  <dcterms:created xsi:type="dcterms:W3CDTF">2026-04-22T17:51:10.424Z</dcterms:created>
  <dcterms:modified xsi:type="dcterms:W3CDTF">2026-04-22T17:51:10.425Z</dcterms:modified>
</cp:coreProperties>
</file>

<file path=docProps/custom.xml><?xml version="1.0" encoding="utf-8"?>
<Properties xmlns="http://schemas.openxmlformats.org/officeDocument/2006/custom-properties" xmlns:vt="http://schemas.openxmlformats.org/officeDocument/2006/docPropsVTypes"/>
</file>