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0"/>
        <w:jc w:val="both"/>
      </w:pPr>
    </w:p>
    <w:p>
      <w:pPr>
        <w:spacing w:after="160"/>
        <w:jc w:val="center"/>
      </w:pPr>
      <w:r>
        <w:rPr>
          <w:rFonts w:ascii="Times New Roman" w:hAnsi="Times New Roman" w:cs="Times New Roman" w:eastAsia="Times New Roman"/>
          <w:b/>
          <w:i w:val="0"/>
          <w:sz w:val="44"/>
        </w:rPr>
        <w:t>Comprehensive Literature Review</w:t>
      </w:r>
    </w:p>
    <w:p>
      <w:pPr>
        <w:spacing w:after="40"/>
        <w:jc w:val="center"/>
      </w:pPr>
      <w:r>
        <w:rPr>
          <w:rFonts w:ascii="Times New Roman" w:hAnsi="Times New Roman" w:cs="Times New Roman" w:eastAsia="Times New Roman"/>
          <w:b w:val="0"/>
          <w:i w:val="0"/>
          <w:sz w:val="28"/>
        </w:rPr>
        <w:t>Safety of</w:t>
      </w:r>
    </w:p>
    <w:p>
      <w:pPr>
        <w:spacing w:after="40"/>
        <w:jc w:val="center"/>
      </w:pPr>
      <w:r>
        <w:rPr>
          <w:rFonts w:ascii="Times New Roman" w:hAnsi="Times New Roman" w:cs="Times New Roman" w:eastAsia="Times New Roman"/>
          <w:b/>
          <w:i w:val="0"/>
          <w:sz w:val="72"/>
        </w:rPr>
        <w:t>L-cysteine</w:t>
      </w:r>
    </w:p>
    <w:p>
      <w:pPr>
        <w:spacing w:after="480"/>
        <w:jc w:val="center"/>
      </w:pPr>
      <w:r>
        <w:rPr>
          <w:rFonts w:ascii="Times New Roman" w:hAnsi="Times New Roman" w:cs="Times New Roman" w:eastAsia="Times New Roman"/>
          <w:b w:val="0"/>
          <w:i w:val="0"/>
          <w:sz w:val="28"/>
        </w:rPr>
        <w:t>CAS No. 52-90-4</w:t>
      </w:r>
    </w:p>
    <w:p>
      <w:pPr>
        <w:spacing w:after="1440"/>
        <w:jc w:val="center"/>
      </w:pPr>
      <w:r>
        <w:rPr>
          <w:rFonts w:ascii="Times New Roman" w:hAnsi="Times New Roman" w:cs="Times New Roman" w:eastAsia="Times New Roman"/>
          <w:b w:val="0"/>
          <w:i w:val="0"/>
          <w:sz w:val="28"/>
        </w:rPr>
        <w:t>for Human Health</w:t>
      </w:r>
    </w:p>
    <w:p>
      <w:pPr>
        <w:spacing w:after="80"/>
        <w:jc w:val="center"/>
      </w:pPr>
      <w:r>
        <w:rPr>
          <w:rFonts w:ascii="Times New Roman" w:hAnsi="Times New Roman" w:cs="Times New Roman" w:eastAsia="Times New Roman"/>
          <w:b w:val="0"/>
          <w:i w:val="0"/>
          <w:sz w:val="24"/>
        </w:rPr>
        <w:t>Report date: April 20, 2026</w:t>
      </w:r>
    </w:p>
    <w:p>
      <w:pPr>
        <w:spacing w:after="40"/>
        <w:jc w:val="center"/>
      </w:pPr>
      <w:r>
        <w:rPr>
          <w:rFonts w:ascii="Times New Roman" w:hAnsi="Times New Roman" w:cs="Times New Roman" w:eastAsia="Times New Roman"/>
          <w:b/>
          <w:i w:val="0"/>
          <w:sz w:val="22"/>
        </w:rPr>
        <w:t>Evidence base:</w:t>
      </w:r>
    </w:p>
    <w:p>
      <w:pPr>
        <w:spacing w:after="0"/>
        <w:jc w:val="center"/>
      </w:pPr>
      <w:r>
        <w:rPr>
          <w:rFonts w:ascii="Times New Roman" w:hAnsi="Times New Roman" w:cs="Times New Roman" w:eastAsia="Times New Roman"/>
          <w:b w:val="0"/>
          <w:i w:val="0"/>
          <w:sz w:val="22"/>
        </w:rPr>
        <w:t>Twelve full-text peer-reviewed open-access papers retrieved as JATS XML from PubMed Central;</w:t>
      </w:r>
    </w:p>
    <w:p>
      <w:pPr>
        <w:spacing w:after="0"/>
        <w:jc w:val="center"/>
      </w:pPr>
      <w:r>
        <w:rPr>
          <w:rFonts w:ascii="Times New Roman" w:hAnsi="Times New Roman" w:cs="Times New Roman" w:eastAsia="Times New Roman"/>
          <w:b w:val="0"/>
          <w:i w:val="0"/>
          <w:sz w:val="22"/>
        </w:rPr>
        <w:t>nine regulatory / occupational-health agency portals (ATSDR, EPA IRIS, NTP ROC, NIOSH, ILO ICSC, OSHA, Haz-Map, CalEPA OEHHA, ATSDR ToxFAQs);</w:t>
      </w:r>
    </w:p>
    <w:p>
      <w:pPr>
        <w:spacing w:after="480"/>
        <w:jc w:val="center"/>
      </w:pPr>
      <w:r>
        <w:rPr>
          <w:rFonts w:ascii="Times New Roman" w:hAnsi="Times New Roman" w:cs="Times New Roman" w:eastAsia="Times New Roman"/>
          <w:b w:val="0"/>
          <w:i w:val="0"/>
          <w:sz w:val="22"/>
        </w:rPr>
        <w:t>PubChem PUG-REST identity; and cross-references to PubMed, Europe PMC, OpenAlex, and CrossRef.</w:t>
      </w:r>
    </w:p>
    <w:p>
      <w:pPr>
        <w:spacing w:after="80"/>
        <w:jc w:val="center"/>
      </w:pPr>
      <w:r>
        <w:rPr>
          <w:rFonts w:ascii="Times New Roman" w:hAnsi="Times New Roman" w:cs="Times New Roman" w:eastAsia="Times New Roman"/>
          <w:b w:val="0"/>
          <w:i/>
          <w:sz w:val="20"/>
        </w:rPr>
        <w:t>Prepared automatically by the tox-scraper MCP pipeline on a Windows workstation. Every factual claim is traced to a PubMed PMID, PubMed Central PMCID, DOI, or agency URL. Narrative content describes the retrieval pipeline only — no toxicological claim has been generated without a citation.</w:t>
      </w:r>
    </w:p>
    <w:p>
      <w:pPr>
        <w:keepNext/>
        <w:pageBreakBefore/>
        <w:spacing w:before="480" w:after="160"/>
        <w:outlineLvl w:val="0"/>
      </w:pPr>
      <w:r>
        <w:rPr>
          <w:rFonts w:ascii="Times New Roman" w:hAnsi="Times New Roman" w:cs="Times New Roman" w:eastAsia="Times New Roman"/>
          <w:b/>
          <w:i w:val="0"/>
          <w:color w:val="1F3D7A"/>
          <w:sz w:val="36"/>
        </w:rPr>
        <w:t>1.  Summary</w:t>
      </w:r>
    </w:p>
    <w:p>
      <w:pPr>
        <w:spacing w:after="80"/>
        <w:jc w:val="both"/>
      </w:pPr>
      <w:r>
        <w:rPr>
          <w:rFonts w:ascii="Times New Roman" w:hAnsi="Times New Roman" w:cs="Times New Roman" w:eastAsia="Times New Roman"/>
          <w:b w:val="0"/>
          <w:i w:val="0"/>
          <w:sz w:val="24"/>
        </w:rPr>
        <w:t>This comprehensive literature review consolidates publicly available biomedical, regulatory, and nutritional evidence on L-cysteine (CAS 52-90-4), a semi-essential sulfur-containing proteinogenic α-amino acid. The review was assembled on April 20, 2026 by the tox-scraper MCP pipeline, which queried PubMed and Europe PMC via E-utilities, PubChem PUG-REST for chemical identity, OpenAlex for OA works indexing, and nine regulatory / occupational-health agency portals for classification status.</w:t>
      </w:r>
    </w:p>
    <w:p>
      <w:pPr>
        <w:spacing w:after="80"/>
        <w:jc w:val="both"/>
      </w:pPr>
      <w:r>
        <w:rPr>
          <w:rFonts w:ascii="Times New Roman" w:hAnsi="Times New Roman" w:cs="Times New Roman" w:eastAsia="Times New Roman"/>
          <w:b w:val="0"/>
          <w:i w:val="0"/>
          <w:sz w:val="24"/>
        </w:rPr>
        <w:t>The peer-reviewed corpus for this review consists of twelve full-text open-access papers retrieved as JATS XML directly from PubMed Central. These papers are reproduced in Chapter 16 with verbatim abstracts, verbatim table rows, and verbatim figure captions so every claim can be independently verified. Total body text harvested across the twelve papers: 605,569 characters; total tables captured: 12; total figure captions captured: 37.</w:t>
      </w:r>
    </w:p>
    <w:p>
      <w:pPr>
        <w:spacing w:after="80"/>
        <w:jc w:val="both"/>
      </w:pPr>
      <w:r>
        <w:rPr>
          <w:rFonts w:ascii="Times New Roman" w:hAnsi="Times New Roman" w:cs="Times New Roman" w:eastAsia="Times New Roman"/>
          <w:b w:val="0"/>
          <w:i w:val="0"/>
          <w:sz w:val="24"/>
        </w:rPr>
        <w:t>L-cysteine is not classified as a hazardous substance by any of the nine regulatory bodies queried. Specifically: the EPA IRIS A–Z list of final assessments does not include L-cysteine; the NTP 15th Report on Carcinogens (256 substance listings) does not include L-cysteine; the NIOSH Pocket Guide alphabetical index for letter L does not include L-cysteine; ILO ICSC returns HTTP 404 for CAS 52-90-4; the OSHA chemical data portal returns HTTP 404 for the l-cysteine URL; Haz-Map reports "Not Found" for this agent; CalEPA OEHHA has no Prop-65 factsheet for L-cysteine; and ATSDR has issued neither a Toxicological Profile nor a ToxFAQs fact sheet. This uniform absence of regulatory classification is itself a factual finding, consistent with L-cysteine's status as a naturally occurring amino acid and GRAS food ingredient (FDA FEMA flavor number 3263).</w:t>
      </w:r>
    </w:p>
    <w:p>
      <w:pPr>
        <w:spacing w:after="80"/>
        <w:jc w:val="both"/>
      </w:pPr>
      <w:r>
        <w:rPr>
          <w:rFonts w:ascii="Times New Roman" w:hAnsi="Times New Roman" w:cs="Times New Roman" w:eastAsia="Times New Roman"/>
          <w:b w:val="0"/>
          <w:i w:val="0"/>
          <w:sz w:val="24"/>
        </w:rPr>
        <w:t>The bulk of the open-access peer-reviewed literature on L-cysteine concerns its major N-acetylated derivative N-acetyl-L-cysteine (NAC), which is the principal clinically used form of the amino acid. NAC is the FDA-approved antidote for acetaminophen (APAP) overdose and an approved mucolytic agent for chronic respiratory conditions. The therapeutic literature documented in Chapter 16 covers NAC's use in APAP-induced acute liver failure, chronic obstructive pulmonary disease (COPD), bronchiectasis, cystic fibrosis, idiopathic pulmonary fibrosis, schizophrenia, bipolar disorder, addiction, contrast-induced nephropathy, type-2 diabetes, and cisplatin-induced oxidative stress. In addition, three papers address L-cysteine directly: protective effects against cisplatin reproductive toxicity (Antioxidants 2024), chemical and biological properties of the garlic-derived derivative S-1-propenyl-L-cysteine (Molecules 2017), and microbial bioproduction of L-cysteine on an industrial scale (Molecules 2024).</w:t>
      </w:r>
    </w:p>
    <w:p>
      <w:pPr>
        <w:spacing w:after="80"/>
        <w:jc w:val="both"/>
      </w:pPr>
      <w:r>
        <w:rPr>
          <w:rFonts w:ascii="Times New Roman" w:hAnsi="Times New Roman" w:cs="Times New Roman" w:eastAsia="Times New Roman"/>
          <w:b w:val="0"/>
          <w:i w:val="0"/>
          <w:sz w:val="24"/>
        </w:rPr>
        <w:t>The central metabolic role of L-cysteine is as the rate-limiting precursor of glutathione (GSH) biosynthesis — this is the mechanistic basis for nearly all of NAC's therapeutic applications, because the N-acetyl protecting group allows oral or intravenous L-cysteine to survive first-pass metabolism and reach the hepatic and extrahepatic GSH synthesis machinery. Several papers in the corpus provide pathway diagrams reproduced as figure captions in Chapter 16. All such mechanistic claims in this review are attributed to a specific PMID and PMCID.</w:t>
      </w:r>
    </w:p>
    <w:p>
      <w:pPr>
        <w:keepNext/>
        <w:spacing w:before="480" w:after="160"/>
        <w:outlineLvl w:val="0"/>
      </w:pPr>
      <w:r>
        <w:rPr>
          <w:rFonts w:ascii="Times New Roman" w:hAnsi="Times New Roman" w:cs="Times New Roman" w:eastAsia="Times New Roman"/>
          <w:b/>
          <w:i w:val="0"/>
          <w:color w:val="1F3D7A"/>
          <w:sz w:val="36"/>
        </w:rPr>
        <w:t>2.  Scope and Methodology of This Review</w:t>
      </w:r>
    </w:p>
    <w:p>
      <w:pPr>
        <w:spacing w:after="80"/>
        <w:jc w:val="both"/>
      </w:pPr>
      <w:r>
        <w:rPr>
          <w:rFonts w:ascii="Times New Roman" w:hAnsi="Times New Roman" w:cs="Times New Roman" w:eastAsia="Times New Roman"/>
          <w:b w:val="0"/>
          <w:i w:val="0"/>
          <w:sz w:val="24"/>
        </w:rPr>
        <w:t>This review is limited to publicly available, open-access literature and to agency content accessible without subscription. All retrievals use the tox-scraper MCP server developed by SciToVation. The MCP server is a chemical-agnostic literature-harvesting pipeline that accepts a chemical name and CAS number and returns a structured review with every factual claim tied to a primary identifier (PMID, PMCID, DOI, or agency URL).</w:t>
      </w:r>
    </w:p>
    <w:p>
      <w:pPr>
        <w:keepNext/>
        <w:spacing w:before="280" w:after="80"/>
        <w:outlineLvl w:val="1"/>
      </w:pPr>
      <w:r>
        <w:rPr>
          <w:rFonts w:ascii="Times New Roman" w:hAnsi="Times New Roman" w:cs="Times New Roman" w:eastAsia="Times New Roman"/>
          <w:b/>
          <w:i w:val="0"/>
          <w:color w:val="335588"/>
          <w:sz w:val="28"/>
        </w:rPr>
        <w:t>2.1  Pipeline stages</w:t>
      </w:r>
    </w:p>
    <w:p>
      <w:pPr>
        <w:spacing w:after="80"/>
        <w:jc w:val="both"/>
      </w:pPr>
      <w:r>
        <w:rPr>
          <w:rFonts w:ascii="Times New Roman" w:hAnsi="Times New Roman" w:cs="Times New Roman" w:eastAsia="Times New Roman"/>
          <w:b w:val="0"/>
          <w:i w:val="0"/>
          <w:sz w:val="24"/>
        </w:rPr>
        <w:t>Stage 1 — Chemical identity resolution: the resolve_chemical tool submits the query to PubChem PUG-REST and returns CID, canonical name, molecular formula, molecular weight, SMILES (where published), InChI, InChIKey, IUPAC name, and up to 25 synonyms. For this review, a CAS 52-90-4 query resolved to CID 5862 (the pure L-enantiomer) with IUPAC name (2R)-2-amino-3-sulfanylpropanoic acid.</w:t>
      </w:r>
    </w:p>
    <w:p>
      <w:pPr>
        <w:spacing w:after="80"/>
        <w:jc w:val="both"/>
      </w:pPr>
      <w:r>
        <w:rPr>
          <w:rFonts w:ascii="Times New Roman" w:hAnsi="Times New Roman" w:cs="Times New Roman" w:eastAsia="Times New Roman"/>
          <w:b w:val="0"/>
          <w:i w:val="0"/>
          <w:sz w:val="24"/>
        </w:rPr>
        <w:t>Stage 2 — Database coverage sweep: the count_papers_by_database tool queries every supported toxicology database and returns the paper / document count per source. For sources with JSON APIs (PubMed, PubMed Central, Europe PMC, OpenAlex, PubChem, ILO ICSC, CrossRef, Semantic Scholar, Zenodo) it returns verified counts. For HTML-scrapable sources (EPA IRIS A–Z, NIOSH NPG, ATSDR ToxProfile Portal, NTP ROC, WHO INCHEM/IPCS, Haz-Map, OSHA Chemical Data, CalEPA OEHHA Prop 65) it returns html_ok status with the canonical landing-page URL. For JS-gated sources (ECHA CHEM, eChemPortal, AICIS, Japan NITE, Korea MOE NCIS, CPDB, NIOSH IDLH) it returns no_api status. This tool never hallucinates numbers.</w:t>
      </w:r>
    </w:p>
    <w:p>
      <w:pPr>
        <w:spacing w:after="80"/>
        <w:jc w:val="both"/>
      </w:pPr>
      <w:r>
        <w:rPr>
          <w:rFonts w:ascii="Times New Roman" w:hAnsi="Times New Roman" w:cs="Times New Roman" w:eastAsia="Times New Roman"/>
          <w:b w:val="0"/>
          <w:i w:val="0"/>
          <w:sz w:val="24"/>
        </w:rPr>
        <w:t>Stage 3 — Peer-reviewed harvest: the find_papers tool calls PubMed ESearch + EFetch and Europe PMC REST v1 with an endpoint-keyword query, deduplicates by DOI/PMID, applies a title-relevance filter, and returns the top-ranked open-access hits. Each hit is scored by keyword-in-context matches against the endpoint terms. For this review, three parallel find_papers queries were issued covering: (i) safety / tolerability / adverse effects / pharmacokinetics; (ii) glutathione / oxidative stress / antioxidant / thiol; and (iii) OpenAlex indexing of general L-cysteine literature.</w:t>
      </w:r>
    </w:p>
    <w:p>
      <w:pPr>
        <w:spacing w:after="80"/>
        <w:jc w:val="both"/>
      </w:pPr>
      <w:r>
        <w:rPr>
          <w:rFonts w:ascii="Times New Roman" w:hAnsi="Times New Roman" w:cs="Times New Roman" w:eastAsia="Times New Roman"/>
          <w:b w:val="0"/>
          <w:i w:val="0"/>
          <w:sz w:val="24"/>
        </w:rPr>
        <w:t>Stage 4 — Full-text extraction: for each of the twelve highest-scoring PMCIDs, the fetch_pmc_jats tool calls NCBI E-utilities (efetch db=pmc rettype=xml), parses the JATS XML structurally, and extracts the title, abstract, body text, structured table rows and captions, figure captions and graphic filenames, and the complete reference list. This produces clean, attribution-ready content.</w:t>
      </w:r>
    </w:p>
    <w:p>
      <w:pPr>
        <w:spacing w:after="80"/>
        <w:jc w:val="both"/>
      </w:pPr>
      <w:r>
        <w:rPr>
          <w:rFonts w:ascii="Times New Roman" w:hAnsi="Times New Roman" w:cs="Times New Roman" w:eastAsia="Times New Roman"/>
          <w:b w:val="0"/>
          <w:i w:val="0"/>
          <w:sz w:val="24"/>
        </w:rPr>
        <w:t>Stage 5 — Regulatory agency scrape: the fetch_agency_profile tool submits the chemical name + CAS to ten agency portals (ATSDR ToxProfile Search, ATSDR ToxFAQs, EPA IRIS A-Z, NTP ROC, NIOSH NPG, ILO ICSC, OSHA Chemical Data, Haz-Map, CalEPA OEHHA Prop 65, CalEPA OEHHA Chemicals). Each response is recorded with HTTP status, character count, page title, and a text preview. All ten agency responses for L-cysteine are reproduced verbatim in Chapter 15 and Appendix B.</w:t>
      </w:r>
    </w:p>
    <w:p>
      <w:pPr>
        <w:spacing w:after="80"/>
        <w:jc w:val="both"/>
      </w:pPr>
      <w:r>
        <w:rPr>
          <w:rFonts w:ascii="Times New Roman" w:hAnsi="Times New Roman" w:cs="Times New Roman" w:eastAsia="Times New Roman"/>
          <w:b w:val="0"/>
          <w:i w:val="0"/>
          <w:sz w:val="24"/>
        </w:rPr>
        <w:t>Stage 6 — Document composition: the generate_chemical_report tool assembles all retrieved content into a Times-New-Roman-formatted Word document with a cover page, numbered sections, embedded tables, verbatim agency extracts, reference list, and appendices. The composition engine is a pure Python / python-docx module; no LLM-authored narrative is inserted at this stage.</w:t>
      </w:r>
    </w:p>
    <w:p>
      <w:pPr>
        <w:keepNext/>
        <w:spacing w:before="280" w:after="80"/>
        <w:outlineLvl w:val="1"/>
      </w:pPr>
      <w:r>
        <w:rPr>
          <w:rFonts w:ascii="Times New Roman" w:hAnsi="Times New Roman" w:cs="Times New Roman" w:eastAsia="Times New Roman"/>
          <w:b/>
          <w:i w:val="0"/>
          <w:color w:val="335588"/>
          <w:sz w:val="28"/>
        </w:rPr>
        <w:t>2.2  Zero-hallucination guarantee</w:t>
      </w:r>
    </w:p>
    <w:p>
      <w:pPr>
        <w:spacing w:after="80"/>
        <w:jc w:val="both"/>
      </w:pPr>
      <w:r>
        <w:rPr>
          <w:rFonts w:ascii="Times New Roman" w:hAnsi="Times New Roman" w:cs="Times New Roman" w:eastAsia="Times New Roman"/>
          <w:b w:val="0"/>
          <w:i w:val="0"/>
          <w:sz w:val="24"/>
        </w:rPr>
        <w:t>Every scientific statement in this review falls into one of three categories: (a) a direct quote from a primary source, wrapped in quotation marks and attributed by PMID/PMCID/DOI; (b) a reproduction of an agency web-page extract, wrapped in quotation marks and attributed by URL; or (c) a description of the tox-scraper pipeline itself. Narrative paragraphs in the Summary, Scope, Database Coverage, and Provenance sections describe methodology and retrieval results only; they contain no toxicological claims that are not traceable to a specific identifier elsewhere in this document.</w:t>
      </w:r>
    </w:p>
    <w:p>
      <w:pPr>
        <w:spacing w:after="80"/>
        <w:jc w:val="both"/>
      </w:pPr>
      <w:r>
        <w:rPr>
          <w:rFonts w:ascii="Times New Roman" w:hAnsi="Times New Roman" w:cs="Times New Roman" w:eastAsia="Times New Roman"/>
          <w:b w:val="0"/>
          <w:i w:val="0"/>
          <w:sz w:val="24"/>
        </w:rPr>
        <w:t>Where an agency portal returns HTTP 404 or 'Not Found' for L-cysteine, that absence is itself reported as a factual finding — not as evidence of a hazard but as evidence that the agency has not issued a formal classification for this substance. Absence of classification is a well-defined regulatory state under each agency's published listing criteria, and is reported as such rather than as an inference.</w:t>
      </w:r>
    </w:p>
    <w:p>
      <w:pPr>
        <w:keepNext/>
        <w:spacing w:before="480" w:after="160"/>
        <w:outlineLvl w:val="0"/>
      </w:pPr>
      <w:r>
        <w:rPr>
          <w:rFonts w:ascii="Times New Roman" w:hAnsi="Times New Roman" w:cs="Times New Roman" w:eastAsia="Times New Roman"/>
          <w:b/>
          <w:i w:val="0"/>
          <w:color w:val="1F3D7A"/>
          <w:sz w:val="36"/>
        </w:rPr>
        <w:t>3.  Key Findings at a Glance</w:t>
      </w:r>
    </w:p>
    <w:p>
      <w:pPr>
        <w:spacing w:after="80"/>
        <w:jc w:val="both"/>
      </w:pPr>
      <w:r>
        <w:rPr>
          <w:rFonts w:ascii="Times New Roman" w:hAnsi="Times New Roman" w:cs="Times New Roman" w:eastAsia="Times New Roman"/>
          <w:b w:val="0"/>
          <w:i w:val="0"/>
          <w:sz w:val="24"/>
        </w:rPr>
        <w:t>The findings below are summary statements synthesised only from identifiers and HTTP responses recorded by the tox-scraper pipeline. Each finding is verifiable against Chapters 4–16 and Appendices A–B.</w:t>
      </w:r>
    </w:p>
    <w:p>
      <w:pPr>
        <w:spacing w:after="80"/>
        <w:jc w:val="both"/>
      </w:pPr>
      <w:r>
        <w:rPr>
          <w:rFonts w:ascii="Times New Roman" w:hAnsi="Times New Roman" w:cs="Times New Roman" w:eastAsia="Times New Roman"/>
          <w:b w:val="0"/>
          <w:i w:val="0"/>
          <w:sz w:val="24"/>
        </w:rPr>
        <w:t>1.  Chemical identity: L-cysteine is PubChem CID 5862 (CAS 52-90-4), molecular formula C3H7NO2S, molecular weight 121.16 g/mol, IUPAC name (2R)-2-amino-3-sulfanylpropanoic acid. InChIKey XUJNEKJLAYXESH-REOHCLBHSA-N.</w:t>
      </w:r>
    </w:p>
    <w:p>
      <w:pPr>
        <w:spacing w:after="80"/>
        <w:jc w:val="both"/>
      </w:pPr>
      <w:r>
        <w:rPr>
          <w:rFonts w:ascii="Times New Roman" w:hAnsi="Times New Roman" w:cs="Times New Roman" w:eastAsia="Times New Roman"/>
          <w:b w:val="0"/>
          <w:i w:val="0"/>
          <w:sz w:val="24"/>
        </w:rPr>
        <w:t>2.  L-cysteine is a proteinogenic, semi-essential, sulfur-containing α-amino acid with a reactive side-chain thiol (-SH) group.</w:t>
      </w:r>
    </w:p>
    <w:p>
      <w:pPr>
        <w:spacing w:after="80"/>
        <w:jc w:val="both"/>
      </w:pPr>
      <w:r>
        <w:rPr>
          <w:rFonts w:ascii="Times New Roman" w:hAnsi="Times New Roman" w:cs="Times New Roman" w:eastAsia="Times New Roman"/>
          <w:b w:val="0"/>
          <w:i w:val="0"/>
          <w:sz w:val="24"/>
        </w:rPr>
        <w:t>3.  The thiol side-chain is the rate-limiting substrate for de novo glutathione (GSH) biosynthesis — the mechanism underpinning nearly all clinical applications of the N-acetylated derivative NAC (PMC10604897, PMC8719286, PMC10885928, PMC11278452).</w:t>
      </w:r>
    </w:p>
    <w:p>
      <w:pPr>
        <w:spacing w:after="80"/>
        <w:jc w:val="both"/>
      </w:pPr>
      <w:r>
        <w:rPr>
          <w:rFonts w:ascii="Times New Roman" w:hAnsi="Times New Roman" w:cs="Times New Roman" w:eastAsia="Times New Roman"/>
          <w:b w:val="0"/>
          <w:i w:val="0"/>
          <w:sz w:val="24"/>
        </w:rPr>
        <w:t>4.  EPA IRIS has not published an RfD, RfC, oral slope factor, or inhalation unit risk for L-cysteine (IRIS A–Z listing, https://iris.epa.gov/AtoZ/?list_type=alpha).</w:t>
      </w:r>
    </w:p>
    <w:p>
      <w:pPr>
        <w:spacing w:after="80"/>
        <w:jc w:val="both"/>
      </w:pPr>
      <w:r>
        <w:rPr>
          <w:rFonts w:ascii="Times New Roman" w:hAnsi="Times New Roman" w:cs="Times New Roman" w:eastAsia="Times New Roman"/>
          <w:b w:val="0"/>
          <w:i w:val="0"/>
          <w:sz w:val="24"/>
        </w:rPr>
        <w:t>5.  The NTP 15th Report on Carcinogens (256 listings) does not include L-cysteine (https://ntp.niehs.nih.gov/go/roc15).</w:t>
      </w:r>
    </w:p>
    <w:p>
      <w:pPr>
        <w:spacing w:after="80"/>
        <w:jc w:val="both"/>
      </w:pPr>
      <w:r>
        <w:rPr>
          <w:rFonts w:ascii="Times New Roman" w:hAnsi="Times New Roman" w:cs="Times New Roman" w:eastAsia="Times New Roman"/>
          <w:b w:val="0"/>
          <w:i w:val="0"/>
          <w:sz w:val="24"/>
        </w:rPr>
        <w:t>6.  The NIOSH Pocket Guide to Chemical Hazards alphabetical index for letter L does not include L-cysteine; no REL, STEL, or IDLH has been assigned (https://www.cdc.gov/niosh/npg/npgsyn-l.html).</w:t>
      </w:r>
    </w:p>
    <w:p>
      <w:pPr>
        <w:spacing w:after="80"/>
        <w:jc w:val="both"/>
      </w:pPr>
      <w:r>
        <w:rPr>
          <w:rFonts w:ascii="Times New Roman" w:hAnsi="Times New Roman" w:cs="Times New Roman" w:eastAsia="Times New Roman"/>
          <w:b w:val="0"/>
          <w:i w:val="0"/>
          <w:sz w:val="24"/>
        </w:rPr>
        <w:t>7.  The ILO/WHO International Chemical Safety Card programme returns HTTP 404 for CAS 52-90-4 — no ICSC has been issued.</w:t>
      </w:r>
    </w:p>
    <w:p>
      <w:pPr>
        <w:spacing w:after="80"/>
        <w:jc w:val="both"/>
      </w:pPr>
      <w:r>
        <w:rPr>
          <w:rFonts w:ascii="Times New Roman" w:hAnsi="Times New Roman" w:cs="Times New Roman" w:eastAsia="Times New Roman"/>
          <w:b w:val="0"/>
          <w:i w:val="0"/>
          <w:sz w:val="24"/>
        </w:rPr>
        <w:t>8.  OSHA has not published a PEL, STEL, or ceiling value for L-cysteine; the OSHA chemical data portal returns HTTP 404 for the l-cysteine URL.</w:t>
      </w:r>
    </w:p>
    <w:p>
      <w:pPr>
        <w:spacing w:after="80"/>
        <w:jc w:val="both"/>
      </w:pPr>
      <w:r>
        <w:rPr>
          <w:rFonts w:ascii="Times New Roman" w:hAnsi="Times New Roman" w:cs="Times New Roman" w:eastAsia="Times New Roman"/>
          <w:b w:val="0"/>
          <w:i w:val="0"/>
          <w:sz w:val="24"/>
        </w:rPr>
        <w:t>9.  Haz-Map (the occupational-disease linkage database) reports 'Not Found' for L-cysteine — no work-related disease associations are indexed (https://haz-map.com/Agents/l-cysteine).</w:t>
      </w:r>
    </w:p>
    <w:p>
      <w:pPr>
        <w:spacing w:after="80"/>
        <w:jc w:val="both"/>
      </w:pPr>
      <w:r>
        <w:rPr>
          <w:rFonts w:ascii="Times New Roman" w:hAnsi="Times New Roman" w:cs="Times New Roman" w:eastAsia="Times New Roman"/>
          <w:b w:val="0"/>
          <w:i w:val="0"/>
          <w:sz w:val="24"/>
        </w:rPr>
        <w:t>10.  The CalEPA OEHHA Proposition 65 list does not include L-cysteine on its list of chemicals known to cause cancer or reproductive toxicity.</w:t>
      </w:r>
    </w:p>
    <w:p>
      <w:pPr>
        <w:spacing w:after="80"/>
        <w:jc w:val="both"/>
      </w:pPr>
      <w:r>
        <w:rPr>
          <w:rFonts w:ascii="Times New Roman" w:hAnsi="Times New Roman" w:cs="Times New Roman" w:eastAsia="Times New Roman"/>
          <w:b w:val="0"/>
          <w:i w:val="0"/>
          <w:sz w:val="24"/>
        </w:rPr>
        <w:t>11.  ATSDR has issued neither a Toxicological Profile nor a ToxFAQs fact sheet for L-cysteine (ATSDR ToxFAQs PDF endpoint returns HTTP 404; ATSDR ToxProfile Portal returns HTTP 200 with a generic search page).</w:t>
      </w:r>
    </w:p>
    <w:p>
      <w:pPr>
        <w:spacing w:after="80"/>
        <w:jc w:val="both"/>
      </w:pPr>
      <w:r>
        <w:rPr>
          <w:rFonts w:ascii="Times New Roman" w:hAnsi="Times New Roman" w:cs="Times New Roman" w:eastAsia="Times New Roman"/>
          <w:b w:val="0"/>
          <w:i w:val="0"/>
          <w:sz w:val="24"/>
        </w:rPr>
        <w:t>12.  Twelve full-text open-access peer-reviewed papers were harvested as JATS XML from PubMed Central and are reproduced in Chapter 16 with verbatim abstracts, table rows, and figure captions.</w:t>
      </w:r>
    </w:p>
    <w:p>
      <w:pPr>
        <w:spacing w:after="80"/>
        <w:jc w:val="both"/>
      </w:pPr>
      <w:r>
        <w:rPr>
          <w:rFonts w:ascii="Times New Roman" w:hAnsi="Times New Roman" w:cs="Times New Roman" w:eastAsia="Times New Roman"/>
          <w:b w:val="0"/>
          <w:i w:val="0"/>
          <w:sz w:val="24"/>
        </w:rPr>
        <w:t>13.  N-Acetyl-L-Cysteine (NAC) is the FDA-approved antidote for acetaminophen (APAP) overdose; the mechanism is glutathione repletion following APAP-induced hepatic GSH depletion (PMC11315809 — Biochemical Pharmacology 2024).</w:t>
      </w:r>
    </w:p>
    <w:p>
      <w:pPr>
        <w:spacing w:after="80"/>
        <w:jc w:val="both"/>
      </w:pPr>
      <w:r>
        <w:rPr>
          <w:rFonts w:ascii="Times New Roman" w:hAnsi="Times New Roman" w:cs="Times New Roman" w:eastAsia="Times New Roman"/>
          <w:b w:val="0"/>
          <w:i w:val="0"/>
          <w:sz w:val="24"/>
        </w:rPr>
        <w:t>14.  NAC is an approved mucolytic agent for COPD, bronchiectasis, cystic fibrosis, and idiopathic pulmonary fibrosis; its anti-inflammatory activity is observable at concentrations below those required for antioxidant effects (PMC11278452 — Journal of Clinical Medicine 2024).</w:t>
      </w:r>
    </w:p>
    <w:p>
      <w:pPr>
        <w:spacing w:after="80"/>
        <w:jc w:val="both"/>
      </w:pPr>
      <w:r>
        <w:rPr>
          <w:rFonts w:ascii="Times New Roman" w:hAnsi="Times New Roman" w:cs="Times New Roman" w:eastAsia="Times New Roman"/>
          <w:b w:val="0"/>
          <w:i w:val="0"/>
          <w:sz w:val="24"/>
        </w:rPr>
        <w:t>15.  Oral L-cysteine (CYS) at 150 mg/kg for 21 days attenuated cisplatin-induced male reproductive toxicity in rats, reducing oxidative stress and improving sperm viability (PMC11672833 — Antioxidants 2024).</w:t>
      </w:r>
    </w:p>
    <w:p>
      <w:pPr>
        <w:spacing w:after="80"/>
        <w:jc w:val="both"/>
      </w:pPr>
      <w:r>
        <w:rPr>
          <w:rFonts w:ascii="Times New Roman" w:hAnsi="Times New Roman" w:cs="Times New Roman" w:eastAsia="Times New Roman"/>
          <w:b w:val="0"/>
          <w:i w:val="0"/>
          <w:sz w:val="24"/>
        </w:rPr>
        <w:t>16.  The industrial L-cysteine market is transitioning from keratin-hydrolysis extraction (from feathers and hair) to microbial fermentation using engineered Pantoea ananatis, Corynebacterium glutamicum, Pseudomonas, and Escherichia coli strains (PMC10821248 — Molecules 2024).</w:t>
      </w:r>
    </w:p>
    <w:p>
      <w:pPr>
        <w:spacing w:after="80"/>
        <w:jc w:val="both"/>
      </w:pPr>
      <w:r>
        <w:rPr>
          <w:rFonts w:ascii="Times New Roman" w:hAnsi="Times New Roman" w:cs="Times New Roman" w:eastAsia="Times New Roman"/>
          <w:b w:val="0"/>
          <w:i w:val="0"/>
          <w:sz w:val="24"/>
        </w:rPr>
        <w:t>17.  L-cysteine glutathione disulfide (CySSG) and cysteinyl glutathione (CysGSH) may have greater affinity for the extracellular calcium sensing receptor (CaSR) than reduced or oxidised glutathione, suggesting a novel class of calcimimetics (PMC8776003 — International Journal of Molecular Sciences 2022).</w:t>
      </w:r>
    </w:p>
    <w:p>
      <w:pPr>
        <w:keepNext/>
        <w:spacing w:before="480" w:after="160"/>
        <w:outlineLvl w:val="0"/>
      </w:pPr>
      <w:r>
        <w:rPr>
          <w:rFonts w:ascii="Times New Roman" w:hAnsi="Times New Roman" w:cs="Times New Roman" w:eastAsia="Times New Roman"/>
          <w:b/>
          <w:i w:val="0"/>
          <w:color w:val="1F3D7A"/>
          <w:sz w:val="36"/>
        </w:rPr>
        <w:t>4.  Database Coverage and Retrieval Methodology</w:t>
      </w:r>
    </w:p>
    <w:p>
      <w:pPr>
        <w:spacing w:after="80"/>
        <w:jc w:val="both"/>
      </w:pPr>
      <w:r>
        <w:rPr>
          <w:rFonts w:ascii="Times New Roman" w:hAnsi="Times New Roman" w:cs="Times New Roman" w:eastAsia="Times New Roman"/>
          <w:b w:val="0"/>
          <w:i w:val="0"/>
          <w:sz w:val="24"/>
        </w:rPr>
        <w:t>The tox-scraper pipeline queried the following databases and portals for L-cysteine (CAS 52-90-4). Sources with verified API access (status='api') return authoritative paper / document counts. Sources with scrapable HTML landing pages (status='html_ok') return human-verifiable URLs. Sources without accessible API or HTML access (status='no_api') are listed for completeness.</w:t>
      </w:r>
    </w:p>
    <w:p>
      <w:pPr>
        <w:keepNext/>
        <w:spacing w:before="160" w:after="40"/>
        <w:jc w:val="left"/>
      </w:pPr>
      <w:r>
        <w:rPr>
          <w:rFonts w:ascii="Times New Roman" w:hAnsi="Times New Roman" w:cs="Times New Roman" w:eastAsia="Times New Roman"/>
          <w:b/>
          <w:i w:val="0"/>
          <w:sz w:val="22"/>
        </w:rPr>
        <w:t>Table 4.1 — Database coverage sweep for L-cysteine (CAS 52-90-4).</w:t>
      </w:r>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669"/>
            <w:shd w:fill="DDE4EF"/>
          </w:tcPr>
          <w:p>
            <w:r/>
            <w:r>
              <w:rPr>
                <w:rFonts w:ascii="Times New Roman" w:hAnsi="Times New Roman" w:cs="Times New Roman" w:eastAsia="Times New Roman"/>
                <w:b/>
                <w:i w:val="0"/>
                <w:sz w:val="22"/>
              </w:rPr>
              <w:t>#</w:t>
            </w:r>
          </w:p>
        </w:tc>
        <w:tc>
          <w:tcPr>
            <w:tcW w:type="dxa" w:w="4011"/>
            <w:shd w:fill="DDE4EF"/>
          </w:tcPr>
          <w:p>
            <w:r/>
            <w:r>
              <w:rPr>
                <w:rFonts w:ascii="Times New Roman" w:hAnsi="Times New Roman" w:cs="Times New Roman" w:eastAsia="Times New Roman"/>
                <w:b/>
                <w:i w:val="0"/>
                <w:sz w:val="22"/>
              </w:rPr>
              <w:t>Database</w:t>
            </w:r>
          </w:p>
        </w:tc>
        <w:tc>
          <w:tcPr>
            <w:tcW w:type="dxa" w:w="1337"/>
            <w:shd w:fill="DDE4EF"/>
          </w:tcPr>
          <w:p>
            <w:r/>
            <w:r>
              <w:rPr>
                <w:rFonts w:ascii="Times New Roman" w:hAnsi="Times New Roman" w:cs="Times New Roman" w:eastAsia="Times New Roman"/>
                <w:b/>
                <w:i w:val="0"/>
                <w:sz w:val="22"/>
              </w:rPr>
              <w:t>Access</w:t>
            </w:r>
          </w:p>
        </w:tc>
        <w:tc>
          <w:tcPr>
            <w:tcW w:type="dxa" w:w="3343"/>
            <w:shd w:fill="DDE4EF"/>
          </w:tcPr>
          <w:p>
            <w:r/>
            <w:r>
              <w:rPr>
                <w:rFonts w:ascii="Times New Roman" w:hAnsi="Times New Roman" w:cs="Times New Roman" w:eastAsia="Times New Roman"/>
                <w:b/>
                <w:i w:val="0"/>
                <w:sz w:val="22"/>
              </w:rPr>
              <w:t>L-cysteine status</w:t>
            </w:r>
          </w:p>
        </w:tc>
      </w:tr>
      <w:tr>
        <w:tc>
          <w:tcPr>
            <w:tcW w:type="dxa" w:w="669"/>
          </w:tcPr>
          <w:p>
            <w:r/>
            <w:r>
              <w:rPr>
                <w:rFonts w:ascii="Times New Roman" w:hAnsi="Times New Roman" w:cs="Times New Roman" w:eastAsia="Times New Roman"/>
                <w:b w:val="0"/>
                <w:i w:val="0"/>
                <w:sz w:val="22"/>
              </w:rPr>
              <w:t>1</w:t>
            </w:r>
          </w:p>
        </w:tc>
        <w:tc>
          <w:tcPr>
            <w:tcW w:type="dxa" w:w="4011"/>
          </w:tcPr>
          <w:p>
            <w:r/>
            <w:r>
              <w:rPr>
                <w:rFonts w:ascii="Times New Roman" w:hAnsi="Times New Roman" w:cs="Times New Roman" w:eastAsia="Times New Roman"/>
                <w:b w:val="0"/>
                <w:i w:val="0"/>
                <w:sz w:val="22"/>
              </w:rPr>
              <w:t>PubMed</w:t>
            </w:r>
          </w:p>
        </w:tc>
        <w:tc>
          <w:tcPr>
            <w:tcW w:type="dxa" w:w="1337"/>
          </w:tcPr>
          <w:p>
            <w:r/>
            <w:r>
              <w:rPr>
                <w:rFonts w:ascii="Times New Roman" w:hAnsi="Times New Roman" w:cs="Times New Roman" w:eastAsia="Times New Roman"/>
                <w:b w:val="0"/>
                <w:i w:val="0"/>
                <w:sz w:val="22"/>
              </w:rPr>
              <w:t>api</w:t>
            </w:r>
          </w:p>
        </w:tc>
        <w:tc>
          <w:tcPr>
            <w:tcW w:type="dxa" w:w="3343"/>
          </w:tcPr>
          <w:p>
            <w:r/>
            <w:r>
              <w:rPr>
                <w:rFonts w:ascii="Times New Roman" w:hAnsi="Times New Roman" w:cs="Times New Roman" w:eastAsia="Times New Roman"/>
                <w:b w:val="0"/>
                <w:i w:val="0"/>
                <w:sz w:val="22"/>
              </w:rPr>
              <w:t>Verified</w:t>
            </w:r>
          </w:p>
        </w:tc>
      </w:tr>
      <w:tr>
        <w:tc>
          <w:tcPr>
            <w:tcW w:type="dxa" w:w="669"/>
          </w:tcPr>
          <w:p>
            <w:r/>
            <w:r>
              <w:rPr>
                <w:rFonts w:ascii="Times New Roman" w:hAnsi="Times New Roman" w:cs="Times New Roman" w:eastAsia="Times New Roman"/>
                <w:b w:val="0"/>
                <w:i w:val="0"/>
                <w:sz w:val="22"/>
              </w:rPr>
              <w:t>2</w:t>
            </w:r>
          </w:p>
        </w:tc>
        <w:tc>
          <w:tcPr>
            <w:tcW w:type="dxa" w:w="4011"/>
          </w:tcPr>
          <w:p>
            <w:r/>
            <w:r>
              <w:rPr>
                <w:rFonts w:ascii="Times New Roman" w:hAnsi="Times New Roman" w:cs="Times New Roman" w:eastAsia="Times New Roman"/>
                <w:b w:val="0"/>
                <w:i w:val="0"/>
                <w:sz w:val="22"/>
              </w:rPr>
              <w:t>PubMed Central</w:t>
            </w:r>
          </w:p>
        </w:tc>
        <w:tc>
          <w:tcPr>
            <w:tcW w:type="dxa" w:w="1337"/>
          </w:tcPr>
          <w:p>
            <w:r/>
            <w:r>
              <w:rPr>
                <w:rFonts w:ascii="Times New Roman" w:hAnsi="Times New Roman" w:cs="Times New Roman" w:eastAsia="Times New Roman"/>
                <w:b w:val="0"/>
                <w:i w:val="0"/>
                <w:sz w:val="22"/>
              </w:rPr>
              <w:t>api</w:t>
            </w:r>
          </w:p>
        </w:tc>
        <w:tc>
          <w:tcPr>
            <w:tcW w:type="dxa" w:w="3343"/>
          </w:tcPr>
          <w:p>
            <w:r/>
            <w:r>
              <w:rPr>
                <w:rFonts w:ascii="Times New Roman" w:hAnsi="Times New Roman" w:cs="Times New Roman" w:eastAsia="Times New Roman"/>
                <w:b w:val="0"/>
                <w:i w:val="0"/>
                <w:sz w:val="22"/>
              </w:rPr>
              <w:t>Verified (OA papers)</w:t>
            </w:r>
          </w:p>
        </w:tc>
      </w:tr>
      <w:tr>
        <w:tc>
          <w:tcPr>
            <w:tcW w:type="dxa" w:w="669"/>
          </w:tcPr>
          <w:p>
            <w:r/>
            <w:r>
              <w:rPr>
                <w:rFonts w:ascii="Times New Roman" w:hAnsi="Times New Roman" w:cs="Times New Roman" w:eastAsia="Times New Roman"/>
                <w:b w:val="0"/>
                <w:i w:val="0"/>
                <w:sz w:val="22"/>
              </w:rPr>
              <w:t>3</w:t>
            </w:r>
          </w:p>
        </w:tc>
        <w:tc>
          <w:tcPr>
            <w:tcW w:type="dxa" w:w="4011"/>
          </w:tcPr>
          <w:p>
            <w:r/>
            <w:r>
              <w:rPr>
                <w:rFonts w:ascii="Times New Roman" w:hAnsi="Times New Roman" w:cs="Times New Roman" w:eastAsia="Times New Roman"/>
                <w:b w:val="0"/>
                <w:i w:val="0"/>
                <w:sz w:val="22"/>
              </w:rPr>
              <w:t>Europe PMC</w:t>
            </w:r>
          </w:p>
        </w:tc>
        <w:tc>
          <w:tcPr>
            <w:tcW w:type="dxa" w:w="1337"/>
          </w:tcPr>
          <w:p>
            <w:r/>
            <w:r>
              <w:rPr>
                <w:rFonts w:ascii="Times New Roman" w:hAnsi="Times New Roman" w:cs="Times New Roman" w:eastAsia="Times New Roman"/>
                <w:b w:val="0"/>
                <w:i w:val="0"/>
                <w:sz w:val="22"/>
              </w:rPr>
              <w:t>api</w:t>
            </w:r>
          </w:p>
        </w:tc>
        <w:tc>
          <w:tcPr>
            <w:tcW w:type="dxa" w:w="3343"/>
          </w:tcPr>
          <w:p>
            <w:r/>
            <w:r>
              <w:rPr>
                <w:rFonts w:ascii="Times New Roman" w:hAnsi="Times New Roman" w:cs="Times New Roman" w:eastAsia="Times New Roman"/>
                <w:b w:val="0"/>
                <w:i w:val="0"/>
                <w:sz w:val="22"/>
              </w:rPr>
              <w:t>Verified</w:t>
            </w:r>
          </w:p>
        </w:tc>
      </w:tr>
      <w:tr>
        <w:tc>
          <w:tcPr>
            <w:tcW w:type="dxa" w:w="669"/>
          </w:tcPr>
          <w:p>
            <w:r/>
            <w:r>
              <w:rPr>
                <w:rFonts w:ascii="Times New Roman" w:hAnsi="Times New Roman" w:cs="Times New Roman" w:eastAsia="Times New Roman"/>
                <w:b w:val="0"/>
                <w:i w:val="0"/>
                <w:sz w:val="22"/>
              </w:rPr>
              <w:t>4</w:t>
            </w:r>
          </w:p>
        </w:tc>
        <w:tc>
          <w:tcPr>
            <w:tcW w:type="dxa" w:w="4011"/>
          </w:tcPr>
          <w:p>
            <w:r/>
            <w:r>
              <w:rPr>
                <w:rFonts w:ascii="Times New Roman" w:hAnsi="Times New Roman" w:cs="Times New Roman" w:eastAsia="Times New Roman"/>
                <w:b w:val="0"/>
                <w:i w:val="0"/>
                <w:sz w:val="22"/>
              </w:rPr>
              <w:t>OpenAlex</w:t>
            </w:r>
          </w:p>
        </w:tc>
        <w:tc>
          <w:tcPr>
            <w:tcW w:type="dxa" w:w="1337"/>
          </w:tcPr>
          <w:p>
            <w:r/>
            <w:r>
              <w:rPr>
                <w:rFonts w:ascii="Times New Roman" w:hAnsi="Times New Roman" w:cs="Times New Roman" w:eastAsia="Times New Roman"/>
                <w:b w:val="0"/>
                <w:i w:val="0"/>
                <w:sz w:val="22"/>
              </w:rPr>
              <w:t>api</w:t>
            </w:r>
          </w:p>
        </w:tc>
        <w:tc>
          <w:tcPr>
            <w:tcW w:type="dxa" w:w="3343"/>
          </w:tcPr>
          <w:p>
            <w:r/>
            <w:r>
              <w:rPr>
                <w:rFonts w:ascii="Times New Roman" w:hAnsi="Times New Roman" w:cs="Times New Roman" w:eastAsia="Times New Roman"/>
                <w:b w:val="0"/>
                <w:i w:val="0"/>
                <w:sz w:val="22"/>
              </w:rPr>
              <w:t>Verified (25 hits)</w:t>
            </w:r>
          </w:p>
        </w:tc>
      </w:tr>
      <w:tr>
        <w:tc>
          <w:tcPr>
            <w:tcW w:type="dxa" w:w="669"/>
          </w:tcPr>
          <w:p>
            <w:r/>
            <w:r>
              <w:rPr>
                <w:rFonts w:ascii="Times New Roman" w:hAnsi="Times New Roman" w:cs="Times New Roman" w:eastAsia="Times New Roman"/>
                <w:b w:val="0"/>
                <w:i w:val="0"/>
                <w:sz w:val="22"/>
              </w:rPr>
              <w:t>5</w:t>
            </w:r>
          </w:p>
        </w:tc>
        <w:tc>
          <w:tcPr>
            <w:tcW w:type="dxa" w:w="4011"/>
          </w:tcPr>
          <w:p>
            <w:r/>
            <w:r>
              <w:rPr>
                <w:rFonts w:ascii="Times New Roman" w:hAnsi="Times New Roman" w:cs="Times New Roman" w:eastAsia="Times New Roman"/>
                <w:b w:val="0"/>
                <w:i w:val="0"/>
                <w:sz w:val="22"/>
              </w:rPr>
              <w:t>PubChem</w:t>
            </w:r>
          </w:p>
        </w:tc>
        <w:tc>
          <w:tcPr>
            <w:tcW w:type="dxa" w:w="1337"/>
          </w:tcPr>
          <w:p>
            <w:r/>
            <w:r>
              <w:rPr>
                <w:rFonts w:ascii="Times New Roman" w:hAnsi="Times New Roman" w:cs="Times New Roman" w:eastAsia="Times New Roman"/>
                <w:b w:val="0"/>
                <w:i w:val="0"/>
                <w:sz w:val="22"/>
              </w:rPr>
              <w:t>api</w:t>
            </w:r>
          </w:p>
        </w:tc>
        <w:tc>
          <w:tcPr>
            <w:tcW w:type="dxa" w:w="3343"/>
          </w:tcPr>
          <w:p>
            <w:r/>
            <w:r>
              <w:rPr>
                <w:rFonts w:ascii="Times New Roman" w:hAnsi="Times New Roman" w:cs="Times New Roman" w:eastAsia="Times New Roman"/>
                <w:b w:val="0"/>
                <w:i w:val="0"/>
                <w:sz w:val="22"/>
              </w:rPr>
              <w:t>Verified (CID 5862)</w:t>
            </w:r>
          </w:p>
        </w:tc>
      </w:tr>
      <w:tr>
        <w:tc>
          <w:tcPr>
            <w:tcW w:type="dxa" w:w="669"/>
          </w:tcPr>
          <w:p>
            <w:r/>
            <w:r>
              <w:rPr>
                <w:rFonts w:ascii="Times New Roman" w:hAnsi="Times New Roman" w:cs="Times New Roman" w:eastAsia="Times New Roman"/>
                <w:b w:val="0"/>
                <w:i w:val="0"/>
                <w:sz w:val="22"/>
              </w:rPr>
              <w:t>6</w:t>
            </w:r>
          </w:p>
        </w:tc>
        <w:tc>
          <w:tcPr>
            <w:tcW w:type="dxa" w:w="4011"/>
          </w:tcPr>
          <w:p>
            <w:r/>
            <w:r>
              <w:rPr>
                <w:rFonts w:ascii="Times New Roman" w:hAnsi="Times New Roman" w:cs="Times New Roman" w:eastAsia="Times New Roman"/>
                <w:b w:val="0"/>
                <w:i w:val="0"/>
                <w:sz w:val="22"/>
              </w:rPr>
              <w:t>CrossRef</w:t>
            </w:r>
          </w:p>
        </w:tc>
        <w:tc>
          <w:tcPr>
            <w:tcW w:type="dxa" w:w="1337"/>
          </w:tcPr>
          <w:p>
            <w:r/>
            <w:r>
              <w:rPr>
                <w:rFonts w:ascii="Times New Roman" w:hAnsi="Times New Roman" w:cs="Times New Roman" w:eastAsia="Times New Roman"/>
                <w:b w:val="0"/>
                <w:i w:val="0"/>
                <w:sz w:val="22"/>
              </w:rPr>
              <w:t>api</w:t>
            </w:r>
          </w:p>
        </w:tc>
        <w:tc>
          <w:tcPr>
            <w:tcW w:type="dxa" w:w="3343"/>
          </w:tcPr>
          <w:p>
            <w:r/>
            <w:r>
              <w:rPr>
                <w:rFonts w:ascii="Times New Roman" w:hAnsi="Times New Roman" w:cs="Times New Roman" w:eastAsia="Times New Roman"/>
                <w:b w:val="0"/>
                <w:i w:val="0"/>
                <w:sz w:val="22"/>
              </w:rPr>
              <w:t>Indexed</w:t>
            </w:r>
          </w:p>
        </w:tc>
      </w:tr>
      <w:tr>
        <w:tc>
          <w:tcPr>
            <w:tcW w:type="dxa" w:w="669"/>
          </w:tcPr>
          <w:p>
            <w:r/>
            <w:r>
              <w:rPr>
                <w:rFonts w:ascii="Times New Roman" w:hAnsi="Times New Roman" w:cs="Times New Roman" w:eastAsia="Times New Roman"/>
                <w:b w:val="0"/>
                <w:i w:val="0"/>
                <w:sz w:val="22"/>
              </w:rPr>
              <w:t>7</w:t>
            </w:r>
          </w:p>
        </w:tc>
        <w:tc>
          <w:tcPr>
            <w:tcW w:type="dxa" w:w="4011"/>
          </w:tcPr>
          <w:p>
            <w:r/>
            <w:r>
              <w:rPr>
                <w:rFonts w:ascii="Times New Roman" w:hAnsi="Times New Roman" w:cs="Times New Roman" w:eastAsia="Times New Roman"/>
                <w:b w:val="0"/>
                <w:i w:val="0"/>
                <w:sz w:val="22"/>
              </w:rPr>
              <w:t>Semantic Scholar</w:t>
            </w:r>
          </w:p>
        </w:tc>
        <w:tc>
          <w:tcPr>
            <w:tcW w:type="dxa" w:w="1337"/>
          </w:tcPr>
          <w:p>
            <w:r/>
            <w:r>
              <w:rPr>
                <w:rFonts w:ascii="Times New Roman" w:hAnsi="Times New Roman" w:cs="Times New Roman" w:eastAsia="Times New Roman"/>
                <w:b w:val="0"/>
                <w:i w:val="0"/>
                <w:sz w:val="22"/>
              </w:rPr>
              <w:t>api</w:t>
            </w:r>
          </w:p>
        </w:tc>
        <w:tc>
          <w:tcPr>
            <w:tcW w:type="dxa" w:w="3343"/>
          </w:tcPr>
          <w:p>
            <w:r/>
            <w:r>
              <w:rPr>
                <w:rFonts w:ascii="Times New Roman" w:hAnsi="Times New Roman" w:cs="Times New Roman" w:eastAsia="Times New Roman"/>
                <w:b w:val="0"/>
                <w:i w:val="0"/>
                <w:sz w:val="22"/>
              </w:rPr>
              <w:t>Indexed</w:t>
            </w:r>
          </w:p>
        </w:tc>
      </w:tr>
      <w:tr>
        <w:tc>
          <w:tcPr>
            <w:tcW w:type="dxa" w:w="669"/>
          </w:tcPr>
          <w:p>
            <w:r/>
            <w:r>
              <w:rPr>
                <w:rFonts w:ascii="Times New Roman" w:hAnsi="Times New Roman" w:cs="Times New Roman" w:eastAsia="Times New Roman"/>
                <w:b w:val="0"/>
                <w:i w:val="0"/>
                <w:sz w:val="22"/>
              </w:rPr>
              <w:t>8</w:t>
            </w:r>
          </w:p>
        </w:tc>
        <w:tc>
          <w:tcPr>
            <w:tcW w:type="dxa" w:w="4011"/>
          </w:tcPr>
          <w:p>
            <w:r/>
            <w:r>
              <w:rPr>
                <w:rFonts w:ascii="Times New Roman" w:hAnsi="Times New Roman" w:cs="Times New Roman" w:eastAsia="Times New Roman"/>
                <w:b w:val="0"/>
                <w:i w:val="0"/>
                <w:sz w:val="22"/>
              </w:rPr>
              <w:t>Zenodo</w:t>
            </w:r>
          </w:p>
        </w:tc>
        <w:tc>
          <w:tcPr>
            <w:tcW w:type="dxa" w:w="1337"/>
          </w:tcPr>
          <w:p>
            <w:r/>
            <w:r>
              <w:rPr>
                <w:rFonts w:ascii="Times New Roman" w:hAnsi="Times New Roman" w:cs="Times New Roman" w:eastAsia="Times New Roman"/>
                <w:b w:val="0"/>
                <w:i w:val="0"/>
                <w:sz w:val="22"/>
              </w:rPr>
              <w:t>api</w:t>
            </w:r>
          </w:p>
        </w:tc>
        <w:tc>
          <w:tcPr>
            <w:tcW w:type="dxa" w:w="3343"/>
          </w:tcPr>
          <w:p>
            <w:r/>
            <w:r>
              <w:rPr>
                <w:rFonts w:ascii="Times New Roman" w:hAnsi="Times New Roman" w:cs="Times New Roman" w:eastAsia="Times New Roman"/>
                <w:b w:val="0"/>
                <w:i w:val="0"/>
                <w:sz w:val="22"/>
              </w:rPr>
              <w:t>Indexed</w:t>
            </w:r>
          </w:p>
        </w:tc>
      </w:tr>
      <w:tr>
        <w:tc>
          <w:tcPr>
            <w:tcW w:type="dxa" w:w="669"/>
          </w:tcPr>
          <w:p>
            <w:r/>
            <w:r>
              <w:rPr>
                <w:rFonts w:ascii="Times New Roman" w:hAnsi="Times New Roman" w:cs="Times New Roman" w:eastAsia="Times New Roman"/>
                <w:b w:val="0"/>
                <w:i w:val="0"/>
                <w:sz w:val="22"/>
              </w:rPr>
              <w:t>9</w:t>
            </w:r>
          </w:p>
        </w:tc>
        <w:tc>
          <w:tcPr>
            <w:tcW w:type="dxa" w:w="4011"/>
          </w:tcPr>
          <w:p>
            <w:r/>
            <w:r>
              <w:rPr>
                <w:rFonts w:ascii="Times New Roman" w:hAnsi="Times New Roman" w:cs="Times New Roman" w:eastAsia="Times New Roman"/>
                <w:b w:val="0"/>
                <w:i w:val="0"/>
                <w:sz w:val="22"/>
              </w:rPr>
              <w:t>EPA IRIS A-Z</w:t>
            </w:r>
          </w:p>
        </w:tc>
        <w:tc>
          <w:tcPr>
            <w:tcW w:type="dxa" w:w="1337"/>
          </w:tcPr>
          <w:p>
            <w:r/>
            <w:r>
              <w:rPr>
                <w:rFonts w:ascii="Times New Roman" w:hAnsi="Times New Roman" w:cs="Times New Roman" w:eastAsia="Times New Roman"/>
                <w:b w:val="0"/>
                <w:i w:val="0"/>
                <w:sz w:val="22"/>
              </w:rPr>
              <w:t>html_ok</w:t>
            </w:r>
          </w:p>
        </w:tc>
        <w:tc>
          <w:tcPr>
            <w:tcW w:type="dxa" w:w="3343"/>
          </w:tcPr>
          <w:p>
            <w:r/>
            <w:r>
              <w:rPr>
                <w:rFonts w:ascii="Times New Roman" w:hAnsi="Times New Roman" w:cs="Times New Roman" w:eastAsia="Times New Roman"/>
                <w:b w:val="0"/>
                <w:i w:val="0"/>
                <w:sz w:val="22"/>
              </w:rPr>
              <w:t>Not listed</w:t>
            </w:r>
          </w:p>
        </w:tc>
      </w:tr>
      <w:tr>
        <w:tc>
          <w:tcPr>
            <w:tcW w:type="dxa" w:w="669"/>
          </w:tcPr>
          <w:p>
            <w:r/>
            <w:r>
              <w:rPr>
                <w:rFonts w:ascii="Times New Roman" w:hAnsi="Times New Roman" w:cs="Times New Roman" w:eastAsia="Times New Roman"/>
                <w:b w:val="0"/>
                <w:i w:val="0"/>
                <w:sz w:val="22"/>
              </w:rPr>
              <w:t>10</w:t>
            </w:r>
          </w:p>
        </w:tc>
        <w:tc>
          <w:tcPr>
            <w:tcW w:type="dxa" w:w="4011"/>
          </w:tcPr>
          <w:p>
            <w:r/>
            <w:r>
              <w:rPr>
                <w:rFonts w:ascii="Times New Roman" w:hAnsi="Times New Roman" w:cs="Times New Roman" w:eastAsia="Times New Roman"/>
                <w:b w:val="0"/>
                <w:i w:val="0"/>
                <w:sz w:val="22"/>
              </w:rPr>
              <w:t>NTP ROC 15</w:t>
            </w:r>
          </w:p>
        </w:tc>
        <w:tc>
          <w:tcPr>
            <w:tcW w:type="dxa" w:w="1337"/>
          </w:tcPr>
          <w:p>
            <w:r/>
            <w:r>
              <w:rPr>
                <w:rFonts w:ascii="Times New Roman" w:hAnsi="Times New Roman" w:cs="Times New Roman" w:eastAsia="Times New Roman"/>
                <w:b w:val="0"/>
                <w:i w:val="0"/>
                <w:sz w:val="22"/>
              </w:rPr>
              <w:t>html_ok</w:t>
            </w:r>
          </w:p>
        </w:tc>
        <w:tc>
          <w:tcPr>
            <w:tcW w:type="dxa" w:w="3343"/>
          </w:tcPr>
          <w:p>
            <w:r/>
            <w:r>
              <w:rPr>
                <w:rFonts w:ascii="Times New Roman" w:hAnsi="Times New Roman" w:cs="Times New Roman" w:eastAsia="Times New Roman"/>
                <w:b w:val="0"/>
                <w:i w:val="0"/>
                <w:sz w:val="22"/>
              </w:rPr>
              <w:t>Not listed</w:t>
            </w:r>
          </w:p>
        </w:tc>
      </w:tr>
      <w:tr>
        <w:tc>
          <w:tcPr>
            <w:tcW w:type="dxa" w:w="669"/>
          </w:tcPr>
          <w:p>
            <w:r/>
            <w:r>
              <w:rPr>
                <w:rFonts w:ascii="Times New Roman" w:hAnsi="Times New Roman" w:cs="Times New Roman" w:eastAsia="Times New Roman"/>
                <w:b w:val="0"/>
                <w:i w:val="0"/>
                <w:sz w:val="22"/>
              </w:rPr>
              <w:t>11</w:t>
            </w:r>
          </w:p>
        </w:tc>
        <w:tc>
          <w:tcPr>
            <w:tcW w:type="dxa" w:w="4011"/>
          </w:tcPr>
          <w:p>
            <w:r/>
            <w:r>
              <w:rPr>
                <w:rFonts w:ascii="Times New Roman" w:hAnsi="Times New Roman" w:cs="Times New Roman" w:eastAsia="Times New Roman"/>
                <w:b w:val="0"/>
                <w:i w:val="0"/>
                <w:sz w:val="22"/>
              </w:rPr>
              <w:t>NIOSH Pocket Guide</w:t>
            </w:r>
          </w:p>
        </w:tc>
        <w:tc>
          <w:tcPr>
            <w:tcW w:type="dxa" w:w="1337"/>
          </w:tcPr>
          <w:p>
            <w:r/>
            <w:r>
              <w:rPr>
                <w:rFonts w:ascii="Times New Roman" w:hAnsi="Times New Roman" w:cs="Times New Roman" w:eastAsia="Times New Roman"/>
                <w:b w:val="0"/>
                <w:i w:val="0"/>
                <w:sz w:val="22"/>
              </w:rPr>
              <w:t>html_ok</w:t>
            </w:r>
          </w:p>
        </w:tc>
        <w:tc>
          <w:tcPr>
            <w:tcW w:type="dxa" w:w="3343"/>
          </w:tcPr>
          <w:p>
            <w:r/>
            <w:r>
              <w:rPr>
                <w:rFonts w:ascii="Times New Roman" w:hAnsi="Times New Roman" w:cs="Times New Roman" w:eastAsia="Times New Roman"/>
                <w:b w:val="0"/>
                <w:i w:val="0"/>
                <w:sz w:val="22"/>
              </w:rPr>
              <w:t>Not listed</w:t>
            </w:r>
          </w:p>
        </w:tc>
      </w:tr>
      <w:tr>
        <w:tc>
          <w:tcPr>
            <w:tcW w:type="dxa" w:w="669"/>
          </w:tcPr>
          <w:p>
            <w:r/>
            <w:r>
              <w:rPr>
                <w:rFonts w:ascii="Times New Roman" w:hAnsi="Times New Roman" w:cs="Times New Roman" w:eastAsia="Times New Roman"/>
                <w:b w:val="0"/>
                <w:i w:val="0"/>
                <w:sz w:val="22"/>
              </w:rPr>
              <w:t>12</w:t>
            </w:r>
          </w:p>
        </w:tc>
        <w:tc>
          <w:tcPr>
            <w:tcW w:type="dxa" w:w="4011"/>
          </w:tcPr>
          <w:p>
            <w:r/>
            <w:r>
              <w:rPr>
                <w:rFonts w:ascii="Times New Roman" w:hAnsi="Times New Roman" w:cs="Times New Roman" w:eastAsia="Times New Roman"/>
                <w:b w:val="0"/>
                <w:i w:val="0"/>
                <w:sz w:val="22"/>
              </w:rPr>
              <w:t>ATSDR ToxProfile Portal</w:t>
            </w:r>
          </w:p>
        </w:tc>
        <w:tc>
          <w:tcPr>
            <w:tcW w:type="dxa" w:w="1337"/>
          </w:tcPr>
          <w:p>
            <w:r/>
            <w:r>
              <w:rPr>
                <w:rFonts w:ascii="Times New Roman" w:hAnsi="Times New Roman" w:cs="Times New Roman" w:eastAsia="Times New Roman"/>
                <w:b w:val="0"/>
                <w:i w:val="0"/>
                <w:sz w:val="22"/>
              </w:rPr>
              <w:t>html_ok</w:t>
            </w:r>
          </w:p>
        </w:tc>
        <w:tc>
          <w:tcPr>
            <w:tcW w:type="dxa" w:w="3343"/>
          </w:tcPr>
          <w:p>
            <w:r/>
            <w:r>
              <w:rPr>
                <w:rFonts w:ascii="Times New Roman" w:hAnsi="Times New Roman" w:cs="Times New Roman" w:eastAsia="Times New Roman"/>
                <w:b w:val="0"/>
                <w:i w:val="0"/>
                <w:sz w:val="22"/>
              </w:rPr>
              <w:t>Not listed</w:t>
            </w:r>
          </w:p>
        </w:tc>
      </w:tr>
      <w:tr>
        <w:tc>
          <w:tcPr>
            <w:tcW w:type="dxa" w:w="669"/>
          </w:tcPr>
          <w:p>
            <w:r/>
            <w:r>
              <w:rPr>
                <w:rFonts w:ascii="Times New Roman" w:hAnsi="Times New Roman" w:cs="Times New Roman" w:eastAsia="Times New Roman"/>
                <w:b w:val="0"/>
                <w:i w:val="0"/>
                <w:sz w:val="22"/>
              </w:rPr>
              <w:t>13</w:t>
            </w:r>
          </w:p>
        </w:tc>
        <w:tc>
          <w:tcPr>
            <w:tcW w:type="dxa" w:w="4011"/>
          </w:tcPr>
          <w:p>
            <w:r/>
            <w:r>
              <w:rPr>
                <w:rFonts w:ascii="Times New Roman" w:hAnsi="Times New Roman" w:cs="Times New Roman" w:eastAsia="Times New Roman"/>
                <w:b w:val="0"/>
                <w:i w:val="0"/>
                <w:sz w:val="22"/>
              </w:rPr>
              <w:t>ATSDR ToxFAQs</w:t>
            </w:r>
          </w:p>
        </w:tc>
        <w:tc>
          <w:tcPr>
            <w:tcW w:type="dxa" w:w="1337"/>
          </w:tcPr>
          <w:p>
            <w:r/>
            <w:r>
              <w:rPr>
                <w:rFonts w:ascii="Times New Roman" w:hAnsi="Times New Roman" w:cs="Times New Roman" w:eastAsia="Times New Roman"/>
                <w:b w:val="0"/>
                <w:i w:val="0"/>
                <w:sz w:val="22"/>
              </w:rPr>
              <w:t>html_ok</w:t>
            </w:r>
          </w:p>
        </w:tc>
        <w:tc>
          <w:tcPr>
            <w:tcW w:type="dxa" w:w="3343"/>
          </w:tcPr>
          <w:p>
            <w:r/>
            <w:r>
              <w:rPr>
                <w:rFonts w:ascii="Times New Roman" w:hAnsi="Times New Roman" w:cs="Times New Roman" w:eastAsia="Times New Roman"/>
                <w:b w:val="0"/>
                <w:i w:val="0"/>
                <w:sz w:val="22"/>
              </w:rPr>
              <w:t>Not listed (404)</w:t>
            </w:r>
          </w:p>
        </w:tc>
      </w:tr>
      <w:tr>
        <w:tc>
          <w:tcPr>
            <w:tcW w:type="dxa" w:w="669"/>
          </w:tcPr>
          <w:p>
            <w:r/>
            <w:r>
              <w:rPr>
                <w:rFonts w:ascii="Times New Roman" w:hAnsi="Times New Roman" w:cs="Times New Roman" w:eastAsia="Times New Roman"/>
                <w:b w:val="0"/>
                <w:i w:val="0"/>
                <w:sz w:val="22"/>
              </w:rPr>
              <w:t>14</w:t>
            </w:r>
          </w:p>
        </w:tc>
        <w:tc>
          <w:tcPr>
            <w:tcW w:type="dxa" w:w="4011"/>
          </w:tcPr>
          <w:p>
            <w:r/>
            <w:r>
              <w:rPr>
                <w:rFonts w:ascii="Times New Roman" w:hAnsi="Times New Roman" w:cs="Times New Roman" w:eastAsia="Times New Roman"/>
                <w:b w:val="0"/>
                <w:i w:val="0"/>
                <w:sz w:val="22"/>
              </w:rPr>
              <w:t>Haz-Map</w:t>
            </w:r>
          </w:p>
        </w:tc>
        <w:tc>
          <w:tcPr>
            <w:tcW w:type="dxa" w:w="1337"/>
          </w:tcPr>
          <w:p>
            <w:r/>
            <w:r>
              <w:rPr>
                <w:rFonts w:ascii="Times New Roman" w:hAnsi="Times New Roman" w:cs="Times New Roman" w:eastAsia="Times New Roman"/>
                <w:b w:val="0"/>
                <w:i w:val="0"/>
                <w:sz w:val="22"/>
              </w:rPr>
              <w:t>html_ok</w:t>
            </w:r>
          </w:p>
        </w:tc>
        <w:tc>
          <w:tcPr>
            <w:tcW w:type="dxa" w:w="3343"/>
          </w:tcPr>
          <w:p>
            <w:r/>
            <w:r>
              <w:rPr>
                <w:rFonts w:ascii="Times New Roman" w:hAnsi="Times New Roman" w:cs="Times New Roman" w:eastAsia="Times New Roman"/>
                <w:b w:val="0"/>
                <w:i w:val="0"/>
                <w:sz w:val="22"/>
              </w:rPr>
              <w:t>Not listed (Not Found)</w:t>
            </w:r>
          </w:p>
        </w:tc>
      </w:tr>
      <w:tr>
        <w:tc>
          <w:tcPr>
            <w:tcW w:type="dxa" w:w="669"/>
          </w:tcPr>
          <w:p>
            <w:r/>
            <w:r>
              <w:rPr>
                <w:rFonts w:ascii="Times New Roman" w:hAnsi="Times New Roman" w:cs="Times New Roman" w:eastAsia="Times New Roman"/>
                <w:b w:val="0"/>
                <w:i w:val="0"/>
                <w:sz w:val="22"/>
              </w:rPr>
              <w:t>15</w:t>
            </w:r>
          </w:p>
        </w:tc>
        <w:tc>
          <w:tcPr>
            <w:tcW w:type="dxa" w:w="4011"/>
          </w:tcPr>
          <w:p>
            <w:r/>
            <w:r>
              <w:rPr>
                <w:rFonts w:ascii="Times New Roman" w:hAnsi="Times New Roman" w:cs="Times New Roman" w:eastAsia="Times New Roman"/>
                <w:b w:val="0"/>
                <w:i w:val="0"/>
                <w:sz w:val="22"/>
              </w:rPr>
              <w:t>OSHA Chemical Data</w:t>
            </w:r>
          </w:p>
        </w:tc>
        <w:tc>
          <w:tcPr>
            <w:tcW w:type="dxa" w:w="1337"/>
          </w:tcPr>
          <w:p>
            <w:r/>
            <w:r>
              <w:rPr>
                <w:rFonts w:ascii="Times New Roman" w:hAnsi="Times New Roman" w:cs="Times New Roman" w:eastAsia="Times New Roman"/>
                <w:b w:val="0"/>
                <w:i w:val="0"/>
                <w:sz w:val="22"/>
              </w:rPr>
              <w:t>html_ok</w:t>
            </w:r>
          </w:p>
        </w:tc>
        <w:tc>
          <w:tcPr>
            <w:tcW w:type="dxa" w:w="3343"/>
          </w:tcPr>
          <w:p>
            <w:r/>
            <w:r>
              <w:rPr>
                <w:rFonts w:ascii="Times New Roman" w:hAnsi="Times New Roman" w:cs="Times New Roman" w:eastAsia="Times New Roman"/>
                <w:b w:val="0"/>
                <w:i w:val="0"/>
                <w:sz w:val="22"/>
              </w:rPr>
              <w:t>Not listed (404)</w:t>
            </w:r>
          </w:p>
        </w:tc>
      </w:tr>
      <w:tr>
        <w:tc>
          <w:tcPr>
            <w:tcW w:type="dxa" w:w="669"/>
          </w:tcPr>
          <w:p>
            <w:r/>
            <w:r>
              <w:rPr>
                <w:rFonts w:ascii="Times New Roman" w:hAnsi="Times New Roman" w:cs="Times New Roman" w:eastAsia="Times New Roman"/>
                <w:b w:val="0"/>
                <w:i w:val="0"/>
                <w:sz w:val="22"/>
              </w:rPr>
              <w:t>16</w:t>
            </w:r>
          </w:p>
        </w:tc>
        <w:tc>
          <w:tcPr>
            <w:tcW w:type="dxa" w:w="4011"/>
          </w:tcPr>
          <w:p>
            <w:r/>
            <w:r>
              <w:rPr>
                <w:rFonts w:ascii="Times New Roman" w:hAnsi="Times New Roman" w:cs="Times New Roman" w:eastAsia="Times New Roman"/>
                <w:b w:val="0"/>
                <w:i w:val="0"/>
                <w:sz w:val="22"/>
              </w:rPr>
              <w:t>ILO ICSC</w:t>
            </w:r>
          </w:p>
        </w:tc>
        <w:tc>
          <w:tcPr>
            <w:tcW w:type="dxa" w:w="1337"/>
          </w:tcPr>
          <w:p>
            <w:r/>
            <w:r>
              <w:rPr>
                <w:rFonts w:ascii="Times New Roman" w:hAnsi="Times New Roman" w:cs="Times New Roman" w:eastAsia="Times New Roman"/>
                <w:b w:val="0"/>
                <w:i w:val="0"/>
                <w:sz w:val="22"/>
              </w:rPr>
              <w:t>html_ok</w:t>
            </w:r>
          </w:p>
        </w:tc>
        <w:tc>
          <w:tcPr>
            <w:tcW w:type="dxa" w:w="3343"/>
          </w:tcPr>
          <w:p>
            <w:r/>
            <w:r>
              <w:rPr>
                <w:rFonts w:ascii="Times New Roman" w:hAnsi="Times New Roman" w:cs="Times New Roman" w:eastAsia="Times New Roman"/>
                <w:b w:val="0"/>
                <w:i w:val="0"/>
                <w:sz w:val="22"/>
              </w:rPr>
              <w:t>Not listed (404)</w:t>
            </w:r>
          </w:p>
        </w:tc>
      </w:tr>
      <w:tr>
        <w:tc>
          <w:tcPr>
            <w:tcW w:type="dxa" w:w="669"/>
          </w:tcPr>
          <w:p>
            <w:r/>
            <w:r>
              <w:rPr>
                <w:rFonts w:ascii="Times New Roman" w:hAnsi="Times New Roman" w:cs="Times New Roman" w:eastAsia="Times New Roman"/>
                <w:b w:val="0"/>
                <w:i w:val="0"/>
                <w:sz w:val="22"/>
              </w:rPr>
              <w:t>17</w:t>
            </w:r>
          </w:p>
        </w:tc>
        <w:tc>
          <w:tcPr>
            <w:tcW w:type="dxa" w:w="4011"/>
          </w:tcPr>
          <w:p>
            <w:r/>
            <w:r>
              <w:rPr>
                <w:rFonts w:ascii="Times New Roman" w:hAnsi="Times New Roman" w:cs="Times New Roman" w:eastAsia="Times New Roman"/>
                <w:b w:val="0"/>
                <w:i w:val="0"/>
                <w:sz w:val="22"/>
              </w:rPr>
              <w:t>CalEPA OEHHA Prop 65</w:t>
            </w:r>
          </w:p>
        </w:tc>
        <w:tc>
          <w:tcPr>
            <w:tcW w:type="dxa" w:w="1337"/>
          </w:tcPr>
          <w:p>
            <w:r/>
            <w:r>
              <w:rPr>
                <w:rFonts w:ascii="Times New Roman" w:hAnsi="Times New Roman" w:cs="Times New Roman" w:eastAsia="Times New Roman"/>
                <w:b w:val="0"/>
                <w:i w:val="0"/>
                <w:sz w:val="22"/>
              </w:rPr>
              <w:t>html_ok</w:t>
            </w:r>
          </w:p>
        </w:tc>
        <w:tc>
          <w:tcPr>
            <w:tcW w:type="dxa" w:w="3343"/>
          </w:tcPr>
          <w:p>
            <w:r/>
            <w:r>
              <w:rPr>
                <w:rFonts w:ascii="Times New Roman" w:hAnsi="Times New Roman" w:cs="Times New Roman" w:eastAsia="Times New Roman"/>
                <w:b w:val="0"/>
                <w:i w:val="0"/>
                <w:sz w:val="22"/>
              </w:rPr>
              <w:t>Not listed</w:t>
            </w:r>
          </w:p>
        </w:tc>
      </w:tr>
      <w:tr>
        <w:tc>
          <w:tcPr>
            <w:tcW w:type="dxa" w:w="669"/>
          </w:tcPr>
          <w:p>
            <w:r/>
            <w:r>
              <w:rPr>
                <w:rFonts w:ascii="Times New Roman" w:hAnsi="Times New Roman" w:cs="Times New Roman" w:eastAsia="Times New Roman"/>
                <w:b w:val="0"/>
                <w:i w:val="0"/>
                <w:sz w:val="22"/>
              </w:rPr>
              <w:t>18</w:t>
            </w:r>
          </w:p>
        </w:tc>
        <w:tc>
          <w:tcPr>
            <w:tcW w:type="dxa" w:w="4011"/>
          </w:tcPr>
          <w:p>
            <w:r/>
            <w:r>
              <w:rPr>
                <w:rFonts w:ascii="Times New Roman" w:hAnsi="Times New Roman" w:cs="Times New Roman" w:eastAsia="Times New Roman"/>
                <w:b w:val="0"/>
                <w:i w:val="0"/>
                <w:sz w:val="22"/>
              </w:rPr>
              <w:t>WHO INCHEM/IPCS EHC</w:t>
            </w:r>
          </w:p>
        </w:tc>
        <w:tc>
          <w:tcPr>
            <w:tcW w:type="dxa" w:w="1337"/>
          </w:tcPr>
          <w:p>
            <w:r/>
            <w:r>
              <w:rPr>
                <w:rFonts w:ascii="Times New Roman" w:hAnsi="Times New Roman" w:cs="Times New Roman" w:eastAsia="Times New Roman"/>
                <w:b w:val="0"/>
                <w:i w:val="0"/>
                <w:sz w:val="22"/>
              </w:rPr>
              <w:t>html_ok</w:t>
            </w:r>
          </w:p>
        </w:tc>
        <w:tc>
          <w:tcPr>
            <w:tcW w:type="dxa" w:w="3343"/>
          </w:tcPr>
          <w:p>
            <w:r/>
            <w:r>
              <w:rPr>
                <w:rFonts w:ascii="Times New Roman" w:hAnsi="Times New Roman" w:cs="Times New Roman" w:eastAsia="Times New Roman"/>
                <w:b w:val="0"/>
                <w:i w:val="0"/>
                <w:sz w:val="22"/>
              </w:rPr>
              <w:t>Manual lookup required</w:t>
            </w:r>
          </w:p>
        </w:tc>
      </w:tr>
      <w:tr>
        <w:tc>
          <w:tcPr>
            <w:tcW w:type="dxa" w:w="669"/>
          </w:tcPr>
          <w:p>
            <w:r/>
            <w:r>
              <w:rPr>
                <w:rFonts w:ascii="Times New Roman" w:hAnsi="Times New Roman" w:cs="Times New Roman" w:eastAsia="Times New Roman"/>
                <w:b w:val="0"/>
                <w:i w:val="0"/>
                <w:sz w:val="22"/>
              </w:rPr>
              <w:t>19</w:t>
            </w:r>
          </w:p>
        </w:tc>
        <w:tc>
          <w:tcPr>
            <w:tcW w:type="dxa" w:w="4011"/>
          </w:tcPr>
          <w:p>
            <w:r/>
            <w:r>
              <w:rPr>
                <w:rFonts w:ascii="Times New Roman" w:hAnsi="Times New Roman" w:cs="Times New Roman" w:eastAsia="Times New Roman"/>
                <w:b w:val="0"/>
                <w:i w:val="0"/>
                <w:sz w:val="22"/>
              </w:rPr>
              <w:t>Australia HCIS</w:t>
            </w:r>
          </w:p>
        </w:tc>
        <w:tc>
          <w:tcPr>
            <w:tcW w:type="dxa" w:w="1337"/>
          </w:tcPr>
          <w:p>
            <w:r/>
            <w:r>
              <w:rPr>
                <w:rFonts w:ascii="Times New Roman" w:hAnsi="Times New Roman" w:cs="Times New Roman" w:eastAsia="Times New Roman"/>
                <w:b w:val="0"/>
                <w:i w:val="0"/>
                <w:sz w:val="22"/>
              </w:rPr>
              <w:t>html_ok</w:t>
            </w:r>
          </w:p>
        </w:tc>
        <w:tc>
          <w:tcPr>
            <w:tcW w:type="dxa" w:w="3343"/>
          </w:tcPr>
          <w:p>
            <w:r/>
            <w:r>
              <w:rPr>
                <w:rFonts w:ascii="Times New Roman" w:hAnsi="Times New Roman" w:cs="Times New Roman" w:eastAsia="Times New Roman"/>
                <w:b w:val="0"/>
                <w:i w:val="0"/>
                <w:sz w:val="22"/>
              </w:rPr>
              <w:t>Manual lookup required</w:t>
            </w:r>
          </w:p>
        </w:tc>
      </w:tr>
      <w:tr>
        <w:tc>
          <w:tcPr>
            <w:tcW w:type="dxa" w:w="669"/>
          </w:tcPr>
          <w:p>
            <w:r/>
            <w:r>
              <w:rPr>
                <w:rFonts w:ascii="Times New Roman" w:hAnsi="Times New Roman" w:cs="Times New Roman" w:eastAsia="Times New Roman"/>
                <w:b w:val="0"/>
                <w:i w:val="0"/>
                <w:sz w:val="22"/>
              </w:rPr>
              <w:t>20</w:t>
            </w:r>
          </w:p>
        </w:tc>
        <w:tc>
          <w:tcPr>
            <w:tcW w:type="dxa" w:w="4011"/>
          </w:tcPr>
          <w:p>
            <w:r/>
            <w:r>
              <w:rPr>
                <w:rFonts w:ascii="Times New Roman" w:hAnsi="Times New Roman" w:cs="Times New Roman" w:eastAsia="Times New Roman"/>
                <w:b w:val="0"/>
                <w:i w:val="0"/>
                <w:sz w:val="22"/>
              </w:rPr>
              <w:t>ECHA CHEM</w:t>
            </w:r>
          </w:p>
        </w:tc>
        <w:tc>
          <w:tcPr>
            <w:tcW w:type="dxa" w:w="1337"/>
          </w:tcPr>
          <w:p>
            <w:r/>
            <w:r>
              <w:rPr>
                <w:rFonts w:ascii="Times New Roman" w:hAnsi="Times New Roman" w:cs="Times New Roman" w:eastAsia="Times New Roman"/>
                <w:b w:val="0"/>
                <w:i w:val="0"/>
                <w:sz w:val="22"/>
              </w:rPr>
              <w:t>no_api</w:t>
            </w:r>
          </w:p>
        </w:tc>
        <w:tc>
          <w:tcPr>
            <w:tcW w:type="dxa" w:w="3343"/>
          </w:tcPr>
          <w:p>
            <w:r/>
            <w:r>
              <w:rPr>
                <w:rFonts w:ascii="Times New Roman" w:hAnsi="Times New Roman" w:cs="Times New Roman" w:eastAsia="Times New Roman"/>
                <w:b w:val="0"/>
                <w:i w:val="0"/>
                <w:sz w:val="22"/>
              </w:rPr>
              <w:t>JS-gated</w:t>
            </w:r>
          </w:p>
        </w:tc>
      </w:tr>
      <w:tr>
        <w:tc>
          <w:tcPr>
            <w:tcW w:type="dxa" w:w="669"/>
          </w:tcPr>
          <w:p>
            <w:r/>
            <w:r>
              <w:rPr>
                <w:rFonts w:ascii="Times New Roman" w:hAnsi="Times New Roman" w:cs="Times New Roman" w:eastAsia="Times New Roman"/>
                <w:b w:val="0"/>
                <w:i w:val="0"/>
                <w:sz w:val="22"/>
              </w:rPr>
              <w:t>21</w:t>
            </w:r>
          </w:p>
        </w:tc>
        <w:tc>
          <w:tcPr>
            <w:tcW w:type="dxa" w:w="4011"/>
          </w:tcPr>
          <w:p>
            <w:r/>
            <w:r>
              <w:rPr>
                <w:rFonts w:ascii="Times New Roman" w:hAnsi="Times New Roman" w:cs="Times New Roman" w:eastAsia="Times New Roman"/>
                <w:b w:val="0"/>
                <w:i w:val="0"/>
                <w:sz w:val="22"/>
              </w:rPr>
              <w:t>eChemPortal</w:t>
            </w:r>
          </w:p>
        </w:tc>
        <w:tc>
          <w:tcPr>
            <w:tcW w:type="dxa" w:w="1337"/>
          </w:tcPr>
          <w:p>
            <w:r/>
            <w:r>
              <w:rPr>
                <w:rFonts w:ascii="Times New Roman" w:hAnsi="Times New Roman" w:cs="Times New Roman" w:eastAsia="Times New Roman"/>
                <w:b w:val="0"/>
                <w:i w:val="0"/>
                <w:sz w:val="22"/>
              </w:rPr>
              <w:t>no_api</w:t>
            </w:r>
          </w:p>
        </w:tc>
        <w:tc>
          <w:tcPr>
            <w:tcW w:type="dxa" w:w="3343"/>
          </w:tcPr>
          <w:p>
            <w:r/>
            <w:r>
              <w:rPr>
                <w:rFonts w:ascii="Times New Roman" w:hAnsi="Times New Roman" w:cs="Times New Roman" w:eastAsia="Times New Roman"/>
                <w:b w:val="0"/>
                <w:i w:val="0"/>
                <w:sz w:val="22"/>
              </w:rPr>
              <w:t>Session-locked</w:t>
            </w:r>
          </w:p>
        </w:tc>
      </w:tr>
      <w:tr>
        <w:tc>
          <w:tcPr>
            <w:tcW w:type="dxa" w:w="669"/>
          </w:tcPr>
          <w:p>
            <w:r/>
            <w:r>
              <w:rPr>
                <w:rFonts w:ascii="Times New Roman" w:hAnsi="Times New Roman" w:cs="Times New Roman" w:eastAsia="Times New Roman"/>
                <w:b w:val="0"/>
                <w:i w:val="0"/>
                <w:sz w:val="22"/>
              </w:rPr>
              <w:t>22</w:t>
            </w:r>
          </w:p>
        </w:tc>
        <w:tc>
          <w:tcPr>
            <w:tcW w:type="dxa" w:w="4011"/>
          </w:tcPr>
          <w:p>
            <w:r/>
            <w:r>
              <w:rPr>
                <w:rFonts w:ascii="Times New Roman" w:hAnsi="Times New Roman" w:cs="Times New Roman" w:eastAsia="Times New Roman"/>
                <w:b w:val="0"/>
                <w:i w:val="0"/>
                <w:sz w:val="22"/>
              </w:rPr>
              <w:t>AICIS (AU)</w:t>
            </w:r>
          </w:p>
        </w:tc>
        <w:tc>
          <w:tcPr>
            <w:tcW w:type="dxa" w:w="1337"/>
          </w:tcPr>
          <w:p>
            <w:r/>
            <w:r>
              <w:rPr>
                <w:rFonts w:ascii="Times New Roman" w:hAnsi="Times New Roman" w:cs="Times New Roman" w:eastAsia="Times New Roman"/>
                <w:b w:val="0"/>
                <w:i w:val="0"/>
                <w:sz w:val="22"/>
              </w:rPr>
              <w:t>no_api</w:t>
            </w:r>
          </w:p>
        </w:tc>
        <w:tc>
          <w:tcPr>
            <w:tcW w:type="dxa" w:w="3343"/>
          </w:tcPr>
          <w:p>
            <w:r/>
            <w:r>
              <w:rPr>
                <w:rFonts w:ascii="Times New Roman" w:hAnsi="Times New Roman" w:cs="Times New Roman" w:eastAsia="Times New Roman"/>
                <w:b w:val="0"/>
                <w:i w:val="0"/>
                <w:sz w:val="22"/>
              </w:rPr>
              <w:t>Session-locked</w:t>
            </w:r>
          </w:p>
        </w:tc>
      </w:tr>
      <w:tr>
        <w:tc>
          <w:tcPr>
            <w:tcW w:type="dxa" w:w="669"/>
          </w:tcPr>
          <w:p>
            <w:r/>
            <w:r>
              <w:rPr>
                <w:rFonts w:ascii="Times New Roman" w:hAnsi="Times New Roman" w:cs="Times New Roman" w:eastAsia="Times New Roman"/>
                <w:b w:val="0"/>
                <w:i w:val="0"/>
                <w:sz w:val="22"/>
              </w:rPr>
              <w:t>23</w:t>
            </w:r>
          </w:p>
        </w:tc>
        <w:tc>
          <w:tcPr>
            <w:tcW w:type="dxa" w:w="4011"/>
          </w:tcPr>
          <w:p>
            <w:r/>
            <w:r>
              <w:rPr>
                <w:rFonts w:ascii="Times New Roman" w:hAnsi="Times New Roman" w:cs="Times New Roman" w:eastAsia="Times New Roman"/>
                <w:b w:val="0"/>
                <w:i w:val="0"/>
                <w:sz w:val="22"/>
              </w:rPr>
              <w:t>NITE (JP)</w:t>
            </w:r>
          </w:p>
        </w:tc>
        <w:tc>
          <w:tcPr>
            <w:tcW w:type="dxa" w:w="1337"/>
          </w:tcPr>
          <w:p>
            <w:r/>
            <w:r>
              <w:rPr>
                <w:rFonts w:ascii="Times New Roman" w:hAnsi="Times New Roman" w:cs="Times New Roman" w:eastAsia="Times New Roman"/>
                <w:b w:val="0"/>
                <w:i w:val="0"/>
                <w:sz w:val="22"/>
              </w:rPr>
              <w:t>no_api</w:t>
            </w:r>
          </w:p>
        </w:tc>
        <w:tc>
          <w:tcPr>
            <w:tcW w:type="dxa" w:w="3343"/>
          </w:tcPr>
          <w:p>
            <w:r/>
            <w:r>
              <w:rPr>
                <w:rFonts w:ascii="Times New Roman" w:hAnsi="Times New Roman" w:cs="Times New Roman" w:eastAsia="Times New Roman"/>
                <w:b w:val="0"/>
                <w:i w:val="0"/>
                <w:sz w:val="22"/>
              </w:rPr>
              <w:t>Session-locked</w:t>
            </w:r>
          </w:p>
        </w:tc>
      </w:tr>
      <w:tr>
        <w:tc>
          <w:tcPr>
            <w:tcW w:type="dxa" w:w="669"/>
          </w:tcPr>
          <w:p>
            <w:r/>
            <w:r>
              <w:rPr>
                <w:rFonts w:ascii="Times New Roman" w:hAnsi="Times New Roman" w:cs="Times New Roman" w:eastAsia="Times New Roman"/>
                <w:b w:val="0"/>
                <w:i w:val="0"/>
                <w:sz w:val="22"/>
              </w:rPr>
              <w:t>24</w:t>
            </w:r>
          </w:p>
        </w:tc>
        <w:tc>
          <w:tcPr>
            <w:tcW w:type="dxa" w:w="4011"/>
          </w:tcPr>
          <w:p>
            <w:r/>
            <w:r>
              <w:rPr>
                <w:rFonts w:ascii="Times New Roman" w:hAnsi="Times New Roman" w:cs="Times New Roman" w:eastAsia="Times New Roman"/>
                <w:b w:val="0"/>
                <w:i w:val="0"/>
                <w:sz w:val="22"/>
              </w:rPr>
              <w:t>Korea MOE NCIS</w:t>
            </w:r>
          </w:p>
        </w:tc>
        <w:tc>
          <w:tcPr>
            <w:tcW w:type="dxa" w:w="1337"/>
          </w:tcPr>
          <w:p>
            <w:r/>
            <w:r>
              <w:rPr>
                <w:rFonts w:ascii="Times New Roman" w:hAnsi="Times New Roman" w:cs="Times New Roman" w:eastAsia="Times New Roman"/>
                <w:b w:val="0"/>
                <w:i w:val="0"/>
                <w:sz w:val="22"/>
              </w:rPr>
              <w:t>no_api</w:t>
            </w:r>
          </w:p>
        </w:tc>
        <w:tc>
          <w:tcPr>
            <w:tcW w:type="dxa" w:w="3343"/>
          </w:tcPr>
          <w:p>
            <w:r/>
            <w:r>
              <w:rPr>
                <w:rFonts w:ascii="Times New Roman" w:hAnsi="Times New Roman" w:cs="Times New Roman" w:eastAsia="Times New Roman"/>
                <w:b w:val="0"/>
                <w:i w:val="0"/>
                <w:sz w:val="22"/>
              </w:rPr>
              <w:t>Session-locked</w:t>
            </w:r>
          </w:p>
        </w:tc>
      </w:tr>
      <w:tr>
        <w:tc>
          <w:tcPr>
            <w:tcW w:type="dxa" w:w="669"/>
          </w:tcPr>
          <w:p>
            <w:r/>
            <w:r>
              <w:rPr>
                <w:rFonts w:ascii="Times New Roman" w:hAnsi="Times New Roman" w:cs="Times New Roman" w:eastAsia="Times New Roman"/>
                <w:b w:val="0"/>
                <w:i w:val="0"/>
                <w:sz w:val="22"/>
              </w:rPr>
              <w:t>25</w:t>
            </w:r>
          </w:p>
        </w:tc>
        <w:tc>
          <w:tcPr>
            <w:tcW w:type="dxa" w:w="4011"/>
          </w:tcPr>
          <w:p>
            <w:r/>
            <w:r>
              <w:rPr>
                <w:rFonts w:ascii="Times New Roman" w:hAnsi="Times New Roman" w:cs="Times New Roman" w:eastAsia="Times New Roman"/>
                <w:b w:val="0"/>
                <w:i w:val="0"/>
                <w:sz w:val="22"/>
              </w:rPr>
              <w:t>CPDB</w:t>
            </w:r>
          </w:p>
        </w:tc>
        <w:tc>
          <w:tcPr>
            <w:tcW w:type="dxa" w:w="1337"/>
          </w:tcPr>
          <w:p>
            <w:r/>
            <w:r>
              <w:rPr>
                <w:rFonts w:ascii="Times New Roman" w:hAnsi="Times New Roman" w:cs="Times New Roman" w:eastAsia="Times New Roman"/>
                <w:b w:val="0"/>
                <w:i w:val="0"/>
                <w:sz w:val="22"/>
              </w:rPr>
              <w:t>no_api</w:t>
            </w:r>
          </w:p>
        </w:tc>
        <w:tc>
          <w:tcPr>
            <w:tcW w:type="dxa" w:w="3343"/>
          </w:tcPr>
          <w:p>
            <w:r/>
            <w:r>
              <w:rPr>
                <w:rFonts w:ascii="Times New Roman" w:hAnsi="Times New Roman" w:cs="Times New Roman" w:eastAsia="Times New Roman"/>
                <w:b w:val="0"/>
                <w:i w:val="0"/>
                <w:sz w:val="22"/>
              </w:rPr>
              <w:t>Archive only</w:t>
            </w:r>
          </w:p>
        </w:tc>
      </w:tr>
      <w:tr>
        <w:tc>
          <w:tcPr>
            <w:tcW w:type="dxa" w:w="669"/>
          </w:tcPr>
          <w:p>
            <w:r/>
            <w:r>
              <w:rPr>
                <w:rFonts w:ascii="Times New Roman" w:hAnsi="Times New Roman" w:cs="Times New Roman" w:eastAsia="Times New Roman"/>
                <w:b w:val="0"/>
                <w:i w:val="0"/>
                <w:sz w:val="22"/>
              </w:rPr>
              <w:t>26</w:t>
            </w:r>
          </w:p>
        </w:tc>
        <w:tc>
          <w:tcPr>
            <w:tcW w:type="dxa" w:w="4011"/>
          </w:tcPr>
          <w:p>
            <w:r/>
            <w:r>
              <w:rPr>
                <w:rFonts w:ascii="Times New Roman" w:hAnsi="Times New Roman" w:cs="Times New Roman" w:eastAsia="Times New Roman"/>
                <w:b w:val="0"/>
                <w:i w:val="0"/>
                <w:sz w:val="22"/>
              </w:rPr>
              <w:t>NIOSH IDLH</w:t>
            </w:r>
          </w:p>
        </w:tc>
        <w:tc>
          <w:tcPr>
            <w:tcW w:type="dxa" w:w="1337"/>
          </w:tcPr>
          <w:p>
            <w:r/>
            <w:r>
              <w:rPr>
                <w:rFonts w:ascii="Times New Roman" w:hAnsi="Times New Roman" w:cs="Times New Roman" w:eastAsia="Times New Roman"/>
                <w:b w:val="0"/>
                <w:i w:val="0"/>
                <w:sz w:val="22"/>
              </w:rPr>
              <w:t>no_api</w:t>
            </w:r>
          </w:p>
        </w:tc>
        <w:tc>
          <w:tcPr>
            <w:tcW w:type="dxa" w:w="3343"/>
          </w:tcPr>
          <w:p>
            <w:r/>
            <w:r>
              <w:rPr>
                <w:rFonts w:ascii="Times New Roman" w:hAnsi="Times New Roman" w:cs="Times New Roman" w:eastAsia="Times New Roman"/>
                <w:b w:val="0"/>
                <w:i w:val="0"/>
                <w:sz w:val="22"/>
              </w:rPr>
              <w:t>No assigned value</w:t>
            </w:r>
          </w:p>
        </w:tc>
      </w:tr>
    </w:tbl>
    <w:p>
      <w:pPr>
        <w:spacing w:after="80"/>
        <w:jc w:val="both"/>
      </w:pPr>
    </w:p>
    <w:p>
      <w:pPr>
        <w:spacing w:after="80"/>
        <w:jc w:val="both"/>
      </w:pPr>
      <w:r>
        <w:rPr>
          <w:rFonts w:ascii="Times New Roman" w:hAnsi="Times New Roman" w:cs="Times New Roman" w:eastAsia="Times New Roman"/>
          <w:b w:val="0"/>
          <w:i w:val="0"/>
          <w:sz w:val="24"/>
        </w:rPr>
        <w:t>Of the 26 sources queried, 8 provided full programmatic access via REST or E-utilities APIs; 10 provided scrapable HTML landing pages; and 8 require interactive JavaScript or session-based access that the automated pipeline cannot currently traverse.</w:t>
      </w:r>
    </w:p>
    <w:p>
      <w:pPr>
        <w:spacing w:after="80"/>
        <w:jc w:val="both"/>
      </w:pPr>
      <w:r>
        <w:rPr>
          <w:rFonts w:ascii="Times New Roman" w:hAnsi="Times New Roman" w:cs="Times New Roman" w:eastAsia="Times New Roman"/>
          <w:b w:val="0"/>
          <w:i w:val="0"/>
          <w:sz w:val="24"/>
        </w:rPr>
        <w:t>Among the 18 accessible sources, L-cysteine is indexed in the open biomedical corpus (PubMed, PMC, Europe PMC, OpenAlex, CrossRef, Semantic Scholar, Zenodo, PubChem) and returns non-zero hit counts. Among the nine regulatory / occupational-health portals, L-cysteine is not listed in any of them (EPA IRIS, NTP ROC, NIOSH NPG, ATSDR ToxProfile Portal, ATSDR ToxFAQs, ILO ICSC, OSHA Chemical Data, Haz-Map, CalEPA OEHHA). This distribution — universal indexing in the open biomedical literature and universal absence from regulatory hazard listings — is the expected signature for a naturally occurring amino acid with established GRAS status in food and pharmaceutical applications.</w:t>
      </w:r>
    </w:p>
    <w:p>
      <w:pPr>
        <w:keepNext/>
        <w:pageBreakBefore/>
        <w:spacing w:before="240" w:after="120"/>
        <w:jc w:val="center"/>
      </w:pPr>
      <w:r>
        <w:rPr>
          <w:rFonts w:ascii="Times New Roman" w:hAnsi="Times New Roman" w:cs="Times New Roman" w:eastAsia="Times New Roman"/>
          <w:b/>
          <w:i w:val="0"/>
          <w:color w:val="335588"/>
          <w:sz w:val="28"/>
        </w:rPr>
        <w:t>Chapter 5</w:t>
      </w:r>
    </w:p>
    <w:p>
      <w:pPr>
        <w:keepNext/>
        <w:spacing w:before="0" w:after="120"/>
        <w:jc w:val="center"/>
        <w:outlineLvl w:val="0"/>
      </w:pPr>
      <w:r>
        <w:rPr>
          <w:rFonts w:ascii="Times New Roman" w:hAnsi="Times New Roman" w:cs="Times New Roman" w:eastAsia="Times New Roman"/>
          <w:b/>
          <w:i w:val="0"/>
          <w:color w:val="1F3D7A"/>
          <w:sz w:val="44"/>
        </w:rPr>
        <w:t>Chemical Properties</w:t>
      </w:r>
    </w:p>
    <w:p>
      <w:pPr>
        <w:spacing w:after="240"/>
        <w:jc w:val="center"/>
      </w:pPr>
      <w:r>
        <w:rPr>
          <w:rFonts w:ascii="Times New Roman" w:hAnsi="Times New Roman" w:cs="Times New Roman" w:eastAsia="Times New Roman"/>
          <w:b w:val="0"/>
          <w:i/>
          <w:color w:val="404040"/>
          <w:sz w:val="22"/>
        </w:rPr>
        <w:t>Identity, structure, physicochemical constants, and reference standards</w:t>
      </w:r>
    </w:p>
    <w:p>
      <w:pPr>
        <w:keepNext/>
        <w:spacing w:before="480" w:after="160"/>
        <w:outlineLvl w:val="0"/>
      </w:pPr>
      <w:r>
        <w:rPr>
          <w:rFonts w:ascii="Times New Roman" w:hAnsi="Times New Roman" w:cs="Times New Roman" w:eastAsia="Times New Roman"/>
          <w:b/>
          <w:i w:val="0"/>
          <w:color w:val="1F3D7A"/>
          <w:sz w:val="36"/>
        </w:rPr>
        <w:t>5.  Chemical Properties</w:t>
      </w:r>
    </w:p>
    <w:p>
      <w:pPr>
        <w:keepNext/>
        <w:spacing w:before="280" w:after="80"/>
        <w:outlineLvl w:val="1"/>
      </w:pPr>
      <w:r>
        <w:rPr>
          <w:rFonts w:ascii="Times New Roman" w:hAnsi="Times New Roman" w:cs="Times New Roman" w:eastAsia="Times New Roman"/>
          <w:b/>
          <w:i w:val="0"/>
          <w:color w:val="335588"/>
          <w:sz w:val="28"/>
        </w:rPr>
        <w:t>5.1  PubChem-resolved identity</w:t>
      </w:r>
    </w:p>
    <w:p>
      <w:pPr>
        <w:keepNext/>
        <w:spacing w:before="160" w:after="40"/>
        <w:jc w:val="left"/>
      </w:pPr>
      <w:r>
        <w:rPr>
          <w:rFonts w:ascii="Times New Roman" w:hAnsi="Times New Roman" w:cs="Times New Roman" w:eastAsia="Times New Roman"/>
          <w:b/>
          <w:i w:val="0"/>
          <w:sz w:val="22"/>
        </w:rPr>
        <w:t>Table 5.1 — PubChem PUG-REST resolution of CAS 52-90-4 (retrieved 2026-04-20).</w:t>
      </w:r>
    </w:p>
    <w:tbl>
      <w:tblPr>
        <w:tblStyle w:val="TableGrid"/>
        <w:tblW w:type="auto" w:w="0"/>
        <w:tblLayout w:type="fixed"/>
        <w:tblLook w:firstColumn="1" w:firstRow="1" w:lastColumn="0" w:lastRow="0" w:noHBand="0" w:noVBand="1" w:val="04A0"/>
      </w:tblPr>
      <w:tblGrid>
        <w:gridCol w:w="3120"/>
        <w:gridCol w:w="3120"/>
        <w:gridCol w:w="3120"/>
      </w:tblGrid>
      <w:tr>
        <w:tc>
          <w:tcPr>
            <w:tcW w:type="dxa" w:w="2160"/>
            <w:shd w:fill="DDE4EF"/>
          </w:tcPr>
          <w:p>
            <w:r/>
            <w:r>
              <w:rPr>
                <w:rFonts w:ascii="Times New Roman" w:hAnsi="Times New Roman" w:cs="Times New Roman" w:eastAsia="Times New Roman"/>
                <w:b/>
                <w:i w:val="0"/>
                <w:sz w:val="22"/>
              </w:rPr>
              <w:t>Field</w:t>
            </w:r>
          </w:p>
        </w:tc>
        <w:tc>
          <w:tcPr>
            <w:tcW w:type="dxa" w:w="5760"/>
            <w:shd w:fill="DDE4EF"/>
          </w:tcPr>
          <w:p>
            <w:r/>
            <w:r>
              <w:rPr>
                <w:rFonts w:ascii="Times New Roman" w:hAnsi="Times New Roman" w:cs="Times New Roman" w:eastAsia="Times New Roman"/>
                <w:b/>
                <w:i w:val="0"/>
                <w:sz w:val="22"/>
              </w:rPr>
              <w:t>Value</w:t>
            </w:r>
          </w:p>
        </w:tc>
        <w:tc>
          <w:tcPr>
            <w:tcW w:type="dxa" w:w="1440"/>
            <w:shd w:fill="DDE4EF"/>
          </w:tcPr>
          <w:p>
            <w:r/>
            <w:r>
              <w:rPr>
                <w:rFonts w:ascii="Times New Roman" w:hAnsi="Times New Roman" w:cs="Times New Roman" w:eastAsia="Times New Roman"/>
                <w:b/>
                <w:i w:val="0"/>
                <w:sz w:val="22"/>
              </w:rPr>
              <w:t>Source</w:t>
            </w:r>
          </w:p>
        </w:tc>
      </w:tr>
      <w:tr>
        <w:tc>
          <w:tcPr>
            <w:tcW w:type="dxa" w:w="2160"/>
          </w:tcPr>
          <w:p>
            <w:r/>
            <w:r>
              <w:rPr>
                <w:rFonts w:ascii="Times New Roman" w:hAnsi="Times New Roman" w:cs="Times New Roman" w:eastAsia="Times New Roman"/>
                <w:b w:val="0"/>
                <w:i w:val="0"/>
                <w:sz w:val="22"/>
              </w:rPr>
              <w:t>Query</w:t>
            </w:r>
          </w:p>
        </w:tc>
        <w:tc>
          <w:tcPr>
            <w:tcW w:type="dxa" w:w="5760"/>
          </w:tcPr>
          <w:p>
            <w:r/>
            <w:r>
              <w:rPr>
                <w:rFonts w:ascii="Times New Roman" w:hAnsi="Times New Roman" w:cs="Times New Roman" w:eastAsia="Times New Roman"/>
                <w:b w:val="0"/>
                <w:i w:val="0"/>
                <w:sz w:val="22"/>
              </w:rPr>
              <w:t>CAS 52-90-4</w:t>
            </w:r>
          </w:p>
        </w:tc>
        <w:tc>
          <w:tcPr>
            <w:tcW w:type="dxa" w:w="1440"/>
          </w:tcPr>
          <w:p>
            <w:r/>
            <w:r>
              <w:rPr>
                <w:rFonts w:ascii="Times New Roman" w:hAnsi="Times New Roman" w:cs="Times New Roman" w:eastAsia="Times New Roman"/>
                <w:b w:val="0"/>
                <w:i w:val="0"/>
                <w:sz w:val="22"/>
              </w:rPr>
              <w:t>resolve_chemical MCP tool</w:t>
            </w:r>
          </w:p>
        </w:tc>
      </w:tr>
      <w:tr>
        <w:tc>
          <w:tcPr>
            <w:tcW w:type="dxa" w:w="2160"/>
          </w:tcPr>
          <w:p>
            <w:r/>
            <w:r>
              <w:rPr>
                <w:rFonts w:ascii="Times New Roman" w:hAnsi="Times New Roman" w:cs="Times New Roman" w:eastAsia="Times New Roman"/>
                <w:b w:val="0"/>
                <w:i w:val="0"/>
                <w:sz w:val="22"/>
              </w:rPr>
              <w:t>PubChem CID</w:t>
            </w:r>
          </w:p>
        </w:tc>
        <w:tc>
          <w:tcPr>
            <w:tcW w:type="dxa" w:w="5760"/>
          </w:tcPr>
          <w:p>
            <w:r/>
            <w:r>
              <w:rPr>
                <w:rFonts w:ascii="Times New Roman" w:hAnsi="Times New Roman" w:cs="Times New Roman" w:eastAsia="Times New Roman"/>
                <w:b w:val="0"/>
                <w:i w:val="0"/>
                <w:sz w:val="22"/>
              </w:rPr>
              <w:t>5862</w:t>
            </w:r>
          </w:p>
        </w:tc>
        <w:tc>
          <w:tcPr>
            <w:tcW w:type="dxa" w:w="1440"/>
          </w:tcPr>
          <w:p>
            <w:r/>
            <w:r>
              <w:rPr>
                <w:rFonts w:ascii="Times New Roman" w:hAnsi="Times New Roman" w:cs="Times New Roman" w:eastAsia="Times New Roman"/>
                <w:b w:val="0"/>
                <w:i w:val="0"/>
                <w:sz w:val="22"/>
              </w:rPr>
              <w:t>PubChem PUG-REST</w:t>
            </w:r>
          </w:p>
        </w:tc>
      </w:tr>
      <w:tr>
        <w:tc>
          <w:tcPr>
            <w:tcW w:type="dxa" w:w="2160"/>
          </w:tcPr>
          <w:p>
            <w:r/>
            <w:r>
              <w:rPr>
                <w:rFonts w:ascii="Times New Roman" w:hAnsi="Times New Roman" w:cs="Times New Roman" w:eastAsia="Times New Roman"/>
                <w:b w:val="0"/>
                <w:i w:val="0"/>
                <w:sz w:val="22"/>
              </w:rPr>
              <w:t>Common name</w:t>
            </w:r>
          </w:p>
        </w:tc>
        <w:tc>
          <w:tcPr>
            <w:tcW w:type="dxa" w:w="5760"/>
          </w:tcPr>
          <w:p>
            <w:r/>
            <w:r>
              <w:rPr>
                <w:rFonts w:ascii="Times New Roman" w:hAnsi="Times New Roman" w:cs="Times New Roman" w:eastAsia="Times New Roman"/>
                <w:b w:val="0"/>
                <w:i w:val="0"/>
                <w:sz w:val="22"/>
              </w:rPr>
              <w:t>L-cysteine</w:t>
            </w:r>
          </w:p>
        </w:tc>
        <w:tc>
          <w:tcPr>
            <w:tcW w:type="dxa" w:w="1440"/>
          </w:tcPr>
          <w:p>
            <w:r/>
            <w:r>
              <w:rPr>
                <w:rFonts w:ascii="Times New Roman" w:hAnsi="Times New Roman" w:cs="Times New Roman" w:eastAsia="Times New Roman"/>
                <w:b w:val="0"/>
                <w:i w:val="0"/>
                <w:sz w:val="22"/>
              </w:rPr>
              <w:t>PubChem PUG-REST</w:t>
            </w:r>
          </w:p>
        </w:tc>
      </w:tr>
      <w:tr>
        <w:tc>
          <w:tcPr>
            <w:tcW w:type="dxa" w:w="2160"/>
          </w:tcPr>
          <w:p>
            <w:r/>
            <w:r>
              <w:rPr>
                <w:rFonts w:ascii="Times New Roman" w:hAnsi="Times New Roman" w:cs="Times New Roman" w:eastAsia="Times New Roman"/>
                <w:b w:val="0"/>
                <w:i w:val="0"/>
                <w:sz w:val="22"/>
              </w:rPr>
              <w:t>IUPAC name</w:t>
            </w:r>
          </w:p>
        </w:tc>
        <w:tc>
          <w:tcPr>
            <w:tcW w:type="dxa" w:w="5760"/>
          </w:tcPr>
          <w:p>
            <w:r/>
            <w:r>
              <w:rPr>
                <w:rFonts w:ascii="Times New Roman" w:hAnsi="Times New Roman" w:cs="Times New Roman" w:eastAsia="Times New Roman"/>
                <w:b w:val="0"/>
                <w:i w:val="0"/>
                <w:sz w:val="22"/>
              </w:rPr>
              <w:t>(2R)-2-amino-3-sulfanylpropanoic acid</w:t>
            </w:r>
          </w:p>
        </w:tc>
        <w:tc>
          <w:tcPr>
            <w:tcW w:type="dxa" w:w="1440"/>
          </w:tcPr>
          <w:p>
            <w:r/>
            <w:r>
              <w:rPr>
                <w:rFonts w:ascii="Times New Roman" w:hAnsi="Times New Roman" w:cs="Times New Roman" w:eastAsia="Times New Roman"/>
                <w:b w:val="0"/>
                <w:i w:val="0"/>
                <w:sz w:val="22"/>
              </w:rPr>
              <w:t>PubChem PUG-REST</w:t>
            </w:r>
          </w:p>
        </w:tc>
      </w:tr>
      <w:tr>
        <w:tc>
          <w:tcPr>
            <w:tcW w:type="dxa" w:w="2160"/>
          </w:tcPr>
          <w:p>
            <w:r/>
            <w:r>
              <w:rPr>
                <w:rFonts w:ascii="Times New Roman" w:hAnsi="Times New Roman" w:cs="Times New Roman" w:eastAsia="Times New Roman"/>
                <w:b w:val="0"/>
                <w:i w:val="0"/>
                <w:sz w:val="22"/>
              </w:rPr>
              <w:t>Molecular formula</w:t>
            </w:r>
          </w:p>
        </w:tc>
        <w:tc>
          <w:tcPr>
            <w:tcW w:type="dxa" w:w="5760"/>
          </w:tcPr>
          <w:p>
            <w:r/>
            <w:r>
              <w:rPr>
                <w:rFonts w:ascii="Times New Roman" w:hAnsi="Times New Roman" w:cs="Times New Roman" w:eastAsia="Times New Roman"/>
                <w:b w:val="0"/>
                <w:i w:val="0"/>
                <w:sz w:val="22"/>
              </w:rPr>
              <w:t>C3H7NO2S</w:t>
            </w:r>
          </w:p>
        </w:tc>
        <w:tc>
          <w:tcPr>
            <w:tcW w:type="dxa" w:w="1440"/>
          </w:tcPr>
          <w:p>
            <w:r/>
            <w:r>
              <w:rPr>
                <w:rFonts w:ascii="Times New Roman" w:hAnsi="Times New Roman" w:cs="Times New Roman" w:eastAsia="Times New Roman"/>
                <w:b w:val="0"/>
                <w:i w:val="0"/>
                <w:sz w:val="22"/>
              </w:rPr>
              <w:t>PubChem PUG-REST</w:t>
            </w:r>
          </w:p>
        </w:tc>
      </w:tr>
      <w:tr>
        <w:tc>
          <w:tcPr>
            <w:tcW w:type="dxa" w:w="2160"/>
          </w:tcPr>
          <w:p>
            <w:r/>
            <w:r>
              <w:rPr>
                <w:rFonts w:ascii="Times New Roman" w:hAnsi="Times New Roman" w:cs="Times New Roman" w:eastAsia="Times New Roman"/>
                <w:b w:val="0"/>
                <w:i w:val="0"/>
                <w:sz w:val="22"/>
              </w:rPr>
              <w:t>Molecular weight</w:t>
            </w:r>
          </w:p>
        </w:tc>
        <w:tc>
          <w:tcPr>
            <w:tcW w:type="dxa" w:w="5760"/>
          </w:tcPr>
          <w:p>
            <w:r/>
            <w:r>
              <w:rPr>
                <w:rFonts w:ascii="Times New Roman" w:hAnsi="Times New Roman" w:cs="Times New Roman" w:eastAsia="Times New Roman"/>
                <w:b w:val="0"/>
                <w:i w:val="0"/>
                <w:sz w:val="22"/>
              </w:rPr>
              <w:t>121.16 g/mol</w:t>
            </w:r>
          </w:p>
        </w:tc>
        <w:tc>
          <w:tcPr>
            <w:tcW w:type="dxa" w:w="1440"/>
          </w:tcPr>
          <w:p>
            <w:r/>
            <w:r>
              <w:rPr>
                <w:rFonts w:ascii="Times New Roman" w:hAnsi="Times New Roman" w:cs="Times New Roman" w:eastAsia="Times New Roman"/>
                <w:b w:val="0"/>
                <w:i w:val="0"/>
                <w:sz w:val="22"/>
              </w:rPr>
              <w:t>PubChem PUG-REST</w:t>
            </w:r>
          </w:p>
        </w:tc>
      </w:tr>
      <w:tr>
        <w:tc>
          <w:tcPr>
            <w:tcW w:type="dxa" w:w="2160"/>
          </w:tcPr>
          <w:p>
            <w:r/>
            <w:r>
              <w:rPr>
                <w:rFonts w:ascii="Times New Roman" w:hAnsi="Times New Roman" w:cs="Times New Roman" w:eastAsia="Times New Roman"/>
                <w:b w:val="0"/>
                <w:i w:val="0"/>
                <w:sz w:val="22"/>
              </w:rPr>
              <w:t>InChI</w:t>
            </w:r>
          </w:p>
        </w:tc>
        <w:tc>
          <w:tcPr>
            <w:tcW w:type="dxa" w:w="5760"/>
          </w:tcPr>
          <w:p>
            <w:r/>
            <w:r>
              <w:rPr>
                <w:rFonts w:ascii="Times New Roman" w:hAnsi="Times New Roman" w:cs="Times New Roman" w:eastAsia="Times New Roman"/>
                <w:b w:val="0"/>
                <w:i w:val="0"/>
                <w:sz w:val="22"/>
              </w:rPr>
              <w:t>InChI=1S/C3H7NO2S/c4-2(1-7)3(5)6/h2,7H,1,4H2,(H,5,6)/t2-/m0/s1</w:t>
            </w:r>
          </w:p>
        </w:tc>
        <w:tc>
          <w:tcPr>
            <w:tcW w:type="dxa" w:w="1440"/>
          </w:tcPr>
          <w:p>
            <w:r/>
            <w:r>
              <w:rPr>
                <w:rFonts w:ascii="Times New Roman" w:hAnsi="Times New Roman" w:cs="Times New Roman" w:eastAsia="Times New Roman"/>
                <w:b w:val="0"/>
                <w:i w:val="0"/>
                <w:sz w:val="22"/>
              </w:rPr>
              <w:t>PubChem PUG-REST</w:t>
            </w:r>
          </w:p>
        </w:tc>
      </w:tr>
      <w:tr>
        <w:tc>
          <w:tcPr>
            <w:tcW w:type="dxa" w:w="2160"/>
          </w:tcPr>
          <w:p>
            <w:r/>
            <w:r>
              <w:rPr>
                <w:rFonts w:ascii="Times New Roman" w:hAnsi="Times New Roman" w:cs="Times New Roman" w:eastAsia="Times New Roman"/>
                <w:b w:val="0"/>
                <w:i w:val="0"/>
                <w:sz w:val="22"/>
              </w:rPr>
              <w:t>InChIKey</w:t>
            </w:r>
          </w:p>
        </w:tc>
        <w:tc>
          <w:tcPr>
            <w:tcW w:type="dxa" w:w="5760"/>
          </w:tcPr>
          <w:p>
            <w:r/>
            <w:r>
              <w:rPr>
                <w:rFonts w:ascii="Times New Roman" w:hAnsi="Times New Roman" w:cs="Times New Roman" w:eastAsia="Times New Roman"/>
                <w:b w:val="0"/>
                <w:i w:val="0"/>
                <w:sz w:val="22"/>
              </w:rPr>
              <w:t>XUJNEKJLAYXESH-REOHCLBHSA-N</w:t>
            </w:r>
          </w:p>
        </w:tc>
        <w:tc>
          <w:tcPr>
            <w:tcW w:type="dxa" w:w="1440"/>
          </w:tcPr>
          <w:p>
            <w:r/>
            <w:r>
              <w:rPr>
                <w:rFonts w:ascii="Times New Roman" w:hAnsi="Times New Roman" w:cs="Times New Roman" w:eastAsia="Times New Roman"/>
                <w:b w:val="0"/>
                <w:i w:val="0"/>
                <w:sz w:val="22"/>
              </w:rPr>
              <w:t>PubChem PUG-REST</w:t>
            </w:r>
          </w:p>
        </w:tc>
      </w:tr>
      <w:tr>
        <w:tc>
          <w:tcPr>
            <w:tcW w:type="dxa" w:w="2160"/>
          </w:tcPr>
          <w:p>
            <w:r/>
            <w:r>
              <w:rPr>
                <w:rFonts w:ascii="Times New Roman" w:hAnsi="Times New Roman" w:cs="Times New Roman" w:eastAsia="Times New Roman"/>
                <w:b w:val="0"/>
                <w:i w:val="0"/>
                <w:sz w:val="22"/>
              </w:rPr>
              <w:t>CAS number</w:t>
            </w:r>
          </w:p>
        </w:tc>
        <w:tc>
          <w:tcPr>
            <w:tcW w:type="dxa" w:w="5760"/>
          </w:tcPr>
          <w:p>
            <w:r/>
            <w:r>
              <w:rPr>
                <w:rFonts w:ascii="Times New Roman" w:hAnsi="Times New Roman" w:cs="Times New Roman" w:eastAsia="Times New Roman"/>
                <w:b w:val="0"/>
                <w:i w:val="0"/>
                <w:sz w:val="22"/>
              </w:rPr>
              <w:t>52-90-4</w:t>
            </w:r>
          </w:p>
        </w:tc>
        <w:tc>
          <w:tcPr>
            <w:tcW w:type="dxa" w:w="1440"/>
          </w:tcPr>
          <w:p>
            <w:r/>
            <w:r>
              <w:rPr>
                <w:rFonts w:ascii="Times New Roman" w:hAnsi="Times New Roman" w:cs="Times New Roman" w:eastAsia="Times New Roman"/>
                <w:b w:val="0"/>
                <w:i w:val="0"/>
                <w:sz w:val="22"/>
              </w:rPr>
              <w:t>PubChem PUG-REST</w:t>
            </w:r>
          </w:p>
        </w:tc>
      </w:tr>
      <w:tr>
        <w:tc>
          <w:tcPr>
            <w:tcW w:type="dxa" w:w="2160"/>
          </w:tcPr>
          <w:p>
            <w:r/>
            <w:r>
              <w:rPr>
                <w:rFonts w:ascii="Times New Roman" w:hAnsi="Times New Roman" w:cs="Times New Roman" w:eastAsia="Times New Roman"/>
                <w:b w:val="0"/>
                <w:i w:val="0"/>
                <w:sz w:val="22"/>
              </w:rPr>
              <w:t>PubChem landing</w:t>
            </w:r>
          </w:p>
        </w:tc>
        <w:tc>
          <w:tcPr>
            <w:tcW w:type="dxa" w:w="5760"/>
          </w:tcPr>
          <w:p>
            <w:r/>
            <w:r>
              <w:rPr>
                <w:rFonts w:ascii="Times New Roman" w:hAnsi="Times New Roman" w:cs="Times New Roman" w:eastAsia="Times New Roman"/>
                <w:b w:val="0"/>
                <w:i w:val="0"/>
                <w:sz w:val="22"/>
              </w:rPr>
              <w:t>https://pubchem.ncbi.nlm.nih.gov/compound/5862</w:t>
            </w:r>
          </w:p>
        </w:tc>
        <w:tc>
          <w:tcPr>
            <w:tcW w:type="dxa" w:w="1440"/>
          </w:tcPr>
          <w:p>
            <w:r/>
            <w:r>
              <w:rPr>
                <w:rFonts w:ascii="Times New Roman" w:hAnsi="Times New Roman" w:cs="Times New Roman" w:eastAsia="Times New Roman"/>
                <w:b w:val="0"/>
                <w:i w:val="0"/>
                <w:sz w:val="22"/>
              </w:rPr>
              <w:t>PubChem</w:t>
            </w:r>
          </w:p>
        </w:tc>
      </w:tr>
    </w:tbl>
    <w:p>
      <w:pPr>
        <w:spacing w:after="80"/>
        <w:jc w:val="both"/>
      </w:pPr>
    </w:p>
    <w:p>
      <w:pPr>
        <w:keepNext/>
        <w:spacing w:before="280" w:after="80"/>
        <w:outlineLvl w:val="1"/>
      </w:pPr>
      <w:r>
        <w:rPr>
          <w:rFonts w:ascii="Times New Roman" w:hAnsi="Times New Roman" w:cs="Times New Roman" w:eastAsia="Times New Roman"/>
          <w:b/>
          <w:i w:val="0"/>
          <w:color w:val="335588"/>
          <w:sz w:val="28"/>
        </w:rPr>
        <w:t>5.2  Synonyms</w:t>
      </w:r>
    </w:p>
    <w:p>
      <w:pPr>
        <w:spacing w:after="80"/>
        <w:jc w:val="both"/>
      </w:pPr>
      <w:r>
        <w:rPr>
          <w:rFonts w:ascii="Times New Roman" w:hAnsi="Times New Roman" w:cs="Times New Roman" w:eastAsia="Times New Roman"/>
          <w:b w:val="0"/>
          <w:i w:val="0"/>
          <w:sz w:val="24"/>
        </w:rPr>
        <w:t>Twenty-five synonyms were indexed by PubChem for this substance, reflecting its long history of use across biochemistry, nutrition, and industrial chemistry:</w:t>
      </w:r>
    </w:p>
    <w:p>
      <w:pPr>
        <w:spacing w:after="80"/>
        <w:jc w:val="both"/>
      </w:pPr>
      <w:r>
        <w:rPr>
          <w:rFonts w:ascii="Times New Roman" w:hAnsi="Times New Roman" w:cs="Times New Roman" w:eastAsia="Times New Roman"/>
          <w:b w:val="0"/>
          <w:i w:val="0"/>
          <w:sz w:val="24"/>
        </w:rPr>
        <w:t>L-cysteine; cysteine; Cystein; Thioserine; Half-cystine; (R)-2-Amino-3-mercaptopropanoic acid; L-(+)-Cysteine; β-Mercaptoalanine; L-Cystein; Cysteinum; (2R)-2-amino-3-sulfanylpropanoic acid; L-Cys; cisteina; Half cystine; 2-Amino-3-mercaptopropionic acid; L-Alanine, 3-mercapto-; FREE CYSTEINE; Cisteinum; FEMA No. 3263; Cisteinum [Latin]; NSC-8746; α-Amino-β-thiolpropionic acid; L-2-Amino-3-mercaptopropionic acid; β-Mercaptoalanine, L-.</w:t>
      </w:r>
    </w:p>
    <w:p>
      <w:pPr>
        <w:keepNext/>
        <w:spacing w:before="280" w:after="80"/>
        <w:outlineLvl w:val="1"/>
      </w:pPr>
      <w:r>
        <w:rPr>
          <w:rFonts w:ascii="Times New Roman" w:hAnsi="Times New Roman" w:cs="Times New Roman" w:eastAsia="Times New Roman"/>
          <w:b/>
          <w:i w:val="0"/>
          <w:color w:val="335588"/>
          <w:sz w:val="28"/>
        </w:rPr>
        <w:t>5.3  Structural and stereochemical context</w:t>
      </w:r>
    </w:p>
    <w:p>
      <w:pPr>
        <w:spacing w:after="80"/>
        <w:jc w:val="both"/>
      </w:pPr>
      <w:r>
        <w:rPr>
          <w:rFonts w:ascii="Times New Roman" w:hAnsi="Times New Roman" w:cs="Times New Roman" w:eastAsia="Times New Roman"/>
          <w:b w:val="0"/>
          <w:i w:val="0"/>
          <w:sz w:val="24"/>
        </w:rPr>
        <w:t>L-cysteine is the biologically relevant proteinogenic L-enantiomer of the sulfur-containing α-amino acid cysteine. The IUPAC name (2R)-2-amino-3-sulfanylpropanoic acid identifies the R-configuration at the α-carbon, which corresponds to the L-designation under the CIP priority rules for cysteine (thiol side chain → sulfur gives higher priority than oxygen in serine, inverting the R/S assignment relative to other proteinogenic amino acids).</w:t>
      </w:r>
    </w:p>
    <w:p>
      <w:pPr>
        <w:spacing w:after="80"/>
        <w:jc w:val="both"/>
      </w:pPr>
      <w:r>
        <w:rPr>
          <w:rFonts w:ascii="Times New Roman" w:hAnsi="Times New Roman" w:cs="Times New Roman" w:eastAsia="Times New Roman"/>
          <w:b w:val="0"/>
          <w:i w:val="0"/>
          <w:sz w:val="24"/>
        </w:rPr>
        <w:t>Note on PubChem resolution: a CAS-52-90-4 query can resolve to either CID 594 (DL-cysteine, the racemate) or CID 5862 (the pure L-enantiomer). This review uses CID 5862 (retrieved by the direct L-cysteine name query). The molecular formula, molecular weight, connectivity, and skeleton-level InChI are identical across the enantiomers; the InChIKey differs in the stereochemistry hash layer (XUJNEKJLAYXESH-REOHCLBHSA-N for the L-enantiomer versus XUJNEKJLAYXESH-UHFFFAOYSA-N for the unspecified-stereo entry).</w:t>
      </w:r>
    </w:p>
    <w:p>
      <w:pPr>
        <w:keepNext/>
        <w:spacing w:before="280" w:after="80"/>
        <w:outlineLvl w:val="1"/>
      </w:pPr>
      <w:r>
        <w:rPr>
          <w:rFonts w:ascii="Times New Roman" w:hAnsi="Times New Roman" w:cs="Times New Roman" w:eastAsia="Times New Roman"/>
          <w:b/>
          <w:i w:val="0"/>
          <w:color w:val="335588"/>
          <w:sz w:val="28"/>
        </w:rPr>
        <w:t>5.4  Key functional-group chemistry</w:t>
      </w:r>
    </w:p>
    <w:p>
      <w:pPr>
        <w:spacing w:after="80"/>
        <w:jc w:val="both"/>
      </w:pPr>
      <w:r>
        <w:rPr>
          <w:rFonts w:ascii="Times New Roman" w:hAnsi="Times New Roman" w:cs="Times New Roman" w:eastAsia="Times New Roman"/>
          <w:b w:val="0"/>
          <w:i w:val="0"/>
          <w:sz w:val="24"/>
        </w:rPr>
        <w:t>The α-amino carboxylic acid functionality is shared with all proteinogenic amino acids; the distinguishing feature of cysteine is the side-chain β-thiol (-CH2-SH). The thiol confers three principal chemistries:</w:t>
      </w:r>
    </w:p>
    <w:p>
      <w:pPr>
        <w:spacing w:after="80"/>
        <w:jc w:val="both"/>
      </w:pPr>
      <w:r>
        <w:rPr>
          <w:rFonts w:ascii="Times New Roman" w:hAnsi="Times New Roman" w:cs="Times New Roman" w:eastAsia="Times New Roman"/>
          <w:b w:val="0"/>
          <w:i w:val="0"/>
          <w:sz w:val="24"/>
        </w:rPr>
        <w:t>(a) Redox activity — the thiol is readily oxidised to its disulfide (cystine), reversibly consumed by reactive oxygen species (ROS), and regenerated by cellular NADPH-dependent reductase systems. This is the basis for cysteine's function in glutathione biosynthesis and in protein-disulfide bond formation.</w:t>
      </w:r>
    </w:p>
    <w:p>
      <w:pPr>
        <w:spacing w:after="80"/>
        <w:jc w:val="both"/>
      </w:pPr>
      <w:r>
        <w:rPr>
          <w:rFonts w:ascii="Times New Roman" w:hAnsi="Times New Roman" w:cs="Times New Roman" w:eastAsia="Times New Roman"/>
          <w:b w:val="0"/>
          <w:i w:val="0"/>
          <w:sz w:val="24"/>
        </w:rPr>
        <w:t>(b) Metal coordination — the thiolate (-S⁻) is a soft nucleophile that coordinates strongly to soft metal centres including zinc, iron (in iron-sulfur clusters), copper, and heavy-metal toxicants. This property underlies cysteine-rich metallothioneins and the chelation of heavy metals by glutathione.</w:t>
      </w:r>
    </w:p>
    <w:p>
      <w:pPr>
        <w:spacing w:after="80"/>
        <w:jc w:val="both"/>
      </w:pPr>
      <w:r>
        <w:rPr>
          <w:rFonts w:ascii="Times New Roman" w:hAnsi="Times New Roman" w:cs="Times New Roman" w:eastAsia="Times New Roman"/>
          <w:b w:val="0"/>
          <w:i w:val="0"/>
          <w:sz w:val="24"/>
        </w:rPr>
        <w:t>(c) Nucleophilic substitution — the thiolate can undergo Michael addition to α,β-unsaturated carbonyls (e.g., NAPQI, the reactive acetaminophen metabolite) and conjugate addition to electrophiles, making it the primary soft-nucleophile scavenger in cellular detoxification.</w:t>
      </w:r>
    </w:p>
    <w:p>
      <w:pPr>
        <w:keepNext/>
        <w:pageBreakBefore/>
        <w:spacing w:before="240" w:after="120"/>
        <w:jc w:val="center"/>
      </w:pPr>
      <w:r>
        <w:rPr>
          <w:rFonts w:ascii="Times New Roman" w:hAnsi="Times New Roman" w:cs="Times New Roman" w:eastAsia="Times New Roman"/>
          <w:b/>
          <w:i w:val="0"/>
          <w:color w:val="335588"/>
          <w:sz w:val="28"/>
        </w:rPr>
        <w:t>Chapter 6</w:t>
      </w:r>
    </w:p>
    <w:p>
      <w:pPr>
        <w:keepNext/>
        <w:spacing w:before="0" w:after="120"/>
        <w:jc w:val="center"/>
        <w:outlineLvl w:val="0"/>
      </w:pPr>
      <w:r>
        <w:rPr>
          <w:rFonts w:ascii="Times New Roman" w:hAnsi="Times New Roman" w:cs="Times New Roman" w:eastAsia="Times New Roman"/>
          <w:b/>
          <w:i w:val="0"/>
          <w:color w:val="1F3D7A"/>
          <w:sz w:val="44"/>
        </w:rPr>
        <w:t>Environmental Behaviour</w:t>
      </w:r>
    </w:p>
    <w:p>
      <w:pPr>
        <w:spacing w:after="240"/>
        <w:jc w:val="center"/>
      </w:pPr>
      <w:r>
        <w:rPr>
          <w:rFonts w:ascii="Times New Roman" w:hAnsi="Times New Roman" w:cs="Times New Roman" w:eastAsia="Times New Roman"/>
          <w:b w:val="0"/>
          <w:i/>
          <w:color w:val="404040"/>
          <w:sz w:val="22"/>
        </w:rPr>
        <w:t>Environmental fate, aqueous-phase chemistry, and fermentation-broth matrices</w:t>
      </w:r>
    </w:p>
    <w:p>
      <w:pPr>
        <w:keepNext/>
        <w:pageBreakBefore/>
        <w:spacing w:before="480" w:after="160"/>
        <w:outlineLvl w:val="0"/>
      </w:pPr>
      <w:r>
        <w:rPr>
          <w:rFonts w:ascii="Times New Roman" w:hAnsi="Times New Roman" w:cs="Times New Roman" w:eastAsia="Times New Roman"/>
          <w:b/>
          <w:i w:val="0"/>
          <w:color w:val="1F3D7A"/>
          <w:sz w:val="36"/>
        </w:rPr>
        <w:t>6.  Environmental Behaviour, Fate, and Bioaccumulation</w:t>
      </w:r>
    </w:p>
    <w:p>
      <w:pPr>
        <w:spacing w:after="80"/>
        <w:jc w:val="both"/>
      </w:pPr>
      <w:r>
        <w:rPr>
          <w:rFonts w:ascii="Times New Roman" w:hAnsi="Times New Roman" w:cs="Times New Roman" w:eastAsia="Times New Roman"/>
          <w:b w:val="0"/>
          <w:i w:val="0"/>
          <w:sz w:val="24"/>
        </w:rPr>
        <w:t>This chapter parallels the equivalent section of the Benzene monograph and is included for structural symmetry. Critically, L-cysteine and benzene occupy fundamentally different positions in the environmental-chemistry landscape: benzene is a persistent volatile aromatic hydrocarbon with documented atmospheric, aquatic, soil, and bioaccumulation transport pathways, whereas L-cysteine is a biogenic sulfur-containing proteinogenic amino acid that occurs naturally in every living cell and is rapidly metabolised by soil, aquatic, and gut microbiota as a carbon, nitrogen, and sulfur source. The absence of an L-cysteine entry from EPA, ECHA, AICIS, NITE, and Korea MOE NCIS environmental-hazard inventories, documented in Chapters 4 and 6 of this review, is consistent with its status as a non-xenobiotic biomolecule rather than an environmental contaminant of concern.</w:t>
      </w:r>
    </w:p>
    <w:p>
      <w:pPr>
        <w:keepNext/>
        <w:spacing w:before="280" w:after="80"/>
        <w:outlineLvl w:val="1"/>
      </w:pPr>
      <w:r>
        <w:rPr>
          <w:rFonts w:ascii="Times New Roman" w:hAnsi="Times New Roman" w:cs="Times New Roman" w:eastAsia="Times New Roman"/>
          <w:b/>
          <w:i w:val="0"/>
          <w:color w:val="335588"/>
          <w:sz w:val="28"/>
        </w:rPr>
        <w:t>14b.1  Aquatic fate — biodegradation and microbial utilisation</w:t>
      </w:r>
    </w:p>
    <w:p>
      <w:pPr>
        <w:spacing w:after="80"/>
        <w:jc w:val="both"/>
      </w:pPr>
      <w:r>
        <w:rPr>
          <w:rFonts w:ascii="Times New Roman" w:hAnsi="Times New Roman" w:cs="Times New Roman" w:eastAsia="Times New Roman"/>
          <w:b w:val="0"/>
          <w:i w:val="0"/>
          <w:sz w:val="24"/>
        </w:rPr>
        <w:t>L-cysteine is water-soluble (solubility ~277 g/L at 25 °C per PubChem CID 5862 experimental properties) and contains the three elements (C, N, S) most actively metabolised by freshwater and marine microbial communities. The open peer-reviewed corpus in this review addresses aquatic cysteine indirectly through the bioproduction literature (PMC10821248), which describes L-cysteine as a fermentation-broth metabolite produced by engineered Escherichia coli, Corynebacterium glutamicum, and Pantoea ananatis strains cultured in aqueous media. Verbatim paragraphs from that paper speaking to aqueous-phase cysteine handling, downstream recovery, and microbial kinetics are reproduced below:</w:t>
      </w:r>
    </w:p>
    <w:p>
      <w:pPr>
        <w:spacing w:after="120"/>
        <w:jc w:val="both"/>
      </w:pPr>
      <w:r>
        <w:rPr>
          <w:rFonts w:ascii="Times New Roman" w:hAnsi="Times New Roman" w:cs="Times New Roman" w:eastAsia="Times New Roman"/>
          <w:b w:val="0"/>
          <w:i w:val="0"/>
          <w:sz w:val="24"/>
        </w:rPr>
        <w:t>“These biotransformations are catalyzed by two different OASSs: OASS-A in the case of sulfate as the S-source and graphic: `molecules-29-00486-g001.jpg` 2. **Figure 2** — Transformation of DL-ATC to L-cysteine. In this enzymatic three-step process, DL-ATC is isomerized to L-ATC by ATC racemase. Then, L-ATC is hydrolyzed to S-carbamyl-L-cysteine (SCC) by L-ATC hydrolase. Finally, SCC is cleaved into L-cysteine, CO 2 , and ammonia by S-cabamyl-L-cysteine amidohydrolase. graphic: `molecules-29-00486-g002.jpg` 3. **Figure 3** — ( a ) Substrate feeding profiles followed by [ 59 ] in the fed-batch L-cysteine production process. The thiosulfate feeding started two hours after the process was inoculated in order to avoid unnecessary oxidative stress on the cells in the initial lag phase. The glucose feeding started after five hours, once the initially added glucose was completely consumed. ( b ) L-cysteine concentration prof graphic: `molecules-29-00486-g003.jpg` 4. **Figure 4** — Flow diagram representation of an L-cysteine purification process according to Boehm [ 62 ].”  [PMC10821248 ¶1]</w:t>
      </w:r>
    </w:p>
    <w:p>
      <w:pPr>
        <w:spacing w:after="120"/>
        <w:jc w:val="both"/>
      </w:pPr>
      <w:r>
        <w:rPr>
          <w:rFonts w:ascii="Times New Roman" w:hAnsi="Times New Roman" w:cs="Times New Roman" w:eastAsia="Times New Roman"/>
          <w:b w:val="0"/>
          <w:i w:val="0"/>
          <w:sz w:val="24"/>
        </w:rPr>
        <w:t>“This process relies on the L-cysteine remaining in an unoxidized state. Hence, the oxidants in the fermentation broth are removed during the anion-exchange chromatography, and the pH of the L-cysteine-rich solution must be closely monitored and adjusted throughout the purification line. graphic: `molecules-29-00486-g004.jpg` ```json { "pmcid": "PMC10821248", "pmid": "38257399", "doi": "10.3390/molecules29020486", "title": "Challenges and Advances in the Bioproduction of L-Cysteine", "journal": "Molecules", "year": "2024", "abstract": "L-cysteine is a proteogenic amino acid with many applications in the pharmaceutical, food, animal feed, and cosmetic industries. Due to safety and environmental issues in extracting L-cysteine from animal hair and feathers, the fermentative production of L-cysteine offers an attractive alternative using renewable feedstocks. Strategies to improve microbial production hosts like Pantoea ananatis , Corynebacterium\u00a0glutamicum , Pseudomonas sp., and Escherichia coli are summarized.”  [PMC10821248 ¶2]</w:t>
      </w:r>
    </w:p>
    <w:p>
      <w:pPr>
        <w:spacing w:after="120"/>
        <w:jc w:val="both"/>
      </w:pPr>
      <w:r>
        <w:rPr>
          <w:rFonts w:ascii="Times New Roman" w:hAnsi="Times New Roman" w:cs="Times New Roman" w:eastAsia="Times New Roman"/>
          <w:b w:val="0"/>
          <w:i w:val="0"/>
          <w:sz w:val="24"/>
        </w:rPr>
        <w:t>“Concerning the metabolic engineering strategies, the overexpression of feedback inhibition-insensitive L-serine O-acetyltransferase and weakening the degradation of L-cysteine through the removal of L-cysteine desulfhydrases are crucial adjustments. The overexpression of L-cysteine exporters is vital to overcome the toxicity caused by intracellular accumulating L-cysteine. In addition, we compiled the process engineering aspects for the bioproduction of L-cysteine. Utilizing the energy-efficient sulfur assimilation pathway via thiosulfate, fermenting cheap carbon sources, designing scalable, fed-batch processes with individual feedings of carbon and sulfur sources, and implementing efficient purification techniques are essential for the fermentative production of L-cysteine on an industrial scale.", "body_text": "1. Introduction L-cysteine is a nucleophilic amino acid with a sulfhydryl group, which enables the formation of disulfide bridges.”  [PMC10821248 ¶3]</w:t>
      </w:r>
    </w:p>
    <w:p>
      <w:pPr>
        <w:jc w:val="center"/>
      </w:pPr>
      <w:r>
        <w:drawing>
          <wp:inline xmlns:a="http://schemas.openxmlformats.org/drawingml/2006/main" xmlns:pic="http://schemas.openxmlformats.org/drawingml/2006/picture">
            <wp:extent cx="5029200" cy="3693319"/>
            <wp:docPr id="1" name="Picture 1"/>
            <wp:cNvGraphicFramePr>
              <a:graphicFrameLocks noChangeAspect="1"/>
            </wp:cNvGraphicFramePr>
            <a:graphic>
              <a:graphicData uri="http://schemas.openxmlformats.org/drawingml/2006/picture">
                <pic:pic>
                  <pic:nvPicPr>
                    <pic:cNvPr id="0" name="p02_i1.jpg"/>
                    <pic:cNvPicPr/>
                  </pic:nvPicPr>
                  <pic:blipFill>
                    <a:blip r:embed="rId9"/>
                    <a:stretch>
                      <a:fillRect/>
                    </a:stretch>
                  </pic:blipFill>
                  <pic:spPr>
                    <a:xfrm>
                      <a:off x="0" y="0"/>
                      <a:ext cx="5029200" cy="3693319"/>
                    </a:xfrm>
                    <a:prstGeom prst="rect"/>
                  </pic:spPr>
                </pic:pic>
              </a:graphicData>
            </a:graphic>
          </wp:inline>
        </w:drawing>
      </w:r>
    </w:p>
    <w:p>
      <w:pPr>
        <w:spacing w:after="160"/>
        <w:jc w:val="center"/>
      </w:pPr>
      <w:r>
        <w:rPr>
          <w:rFonts w:ascii="Times New Roman" w:hAnsi="Times New Roman" w:cs="Times New Roman" w:eastAsia="Times New Roman"/>
          <w:b w:val="0"/>
          <w:i/>
          <w:sz w:val="20"/>
        </w:rPr>
        <w:t>Figure 1 (from PMC10821248): “Metabolic pathways for L-cysteine biosynthesis in microorganisms. In the L-serine O-acetyltransferase-O-acetyl-L-serine (SAT-OASS) pathway, there are two branches for the transformation of O-acetyl-L-serine (OAS) into L-cysteine, depending on the sulfur source available to the organism. These biotransformations are catalyzed by two different OASSs: OASS-A in”</w:t>
      </w:r>
    </w:p>
    <w:p>
      <w:pPr>
        <w:spacing w:after="120"/>
        <w:jc w:val="both"/>
      </w:pPr>
      <w:r>
        <w:rPr>
          <w:rFonts w:ascii="Times New Roman" w:hAnsi="Times New Roman" w:cs="Times New Roman" w:eastAsia="Times New Roman"/>
          <w:b w:val="0"/>
          <w:i w:val="0"/>
          <w:sz w:val="24"/>
        </w:rPr>
        <w:t>“In this review, the metabolic engineering strategies for enhancing the L-cysteine yield and cell-specific productivities will be compiled, e.g., improving the metabolic availability of precursors, deregulating controlling enzymes, knocking out genes coding for L-cysteine-degrading enzymes, and overexpressing transporter genes to transport L-cysteine out of the cell. The final section of this review focuses on the process engineering aspects like sulfur sources, fermentation process designs, and L-cysteine purification strategies. 2. Metabolic Engineering Strategies Microorganisms use two main pathways for the biosynthesis of L-cysteine. In enteric bacteria such as E. coli , the precursor of L-cysteine is L-serine [ 20 ]. L-cysteine is synthesized from L-serine in two steps, which involve the substitution of the \u03b2-hydroxyl group with a thiol group ( Figure 1 ). The first step involves the acetylation of the \u03b2-hydroxyl of L-serine, resulting in an O-acetyl-L-serine (OAS) catalyzed by L-serine O-acetyltransferase (SAT), which is encoded by the cysE gene.”  [PMC10821248 ¶8]</w:t>
      </w:r>
    </w:p>
    <w:p>
      <w:pPr>
        <w:spacing w:after="120"/>
        <w:jc w:val="both"/>
      </w:pPr>
      <w:r>
        <w:rPr>
          <w:rFonts w:ascii="Times New Roman" w:hAnsi="Times New Roman" w:cs="Times New Roman" w:eastAsia="Times New Roman"/>
          <w:b w:val="0"/>
          <w:i w:val="0"/>
          <w:sz w:val="24"/>
        </w:rPr>
        <w:t>“The studies presented in this table are ordered by the kind of approach each investigation followed, as well as the date of the publication. Only the highest L-cysteine concentration of each publication is listed, together with the molecular biology step applied in order to reach that specific concentration. Source Organism Method Scale L-Cysteine Concentration Enhancing biosynthesis of L-cysteine [ 28 ] E. coli JM39-8 Feedback inhibition-insensitive SAT from site-directed mutagenesis Shake flasks, 72 h 0.79 g L \u22121 [ 30 ] E. coli JM39-8 Insensitive SAT from Arabidopsis thaliana Shake flasks, 96 h 1.66 g L \u22121 [ 31 ] E. coli MW1 Insensitive SAT from Nicotiana tabacum Shake flasks, 72 h 0.30 g L \u22121 [ 6 ] P. ananatis Insensitive SAT with L-cysteine efflux pump Test tubes, 24 h 0.90 g L \u22121 [ 36 ] C. glutamicum Overexpression of native SAT, OAS, and transcription regulator Shake flasks, 15 h 0.06 g L \u22121 [ 7 ] C. glutamicum Insensitive SAT, deletion of CD, and increased transport Shake flasks, 48 h 0.95 g L \u22121 [ 37 ] C. glutamicum Overexpression of SAT and PGDH with disruption of CD and L-cysteine import Shake flasks, 12 h 0.20 g L \u22121 [ 13 ] E. coli Overexpression of PGDH, PSERT, and PSL Shake flasks, 48 h 0.49 g L \u22121 Weakening degradation of L-cysteine [ 41 ] C. glutamicum Disruption of aecD gene (CD) Shake flasks, 72 h 0.29 g L \u22121 [ 44 ] E. coli Disruption of TNase, CBL, OASS-A, OASS-B, and MalY Shake flasks, 72 h 1.36 g L \u22121 (per OD 562 ) [ 46 ] E. coli Disruption of the yciW gene Shake flasks, 72 h 0.31 g L \u22121 (per OD 562 ) [ 6 ] P. ananatis Deletion of CD ccdA Test tubes, 28 h 0.52 g L \u22121 [ 7 ] C. glutamicum Disruption of aecD (CD) and overexpression of insensitive SAT Shake flasks, 48 h 0.35 g L \u22121 Enhancing efflux of L-cysteine [ 51 ] E. coli Overexpression of exporter YdeD Shake flasks, 48 h 0.07 g L \u22121 [ 52 ] E. coli Overexpression of exporter YfiK Shake flasks, 20 h 0.15 g L \u22121 [ 54 ] E. coli Overexpression of exporter bcr and deletion of TNase Shake flasks, 48 h 0.50 g L \u22121 [ 55 ] E. coli Overexpression of exporters YdeD and TolC Shake flasks, 24 h 0.12 g L \u22121 [ 6 ] P. ananatis Overexpression of transporter cefB Test tubes, 28 h 2.30 g L \u22121 [ 56 ] C. glutamicum Overexpression of transport genes NCgl0580 and NCgl2566 Shake flasks, 20 h 0.28 g L \u22121 [ 7 ] C. glutamicum Overexpression of exporter bcr Shake flasks, 48 h 0.63 g L \u22121 [ 57 ] E. coli Deletion of importer yeaN Shake flasks, 20 h 1.20 g L \u22121 [ 58 ] C. glutamicum Deletion of importer NCgl2463 , overexpression of exporter eamA and G6PDH 5 L stirred tank, 72 h 5.92 g L \u22121 OD 562 is the optical density of the fermentation broth measured at 562 nm. 2.4.”  [PMC10821248 ¶32]</w:t>
      </w:r>
    </w:p>
    <w:p>
      <w:pPr>
        <w:spacing w:after="120"/>
        <w:jc w:val="both"/>
      </w:pPr>
      <w:r>
        <w:rPr>
          <w:rFonts w:ascii="Times New Roman" w:hAnsi="Times New Roman" w:cs="Times New Roman" w:eastAsia="Times New Roman"/>
          <w:b w:val="0"/>
          <w:i w:val="0"/>
          <w:sz w:val="24"/>
        </w:rPr>
        <w:t>“However, most metabolic pathways are thoroughly interconnected with regulation interactions that have not been yet characterized [ 59 ]. These interactions must then first be mapped out in order to identify further bottlenecks that can be tackled through rational metabolic engineering methods [ 59 ]. Furthermore, this interconnectivity of metabolic pathways may also result in unintended consequences from seemingly straightforward molecular biology interventions, like the lack of growth observed in Pseudomonas sp. by Huai et al. [ 18 ] when an enzyme responsible for L-cysteine degradation was deleted, or the increase in the exogenous L-cysteine concentration leading to lower levels of c-type cytochromes and increased penicillin resistance [ 53 ]. 3. Process Engineering Aspects Metabolic engineering of the microorganisms used for L-cysteine biosynthesis has been applied to enable L-cysteine production by fermentation.”  [PMC10821248 ¶34]</w:t>
      </w:r>
    </w:p>
    <w:p>
      <w:pPr>
        <w:jc w:val="center"/>
      </w:pPr>
      <w:r>
        <w:drawing>
          <wp:inline xmlns:a="http://schemas.openxmlformats.org/drawingml/2006/main" xmlns:pic="http://schemas.openxmlformats.org/drawingml/2006/picture">
            <wp:extent cx="5029200" cy="2124837"/>
            <wp:docPr id="2" name="Picture 2"/>
            <wp:cNvGraphicFramePr>
              <a:graphicFrameLocks noChangeAspect="1"/>
            </wp:cNvGraphicFramePr>
            <a:graphic>
              <a:graphicData uri="http://schemas.openxmlformats.org/drawingml/2006/picture">
                <pic:pic>
                  <pic:nvPicPr>
                    <pic:cNvPr id="0" name="p12_i1.jpg"/>
                    <pic:cNvPicPr/>
                  </pic:nvPicPr>
                  <pic:blipFill>
                    <a:blip r:embed="rId10"/>
                    <a:stretch>
                      <a:fillRect/>
                    </a:stretch>
                  </pic:blipFill>
                  <pic:spPr>
                    <a:xfrm>
                      <a:off x="0" y="0"/>
                      <a:ext cx="5029200" cy="2124837"/>
                    </a:xfrm>
                    <a:prstGeom prst="rect"/>
                  </pic:spPr>
                </pic:pic>
              </a:graphicData>
            </a:graphic>
          </wp:inline>
        </w:drawing>
      </w:r>
    </w:p>
    <w:p>
      <w:pPr>
        <w:spacing w:after="160"/>
        <w:jc w:val="center"/>
      </w:pPr>
      <w:r>
        <w:rPr>
          <w:rFonts w:ascii="Times New Roman" w:hAnsi="Times New Roman" w:cs="Times New Roman" w:eastAsia="Times New Roman"/>
          <w:b w:val="0"/>
          <w:i/>
          <w:sz w:val="20"/>
        </w:rPr>
        <w:t>Figure 2 (from PMC10821248): “Transformation of DL-ATC to L-cysteine. In this enzymatic three-step process, DL-ATC is isomerized to L-ATC by ATC racemase. Then, L-ATC is hydrolyzed to S-carbamyl-L-cysteine (SCC) by L-ATC hydrolase. Finally, SCC is cleaved into L-cysteine, CO 2 , and ammonia by S-cabamyl-L-cysteine amidohydrolase.</w:t>
        <w:br/>
        <w:t xml:space="preserve">   graphic: `molecules-29-00486-g002.jpg`”</w:t>
      </w:r>
    </w:p>
    <w:p>
      <w:pPr>
        <w:spacing w:after="120"/>
        <w:jc w:val="both"/>
      </w:pPr>
      <w:r>
        <w:rPr>
          <w:rFonts w:ascii="Times New Roman" w:hAnsi="Times New Roman" w:cs="Times New Roman" w:eastAsia="Times New Roman"/>
          <w:b w:val="0"/>
          <w:i w:val="0"/>
          <w:sz w:val="24"/>
        </w:rPr>
        <w:t>“However, the economic L-cysteine production by fermentation must also take into account the process engineering viewpoint. Emphasizing energy-efficient sulfur pathways [ 7 , 60 ], selecting economically viable carbon sources [ 61 ], designing scalable fed-batch processes with individual feedings of carbon and sulfur sources [ 59 ], and implementing efficient purification techniques [ 62 ] are important for the industrial-scale production of L-cysteine. 3.1. Sulfur Assimilation Pathways in Bacteria E. coli has two sulfur assimilation pathways for L-cysteine biosynthesis ( Figure 2 ). One is the sulfate (SO 4 2\u2212 ) pathway, which consumes two molecules of ATP and four molecules of NADPH as a reducing power to produce L-cysteine from sulfate. The other is the thiosulfate (S 2 O 3 2\u2212 ) pathway, which spends only one molecule of NADPH from thiosulfate [ 63 ]. Thiosulfate is receiving attention as a sulfur source due to its advantageous effects on bacterial growth and L-cysteine production in comparison to sulfate [ 64 ].”  [PMC10821248 ¶35]</w:t>
      </w:r>
    </w:p>
    <w:p>
      <w:pPr>
        <w:spacing w:after="120"/>
        <w:jc w:val="both"/>
      </w:pPr>
      <w:r>
        <w:rPr>
          <w:rFonts w:ascii="Times New Roman" w:hAnsi="Times New Roman" w:cs="Times New Roman" w:eastAsia="Times New Roman"/>
          <w:b w:val="0"/>
          <w:i w:val="0"/>
          <w:sz w:val="24"/>
        </w:rPr>
        <w:t>“The L-cysteine concentration profiles of this process before and after the strain optimization are presented in Figure 3 b. 3.4. Purification of L-Cysteine from the Fermentation Broth L-cysteine, due to its high solubility in water and the vulnerability of its thiol group to oxidation, presents challenges in its purification for industrial applications. Several approaches have been proposed to address this issue [ 62 ]. Most approaches follow a two-stage process, which involves converting L-cysteine into L-cystine by treating the clarified solution with an oxidizing agent. The reduced solubility and increased chemical stability of L-cystine allow for its purification through crystallization. The resulting crystals are then dissolved in water and reduced back to L-cysteine using electrolysis [ 71 ]. More recently, Wacker AG (Munich, Germany) has developed a method for the direct purification of L-cysteine from a clarified fermentation broth [ 62 ].”  [PMC10821248 ¶42]</w:t>
      </w:r>
    </w:p>
    <w:p>
      <w:pPr>
        <w:spacing w:after="120"/>
        <w:jc w:val="both"/>
      </w:pPr>
      <w:r>
        <w:rPr>
          <w:rFonts w:ascii="Times New Roman" w:hAnsi="Times New Roman" w:cs="Times New Roman" w:eastAsia="Times New Roman"/>
          <w:b w:val="0"/>
          <w:i w:val="0"/>
          <w:sz w:val="24"/>
        </w:rPr>
        <w:t>“This approach selectively isolates L-cysteine while eliminating its derivatives, emphasizing the importance of preventing the oxidation of L-cysteine to L-cystine. The oxidation of L-cysteine\u2019s sulfhydryl (SH) groups by oxygen, the primary oxidizing agent present in fermentation broths, is particularly favored under alkaline conditions. Additionally, thiosulfate, which serves as the preferred sulfur source for the fermentative production of L-cysteine, oxidizes L-cysteine at a pH of 5 and below. It is recommended to maintain a pH of 5\u20137 during fermentation to minimize any loss in yield due to the formation of L-cystine as a by-product [ 62 ]. The first step in the direct purification process ( Figure 4 ) involves ion exchange chromatography. In this step, L-cysteine, as well as L-cystine and other cations present in the clarified fermentation broth, are adsorbed onto an ion exchanger containing sulfonic and phosphonic acid groups in their protonated (H + ) form.”  [PMC10821248 ¶43]</w:t>
      </w:r>
    </w:p>
    <w:p>
      <w:pPr>
        <w:jc w:val="center"/>
      </w:pPr>
      <w:r>
        <w:drawing>
          <wp:inline xmlns:a="http://schemas.openxmlformats.org/drawingml/2006/main" xmlns:pic="http://schemas.openxmlformats.org/drawingml/2006/picture">
            <wp:extent cx="5029200" cy="1200731"/>
            <wp:docPr id="3" name="Picture 3"/>
            <wp:cNvGraphicFramePr>
              <a:graphicFrameLocks noChangeAspect="1"/>
            </wp:cNvGraphicFramePr>
            <a:graphic>
              <a:graphicData uri="http://schemas.openxmlformats.org/drawingml/2006/picture">
                <pic:pic>
                  <pic:nvPicPr>
                    <pic:cNvPr id="0" name="p03_i1.jpg"/>
                    <pic:cNvPicPr/>
                  </pic:nvPicPr>
                  <pic:blipFill>
                    <a:blip r:embed="rId11"/>
                    <a:stretch>
                      <a:fillRect/>
                    </a:stretch>
                  </pic:blipFill>
                  <pic:spPr>
                    <a:xfrm>
                      <a:off x="0" y="0"/>
                      <a:ext cx="5029200" cy="1200731"/>
                    </a:xfrm>
                    <a:prstGeom prst="rect"/>
                  </pic:spPr>
                </pic:pic>
              </a:graphicData>
            </a:graphic>
          </wp:inline>
        </w:drawing>
      </w:r>
    </w:p>
    <w:p>
      <w:pPr>
        <w:spacing w:after="160"/>
        <w:jc w:val="center"/>
      </w:pPr>
      <w:r>
        <w:rPr>
          <w:rFonts w:ascii="Times New Roman" w:hAnsi="Times New Roman" w:cs="Times New Roman" w:eastAsia="Times New Roman"/>
          <w:b w:val="0"/>
          <w:i/>
          <w:sz w:val="20"/>
        </w:rPr>
        <w:t>Figure 3 (from PMC10821248): “( a ) Substrate feeding profiles followed by [ 59 ] in the fed-batch L-cysteine production process. The thiosulfate feeding started two hours after the process was inoculated in order to avoid unnecessary oxidative stress on the cells in the initial lag phase. The glucose feeding started after five hours, once the initially added glucose was completely consu”</w:t>
      </w:r>
    </w:p>
    <w:p>
      <w:pPr>
        <w:spacing w:after="120"/>
        <w:jc w:val="both"/>
      </w:pPr>
      <w:r>
        <w:rPr>
          <w:rFonts w:ascii="Times New Roman" w:hAnsi="Times New Roman" w:cs="Times New Roman" w:eastAsia="Times New Roman"/>
          <w:b w:val="0"/>
          <w:i w:val="0"/>
          <w:sz w:val="24"/>
        </w:rPr>
        <w:t>“In E. coli , the gene products of tnaA and metC were identified to catalyze the degradation of L-cysteine, and after the deletion of these genes, the L-cysteine production was improved. The third metabolic engineering strategy is to enhance the export of L-cysteine and weaken the import. As L-cysteine is cytotoxic, it has to be transported out of the cell. In E. coli , two membrane proteins called YdeD and YfiK are responsible for the export of L-cysteine. But by overexpression of ydeD , OAS is simultaneously secreted, which causes the L-cysteine regulon activation to stop. In contrast, the gene product of yfiK enables L-cysteine export without depleting the intracellular OAS concentrations. In addition, the gene product of yeaN is a recently discovered L-cysteine uptake protein found in E. coli , which may be a promising target to avoid the reconsumption of L-cysteine by the cells. Taking into account the process engineering aspects beyond metabolic engineering of the L-cysteine biosynthesis pathway enables economic L-cysteine production by fermentation.”  [PMC10821248 ¶46]</w:t>
      </w:r>
    </w:p>
    <w:p>
      <w:pPr>
        <w:keepNext/>
        <w:spacing w:before="280" w:after="80"/>
        <w:outlineLvl w:val="1"/>
      </w:pPr>
      <w:r>
        <w:rPr>
          <w:rFonts w:ascii="Times New Roman" w:hAnsi="Times New Roman" w:cs="Times New Roman" w:eastAsia="Times New Roman"/>
          <w:b/>
          <w:i w:val="0"/>
          <w:color w:val="335588"/>
          <w:sz w:val="28"/>
        </w:rPr>
        <w:t>14b.2  Atmospheric behaviour</w:t>
      </w:r>
    </w:p>
    <w:p>
      <w:pPr>
        <w:spacing w:after="80"/>
        <w:jc w:val="both"/>
      </w:pPr>
      <w:r>
        <w:rPr>
          <w:rFonts w:ascii="Times New Roman" w:hAnsi="Times New Roman" w:cs="Times New Roman" w:eastAsia="Times New Roman"/>
          <w:b w:val="0"/>
          <w:i w:val="0"/>
          <w:sz w:val="24"/>
        </w:rPr>
        <w:t>L-cysteine has a low vapour pressure (approximately 4 × 10⁻⁸ mmHg at 25 °C per PubChem experimental properties) and partitions strongly into the aqueous and solid phases. No atmospheric-emission inventory entry, photodegradation half-life, or long-range transport modelling result was recovered by the tox-scraper pipeline for CAS 52-90-4. This absence is consistent with L-cysteine's non-volatile, zwitterionic chemical character at environmental pH ranges.</w:t>
      </w:r>
    </w:p>
    <w:p>
      <w:pPr>
        <w:spacing w:after="80"/>
        <w:jc w:val="both"/>
      </w:pPr>
      <w:r>
        <w:rPr>
          <w:rFonts w:ascii="Times New Roman" w:hAnsi="Times New Roman" w:cs="Times New Roman" w:eastAsia="Times New Roman"/>
          <w:b w:val="0"/>
          <w:i w:val="0"/>
          <w:sz w:val="24"/>
        </w:rPr>
        <w:t>Thiol-related atmospheric chemistry relevant to the cysteine sulfur atom (for example, hydrogen-sulfide emission from anoxic sediments and dimethyl-sulfide cycling over oceans) concerns small-molecule sulfur species produced during microbial metabolism of sulfur amino acids rather than the amino acid itself; the tox-scraper pipeline did not identify peer-reviewed open-access papers in the harvested corpus that directly quantify atmospheric L-cysteine. The corpus does contain thiol- chemistry material relevant to redox behaviour, reproduced in Chapter 13.</w:t>
      </w:r>
    </w:p>
    <w:p>
      <w:pPr>
        <w:keepNext/>
        <w:spacing w:before="280" w:after="80"/>
        <w:outlineLvl w:val="1"/>
      </w:pPr>
      <w:r>
        <w:rPr>
          <w:rFonts w:ascii="Times New Roman" w:hAnsi="Times New Roman" w:cs="Times New Roman" w:eastAsia="Times New Roman"/>
          <w:b/>
          <w:i w:val="0"/>
          <w:color w:val="335588"/>
          <w:sz w:val="28"/>
        </w:rPr>
        <w:t>14b.3  Soil fate — biodegradation and sulfur cycling</w:t>
      </w:r>
    </w:p>
    <w:p>
      <w:pPr>
        <w:spacing w:after="80"/>
        <w:jc w:val="both"/>
      </w:pPr>
      <w:r>
        <w:rPr>
          <w:rFonts w:ascii="Times New Roman" w:hAnsi="Times New Roman" w:cs="Times New Roman" w:eastAsia="Times New Roman"/>
          <w:b w:val="0"/>
          <w:i w:val="0"/>
          <w:sz w:val="24"/>
        </w:rPr>
        <w:t>L-cysteine is an amino acid — the building block of proteins — and is therefore released into soils continuously by decaying plant, animal, and microbial biomass. Soil microorganisms assimilate cysteine through well-characterised cysteine desulfhydrase (CD) and methionine-cysteine transsulfuration pathways, liberating pyruvate, ammonia, and sulfide. No soil-contamination threshold, ecological soil screening level, or terrestrial bioavailability factor was recovered for CAS 52-90-4 in the tox-scraper pipeline's agency sweep.</w:t>
      </w:r>
    </w:p>
    <w:p>
      <w:pPr>
        <w:keepNext/>
        <w:spacing w:before="280" w:after="80"/>
        <w:outlineLvl w:val="1"/>
      </w:pPr>
      <w:r>
        <w:rPr>
          <w:rFonts w:ascii="Times New Roman" w:hAnsi="Times New Roman" w:cs="Times New Roman" w:eastAsia="Times New Roman"/>
          <w:b/>
          <w:i w:val="0"/>
          <w:color w:val="335588"/>
          <w:sz w:val="28"/>
        </w:rPr>
        <w:t>14b.4  Bioaccumulation and biomagnification</w:t>
      </w:r>
    </w:p>
    <w:p>
      <w:pPr>
        <w:spacing w:after="80"/>
        <w:jc w:val="both"/>
      </w:pPr>
      <w:r>
        <w:rPr>
          <w:rFonts w:ascii="Times New Roman" w:hAnsi="Times New Roman" w:cs="Times New Roman" w:eastAsia="Times New Roman"/>
          <w:b w:val="0"/>
          <w:i w:val="0"/>
          <w:sz w:val="24"/>
        </w:rPr>
        <w:t>Bioaccumulation assessment for amino acids is conceptually distinct from that for persistent lipophilic organics. L-cysteine has a calculated log Kow of approximately −2.49 (PubChem CID 5862 computed property) and is rapidly incorporated into endogenous protein pools or catabolised via the transsulfuration pathway. No bioconcentration factor (BCF), biomagnification factor (BMF), or trophic-magnification factor (TMF) was recovered by the tox-scraper pipeline for L-cysteine, consistent with EPA ECOTOX and ECHA guidance that proteinogenic amino acids fall outside conventional PBT (Persistent / Bioaccumulative / Toxic) assessment scope.</w:t>
      </w:r>
    </w:p>
    <w:p>
      <w:pPr>
        <w:keepNext/>
        <w:spacing w:before="280" w:after="80"/>
        <w:outlineLvl w:val="1"/>
      </w:pPr>
      <w:r>
        <w:rPr>
          <w:rFonts w:ascii="Times New Roman" w:hAnsi="Times New Roman" w:cs="Times New Roman" w:eastAsia="Times New Roman"/>
          <w:b/>
          <w:i w:val="0"/>
          <w:color w:val="335588"/>
          <w:sz w:val="28"/>
        </w:rPr>
        <w:t>14b.5  Transformation products and metabolism intermediates</w:t>
      </w:r>
    </w:p>
    <w:p>
      <w:pPr>
        <w:spacing w:after="80"/>
        <w:jc w:val="both"/>
      </w:pPr>
      <w:r>
        <w:rPr>
          <w:rFonts w:ascii="Times New Roman" w:hAnsi="Times New Roman" w:cs="Times New Roman" w:eastAsia="Times New Roman"/>
          <w:b w:val="0"/>
          <w:i w:val="0"/>
          <w:sz w:val="24"/>
        </w:rPr>
        <w:t>Verbatim paragraphs from the harvested corpus describing cysteine transformation products — cystine (the oxidised disulfide form), glutathione (GSH, the principal intracellular thiol reservoir), taurine, and the endogenous gasotransmitter hydrogen sulfide (H₂S) via cystathionine-γ-lyase — are collated below. These are authored by the original investigators of each source paper, not by this pipeline:</w:t>
      </w:r>
    </w:p>
    <w:p>
      <w:pPr>
        <w:spacing w:after="120"/>
        <w:jc w:val="both"/>
      </w:pPr>
      <w:r>
        <w:rPr>
          <w:rFonts w:ascii="Times New Roman" w:hAnsi="Times New Roman" w:cs="Times New Roman" w:eastAsia="Times New Roman"/>
          <w:b w:val="0"/>
          <w:i w:val="0"/>
          <w:sz w:val="24"/>
        </w:rPr>
        <w:t>“NAC possesses antioxidant, cytoprotective, anti-inflammatory, antimicrobial, and mucolytic properties, making it a promising therapeutic agent for a wide range of diseases in both humans and domesticated animals. Oxidative stress and inflammation play a major role in the onset and progression of all these diseases. NAC\u2019s primary role is to replenish glutathione (GSH) stores, the master antioxidant in all tissues; however, it can also reduce levels of pro-inflammatory tumor necrosis factor-alpha (TNF-\u221d) and interleukins (IL-6 and IL-1\u03b2), inhibit the formation of microbial biofilms and destroy biofilms, and break down disulfide bonds between mucin molecules. Many experimental studies have been conducted on the use of NAC to address a wide range of pathological conditions; however, its effectiveness in clinical trials remains limited and studies often have conflicting results.”  [PMC10604897 ¶1]</w:t>
      </w:r>
    </w:p>
    <w:p>
      <w:pPr>
        <w:spacing w:after="120"/>
        <w:jc w:val="both"/>
      </w:pPr>
      <w:r>
        <w:rPr>
          <w:rFonts w:ascii="Times New Roman" w:hAnsi="Times New Roman" w:cs="Times New Roman" w:eastAsia="Times New Roman"/>
          <w:b w:val="0"/>
          <w:i w:val="0"/>
          <w:sz w:val="24"/>
        </w:rPr>
        <w:t>“Many studies have shown the protective effects of NAC for neonatal animals immune challenged with bacterial lipopolysaccharide (LPS) endotoxin, particularly studies involving piglets [ 13 , 14 ]. NAC administration has consistently been shown to increase daily body weight gain and alleviate LPS-mediated growth depression. Furthermore, the porcine model of ulcerative colitis (UC) can be used to support NAC usage for humans. For example, in a study conducted by Wang et al. (2013), the piglet model of UC demonstrated that administration of NAC was able to reduce colon histopathology score and ameliorate UC histological abnormalities [ 15 ]. Despite the numerous NAC studies and its increasing popularity, the mechanisms of action (MOA) by which NAC exerts its antioxidant and cytoprotective properties remain unclear [ 1 , 16 ]. It is often assumed that the effects conferred by NAC are due to it acting as a scavenger of reactive oxygen species (ROS), a precursor for glutathione (GSH) biosynthesis, and a disulfide reductant [ 16 , 17 ].”  [PMC10604897 ¶4]</w:t>
      </w:r>
    </w:p>
    <w:p>
      <w:pPr>
        <w:spacing w:after="120"/>
        <w:jc w:val="both"/>
      </w:pPr>
      <w:r>
        <w:rPr>
          <w:rFonts w:ascii="Times New Roman" w:hAnsi="Times New Roman" w:cs="Times New Roman" w:eastAsia="Times New Roman"/>
          <w:b w:val="0"/>
          <w:i w:val="0"/>
          <w:sz w:val="24"/>
        </w:rPr>
        <w:t>“However, these three major narratives can only explain the effects of NAC under specific circumstances [ 16 , 17 ]. Recently, an alternative MOA was proposed that may explain the effects attributed to NAC: the conversion of NAC into hydrogen sulfide and sulfane sulfur species, which are known to possess antioxidant and cytoprotectant properties [ 16 , 17 ]. Thus, the purpose of this review is to provide an overview of the therapeutic uses of NAC in both humans and domesticated species, with a particular focus on weaning disorders, as well as an overview of its MOA. NAC Formulations The most common and well-known formulation of NAC in the United States is Mucomyst\u2122, which is commonly administered orally for the treatment of acetaminophen toxicity [ 18 ]. PharmaNAC \u00ae (BioAdvantex Pharma Inc., Mississauga, ON, Canada) is another common oral formulation and is the only effervescent preparation of its kind available in North America [ 19 ].”  [PMC10604897 ¶5]</w:t>
      </w:r>
    </w:p>
    <w:p>
      <w:pPr>
        <w:jc w:val="center"/>
      </w:pPr>
      <w:r>
        <w:drawing>
          <wp:inline xmlns:a="http://schemas.openxmlformats.org/drawingml/2006/main" xmlns:pic="http://schemas.openxmlformats.org/drawingml/2006/picture">
            <wp:extent cx="5029200" cy="2300859"/>
            <wp:docPr id="4" name="Picture 4"/>
            <wp:cNvGraphicFramePr>
              <a:graphicFrameLocks noChangeAspect="1"/>
            </wp:cNvGraphicFramePr>
            <a:graphic>
              <a:graphicData uri="http://schemas.openxmlformats.org/drawingml/2006/picture">
                <pic:pic>
                  <pic:nvPicPr>
                    <pic:cNvPr id="0" name="p21_i1.jpg"/>
                    <pic:cNvPicPr/>
                  </pic:nvPicPr>
                  <pic:blipFill>
                    <a:blip r:embed="rId12"/>
                    <a:stretch>
                      <a:fillRect/>
                    </a:stretch>
                  </pic:blipFill>
                  <pic:spPr>
                    <a:xfrm>
                      <a:off x="0" y="0"/>
                      <a:ext cx="5029200" cy="2300859"/>
                    </a:xfrm>
                    <a:prstGeom prst="rect"/>
                  </pic:spPr>
                </pic:pic>
              </a:graphicData>
            </a:graphic>
          </wp:inline>
        </w:drawing>
      </w:r>
    </w:p>
    <w:p>
      <w:pPr>
        <w:spacing w:after="160"/>
        <w:jc w:val="center"/>
      </w:pPr>
      <w:r>
        <w:rPr>
          <w:rFonts w:ascii="Times New Roman" w:hAnsi="Times New Roman" w:cs="Times New Roman" w:eastAsia="Times New Roman"/>
          <w:b w:val="0"/>
          <w:i/>
          <w:sz w:val="20"/>
        </w:rPr>
        <w:t>Figure 1 (from PMC10604897): “The three major narratives of NAC’s mechanisms of action.</w:t>
        <w:br/>
        <w:t xml:space="preserve">   graphic: `antioxidants-12-01867-g001.jpg`”</w:t>
      </w:r>
    </w:p>
    <w:p>
      <w:pPr>
        <w:spacing w:after="120"/>
        <w:jc w:val="both"/>
      </w:pPr>
      <w:r>
        <w:rPr>
          <w:rFonts w:ascii="Times New Roman" w:hAnsi="Times New Roman" w:cs="Times New Roman" w:eastAsia="Times New Roman"/>
          <w:b w:val="0"/>
          <w:i w:val="0"/>
          <w:sz w:val="24"/>
        </w:rPr>
        <w:t>“Due to its disagreeable flavor, NAC is often mixed with fruit juice or a soft drink prior to consumption. In Europe, NAC is available in pills, capsules, and a variety of effervescent \u201cfizzy tab\u201d formulations [ 18 ]. 2. Safety Profile of NAC The safety of NAC has been well-established through numerous pharmacological studies [ 17 ]. Toxicity is rare and dependent on the route of NAC administration and dosage [ 1 ]. NAC can be administered orally, intravenously, or intranasally [ 1 ]. When orally administered, NAC undergoes rapid intestinal absorption and is subsequently metabolized by the liver [ 1 ]. The cysteine released during NAC metabolism is utilized for glutathione (GSH) synthesis, which is vital for immune function and tissue repair [ 1 ]. NAC\u2019s bioavailability following oral administration is less than 10%. Therefore, only a small portion of intact NAC reaches the plasma and tissue [ 1 ].”  [PMC10604897 ¶6]</w:t>
      </w:r>
    </w:p>
    <w:p>
      <w:pPr>
        <w:spacing w:after="120"/>
        <w:jc w:val="both"/>
      </w:pPr>
      <w:r>
        <w:rPr>
          <w:rFonts w:ascii="Times New Roman" w:hAnsi="Times New Roman" w:cs="Times New Roman" w:eastAsia="Times New Roman"/>
          <w:b w:val="0"/>
          <w:i w:val="0"/>
          <w:sz w:val="24"/>
        </w:rPr>
        <w:t>“Furthermore, the addition of NAC to the standard treatment protocol for many acute respiratory conditions including influenza, community-acquired pneumonia (CAP), ARDS, and ventilator-associated pneumonia (VAP) was found to decrease the severity of disease by mainly attenuating the immune activation [ 67 ]. NAC could be used as a potential therapeutic agent in the treatment of COVID-19 by supporting T-cell responses and modulating inflammation [ 70 ]. It might also have a potential application to neutralize the toxicity of the SARS-CoV-2 spike protein both after COVID-19 infection and mRNA-based injection. Almost all SARS-CoV-2 variants have conserved cysteine residues in the spike protein forming disulfide bonds. Upon in silico exposure to NAC, these SARS-CoV-2 cysteine residues conjugate covalently with NAC, which results in perturbation of stereo-specific orientations of spike protein and consequent weakening in the binding affinity of spike protein with ACE2 receptor [ 71 ].”  [PMC10604897 ¶29]</w:t>
      </w:r>
    </w:p>
    <w:p>
      <w:pPr>
        <w:spacing w:after="120"/>
        <w:jc w:val="both"/>
      </w:pPr>
      <w:r>
        <w:rPr>
          <w:rFonts w:ascii="Times New Roman" w:hAnsi="Times New Roman" w:cs="Times New Roman" w:eastAsia="Times New Roman"/>
          <w:b w:val="0"/>
          <w:i w:val="0"/>
          <w:sz w:val="24"/>
        </w:rPr>
        <w:t>“DAO activity is a marker of intestinal mucosal maturation and integrity, as well as of mucosal injury and recovery, whereas plasma DAO provides an indication of the extent of mucosal injury. As such, it is evident that NAC is also capable of supporting mucosal barrier function under inflammatory conditions. As an antioxidant agent, NAC can also attenuate the adverse effects of intestinal oxidative stress caused by LPS. For example, Hao et al. (2021) also showed that dietary supplementation of NAC increased the activity of the endogenous antioxidants superoxide dismutase (SOD), catalase (CAT), and glutathione peroxidase (GSH-Px), ultimately enhancing the antioxidative capacity of the jejunal mucosa, where a significant decrease in malondialdehyde (MDA; biomarker of oxidative stress), H 2 O 2 , and O 2 \u2022\u2212 content were observed, along with increased content of GSH [ 92 ]. 10.1. Swine Weaning Disorders Early weaning stress is associated with both the generation of oxidative stress and changes in the gut microflora of piglets [ 93 ].”  [PMC10604897 ¶43]</w:t>
      </w:r>
    </w:p>
    <w:p>
      <w:pPr>
        <w:jc w:val="center"/>
      </w:pPr>
      <w:r>
        <w:drawing>
          <wp:inline xmlns:a="http://schemas.openxmlformats.org/drawingml/2006/main" xmlns:pic="http://schemas.openxmlformats.org/drawingml/2006/picture">
            <wp:extent cx="5029200" cy="1144143"/>
            <wp:docPr id="5" name="Picture 5"/>
            <wp:cNvGraphicFramePr>
              <a:graphicFrameLocks noChangeAspect="1"/>
            </wp:cNvGraphicFramePr>
            <a:graphic>
              <a:graphicData uri="http://schemas.openxmlformats.org/drawingml/2006/picture">
                <pic:pic>
                  <pic:nvPicPr>
                    <pic:cNvPr id="0" name="p21_i2.jpg"/>
                    <pic:cNvPicPr/>
                  </pic:nvPicPr>
                  <pic:blipFill>
                    <a:blip r:embed="rId13"/>
                    <a:stretch>
                      <a:fillRect/>
                    </a:stretch>
                  </pic:blipFill>
                  <pic:spPr>
                    <a:xfrm>
                      <a:off x="0" y="0"/>
                      <a:ext cx="5029200" cy="1144143"/>
                    </a:xfrm>
                    <a:prstGeom prst="rect"/>
                  </pic:spPr>
                </pic:pic>
              </a:graphicData>
            </a:graphic>
          </wp:inline>
        </w:drawing>
      </w:r>
    </w:p>
    <w:p>
      <w:pPr>
        <w:spacing w:after="160"/>
        <w:jc w:val="center"/>
      </w:pPr>
      <w:r>
        <w:rPr>
          <w:rFonts w:ascii="Times New Roman" w:hAnsi="Times New Roman" w:cs="Times New Roman" w:eastAsia="Times New Roman"/>
          <w:b w:val="0"/>
          <w:i/>
          <w:sz w:val="20"/>
        </w:rPr>
        <w:t>Figure panel from PMC10604897 (source bitmap p21_i2.jpg).</w:t>
      </w:r>
    </w:p>
    <w:p>
      <w:pPr>
        <w:spacing w:after="120"/>
        <w:jc w:val="both"/>
      </w:pPr>
      <w:r>
        <w:rPr>
          <w:rFonts w:ascii="Times New Roman" w:hAnsi="Times New Roman" w:cs="Times New Roman" w:eastAsia="Times New Roman"/>
          <w:b w:val="0"/>
          <w:i w:val="0"/>
          <w:sz w:val="24"/>
        </w:rPr>
        <w:t>“## Figure captions (2) 1. **Figure 1** — Differential modulation of pro-inflammatory mediators in relation to both the concentration and duration of treatment with N-acetylcysteine in in vitro models of airway inflammation. NAC: N-acetylcysteine; LPS: lipopolysaccharides; NKA: neurokinin A; IL-6: Interleukin-6; TNF-α: tumor necrosis factor-α; IL-8: Interleukin-8; IL-1β: Interleukin-1beta; NF-κB: Nuclear factor kappa B. graphic: `jcm-13-04127-g001.jpg` 2. **Figure 2** — Proposed molecular mechanisms for the therapeutic activity of N-acetylcysteine after oral administration in chronic respiratory diseases. NAC: N-acetylcysteine; GSH: glutathione; RSSH: persulfides; RSS n SR: polysulfides; NKA: neurokinin A; NF-κB: Nuclear factor kappa B; TNF-α: tumor necrosis factor-α; IL-1β: Interleukin-1beta; IL-8: Interleukin-8; ROS: reactive oxygen species. graphic: `jcm-13-04127-g002.jpg` ```json { "pmcid": "PMC11278452", "pmid": "39064168", "doi": "10.3390/jcm13144127", "title": "Anti-Inflammatory and Anti-Oxidant Properties of N-Acetylcysteine: A Fresh Perspective", "journal": "Journal of Clinical Medicine", "year": "2024", "abstract": "N-acetyl-L-cysteine (NAC) was initially introduced as a treatment for mucus reduction and widely used for chronic respiratory conditions associated with mucus overproduction.”  [PMC11278452 ¶1]</w:t>
      </w:r>
    </w:p>
    <w:p>
      <w:pPr>
        <w:spacing w:after="120"/>
        <w:jc w:val="both"/>
      </w:pPr>
      <w:r>
        <w:rPr>
          <w:rFonts w:ascii="Times New Roman" w:hAnsi="Times New Roman" w:cs="Times New Roman" w:eastAsia="Times New Roman"/>
          <w:b w:val="0"/>
          <w:i w:val="0"/>
          <w:sz w:val="24"/>
        </w:rPr>
        <w:t>“However, the mechanism of action for NAC extends beyond its mucolytic activity and is complex and multifaceted. Contrary to other mucoactive drugs, NAC has been found to exhibit antioxidant, anti-infective, and anti-inflammatory activity in pre-clinical and clinical reports. These properties have sparked interest in its potential for treating chronic lung diseases, including chronic obstructive pulmonary disease (COPD), bronchiectasis (BE), cystic fibrosis (CF), and idiopathic pulmonary fibrosis (IPF), which are associated with oxidative stress, increased levels of glutathione and inflammation. NAC\u2019s anti-inflammatory activity is noteworthy, and it is not solely secondary to its antioxidant capabilities. In ex vivo models of COPD exacerbation, the anti-inflammatory effects have been observed even at very low doses, especially with prolonged treatment. The mechanism involves the inhibition of the activation of NF-kB and neurokinin A production, resulting in a reduction in interleukin-6 production, a cytokine abundantly present in the sputum and breath condensate of patients with COPD and correlates with the number of exacerbations.”  [PMC11278452 ¶2]</w:t>
      </w:r>
    </w:p>
    <w:p>
      <w:pPr>
        <w:spacing w:after="120"/>
        <w:jc w:val="both"/>
      </w:pPr>
      <w:r>
        <w:rPr>
          <w:rFonts w:ascii="Times New Roman" w:hAnsi="Times New Roman" w:cs="Times New Roman" w:eastAsia="Times New Roman"/>
          <w:b w:val="0"/>
          <w:i w:val="0"/>
          <w:sz w:val="24"/>
        </w:rPr>
        <w:t>“NAC Exhibits Pharmacological Actions beyond Mucolytic Activity The mechanism of action for NAC is complex and multifaceted and is not yet fully elucidated. NAC is widely utilized to decrease the viscosity and elasticity of mucus [ 30 ]. It achieves this by breaking down the disulfide bonds in mucoproteins, thereby decreasing the viscosity of respiratory secretions [ 22 ]. Apart from the replenishing of depleted GSH content, facilitated by NAC, the gradual release of NAC-derived metabolites may result in a modest increase in H 2 S and its oxidation byproducts including persulfides (RSSH) and polysulfides (RSSnSR) [ 31 ], known as sulfane sulfur metabolites [ 32 ]. These metabolites exhibit cytoprotective effects by aiding in disulfide reduction, acting as direct scavengers of radicals, and preventing irreversible oxidative damage of proteins [ 32 ]. Moreover, modifications involving persulfide on proteins have the potential to modify their function and signaling capabilities, thereby initiating stress-responsive cellular reactions [ 32 ].”  [PMC11278452 ¶8]</w:t>
      </w:r>
    </w:p>
    <w:p>
      <w:pPr>
        <w:jc w:val="center"/>
      </w:pPr>
      <w:r>
        <w:drawing>
          <wp:inline xmlns:a="http://schemas.openxmlformats.org/drawingml/2006/main" xmlns:pic="http://schemas.openxmlformats.org/drawingml/2006/picture">
            <wp:extent cx="5029200" cy="4259385"/>
            <wp:docPr id="6" name="Picture 6"/>
            <wp:cNvGraphicFramePr>
              <a:graphicFrameLocks noChangeAspect="1"/>
            </wp:cNvGraphicFramePr>
            <a:graphic>
              <a:graphicData uri="http://schemas.openxmlformats.org/drawingml/2006/picture">
                <pic:pic>
                  <pic:nvPicPr>
                    <pic:cNvPr id="0" name="p06_i1.jpg"/>
                    <pic:cNvPicPr/>
                  </pic:nvPicPr>
                  <pic:blipFill>
                    <a:blip r:embed="rId14"/>
                    <a:stretch>
                      <a:fillRect/>
                    </a:stretch>
                  </pic:blipFill>
                  <pic:spPr>
                    <a:xfrm>
                      <a:off x="0" y="0"/>
                      <a:ext cx="5029200" cy="4259385"/>
                    </a:xfrm>
                    <a:prstGeom prst="rect"/>
                  </pic:spPr>
                </pic:pic>
              </a:graphicData>
            </a:graphic>
          </wp:inline>
        </w:drawing>
      </w:r>
    </w:p>
    <w:p>
      <w:pPr>
        <w:spacing w:after="160"/>
        <w:jc w:val="center"/>
      </w:pPr>
      <w:r>
        <w:rPr>
          <w:rFonts w:ascii="Times New Roman" w:hAnsi="Times New Roman" w:cs="Times New Roman" w:eastAsia="Times New Roman"/>
          <w:b w:val="0"/>
          <w:i/>
          <w:sz w:val="20"/>
        </w:rPr>
        <w:t>Figure 1 (from PMC11278452): “Differential modulation of pro-inflammatory mediators in relation to both the concentration and duration of treatment with N-acetylcysteine in in vitro models of airway inflammation. NAC: N-acetylcysteine; LPS: lipopolysaccharides; NKA: neurokinin A; IL-6: Interleukin-6; TNF-α: tumor necrosis factor-α; IL-8: Interleukin-8; IL-1β: Interleukin-1beta; NF-κB: Nu”</w:t>
      </w:r>
    </w:p>
    <w:p>
      <w:pPr>
        <w:spacing w:after="120"/>
        <w:jc w:val="both"/>
      </w:pPr>
      <w:r>
        <w:rPr>
          <w:rFonts w:ascii="Times New Roman" w:hAnsi="Times New Roman" w:cs="Times New Roman" w:eastAsia="Times New Roman"/>
          <w:b w:val="0"/>
          <w:i w:val="0"/>
          <w:sz w:val="24"/>
        </w:rPr>
        <w:t>“NAC orally administered at 600 mg/day has been reported to reduce sputum ECP and Interleukin-8 (IL-8) concentrations in patients with COPD [ 24 , 25 ]. Additionally, at this dosage, NAC modulated the inflammatory response after ten weeks of intake in COPD patients by decreasing serum IL-8 levels [ 26 ]. This intervention also removed the inverse relationship between the pro-inflammatory cytokine IL-8 and glutathione peroxidase (GPx) and Trolox equivalent antioxidant capacity (TEAC) [ 26 ]. These findings imply that NAC affects IL-8 expression through pathways that are not dependent on GPx and plasma anti-oxidants [ 26 ]. Moreover, it eliminated the positive correlation between intercellular adhesion molecule-1 (ICAM-1) and IL-8, indicating that ICAM-1 expression is modulated by pathways not susceptible to NAC [ 26 ]. A study examining how NAC treatment affects changes induced by sepsis in conscious rats revealed a reduction in inflammatory biomarkers (IL-6, tumor necrosis factor-\u03b1 (TNF-\u03b1), and IL-10) linked to sepsis [ 62 ].”  [PMC11278452 ¶16]</w:t>
      </w:r>
    </w:p>
    <w:p>
      <w:pPr>
        <w:spacing w:after="120"/>
        <w:jc w:val="both"/>
      </w:pPr>
      <w:r>
        <w:rPr>
          <w:rFonts w:ascii="Times New Roman" w:hAnsi="Times New Roman" w:cs="Times New Roman" w:eastAsia="Times New Roman"/>
          <w:b w:val="0"/>
          <w:i w:val="0"/>
          <w:sz w:val="24"/>
        </w:rPr>
        <w:t>“Clinical trial results suggest that prolonged NAC administration can significantly enhance respiratory symptoms and decrease the frequency of exacerbations in COPD and CB/pre-COPD patients.", "tables": [], "figures": [ { "label": "Figure 1", "caption": "Differential modulation of pro-inflammatory mediators in relation to both the concentration and duration of treatment with N-acetylcysteine in in vitro models of airway inflammation. NAC: N-acetylcysteine; LPS: lipopolysaccharides; NKA: neurokinin A; IL-6: Interleukin-6; TNF-\u03b1: tumor necrosis factor-\u03b1; IL-8: Interleukin-8; IL-1\u03b2: Interleukin-1beta; NF-\u03baB: Nuclear factor kappa B.", "graphic_href": "jcm-13-04127-g001.jpg" }, { "label": "Figure 2", "caption": "Proposed molecular mechanisms for the therapeutic activity of N-acetylcysteine after oral administration in chronic respiratory diseases. NAC: N-acetylcysteine; GSH: glutathione; RSSH: persulfides; RSS n SR: polysulfides; NKA: neurokinin A; NF-\u03baB: Nuclear factor kappa B; TNF-\u03b1: tumor necrosis factor-\u03b1; IL-1\u03b2: Interleukin-1beta; IL-8: Interleukin-8; ROS: reactive oxygen species.", "graphic_href": "jcm-13-04127-g002.jpg" } ], "references": [ { "title": "The reduction in vitro in viscosity of mucoprotein solutions by a new mucolytic agent, N-acetyl-L-cysteine", "year": "1963", "source": "Ann.”  [PMC11278452 ¶34]</w:t>
      </w:r>
    </w:p>
    <w:p>
      <w:pPr>
        <w:spacing w:after="120"/>
        <w:jc w:val="both"/>
      </w:pPr>
      <w:r>
        <w:rPr>
          <w:rFonts w:ascii="Times New Roman" w:hAnsi="Times New Roman" w:cs="Times New Roman" w:eastAsia="Times New Roman"/>
          <w:b w:val="0"/>
          <w:i w:val="0"/>
          <w:sz w:val="24"/>
        </w:rPr>
        <w:t>“Res.", "doi": "10.1186/s12931-016-0500-y", "pmid": "28118826", "pmcid": "PMC5260037" }, { "title": "N-Acetylcysteine protects human bronchi by modulating the release of neurokinin A in an ex vivo model of COPD exacerbation", "year": "2018", "source": "Biomed. Pharmacother.", "doi": "10.1016/j.biopha.2018.04.011", "pmid": "29635121" }, { "title": "Influence of dose and exposition time in the effectiveness of N-Acetyl-l-cysteine treatment in A549 human epithelial cells", "year": "2023", "source": "Heliyon", "doi": "10.1016/j.heliyon.2023.e15613", "pmid": "37144195", "pmcid": "PMC10151372" }, { "title": "The antioxidant action of N-acetylcysteine: Its reaction with hydrogen peroxide, hydroxyl radical, superoxide, and hypochlorous acid", "year": "1989", "source": "Free Radic. Biol. Med.", "doi": "10.1016/0891-5849(89)90066-X", "pmid": "2546864" }, { "title": "H2S: A Novel Gasotransmitter that Signals by Sulfhydration", "year": "2015", "source": "Trends Biochem.”  [PMC11278452 ¶40]</w:t>
      </w:r>
    </w:p>
    <w:p>
      <w:pPr>
        <w:jc w:val="center"/>
      </w:pPr>
      <w:r>
        <w:drawing>
          <wp:inline xmlns:a="http://schemas.openxmlformats.org/drawingml/2006/main" xmlns:pic="http://schemas.openxmlformats.org/drawingml/2006/picture">
            <wp:extent cx="5029200" cy="3369819"/>
            <wp:docPr id="7" name="Picture 7"/>
            <wp:cNvGraphicFramePr>
              <a:graphicFrameLocks noChangeAspect="1"/>
            </wp:cNvGraphicFramePr>
            <a:graphic>
              <a:graphicData uri="http://schemas.openxmlformats.org/drawingml/2006/picture">
                <pic:pic>
                  <pic:nvPicPr>
                    <pic:cNvPr id="0" name="p08_i1.jpg"/>
                    <pic:cNvPicPr/>
                  </pic:nvPicPr>
                  <pic:blipFill>
                    <a:blip r:embed="rId15"/>
                    <a:stretch>
                      <a:fillRect/>
                    </a:stretch>
                  </pic:blipFill>
                  <pic:spPr>
                    <a:xfrm>
                      <a:off x="0" y="0"/>
                      <a:ext cx="5029200" cy="3369819"/>
                    </a:xfrm>
                    <a:prstGeom prst="rect"/>
                  </pic:spPr>
                </pic:pic>
              </a:graphicData>
            </a:graphic>
          </wp:inline>
        </w:drawing>
      </w:r>
    </w:p>
    <w:p>
      <w:pPr>
        <w:spacing w:after="160"/>
        <w:jc w:val="center"/>
      </w:pPr>
      <w:r>
        <w:rPr>
          <w:rFonts w:ascii="Times New Roman" w:hAnsi="Times New Roman" w:cs="Times New Roman" w:eastAsia="Times New Roman"/>
          <w:b w:val="0"/>
          <w:i/>
          <w:sz w:val="20"/>
        </w:rPr>
        <w:t>Figure 2 (from PMC11278452): “Proposed molecular mechanisms for the therapeutic activity of N-acetylcysteine after oral administration in chronic respiratory diseases. NAC: N-acetylcysteine; GSH: glutathione; RSSH: persulfides; RSS n SR: polysulfides; NKA: neurokinin A; NF-κB: Nuclear factor kappa B; TNF-α: tumor necrosis factor-α; IL-1β: Interleukin-1beta; IL-8: Interleukin-8; ROS: reac”</w:t>
      </w:r>
    </w:p>
    <w:p>
      <w:pPr>
        <w:spacing w:after="120"/>
        <w:jc w:val="both"/>
      </w:pPr>
      <w:r>
        <w:rPr>
          <w:rFonts w:ascii="Times New Roman" w:hAnsi="Times New Roman" w:cs="Times New Roman" w:eastAsia="Times New Roman"/>
          <w:b w:val="0"/>
          <w:i w:val="0"/>
          <w:sz w:val="24"/>
        </w:rPr>
        <w:t>“With the introduction of the mouse model of APAP hepatotoxicity in the 1970s, fundamental mechanisms of cell death were discovered. This included the recognition that part of the APAP dose is metabolized by cytochrome P450 generating a reactive metabolite that is detoxified by glutathione. After the partial depletion of glutathione, the reactive metabolite will covalently bind to sulfhydryl groups of proteins, which is the initiating event of the toxicity. This insight led to the introduction of N-acetyl-L-cysteine, a glutathione precursor, as antidote against APAP overdose in the clinic. Despite substantial progress in our understanding of the pathomechanisms over the last decades viable new antidotes only emerged recently. This review will discuss the background, mechanisms of action, and the clinical prospects of the existing FDA-approved antidote N-acetylcysteine, of several new drug candidates under clinical development [4-methylpyrazole (fomepizole), calmangafodipir] and examples of additional therapeutic targets (Nrf2 activators) and regeneration promoting agents (thrombopoietin mimetics, adenosine A2B receptor agonists, Wharton\u2019s Jelly mesenchymal stem cells).”  [PMC11315809 ¶1]</w:t>
      </w:r>
    </w:p>
    <w:p>
      <w:pPr>
        <w:spacing w:after="120"/>
        <w:jc w:val="both"/>
      </w:pPr>
      <w:r>
        <w:rPr>
          <w:rFonts w:ascii="Times New Roman" w:hAnsi="Times New Roman" w:cs="Times New Roman" w:eastAsia="Times New Roman"/>
          <w:b w:val="0"/>
          <w:i w:val="0"/>
          <w:sz w:val="24"/>
        </w:rPr>
        <w:t>“Importantly, the recognition that the reactive metabolite could be detoxified by glutathione [ 9 ] was the incentive to test glutathione precursors, leading to the discovery of NAC as an effective drug in preclinical models [ 35 ]. Today, we know that NAC works mainly through supporting the synthesis of hepatic GSH [ 36 ] ( Figure 1 ); GSH can scavenge NAPQI during the metabolism phase [ 37 ], and later, after import into mitochondria, can scavenge peroxynitrite [ 38 ]. However, excess NAC can also be converted to Krebs cycle intermediates and support the mitochondrial bioenergetics [ 39 ]. Together these mechanisms explain why NAC can effectively prevent cell death. Because of the high efficacy of NAC in several pilot trials in humans in the 1970s [ 40 , 41 ], large scale clinical studies were initiated, but due to ethical reasons, the FDA denied the originally proposed randomized controlled trials [ 14 , 16 ].”  [PMC11315809 ¶9]</w:t>
      </w:r>
    </w:p>
    <w:p>
      <w:pPr>
        <w:spacing w:after="120"/>
        <w:jc w:val="both"/>
      </w:pPr>
      <w:r>
        <w:rPr>
          <w:rFonts w:ascii="Times New Roman" w:hAnsi="Times New Roman" w:cs="Times New Roman" w:eastAsia="Times New Roman"/>
          <w:b w:val="0"/>
          <w:i w:val="0"/>
          <w:sz w:val="24"/>
        </w:rPr>
        <w:t>“This may need to be considered for the planned treatment regimen in APAP overdose patients. 3.4 Nrf2 activators Nuclear factor erythroid 2\u2013related factor 2 (Nrf2) is a transcription factor bound to Kelch-like erythroid cell-derived protein with CNC homology-associated protein 1 (Keap 1) in the cytosol [ 92 ]. Upon cellular stress such as oxidant stress or formation of reactive metabolites, Keap1 is oxidized, leading to liberation of Nrf2, which is then able to move into the nucleus, where it binds to a DNA sequence named antioxidant response element (ARE) and induces transcription of several genes mostly related to cellular defense mechanisms. Target genes of Nrf2 include glutathione S-transferase, NAD(P)H: quinone oxidoreductase 1 (Nqo1), glutamate-cysteine ligase catalytic subunit (Gclc) and regulatory subunit (Gclm), both of which regulate GSH synthesis, UDP-glucuronosyltransferase A6, which catalyzes the glucuronidation of APAP, and the multidrug resistance-associated protein 3 (Mrp3), which facilitates the basolateral excretion of APAP metabolites [ 93 ].”  [PMC11315809 ¶30]</w:t>
      </w:r>
    </w:p>
    <w:p>
      <w:pPr>
        <w:spacing w:after="120"/>
        <w:jc w:val="both"/>
      </w:pPr>
      <w:r>
        <w:rPr>
          <w:rFonts w:ascii="Times New Roman" w:hAnsi="Times New Roman" w:cs="Times New Roman" w:eastAsia="Times New Roman"/>
          <w:b w:val="0"/>
          <w:i w:val="0"/>
          <w:sz w:val="24"/>
        </w:rPr>
        <w:t>“In addition, Nrf2 induces antioxidant enzymes including thioredoxin, peroxiredoxin, superoxide dismutase and glutathione peroxidase, as well as stress response proteins such as heme oxygenase and metal-binding proteins such as ferritin and metallothionein [ 93 ]. Thus, Nrf2 activation, in general, can be considered an adaptive response to stress that broadly improves the capacity of the cell to handle exogenous or endogenous insults. Given these effects of Nrf2 activation, it is not surprising that APAP overdose with its electrophilic metabolite formation and the generation of an oxidant stress can trigger Nrf2 activation in mouse livers [ 95 , 96 ]. The induction of most Nrf2 target genes has been associated with reduced APAP hepatotoxicity [ 11 , 12 , 96 ]. Consequently, a Nrf2-deficient mouse is much more susceptible to APAP overdose compared to a wildtype animal due to the limited capacity to adapt to the oxidant stress [ 94 , 95 ].”  [PMC11315809 ¶31]</w:t>
      </w:r>
    </w:p>
    <w:p>
      <w:pPr>
        <w:spacing w:after="120"/>
        <w:jc w:val="both"/>
      </w:pPr>
      <w:r>
        <w:rPr>
          <w:rFonts w:ascii="Times New Roman" w:hAnsi="Times New Roman" w:cs="Times New Roman" w:eastAsia="Times New Roman"/>
          <w:b w:val="0"/>
          <w:i w:val="0"/>
          <w:sz w:val="24"/>
        </w:rPr>
        <w:t>“Acetaminophen (APAP) toxicity is initiated by cytochrome P450 2E1 (Cyp2E1)-mediated formation of the reactive metabolite, NAPQI, which depletes cellular glutathione and subsequently forms protein adducts in mitochondria. This induces a mild oxidant stress, which activates the MAP kinase JNK in the cytosol, which translocates to mitochondria and amplifies the mitochondrial oxidative/nitrosative stress. These insults ultimately cause induction of the mitochondrial permeability transition and translocation of mitochondrial proteins to the nucleus where they produce subsequent DNA fragmentation. The resulting hepatocyte necrosis occurs in centrilobular cells surrounding the central vein and induces an innate immune response, which facilitates liver recovery and hepatocyte regeneration to repopulate areas of necrosis. Therapeutics such as N-acetylcysteine (NAC) allow the rapid resynthesis of hepatic glutathione stores ", "graphic_href": "nihms-2004123-f0001.jpg" } ], "references": [ { "title": "Emergency department visits for overdoses of acetaminophen-containing products", "year": "2011", "source": "Am.”  [PMC11315809 ¶44]</w:t>
      </w:r>
    </w:p>
    <w:p>
      <w:pPr>
        <w:spacing w:after="120"/>
        <w:jc w:val="both"/>
      </w:pPr>
      <w:r>
        <w:rPr>
          <w:rFonts w:ascii="Times New Roman" w:hAnsi="Times New Roman" w:cs="Times New Roman" w:eastAsia="Times New Roman"/>
          <w:b w:val="0"/>
          <w:i w:val="0"/>
          <w:sz w:val="24"/>
        </w:rPr>
        <w:t>“These processes are critical in the development of cardiovascular diseases (CVDs) such as atherosclerosis, hypertension and ischemia/reperfusion injury (IRI). Reduced nitric oxide (NO) production and increased oxidative stress are key contributors to ED. Aging further exacerbates ED through mitochondrial dysfunction and increased oxidative/nitrosative stress, heightening CVD risk. Antioxidant systems like superoxide-dismutase (SOD), glutathione-peroxidase (GPx), and thioredoxin/thioredoxin-reductase (Trx/TXNRD) pathways protect against oxidative stress. However, their reduced activity promotes ED, atherosclerosis, and vulnerability to IRI. Metabolic syndrome, comprising insulin resistance, obesity, and hypertension, is often accompanied by ED. Specifically, hyperglycemia worsens endothelial damage by promoting oxidative stress and inflammation. Obesity leads to chronic inflammation and changes in perivascular adipose tissue, while hypertension is associated with an increase in oxidative stress.”  [PMC11939635 ¶2]</w:t>
      </w:r>
    </w:p>
    <w:p>
      <w:pPr>
        <w:spacing w:after="120"/>
        <w:jc w:val="both"/>
      </w:pPr>
      <w:r>
        <w:rPr>
          <w:rFonts w:ascii="Times New Roman" w:hAnsi="Times New Roman" w:cs="Times New Roman" w:eastAsia="Times New Roman"/>
          <w:b w:val="0"/>
          <w:i w:val="0"/>
          <w:sz w:val="24"/>
        </w:rPr>
        <w:t>“Aging exacerbates ED by increasing oxidative stress, mitochondrial damage, and inflammation, which further contribute to vascular remodeling, thrombosis, and the progression of CVDs such as hypertension and atherosclerosis. Reduced NO production and elevated ROS/RNS formation exacerbate endothelial damage, while changes in endothelial function, including altered EDHF signaling, increase the risk of CVDs and worsen vascular health. Addressing the ROS/RNS imbalance may not be sufficient, but it is critical to limit ED and its associated pathologies. Impaired Antioxidant Defense Vascular tissue contains several antioxidant systems, such as catalase, superoxide dismutase (SOD), glutathione peroxidase (GPx) and the thioredoxin (Trx)/selenoprotein thioredoxin reductase (TXNRD) [ 54 , 68 , 69 ]. Reduced activity of these systems leads to increased ROS production by oxidizing enzymes, which contributes to ED [ 68 , 69 , 70 , 71 ].”  [PMC11939635 ¶26]</w:t>
      </w:r>
    </w:p>
    <w:p>
      <w:pPr>
        <w:spacing w:after="120"/>
        <w:jc w:val="both"/>
      </w:pPr>
      <w:r>
        <w:rPr>
          <w:rFonts w:ascii="Times New Roman" w:hAnsi="Times New Roman" w:cs="Times New Roman" w:eastAsia="Times New Roman"/>
          <w:b w:val="0"/>
          <w:i w:val="0"/>
          <w:sz w:val="24"/>
        </w:rPr>
        <w:t>“Recently, in a hypertensive rat model, it was observed that cystathionine \u03b3-lyase (CSE) levels were significantly reduced while NLRP3, caspase-1, and related cytokines were elevated compared to the control model. This scenario was reversed by the exogenous administration of the hydrogen sulfide (H 2 S) donor sodium hydrosulfide (NaHS), which effectively mitigated endothelial damage by targeting NLRP3 activation and reducing oxidative stress. Similar protective data by NaSH were observed in human umbilical vein ECs pretreated with angiotensin II [ 121 ]. Moreover, cystathionine gamma-lyase (CGL) deficiency exacerbates isoprenaline-induced cardiac injury in mice, but this effect was mitigated by an H 2 S donor, which enhanced Sirtuin 1 (SIRT1) expression and its deacetylation activity through S-sulfhydration at zinc finger domains [ 121 , 122 ]. These findings suggest that reduced CGL production, secondary to oxidative stress in human aortic ECs and aorta from atherogenic ApoE \u2212 / \u2212 mice, contributes to ED [ 123 ].”  [PMC11939635 ¶41]</w:t>
      </w:r>
    </w:p>
    <w:p>
      <w:pPr>
        <w:jc w:val="center"/>
      </w:pPr>
      <w:r>
        <w:drawing>
          <wp:inline xmlns:a="http://schemas.openxmlformats.org/drawingml/2006/main" xmlns:pic="http://schemas.openxmlformats.org/drawingml/2006/picture">
            <wp:extent cx="5029200" cy="2916365"/>
            <wp:docPr id="8" name="Picture 8"/>
            <wp:cNvGraphicFramePr>
              <a:graphicFrameLocks noChangeAspect="1"/>
            </wp:cNvGraphicFramePr>
            <a:graphic>
              <a:graphicData uri="http://schemas.openxmlformats.org/drawingml/2006/picture">
                <pic:pic>
                  <pic:nvPicPr>
                    <pic:cNvPr id="0" name="p11_i1.jpg"/>
                    <pic:cNvPicPr/>
                  </pic:nvPicPr>
                  <pic:blipFill>
                    <a:blip r:embed="rId16"/>
                    <a:stretch>
                      <a:fillRect/>
                    </a:stretch>
                  </pic:blipFill>
                  <pic:spPr>
                    <a:xfrm>
                      <a:off x="0" y="0"/>
                      <a:ext cx="5029200" cy="2916365"/>
                    </a:xfrm>
                    <a:prstGeom prst="rect"/>
                  </pic:spPr>
                </pic:pic>
              </a:graphicData>
            </a:graphic>
          </wp:inline>
        </w:drawing>
      </w:r>
    </w:p>
    <w:p>
      <w:pPr>
        <w:spacing w:after="160"/>
        <w:jc w:val="center"/>
      </w:pPr>
      <w:r>
        <w:rPr>
          <w:rFonts w:ascii="Times New Roman" w:hAnsi="Times New Roman" w:cs="Times New Roman" w:eastAsia="Times New Roman"/>
          <w:b w:val="0"/>
          <w:i/>
          <w:sz w:val="20"/>
        </w:rPr>
        <w:t>Figure 1 (from PMC11939635): “Key molecular mechanisms linking endothelial dysfunction, NLRP3 inflammasome, and cardiovascular diseases (CVDs). Schematic illustration of the pathways and factors contributing to endothelial dysfunction and the progression of CVDs. The activation of the NLRP3 inflammasome by PAMPs, DAMPs, and hemodynamic alterations triggers the production of inflammatory ”</w:t>
      </w:r>
    </w:p>
    <w:p>
      <w:pPr>
        <w:spacing w:after="120"/>
        <w:jc w:val="both"/>
      </w:pPr>
      <w:r>
        <w:rPr>
          <w:rFonts w:ascii="Times New Roman" w:hAnsi="Times New Roman" w:cs="Times New Roman" w:eastAsia="Times New Roman"/>
          <w:b w:val="0"/>
          <w:i w:val="0"/>
          <w:sz w:val="24"/>
        </w:rPr>
        <w:t>“## Figure captions (3) 1. **Figure 1** — Glutathione biosynthetic scheme. N-acetyl-L-cysteine (NAC) can supply cysteine (CYS) for the biosynthesis of reduced glutathione (GSH). NAC must first be hydrolyzed by aminoacylase 1 (ACY1) to release CYS. In the first step of GSH synthesis, L-glutamate-L-cysteine ligase (GCL) catalyzes the formation of gamma-L-glutamyl-L-cysteine (GGC) by linking CYS and L-glutamate (GLU). In the second step, glu graphic: `antioxidants-13-00184-g001.jpg` 2. **Figure 2** — The glutathione peroxidase (GPX) system and lipid peroxidation. GPX catalyzes the conversion of lipid hydroperoxides (LOOH), formed from lipid peroxidation to a lipid alcohol (LOH) utilizing GSH as a reducing agent. The oxidized GSH (GSSG) formed by this reaction is reduced back to GSH by glutathione reductase (GR) with the consumption of NADPH. The lipid peroxyl radical (LOO*) formed from lipid p graphic: `antioxidants-13-00184-g002.jpg` 3. **Figure 3** — Simplified scheme connecting oxidative stress (OxS) and T2D risk factors.”  [PMC10885928 ¶1]</w:t>
      </w:r>
    </w:p>
    <w:p>
      <w:pPr>
        <w:spacing w:after="120"/>
        <w:jc w:val="both"/>
      </w:pPr>
      <w:r>
        <w:rPr>
          <w:rFonts w:ascii="Times New Roman" w:hAnsi="Times New Roman" w:cs="Times New Roman" w:eastAsia="Times New Roman"/>
          <w:b w:val="0"/>
          <w:i w:val="0"/>
          <w:sz w:val="24"/>
        </w:rPr>
        <w:t>“Two sets of potential positive feedback loops (circles with +) are indicated (blue and red arrows). The text describes these positive feedback loops in more detail. Over prolonged time intervals, systemic OxS can cause beta-cell dysfunction as well as irreversible micro- and macro-vascular damage. graphic: `antioxidants-13-00184-g003.jpg` ```json { "pmcid": "PMC10885928", "pmid": "38397782", "doi": "10.3390/antiox13020184", "title": "The Role of Glutathione and Its Precursors in Type 2 Diabetes", "journal": "Antioxidants", "year": "2024", "abstract": "Type 2 diabetes (T2D) is a major worldwide health crisis affecting about 6.2% of the world\u2019s population. Alarmingly, about one in five children in the USA have prediabetes. Glutathione (GSH) and its precursors play a promising role in the prevention and management of type T2D. Oxidative stress (OxS) is a probable factor in both T2D initiation and progression.”  [PMC10885928 ¶2]</w:t>
      </w:r>
    </w:p>
    <w:p>
      <w:pPr>
        <w:spacing w:after="120"/>
        <w:jc w:val="both"/>
      </w:pPr>
      <w:r>
        <w:rPr>
          <w:rFonts w:ascii="Times New Roman" w:hAnsi="Times New Roman" w:cs="Times New Roman" w:eastAsia="Times New Roman"/>
          <w:b w:val="0"/>
          <w:i w:val="0"/>
          <w:sz w:val="24"/>
        </w:rPr>
        <w:t>“Future research with pediatric populations should be a high priority since early intervention is critical.", "body_text": "1. Introduction The objective of this review is to critically evaluate the role of glutathione (GSH) and its chemical precursors (N-acetyl-cysteine (NAC) and glycine (GLY)) in the prevention and management of T2D and prediabetes. Oxidative stress (OxS) is a probable factor in both T2D initiation and progression [ 1 ]. Antioxidant-based therapy may, therefore, have potential benefits [ 2 ]. An ever-increasing body of evidence supports the role of OxS in T2D pathogenesis [ 3 , 4 , 5 ]. OxS is usually defined as Sa physiologically significant alteration in redox status resulting from an overproduction of reactive oxygen species (ROS) and/or a deficiency in antioxidant protective mechanisms [ 6 ]. It is important, however, to also consider how antioxidants, such as GSH, interconnect with the complex pathophysiological risk factors that modulate T2D redox status [ 7 ].”  [PMC10885928 ¶4]</w:t>
      </w:r>
    </w:p>
    <w:p>
      <w:pPr>
        <w:jc w:val="center"/>
      </w:pPr>
      <w:r>
        <w:drawing>
          <wp:inline xmlns:a="http://schemas.openxmlformats.org/drawingml/2006/main" xmlns:pic="http://schemas.openxmlformats.org/drawingml/2006/picture">
            <wp:extent cx="5029200" cy="1989677"/>
            <wp:docPr id="9" name="Picture 9"/>
            <wp:cNvGraphicFramePr>
              <a:graphicFrameLocks noChangeAspect="1"/>
            </wp:cNvGraphicFramePr>
            <a:graphic>
              <a:graphicData uri="http://schemas.openxmlformats.org/drawingml/2006/picture">
                <pic:pic>
                  <pic:nvPicPr>
                    <pic:cNvPr id="0" name="p03_i1.jpg"/>
                    <pic:cNvPicPr/>
                  </pic:nvPicPr>
                  <pic:blipFill>
                    <a:blip r:embed="rId17"/>
                    <a:stretch>
                      <a:fillRect/>
                    </a:stretch>
                  </pic:blipFill>
                  <pic:spPr>
                    <a:xfrm>
                      <a:off x="0" y="0"/>
                      <a:ext cx="5029200" cy="1989677"/>
                    </a:xfrm>
                    <a:prstGeom prst="rect"/>
                  </pic:spPr>
                </pic:pic>
              </a:graphicData>
            </a:graphic>
          </wp:inline>
        </w:drawing>
      </w:r>
    </w:p>
    <w:p>
      <w:pPr>
        <w:spacing w:after="160"/>
        <w:jc w:val="center"/>
      </w:pPr>
      <w:r>
        <w:rPr>
          <w:rFonts w:ascii="Times New Roman" w:hAnsi="Times New Roman" w:cs="Times New Roman" w:eastAsia="Times New Roman"/>
          <w:b w:val="0"/>
          <w:i/>
          <w:sz w:val="20"/>
        </w:rPr>
        <w:t>Figure 1 (from PMC10885928): “Glutathione biosynthetic scheme. N-acetyl-L-cysteine (NAC) can supply cysteine (CYS) for the biosynthesis of reduced glutathione (GSH). NAC must first be hydrolyzed by aminoacylase 1 (ACY1) to release CYS. In the first step of GSH synthesis, L-glutamate-L-cysteine ligase (GCL) catalyzes the formation of gamma-L-glutamyl-L-cysteine (GGC) by linking CYS and L-”</w:t>
      </w:r>
    </w:p>
    <w:p>
      <w:pPr>
        <w:spacing w:after="120"/>
        <w:jc w:val="both"/>
      </w:pPr>
      <w:r>
        <w:rPr>
          <w:rFonts w:ascii="Times New Roman" w:hAnsi="Times New Roman" w:cs="Times New Roman" w:eastAsia="Times New Roman"/>
          <w:b w:val="0"/>
          <w:i w:val="0"/>
          <w:sz w:val="24"/>
        </w:rPr>
        <w:t>“GSH is the major cytosolic water-soluble chemical antioxidant and clinical evidence suggests that patients with T2D have a GSH deficiency [ 8 ]. As detailed below, GSH is important in the glutathione peroxidase (GPX) system where it reduces hydroperoxides, which are prooxidants very relevant to T2D initiation and progression [ 9 ]. 1.1. The Epidemiology of T2D The alarming present and forecasted global prevalence of T2D has stressed the need to evaluate novel treatment strategies that could complement lifestyle modifications and conventional pharmacological treatments [ 10 , 11 , 12 ]. It has been projected that by 2050, some 1.3 billion people worldwide will have diabetes with about 96% having T2D [ 13 ]. Both T2D and prediabetes are rapidly increasing in pediatric populations [ 14 , 15 ]. This trend is particularly worrisome since neither the natural history of T2D progression nor the efficacy of pharmacological treatments are as well characterized in pediatric populations compared to adults [ 16 ].”  [PMC10885928 ¶5]</w:t>
      </w:r>
    </w:p>
    <w:p>
      <w:pPr>
        <w:spacing w:after="120"/>
        <w:jc w:val="both"/>
      </w:pPr>
      <w:r>
        <w:rPr>
          <w:rFonts w:ascii="Times New Roman" w:hAnsi="Times New Roman" w:cs="Times New Roman" w:eastAsia="Times New Roman"/>
          <w:b w:val="0"/>
          <w:i w:val="0"/>
          <w:sz w:val="24"/>
        </w:rPr>
        <w:t>“OxS has emerged as an important mechanism for the initiation of prediabetes and for promoting T2D progression [ 3 , 4 , 7 ]. In Section 2 of this review, we outline the biochemistry of GSH and its central role as an antioxidant important in modulating OxS and T2D. With this background in place, we mechanistically link (in Section 3 ) T2D risk factors to OxS and T2D initiation/progression. 2. The Biochemistry and Roles of GSH (and Its Precursors) in OxS and T2D GSH is a key water-soluble thiol (R-SH) antioxidant that may play an important role in preventing, slowing, and perhaps reversing T2D progression [ 33 ]. In 1969, Kosower and Kosower wrote a review of GSH with the title \u201cLeast I Forget Thee, Glutathione\u201d [ 34 ]. This admonition has been well heeded as evidenced by an eight-fold increase in the number of GSH publications in 2022 compared to 1969 [ 35 ]. GSH (gamma-glutamylcysteinylglycine) is most often described as a \u201ctripeptide\u201d composed of CYS, GLY, and glutamic acid (GLU) as shown in Figure 1 .”  [PMC10885928 ¶9]</w:t>
      </w:r>
    </w:p>
    <w:p>
      <w:pPr>
        <w:spacing w:after="120"/>
        <w:jc w:val="both"/>
      </w:pPr>
      <w:r>
        <w:rPr>
          <w:rFonts w:ascii="Times New Roman" w:hAnsi="Times New Roman" w:cs="Times New Roman" w:eastAsia="Times New Roman"/>
          <w:b w:val="0"/>
          <w:i w:val="0"/>
          <w:sz w:val="24"/>
        </w:rPr>
        <w:t>“In the first step, L-glutamate-L-cysteine ligase (GCL) catalyzes the formation of gamma-L-glutamyl-L-cysteine (GGC) by linking CYS (a thiol-containing amino acid) and GLU. In the second step, glutathione synthetase (GS) catalyzes the formation of GSH by linking GGC to GLY [ 38 , 43 ]. The first step is rate-limiting for GSH synthesis, and the availability of CYS and the activity of GCL are key determinants of GSH synthesis [ 42 ]. CYS, and its thiol group, are essential for the antioxidant properties of GSH [ 44 ]. Moreover, since the Km of CYS for the catalytic subunit of GCL is close to its cytosolic concentration, a drop in CYS levels would result in decreased GSH synthesis [ 44 ]. Intracellular levels of CYS are typically low and, if the demand for GSH is high (e.g., OxS), CYS will be transported into the cell from the extracellular space [ 45 ]. There are sound reasons for utilizing NAC rather than CYS as a dietary supplement since NAC is chemically more stable than CYS and has an excellent safety record [ 35 ].”  [PMC10885928 ¶12]</w:t>
      </w:r>
    </w:p>
    <w:p>
      <w:pPr>
        <w:jc w:val="center"/>
      </w:pPr>
      <w:r>
        <w:drawing>
          <wp:inline xmlns:a="http://schemas.openxmlformats.org/drawingml/2006/main" xmlns:pic="http://schemas.openxmlformats.org/drawingml/2006/picture">
            <wp:extent cx="5029200" cy="3127838"/>
            <wp:docPr id="10" name="Picture 10"/>
            <wp:cNvGraphicFramePr>
              <a:graphicFrameLocks noChangeAspect="1"/>
            </wp:cNvGraphicFramePr>
            <a:graphic>
              <a:graphicData uri="http://schemas.openxmlformats.org/drawingml/2006/picture">
                <pic:pic>
                  <pic:nvPicPr>
                    <pic:cNvPr id="0" name="p07_i1.jpg"/>
                    <pic:cNvPicPr/>
                  </pic:nvPicPr>
                  <pic:blipFill>
                    <a:blip r:embed="rId18"/>
                    <a:stretch>
                      <a:fillRect/>
                    </a:stretch>
                  </pic:blipFill>
                  <pic:spPr>
                    <a:xfrm>
                      <a:off x="0" y="0"/>
                      <a:ext cx="5029200" cy="3127838"/>
                    </a:xfrm>
                    <a:prstGeom prst="rect"/>
                  </pic:spPr>
                </pic:pic>
              </a:graphicData>
            </a:graphic>
          </wp:inline>
        </w:drawing>
      </w:r>
    </w:p>
    <w:p>
      <w:pPr>
        <w:spacing w:after="160"/>
        <w:jc w:val="center"/>
      </w:pPr>
      <w:r>
        <w:rPr>
          <w:rFonts w:ascii="Times New Roman" w:hAnsi="Times New Roman" w:cs="Times New Roman" w:eastAsia="Times New Roman"/>
          <w:b w:val="0"/>
          <w:i/>
          <w:sz w:val="20"/>
        </w:rPr>
        <w:t>Figure 2 (from PMC10885928): “The glutathione peroxidase (GPX) system and lipid peroxidation. GPX catalyzes the conversion of lipid hydroperoxides (LOOH), formed from lipid peroxidation to a lipid alcohol (LOH) utilizing GSH as a reducing agent. The oxidized GSH (GSSG) formed by this reaction is reduced back to GSH by glutathione reductase (GR) with the consumption of NADPH. The lipid pe”</w:t>
      </w:r>
    </w:p>
    <w:p>
      <w:pPr>
        <w:keepNext/>
        <w:pageBreakBefore/>
        <w:spacing w:before="240" w:after="120"/>
        <w:jc w:val="center"/>
      </w:pPr>
      <w:r>
        <w:rPr>
          <w:rFonts w:ascii="Times New Roman" w:hAnsi="Times New Roman" w:cs="Times New Roman" w:eastAsia="Times New Roman"/>
          <w:b/>
          <w:i w:val="0"/>
          <w:color w:val="335588"/>
          <w:sz w:val="28"/>
        </w:rPr>
        <w:t>Chapter 7</w:t>
      </w:r>
    </w:p>
    <w:p>
      <w:pPr>
        <w:keepNext/>
        <w:spacing w:before="0" w:after="120"/>
        <w:jc w:val="center"/>
        <w:outlineLvl w:val="0"/>
      </w:pPr>
      <w:r>
        <w:rPr>
          <w:rFonts w:ascii="Times New Roman" w:hAnsi="Times New Roman" w:cs="Times New Roman" w:eastAsia="Times New Roman"/>
          <w:b/>
          <w:i w:val="0"/>
          <w:color w:val="1F3D7A"/>
          <w:sz w:val="44"/>
        </w:rPr>
        <w:t>Sources of L-Cysteine Exposure</w:t>
      </w:r>
    </w:p>
    <w:p>
      <w:pPr>
        <w:spacing w:after="240"/>
        <w:jc w:val="center"/>
      </w:pPr>
      <w:r>
        <w:rPr>
          <w:rFonts w:ascii="Times New Roman" w:hAnsi="Times New Roman" w:cs="Times New Roman" w:eastAsia="Times New Roman"/>
          <w:b w:val="0"/>
          <w:i/>
          <w:color w:val="404040"/>
          <w:sz w:val="22"/>
        </w:rPr>
        <w:t>Biosynthesis, dietary intake, and industrial production pathways</w:t>
      </w:r>
    </w:p>
    <w:p>
      <w:pPr>
        <w:keepNext/>
        <w:pageBreakBefore/>
        <w:spacing w:before="480" w:after="160"/>
        <w:outlineLvl w:val="0"/>
      </w:pPr>
      <w:r>
        <w:rPr>
          <w:rFonts w:ascii="Times New Roman" w:hAnsi="Times New Roman" w:cs="Times New Roman" w:eastAsia="Times New Roman"/>
          <w:b/>
          <w:i w:val="0"/>
          <w:color w:val="1F3D7A"/>
          <w:sz w:val="36"/>
        </w:rPr>
        <w:t>7.  Sources, Biosynthesis, and Industrial Production of L-Cysteine</w:t>
      </w:r>
    </w:p>
    <w:p>
      <w:pPr>
        <w:keepNext/>
        <w:spacing w:before="280" w:after="80"/>
        <w:outlineLvl w:val="1"/>
      </w:pPr>
      <w:r>
        <w:rPr>
          <w:rFonts w:ascii="Times New Roman" w:hAnsi="Times New Roman" w:cs="Times New Roman" w:eastAsia="Times New Roman"/>
          <w:b/>
          <w:i w:val="0"/>
          <w:color w:val="335588"/>
          <w:sz w:val="28"/>
        </w:rPr>
        <w:t>7.1  Endogenous biosynthesis — the transsulfuration pathway</w:t>
      </w:r>
    </w:p>
    <w:p>
      <w:pPr>
        <w:spacing w:after="80"/>
        <w:jc w:val="both"/>
      </w:pPr>
      <w:r>
        <w:rPr>
          <w:rFonts w:ascii="Times New Roman" w:hAnsi="Times New Roman" w:cs="Times New Roman" w:eastAsia="Times New Roman"/>
          <w:b w:val="0"/>
          <w:i w:val="0"/>
          <w:sz w:val="24"/>
        </w:rPr>
        <w:t>In mammals, L-cysteine is synthesised endogenously from methionine via the transsulfuration pathway; this pathway is cited in the peer-reviewed corpus as the physiological source of cysteine for glutathione biosynthesis.</w:t>
      </w:r>
    </w:p>
    <w:p>
      <w:pPr>
        <w:spacing w:after="80"/>
        <w:jc w:val="both"/>
      </w:pPr>
      <w:r>
        <w:rPr>
          <w:rFonts w:ascii="Times New Roman" w:hAnsi="Times New Roman" w:cs="Times New Roman" w:eastAsia="Times New Roman"/>
          <w:b w:val="0"/>
          <w:i w:val="0"/>
          <w:sz w:val="24"/>
        </w:rPr>
        <w:t>Figure captions reproduced verbatim from PMC10885928 (Antioxidants 2024 — The Role of Glutathione and Its Precursors in Type 2 Diabetes) describe the pathway schematic:</w:t>
      </w:r>
    </w:p>
    <w:p>
      <w:pPr>
        <w:spacing w:after="80"/>
        <w:jc w:val="both"/>
      </w:pPr>
      <w:r>
        <w:rPr>
          <w:rFonts w:ascii="Times New Roman" w:hAnsi="Times New Roman" w:cs="Times New Roman" w:eastAsia="Times New Roman"/>
          <w:b w:val="0"/>
          <w:i/>
          <w:sz w:val="24"/>
        </w:rPr>
        <w:t>“Glutathione biosynthetic scheme. N-acetyl-L-cysteine (NAC) can supply cysteine (CYS) for the biosynthesis of reduced glutathione (GSH). NAC must first be hydrolyzed by aminoacylase 1 (ACY1) to release CYS. In the first step of GSH synthesis, L-glutamate-L-cysteine ligase (GCL) catalyzes the formation of gamma-L-glutamyl-L-cysteine (GGC) by linking CYS and L-glutamate (GLU). In the second step, glu</w:t>
        <w:br/>
        <w:t xml:space="preserve">   graphic: `antioxidants-13-00184-g001.jpg`”</w:t>
      </w:r>
    </w:p>
    <w:p>
      <w:pPr>
        <w:spacing w:before="120" w:after="80"/>
        <w:jc w:val="both"/>
      </w:pPr>
      <w:r>
        <w:rPr>
          <w:rFonts w:ascii="Times New Roman" w:hAnsi="Times New Roman" w:cs="Times New Roman" w:eastAsia="Times New Roman"/>
          <w:b/>
          <w:i w:val="0"/>
          <w:sz w:val="24"/>
        </w:rPr>
        <w:t>Verbatim paragraphs documenting the transsulfuration pathway and cysteine biosynthesis (from harvested full texts):</w:t>
      </w:r>
    </w:p>
    <w:p>
      <w:pPr>
        <w:spacing w:after="120"/>
        <w:jc w:val="both"/>
      </w:pPr>
      <w:r>
        <w:rPr>
          <w:rFonts w:ascii="Times New Roman" w:hAnsi="Times New Roman" w:cs="Times New Roman" w:eastAsia="Times New Roman"/>
          <w:b w:val="0"/>
          <w:i w:val="0"/>
          <w:sz w:val="24"/>
        </w:rPr>
        <w:t>“GPx-1 deficiency is directly related to the development of ED, inflammation and neointimal formation, suggesting a role of ROS in altering the amount and function of NO [ 74 , 75 ]. A beneficial role is ascribed to selenium; indeed, its intake directly regulates GPX1 expression and levels, with selenium supplementation reducing susceptibility to CVDs, while selenium deficiency increases the risk of CVDs [ 76 , 77 ]. GPX1 is a selenoprotein negatively affected by homocysteinemia, leading to oxidative stress, reduced NO bioavailability, and ED. Elevated homocysteine levels lead to reduced expression and activity of GPX1, resulting in increased ROS accumulation and endothelial damage. Conversely, GPX1 overexpression can restore vascular function, emphasizing its crucial role in mitigating hyperhomocysteinemia-induced dysfunction [ 78 , 79 , 80 ]. Furthermore, the Trx/TXNRD system is implicated in ED protection, linked to homocysteine-induced oxidative stress and atherogenesis.”  [PMC11939635 ¶28]</w:t>
      </w:r>
    </w:p>
    <w:p>
      <w:pPr>
        <w:spacing w:after="120"/>
        <w:jc w:val="both"/>
      </w:pPr>
      <w:r>
        <w:rPr>
          <w:rFonts w:ascii="Times New Roman" w:hAnsi="Times New Roman" w:cs="Times New Roman" w:eastAsia="Times New Roman"/>
          <w:b w:val="0"/>
          <w:i w:val="0"/>
          <w:sz w:val="24"/>
        </w:rPr>
        <w:t>“Reduced Trx activity, combined with compensatory TXNRD upregulation, strongly correlates with disease severity in coronary artery disease (CAD) patients under hyperhomocysteinemic conditions [ 81 ]. The oxidative stress caused by homocysteine-mediated downregulation of Trx1 likely drives TXNRD upregulation to counteract hydroperoxides and lipid peroxides associated with atherosclerosis [ 82 ]. Similarly, studies highlight NADPH oxidase activation and decreased Trx and eNOS activity as mechanisms linking high homocysteine levels to oxidative stress and ED [ 83 ]. A reciprocal regulation between GPX1 and TXNRD1 was observed during homocysteine-induced hypomethylation stress, driven by S-adenosylhomocysteine accumulation. This dysregulation promotes endothelial activation, inflammatory cytokine production, and a pro-atherogenic phenotype [ 84 ]. Recent findings demonstrate that selenium nanoparticles effectively alleviate ED and vascular inflammation in ApoE \u2212/\u2212 atherosclerosis model [ 85 ].”  [PMC11939635 ¶29]</w:t>
      </w:r>
    </w:p>
    <w:p>
      <w:pPr>
        <w:spacing w:after="120"/>
        <w:jc w:val="both"/>
      </w:pPr>
      <w:r>
        <w:rPr>
          <w:rFonts w:ascii="Times New Roman" w:hAnsi="Times New Roman" w:cs="Times New Roman" w:eastAsia="Times New Roman"/>
          <w:b w:val="0"/>
          <w:i w:val="0"/>
          <w:sz w:val="24"/>
        </w:rPr>
        <w:t>“Reduced activity of these systems leads to increased ROS/RNS production, contributing to ED and atherosclerosis. For example, SOD1 blockade increases basal O 2 \u2022\u2212 levels, and GPx-1 deficiency accelerates atherosclerotic lesion progression. Selenium intake regulates GPx-1 expression, reducing CVD risk, while homocysteine-induced oxidative stress reduces GPx-1 activity, worsening ED. The Trx/TXNRD system is also linked to ED protection, with its dysregulation in hyperhomocysteinemic conditions worsening oxidative stress and atherosclerosis. Selenium nanoparticles alleviate ED in atherosclerosis models. SGLT2 inhibitors, like EMPA, reduce oxidative stress and increase NO availability, improving endothelial function. Antioxidant treatments, such as NAC, also protect against oxidative stress-induced changes, preventing ED in many conditions, including calcific aortic valve stenosis. 3.2.”  [PMC11939635 ¶33]</w:t>
      </w:r>
    </w:p>
    <w:p>
      <w:pPr>
        <w:jc w:val="center"/>
      </w:pPr>
      <w:r>
        <w:drawing>
          <wp:inline xmlns:a="http://schemas.openxmlformats.org/drawingml/2006/main" xmlns:pic="http://schemas.openxmlformats.org/drawingml/2006/picture">
            <wp:extent cx="5029200" cy="2916365"/>
            <wp:docPr id="11" name="Picture 11"/>
            <wp:cNvGraphicFramePr>
              <a:graphicFrameLocks noChangeAspect="1"/>
            </wp:cNvGraphicFramePr>
            <a:graphic>
              <a:graphicData uri="http://schemas.openxmlformats.org/drawingml/2006/picture">
                <pic:pic>
                  <pic:nvPicPr>
                    <pic:cNvPr id="0" name="p11_i1.jpg"/>
                    <pic:cNvPicPr/>
                  </pic:nvPicPr>
                  <pic:blipFill>
                    <a:blip r:embed="rId16"/>
                    <a:stretch>
                      <a:fillRect/>
                    </a:stretch>
                  </pic:blipFill>
                  <pic:spPr>
                    <a:xfrm>
                      <a:off x="0" y="0"/>
                      <a:ext cx="5029200" cy="2916365"/>
                    </a:xfrm>
                    <a:prstGeom prst="rect"/>
                  </pic:spPr>
                </pic:pic>
              </a:graphicData>
            </a:graphic>
          </wp:inline>
        </w:drawing>
      </w:r>
    </w:p>
    <w:p>
      <w:pPr>
        <w:spacing w:after="160"/>
        <w:jc w:val="center"/>
      </w:pPr>
      <w:r>
        <w:rPr>
          <w:rFonts w:ascii="Times New Roman" w:hAnsi="Times New Roman" w:cs="Times New Roman" w:eastAsia="Times New Roman"/>
          <w:b w:val="0"/>
          <w:i/>
          <w:sz w:val="20"/>
        </w:rPr>
        <w:t>Figure 1 (from PMC11939635): “Key molecular mechanisms linking endothelial dysfunction, NLRP3 inflammasome, and cardiovascular diseases (CVDs). Schematic illustration of the pathways and factors contributing to endothelial dysfunction and the progression of CVDs. The activation of the NLRP3 inflammasome by PAMPs, DAMPs, and hemodynamic alterations triggers the production of inflammatory ”</w:t>
      </w:r>
    </w:p>
    <w:p>
      <w:pPr>
        <w:spacing w:after="120"/>
        <w:jc w:val="both"/>
      </w:pPr>
      <w:r>
        <w:rPr>
          <w:rFonts w:ascii="Times New Roman" w:hAnsi="Times New Roman" w:cs="Times New Roman" w:eastAsia="Times New Roman"/>
          <w:b w:val="0"/>
          <w:i w:val="0"/>
          <w:sz w:val="24"/>
        </w:rPr>
        <w:t>“Recently, in a hypertensive rat model, it was observed that cystathionine \u03b3-lyase (CSE) levels were significantly reduced while NLRP3, caspase-1, and related cytokines were elevated compared to the control model. This scenario was reversed by the exogenous administration of the hydrogen sulfide (H 2 S) donor sodium hydrosulfide (NaHS), which effectively mitigated endothelial damage by targeting NLRP3 activation and reducing oxidative stress. Similar protective data by NaSH were observed in human umbilical vein ECs pretreated with angiotensin II [ 121 ]. Moreover, cystathionine gamma-lyase (CGL) deficiency exacerbates isoprenaline-induced cardiac injury in mice, but this effect was mitigated by an H 2 S donor, which enhanced Sirtuin 1 (SIRT1) expression and its deacetylation activity through S-sulfhydration at zinc finger domains [ 121 , 122 ]. These findings suggest that reduced CGL production, secondary to oxidative stress in human aortic ECs and aorta from atherogenic ApoE \u2212 / \u2212 mice, contributes to ED [ 123 ].”  [PMC11939635 ¶41]</w:t>
      </w:r>
    </w:p>
    <w:p>
      <w:pPr>
        <w:keepNext/>
        <w:spacing w:before="280" w:after="80"/>
        <w:outlineLvl w:val="1"/>
      </w:pPr>
      <w:r>
        <w:rPr>
          <w:rFonts w:ascii="Times New Roman" w:hAnsi="Times New Roman" w:cs="Times New Roman" w:eastAsia="Times New Roman"/>
          <w:b/>
          <w:i w:val="0"/>
          <w:color w:val="335588"/>
          <w:sz w:val="28"/>
        </w:rPr>
        <w:t>7.2  Industrial extraction from keratin</w:t>
      </w:r>
    </w:p>
    <w:p>
      <w:pPr>
        <w:spacing w:after="80"/>
        <w:jc w:val="both"/>
      </w:pPr>
      <w:r>
        <w:rPr>
          <w:rFonts w:ascii="Times New Roman" w:hAnsi="Times New Roman" w:cs="Times New Roman" w:eastAsia="Times New Roman"/>
          <w:b w:val="0"/>
          <w:i w:val="0"/>
          <w:sz w:val="24"/>
        </w:rPr>
        <w:t>Historically, commercial L-cysteine has been produced by acid hydrolysis of keratin-rich animal feedstocks (hair, feathers, hog bristles). This process yields racemic cystine, which is then reduced to cysteine. The peer-reviewed corpus documents that extraction is being displaced by fermentation for environmental and food-safety reasons — see PMC10821248.</w:t>
      </w:r>
    </w:p>
    <w:p>
      <w:pPr>
        <w:spacing w:before="120" w:after="80"/>
        <w:jc w:val="both"/>
      </w:pPr>
      <w:r>
        <w:rPr>
          <w:rFonts w:ascii="Times New Roman" w:hAnsi="Times New Roman" w:cs="Times New Roman" w:eastAsia="Times New Roman"/>
          <w:b/>
          <w:i w:val="0"/>
          <w:sz w:val="24"/>
        </w:rPr>
        <w:t>Verbatim paragraphs on extraction-based production from keratin and the shift to non-animal sources (PMC10821248):</w:t>
      </w:r>
    </w:p>
    <w:p>
      <w:pPr>
        <w:spacing w:after="120"/>
        <w:jc w:val="both"/>
      </w:pPr>
      <w:r>
        <w:rPr>
          <w:rFonts w:ascii="Times New Roman" w:hAnsi="Times New Roman" w:cs="Times New Roman" w:eastAsia="Times New Roman"/>
          <w:b w:val="0"/>
          <w:i w:val="0"/>
          <w:sz w:val="24"/>
        </w:rPr>
        <w:t>“This process relies on the L-cysteine remaining in an unoxidized state. Hence, the oxidants in the fermentation broth are removed during the anion-exchange chromatography, and the pH of the L-cysteine-rich solution must be closely monitored and adjusted throughout the purification line. graphic: `molecules-29-00486-g004.jpg` ```json { "pmcid": "PMC10821248", "pmid": "38257399", "doi": "10.3390/molecules29020486", "title": "Challenges and Advances in the Bioproduction of L-Cysteine", "journal": "Molecules", "year": "2024", "abstract": "L-cysteine is a proteogenic amino acid with many applications in the pharmaceutical, food, animal feed, and cosmetic industries. Due to safety and environmental issues in extracting L-cysteine from animal hair and feathers, the fermentative production of L-cysteine offers an attractive alternative using renewable feedstocks. Strategies to improve microbial production hosts like Pantoea ananatis , Corynebacterium\u00a0glutamicum , Pseudomonas sp., and Escherichia coli are summarized.”  [PMC10821248 ¶2]</w:t>
      </w:r>
    </w:p>
    <w:p>
      <w:pPr>
        <w:spacing w:after="120"/>
        <w:jc w:val="both"/>
      </w:pPr>
      <w:r>
        <w:rPr>
          <w:rFonts w:ascii="Times New Roman" w:hAnsi="Times New Roman" w:cs="Times New Roman" w:eastAsia="Times New Roman"/>
          <w:b w:val="0"/>
          <w:i w:val="0"/>
          <w:sz w:val="24"/>
        </w:rPr>
        <w:t>“L-cysteine is produced for applications in the pharmaceutical, food, animal feed, and cosmetics industries, with an estimated yearly production of roughly 3000 tons [ 7 , 8 ]. In the pharmaceutical and food industries, L-cysteine is a precursor for the production of drugs, food supplements, and nutraceuticals [ 9 ]. In animal feed, L-cysteine is used as a sulfur supplement for wool production [ 10 ]. In the cosmetic industry, L-cysteine is applied as a substitute for thioglycolic acid in hair applications for breaking the disulfide bridges of keratin to achieve permanent hair waving [ 10 ]. Animal feathers and human hair are natural sources of L-cysteine, which is the main component of keratin. First, cystine is extracted with activated charcoal after the acidic hydrolysis of feathers and hair. After desorption from the activated charcoal matrix, the isolated and purified L-cystine is then transformed into L-cysteine via electrolytic reduction [ 11 ].”  [PMC10821248 ¶5]</w:t>
      </w:r>
    </w:p>
    <w:p>
      <w:pPr>
        <w:keepNext/>
        <w:spacing w:before="280" w:after="80"/>
        <w:outlineLvl w:val="1"/>
      </w:pPr>
      <w:r>
        <w:rPr>
          <w:rFonts w:ascii="Times New Roman" w:hAnsi="Times New Roman" w:cs="Times New Roman" w:eastAsia="Times New Roman"/>
          <w:b/>
          <w:i w:val="0"/>
          <w:color w:val="335588"/>
          <w:sz w:val="28"/>
        </w:rPr>
        <w:t>7.3  Microbial fermentation — contemporary industrial route</w:t>
      </w:r>
    </w:p>
    <w:p>
      <w:pPr>
        <w:spacing w:after="80"/>
        <w:jc w:val="both"/>
      </w:pPr>
      <w:r>
        <w:rPr>
          <w:rFonts w:ascii="Times New Roman" w:hAnsi="Times New Roman" w:cs="Times New Roman" w:eastAsia="Times New Roman"/>
          <w:b w:val="0"/>
          <w:i w:val="0"/>
          <w:sz w:val="24"/>
        </w:rPr>
        <w:t>PMC10821248 (Molecules 2024 — "Challenges and Advances in the Bioproduction of L-Cysteine") surveys the engineered-microbe route. From that paper's verbatim abstract:</w:t>
      </w:r>
    </w:p>
    <w:p>
      <w:pPr>
        <w:spacing w:after="80"/>
        <w:jc w:val="both"/>
      </w:pPr>
      <w:r>
        <w:rPr>
          <w:rFonts w:ascii="Times New Roman" w:hAnsi="Times New Roman" w:cs="Times New Roman" w:eastAsia="Times New Roman"/>
          <w:b w:val="0"/>
          <w:i/>
          <w:sz w:val="24"/>
        </w:rPr>
        <w:t>“L-cysteine is a proteogenic amino acid with many applications in the pharmaceutical, food, animal feed, and cosmetic industries. Due to safety and environmental issues in extracting L-cysteine from animal hair and feathers, the fermentative production of L-cysteine offers an attractive alternative using renewable feedstocks. Strategies to improve microbial production hosts like Pantoea ananatis , Corynebacterium glutamicum , Pseudomonas sp., and Escherichia coli are summarized. Concerning the metabolic engineering strategies, the overexpression of feedback inhibition-insensitive L-serine O-acetyltransferase and weakening the degradation of L-cysteine through the removal of L-cysteine desulfhydrases are crucial adjustments. The overexpression of L-cysteine exporters is vital to overcome the toxicity caused by intracellular accumulating L-cysteine. In addition, we compiled the process engineering aspects for the bioproduction of L-cysteine. Utilizing the energy-efficient sulfur assimilation pathway via thiosulfate, fermenting cheap carbon sources, designing scalable, fed-batch processes with individual feedings of carbon and sulfur sources, and implementing efficient purification techniques are essential for the fermentative production of L-cysteine on an industrial scale.”</w:t>
      </w:r>
    </w:p>
    <w:p>
      <w:pPr>
        <w:spacing w:before="120" w:after="80"/>
        <w:jc w:val="both"/>
      </w:pPr>
      <w:r>
        <w:rPr>
          <w:rFonts w:ascii="Times New Roman" w:hAnsi="Times New Roman" w:cs="Times New Roman" w:eastAsia="Times New Roman"/>
          <w:b/>
          <w:i w:val="0"/>
          <w:sz w:val="24"/>
        </w:rPr>
        <w:t>Verbatim paragraphs on microbial fermentation strategies, strain engineering, and yield bottlenecks (PMC10821248):</w:t>
      </w:r>
    </w:p>
    <w:p>
      <w:pPr>
        <w:spacing w:after="120"/>
        <w:jc w:val="both"/>
      </w:pPr>
      <w:r>
        <w:rPr>
          <w:rFonts w:ascii="Times New Roman" w:hAnsi="Times New Roman" w:cs="Times New Roman" w:eastAsia="Times New Roman"/>
          <w:b w:val="0"/>
          <w:i w:val="0"/>
          <w:sz w:val="24"/>
        </w:rPr>
        <w:t>“This process relies on the L-cysteine remaining in an unoxidized state. Hence, the oxidants in the fermentation broth are removed during the anion-exchange chromatography, and the pH of the L-cysteine-rich solution must be closely monitored and adjusted throughout the purification line. graphic: `molecules-29-00486-g004.jpg` ```json { "pmcid": "PMC10821248", "pmid": "38257399", "doi": "10.3390/molecules29020486", "title": "Challenges and Advances in the Bioproduction of L-Cysteine", "journal": "Molecules", "year": "2024", "abstract": "L-cysteine is a proteogenic amino acid with many applications in the pharmaceutical, food, animal feed, and cosmetic industries. Due to safety and environmental issues in extracting L-cysteine from animal hair and feathers, the fermentative production of L-cysteine offers an attractive alternative using renewable feedstocks. Strategies to improve microbial production hosts like Pantoea ananatis , Corynebacterium\u00a0glutamicum , Pseudomonas sp., and Escherichia coli are summarized.”  [PMC10821248 ¶2]</w:t>
      </w:r>
    </w:p>
    <w:p>
      <w:pPr>
        <w:spacing w:after="120"/>
        <w:jc w:val="both"/>
      </w:pPr>
      <w:r>
        <w:rPr>
          <w:rFonts w:ascii="Times New Roman" w:hAnsi="Times New Roman" w:cs="Times New Roman" w:eastAsia="Times New Roman"/>
          <w:b w:val="0"/>
          <w:i w:val="0"/>
          <w:sz w:val="24"/>
        </w:rPr>
        <w:t>“Concerning the metabolic engineering strategies, the overexpression of feedback inhibition-insensitive L-serine O-acetyltransferase and weakening the degradation of L-cysteine through the removal of L-cysteine desulfhydrases are crucial adjustments. The overexpression of L-cysteine exporters is vital to overcome the toxicity caused by intracellular accumulating L-cysteine. In addition, we compiled the process engineering aspects for the bioproduction of L-cysteine. Utilizing the energy-efficient sulfur assimilation pathway via thiosulfate, fermenting cheap carbon sources, designing scalable, fed-batch processes with individual feedings of carbon and sulfur sources, and implementing efficient purification techniques are essential for the fermentative production of L-cysteine on an industrial scale.", "body_text": "1. Introduction L-cysteine is a nucleophilic amino acid with a sulfhydryl group, which enables the formation of disulfide bridges.”  [PMC10821248 ¶3]</w:t>
      </w:r>
    </w:p>
    <w:p>
      <w:pPr>
        <w:spacing w:after="120"/>
        <w:jc w:val="both"/>
      </w:pPr>
      <w:r>
        <w:rPr>
          <w:rFonts w:ascii="Times New Roman" w:hAnsi="Times New Roman" w:cs="Times New Roman" w:eastAsia="Times New Roman"/>
          <w:b w:val="0"/>
          <w:i w:val="0"/>
          <w:sz w:val="24"/>
        </w:rPr>
        <w:t>“This is the most common production method applied so far, although the L-cysteine process yield is low, and unpleasant odors may occur. However, the most important disadvantage is the environmental and safety issues caused by the disposal of the organic waste, which contains hydrochloric acid [ 12 ]. An alternative approach is the biotechnological production of L-cysteine from renewable resources [ 13 ]. Since the 1980s, microorganisms of the genus Pseudomonas have been used for the asymmetric whole-cell biocatalysis of DL-2-amino-\u0394 2 -thiazoline-4-carboxylic acid (DL-ATC) to generate L-cysteine ( Figure 2 ). Pseudomonas is a genus of gram-negative bacteria belonging to the family Pseudomonadaceae in the class of \u03b3-proteobacteria. From the many bacteria, especially in the genus Pseudomonas , that have an activity to convert DL-ATC to L-cysteine, two biosynthetic pathways have been described [ 14 , 15 , 16 ].”  [PMC10821248 ¶6]</w:t>
      </w:r>
    </w:p>
    <w:p>
      <w:pPr>
        <w:jc w:val="center"/>
      </w:pPr>
      <w:r>
        <w:drawing>
          <wp:inline xmlns:a="http://schemas.openxmlformats.org/drawingml/2006/main" xmlns:pic="http://schemas.openxmlformats.org/drawingml/2006/picture">
            <wp:extent cx="5029200" cy="3693319"/>
            <wp:docPr id="12" name="Picture 12"/>
            <wp:cNvGraphicFramePr>
              <a:graphicFrameLocks noChangeAspect="1"/>
            </wp:cNvGraphicFramePr>
            <a:graphic>
              <a:graphicData uri="http://schemas.openxmlformats.org/drawingml/2006/picture">
                <pic:pic>
                  <pic:nvPicPr>
                    <pic:cNvPr id="0" name="p02_i1.jpg"/>
                    <pic:cNvPicPr/>
                  </pic:nvPicPr>
                  <pic:blipFill>
                    <a:blip r:embed="rId9"/>
                    <a:stretch>
                      <a:fillRect/>
                    </a:stretch>
                  </pic:blipFill>
                  <pic:spPr>
                    <a:xfrm>
                      <a:off x="0" y="0"/>
                      <a:ext cx="5029200" cy="3693319"/>
                    </a:xfrm>
                    <a:prstGeom prst="rect"/>
                  </pic:spPr>
                </pic:pic>
              </a:graphicData>
            </a:graphic>
          </wp:inline>
        </w:drawing>
      </w:r>
    </w:p>
    <w:p>
      <w:pPr>
        <w:spacing w:after="160"/>
        <w:jc w:val="center"/>
      </w:pPr>
      <w:r>
        <w:rPr>
          <w:rFonts w:ascii="Times New Roman" w:hAnsi="Times New Roman" w:cs="Times New Roman" w:eastAsia="Times New Roman"/>
          <w:b w:val="0"/>
          <w:i/>
          <w:sz w:val="20"/>
        </w:rPr>
        <w:t>Figure 1 (from PMC10821248): “Metabolic pathways for L-cysteine biosynthesis in microorganisms. In the L-serine O-acetyltransferase-O-acetyl-L-serine (SAT-OASS) pathway, there are two branches for the transformation of O-acetyl-L-serine (OAS) into L-cysteine, depending on the sulfur source available to the organism. These biotransformations are catalyzed by two different OASSs: OASS-A in”</w:t>
      </w:r>
    </w:p>
    <w:p>
      <w:pPr>
        <w:spacing w:after="120"/>
        <w:jc w:val="both"/>
      </w:pPr>
      <w:r>
        <w:rPr>
          <w:rFonts w:ascii="Times New Roman" w:hAnsi="Times New Roman" w:cs="Times New Roman" w:eastAsia="Times New Roman"/>
          <w:b w:val="0"/>
          <w:i w:val="0"/>
          <w:sz w:val="24"/>
        </w:rPr>
        <w:t>“As an intermediate, one pathway produces N-carbamoyl cysteine, and the other, S-carbamoyl cysteine [ 17 ]. However, in the Pseudomonas cells, L-cysteine is converted to pyruvate, hydrogen sulfide, and ammonia by L-cysteine desulfhydrase (CD). The L-cysteine desulfhydrase gene could not be knocked out to increase the production of L-cysteine during the bioconversion of DL-ATC by Pseudomonas sp., since the degradation of L-cysteine is required to supply the cells with carbon and nitrogen [ 18 ]. Furthermore, the difficulty of procurement of the substrate DL-ATC and the low enzymatic yields of this process limited its application as an industrial process [ 12 ]. Through the understanding of the complex regulation system of the L-cysteine synthesis in bacteria, and with the advancements in synthetic biology, the direct fermentative L-cysteine production from glucose became feasible and has been exploited by global amino acid producers to supply an increasing portion of the global L-cysteine demand [ 19 ].”  [PMC10821248 ¶7]</w:t>
      </w:r>
    </w:p>
    <w:p>
      <w:pPr>
        <w:spacing w:after="120"/>
        <w:jc w:val="both"/>
      </w:pPr>
      <w:r>
        <w:rPr>
          <w:rFonts w:ascii="Times New Roman" w:hAnsi="Times New Roman" w:cs="Times New Roman" w:eastAsia="Times New Roman"/>
          <w:b w:val="0"/>
          <w:i w:val="0"/>
          <w:sz w:val="24"/>
        </w:rPr>
        <w:t>“In this review, the metabolic engineering strategies for enhancing the L-cysteine yield and cell-specific productivities will be compiled, e.g., improving the metabolic availability of precursors, deregulating controlling enzymes, knocking out genes coding for L-cysteine-degrading enzymes, and overexpressing transporter genes to transport L-cysteine out of the cell. The final section of this review focuses on the process engineering aspects like sulfur sources, fermentation process designs, and L-cysteine purification strategies. 2. Metabolic Engineering Strategies Microorganisms use two main pathways for the biosynthesis of L-cysteine. In enteric bacteria such as E. coli , the precursor of L-cysteine is L-serine [ 20 ]. L-cysteine is synthesized from L-serine in two steps, which involve the substitution of the \u03b2-hydroxyl group with a thiol group ( Figure 1 ). The first step involves the acetylation of the \u03b2-hydroxyl of L-serine, resulting in an O-acetyl-L-serine (OAS) catalyzed by L-serine O-acetyltransferase (SAT), which is encoded by the cysE gene.”  [PMC10821248 ¶8]</w:t>
      </w:r>
    </w:p>
    <w:p>
      <w:pPr>
        <w:spacing w:after="120"/>
        <w:jc w:val="both"/>
      </w:pPr>
      <w:r>
        <w:rPr>
          <w:rFonts w:ascii="Times New Roman" w:hAnsi="Times New Roman" w:cs="Times New Roman" w:eastAsia="Times New Roman"/>
          <w:b w:val="0"/>
          <w:i w:val="0"/>
          <w:sz w:val="24"/>
        </w:rPr>
        <w:t>“The second step involves the \u03b1,\u03b2-elimination of acetate from OAS and the addition of H 2 S to give an L-cysteine catalyzed by O-acetyl-L-serine sulfhydrylase-A (OASS-A), which is encoded by the cysK gene. Corynebacterium glutamicum and Pantoea ananantis synthesize L-cysteine through the same pathway as E. coli [ 12 ]. Other microorganisms, such as Pseudomonas putida [ 21 ], Saccharomyces cerevisiae [ 22 ], and Lactococcus lactis [ 23 ] synthesize L-cysteine from L-methionine through the reverse transsulfuration pathway that consists in the cleavage of a methyl group from L-methionine to generate a homocysteine catalyzed by a multienzyme complex, and the homocysteine\u2019s subsequent transformation to cystathionine by the enzyme cystathionine beta-synthase (CBS). L-cysteine can be produced from cystathionine through the enzyme cystathionine gamma-lyase (CSE) ( Figure 1 ). The choice of the starting strain for metabolic engineering has an impact on the potential enhancements achieved through the modification of metabolic steps [ 24 ].”  [PMC10821248 ¶9]</w:t>
      </w:r>
    </w:p>
    <w:p>
      <w:pPr>
        <w:jc w:val="center"/>
      </w:pPr>
      <w:r>
        <w:drawing>
          <wp:inline xmlns:a="http://schemas.openxmlformats.org/drawingml/2006/main" xmlns:pic="http://schemas.openxmlformats.org/drawingml/2006/picture">
            <wp:extent cx="5029200" cy="2124837"/>
            <wp:docPr id="13" name="Picture 13"/>
            <wp:cNvGraphicFramePr>
              <a:graphicFrameLocks noChangeAspect="1"/>
            </wp:cNvGraphicFramePr>
            <a:graphic>
              <a:graphicData uri="http://schemas.openxmlformats.org/drawingml/2006/picture">
                <pic:pic>
                  <pic:nvPicPr>
                    <pic:cNvPr id="0" name="p12_i1.jpg"/>
                    <pic:cNvPicPr/>
                  </pic:nvPicPr>
                  <pic:blipFill>
                    <a:blip r:embed="rId10"/>
                    <a:stretch>
                      <a:fillRect/>
                    </a:stretch>
                  </pic:blipFill>
                  <pic:spPr>
                    <a:xfrm>
                      <a:off x="0" y="0"/>
                      <a:ext cx="5029200" cy="2124837"/>
                    </a:xfrm>
                    <a:prstGeom prst="rect"/>
                  </pic:spPr>
                </pic:pic>
              </a:graphicData>
            </a:graphic>
          </wp:inline>
        </w:drawing>
      </w:r>
    </w:p>
    <w:p>
      <w:pPr>
        <w:spacing w:after="160"/>
        <w:jc w:val="center"/>
      </w:pPr>
      <w:r>
        <w:rPr>
          <w:rFonts w:ascii="Times New Roman" w:hAnsi="Times New Roman" w:cs="Times New Roman" w:eastAsia="Times New Roman"/>
          <w:b w:val="0"/>
          <w:i/>
          <w:sz w:val="20"/>
        </w:rPr>
        <w:t>Figure 2 (from PMC10821248): “Transformation of DL-ATC to L-cysteine. In this enzymatic three-step process, DL-ATC is isomerized to L-ATC by ATC racemase. Then, L-ATC is hydrolyzed to S-carbamyl-L-cysteine (SCC) by L-ATC hydrolase. Finally, SCC is cleaved into L-cysteine, CO 2 , and ammonia by S-cabamyl-L-cysteine amidohydrolase.</w:t>
        <w:br/>
        <w:t xml:space="preserve">   graphic: `molecules-29-00486-g002.jpg`”</w:t>
      </w:r>
    </w:p>
    <w:p>
      <w:pPr>
        <w:spacing w:after="120"/>
        <w:jc w:val="both"/>
      </w:pPr>
      <w:r>
        <w:rPr>
          <w:rFonts w:ascii="Times New Roman" w:hAnsi="Times New Roman" w:cs="Times New Roman" w:eastAsia="Times New Roman"/>
          <w:b w:val="0"/>
          <w:i w:val="0"/>
          <w:sz w:val="24"/>
        </w:rPr>
        <w:t>“This will be shown in an example with E. coli : It has been established that the transcription levels of key metabolic genes are the major modulators of different glucose utilization pathways in E. coli [ 25 ]. Also, the genetic difference in the catabolite repression protein (CRP) among the E. coli K-12 strains affects sulfur metabolism [ 26 ]. During the last 20 years, four E. coli K-12 strains (BW25113, JM109, W3110, and MG1655, respectively) have been utilized in L-cysteine production [ 27 ]. Therefore, the selection of a suitable chassis for L-cysteine production has been deemed the foundation for the successful implementation of metabolic engineering strategies [ 28 ]. To reach a more suitable chassis cell, the L-cysteine-producing plasmid pLH03, containing P -cysE (coding for serine acetyltransferase) and P -ydeD (a cysteine exporter), was transformed into the four aforementioned E. coli K-12 hosts.”  [PMC10821248 ¶10]</w:t>
      </w:r>
    </w:p>
    <w:p>
      <w:pPr>
        <w:spacing w:after="120"/>
        <w:jc w:val="both"/>
      </w:pPr>
      <w:r>
        <w:rPr>
          <w:rFonts w:ascii="Times New Roman" w:hAnsi="Times New Roman" w:cs="Times New Roman" w:eastAsia="Times New Roman"/>
          <w:b w:val="0"/>
          <w:i w:val="0"/>
          <w:sz w:val="24"/>
        </w:rPr>
        <w:t>“The results of shake flask experiments (minimal medium with thiosulfate as the sulfur source) showed that the best chassis for the plasmid pLH03 was BW25113, since it produced 345.8 mg L \u22121 of L-cysteine, followed by JM109 (190.3 mg L \u22121 ). By contrast, neither W3110 nor MG1655 were deemed suitable base strains for this plasmid, since they each produced less than 70 mg L \u22121 product. [ 28 ] Henceforth, the advances in the metabolic engineering of a variety of organisms will be discussed. In general, the fermentative production of L-cysteine can be enhanced by utilizing a combination of three different metabolic engineering strategies, which are as follows: Enhancing the biosynthesis of L-cysteine by expressing genes encoding feedback inhibition-insensitive phosphoglycerate dehydrogenase (PGDH) L-serine O-acetyltransferase (SAT); Weakening the degradation of L-cysteine by knocking out genes encoding L-cysteine desulfhydrase (CD); Enhancing and strengthening the efflux system while weakening and deleting the genes responsible for the import of L-cysteine.”  [PMC10821248 ¶11]</w:t>
      </w:r>
    </w:p>
    <w:p>
      <w:pPr>
        <w:spacing w:after="120"/>
        <w:jc w:val="both"/>
      </w:pPr>
      <w:r>
        <w:rPr>
          <w:rFonts w:ascii="Times New Roman" w:hAnsi="Times New Roman" w:cs="Times New Roman" w:eastAsia="Times New Roman"/>
          <w:b w:val="0"/>
          <w:i w:val="0"/>
          <w:sz w:val="24"/>
        </w:rPr>
        <w:t>“Table 1 at the end of this chapter summarizes the maximal L-cysteine concentrations achieved by applying these metabolic engineering approaches, as well as the organism and scale of the process by which they were reached. 2.1. Biosynthesis of L-Cysteine The acetylation of L-serine catalyzed by serine acetyltransferase (SAT) is the rate-limiting step of L-cysteine biosynthesis in many microorganisms. The activity of SAT is suppressed by L-cysteine via feedback inhibition ( Figure 2 ). An approach to enhance the fermentative production of L-cysteine utilizes feedback inhibition-insensitive SATs. These SATs are obtained by the following means: Engineering SAT from E. coli through site-directed mutagenesis or random mutagenesis [ 29 , 30 ]; Utilizing natural SAT from higher plants insensitive to feedback inhibition [ 31 , 32 ]. Nakamori et al. [ 33 ] obtained feedback inhibition-insensitive SATs by engineering SAT from E. coli through site-directed mutagenesis using PCR.”  [PMC10821248 ¶12]</w:t>
      </w:r>
    </w:p>
    <w:p>
      <w:pPr>
        <w:jc w:val="center"/>
      </w:pPr>
      <w:r>
        <w:drawing>
          <wp:inline xmlns:a="http://schemas.openxmlformats.org/drawingml/2006/main" xmlns:pic="http://schemas.openxmlformats.org/drawingml/2006/picture">
            <wp:extent cx="5029200" cy="1200731"/>
            <wp:docPr id="14" name="Picture 14"/>
            <wp:cNvGraphicFramePr>
              <a:graphicFrameLocks noChangeAspect="1"/>
            </wp:cNvGraphicFramePr>
            <a:graphic>
              <a:graphicData uri="http://schemas.openxmlformats.org/drawingml/2006/picture">
                <pic:pic>
                  <pic:nvPicPr>
                    <pic:cNvPr id="0" name="p03_i1.jpg"/>
                    <pic:cNvPicPr/>
                  </pic:nvPicPr>
                  <pic:blipFill>
                    <a:blip r:embed="rId11"/>
                    <a:stretch>
                      <a:fillRect/>
                    </a:stretch>
                  </pic:blipFill>
                  <pic:spPr>
                    <a:xfrm>
                      <a:off x="0" y="0"/>
                      <a:ext cx="5029200" cy="1200731"/>
                    </a:xfrm>
                    <a:prstGeom prst="rect"/>
                  </pic:spPr>
                </pic:pic>
              </a:graphicData>
            </a:graphic>
          </wp:inline>
        </w:drawing>
      </w:r>
    </w:p>
    <w:p>
      <w:pPr>
        <w:spacing w:after="160"/>
        <w:jc w:val="center"/>
      </w:pPr>
      <w:r>
        <w:rPr>
          <w:rFonts w:ascii="Times New Roman" w:hAnsi="Times New Roman" w:cs="Times New Roman" w:eastAsia="Times New Roman"/>
          <w:b w:val="0"/>
          <w:i/>
          <w:sz w:val="20"/>
        </w:rPr>
        <w:t>Figure 3 (from PMC10821248): “( a ) Substrate feeding profiles followed by [ 59 ] in the fed-batch L-cysteine production process. The thiosulfate feeding started two hours after the process was inoculated in order to avoid unnecessary oxidative stress on the cells in the initial lag phase. The glucose feeding started after five hours, once the initially added glucose was completely consu”</w:t>
      </w:r>
    </w:p>
    <w:p>
      <w:pPr>
        <w:spacing w:after="120"/>
        <w:jc w:val="both"/>
      </w:pPr>
      <w:r>
        <w:rPr>
          <w:rFonts w:ascii="Times New Roman" w:hAnsi="Times New Roman" w:cs="Times New Roman" w:eastAsia="Times New Roman"/>
          <w:b w:val="0"/>
          <w:i w:val="0"/>
          <w:sz w:val="24"/>
        </w:rPr>
        <w:t>“In this study, the cysE gene coding for SAT was altered by replacing the methionine at position 256 with other amino acids. The transformed microorganisms, having the altered cysE gene, produced 50\u2013300 mg L \u22121 of L-cysteine plus L-cystine after 72 h of cultivation in shake flasks containing a minimal medium at 30 \u00b0C. Furthermore, the transformation of the altered cysE gene in a mutant strain of E. coli , JM39-8, with decreased cysteine degradation abilities (10% CD activity) resulted in an increased production to a maximum of 790 mg L \u22121 of L-cysteine plus L-cystine in shake flasks under the same conditions as above. Takagi et al. [ 30 ] isolated feedback inhibition-insensitive SAT through a random mutagenesis into the cysE gene by using the error-prone PCR. The production test of L-cysteine and the enzymatic analysis of the mutant SAT suggested that the carboxy-terminal region of SAT is involved in the desensitization to feedback inhibition and the substantial production of L-cysteine.”  [PMC10821248 ¶13]</w:t>
      </w:r>
    </w:p>
    <w:p>
      <w:pPr>
        <w:spacing w:after="120"/>
        <w:jc w:val="both"/>
      </w:pPr>
      <w:r>
        <w:rPr>
          <w:rFonts w:ascii="Times New Roman" w:hAnsi="Times New Roman" w:cs="Times New Roman" w:eastAsia="Times New Roman"/>
          <w:b w:val="0"/>
          <w:i w:val="0"/>
          <w:sz w:val="24"/>
        </w:rPr>
        <w:t>“Another approach to obtain feedback inhibition-insensitive SATs could be to use natural SATs from higher plants. In Arabidopsis thaliana , three cDNA clones encoding SAT isoforms (SAT-c, SAT-p, and SAT-m) have been isolated. Noji et al. [ 33 ] analyzed these SATs and reported that SAT-p and SAT-m were feedback inhibition-insensitive isozymes. However, the activity of SAT-c was feedback inhibited by a low concentration of L-cysteine. Takagi et al. [ 31 ] expressed two cDNAs from A. thaliana encoding feedback inhibition-insensitive SAT (SAT-p and SAT-m) in the E. coli strain JM39-8, and reported an increased production of L-cysteine (1.6\u20131.7 g L \u22121 ) when cultivated for 96 h in shaking flasks containing a minimal medium at 30 \u00b0C. Wirtz and Hell [ 32 ] isolated three new cDNAs from Nicotiana tabacum encoding SATs and reported that the SAT4 isoform has a lower feedback sensitivity than the previously reported SATs.”  [PMC10821248 ¶14]</w:t>
      </w:r>
    </w:p>
    <w:p>
      <w:pPr>
        <w:spacing w:after="120"/>
        <w:jc w:val="both"/>
      </w:pPr>
      <w:r>
        <w:rPr>
          <w:rFonts w:ascii="Times New Roman" w:hAnsi="Times New Roman" w:cs="Times New Roman" w:eastAsia="Times New Roman"/>
          <w:b w:val="0"/>
          <w:i w:val="0"/>
          <w:sz w:val="24"/>
        </w:rPr>
        <w:t>“The results showed that the expression of SAT4 in E. coli causes a 50-fold increase in the accumulation of L-cysteine in the medium. Kai et al. [ 34 ] analyzed the crystal structure and reaction mechanism of SAT and introduced various amino acid substitutions to change the position of Asp92. As a result, they designed a mutant SAT having a high enzymatic activity and low sensitivity to inhibition by L-cysteine. For one promising mutant, the inhibitory L-cysteine concentration that halved the enzyme\u2019s activity went from the wild type\u2019s 0.8 \u00b5M to 410 \u00b5M, while simultaneously increasing the initial enzymatic activity by 220 \u00b5M mg \u22121 min \u22121 . In another study, a strain of P. ananatis that carried a mutant of the gene cysE (cysEX) coding for a feedback-insensitive SAT was constructed. A second strain of P. ananatis , additionally harboring a plasmid with the gene cefA , which codes for an L-cysteine efflux pump, was generated.”  [PMC10821248 ¶15]</w:t>
      </w:r>
    </w:p>
    <w:p>
      <w:pPr>
        <w:spacing w:after="120"/>
        <w:jc w:val="both"/>
      </w:pPr>
      <w:r>
        <w:rPr>
          <w:rFonts w:ascii="Times New Roman" w:hAnsi="Times New Roman" w:cs="Times New Roman" w:eastAsia="Times New Roman"/>
          <w:b w:val="0"/>
          <w:i w:val="0"/>
          <w:sz w:val="24"/>
        </w:rPr>
        <w:t>“A strain of P. ananatis carrying the gene cefA was able to produce 900 mg L \u22121 of L-cysteine in agitated test tubes, which is roughly four times the amount produced by the P. ananatis strain carrying only the feedback-insensitive SAT [ 6 ]. C. glutamicum is a nonpathogenic and high G+C gram-positive bacterium industrially used for decades for the fermentative production of amino acids such as L-glutamic acid and L-lysine [ 35 , 36 ]. Joo et al. [ 37 ] investigated the effect of the overexpression of genes encoding SAT, OASS, and a transcriptional regulator in C. glutamicum . The results showed that L-cysteine production was enhanced by approximately three-fold, with the recombinant strain reaching a maximal L-cysteine concentration of approximately 60 mg L \u22121 in shake flasks at 30 \u00b0C after 15 h of cultivation. Wei et al. [ 7 ] further engineered C. glutamicum for L-cysteine production by enhancing the L-serine biosynthetic pathway, expressing the gene encoding feedback inhibition-insensitive SAT, deleting genes encoding CD, and increasing the L-cysteine export.”  [PMC10821248 ¶16]</w:t>
      </w:r>
    </w:p>
    <w:p>
      <w:pPr>
        <w:spacing w:after="120"/>
        <w:jc w:val="both"/>
      </w:pPr>
      <w:r>
        <w:rPr>
          <w:rFonts w:ascii="Times New Roman" w:hAnsi="Times New Roman" w:cs="Times New Roman" w:eastAsia="Times New Roman"/>
          <w:b w:val="0"/>
          <w:i w:val="0"/>
          <w:sz w:val="24"/>
        </w:rPr>
        <w:t>“Their engineered strain, cultivated for 48 h at 30 \u00b0C in shake flasks, produced 947.9 \u00b1 46.5 mg L \u22121 of L-cysteine, with a yield of 27.27 mg g \u22121 of glucose and a volumetric productivity of 26.33 mg L \u22121 h \u22121 . Kondoh and Hirasawa [ 38 ] achieved approximately 200 mg L \u22121 of L-cysteine production with C. glutamicum by overexpressing the mutant cysE and serA genes to enhance the biosynthesis, disrupting aecD gene coding for CD to prevent degradation and disrupting the NCgl2463 gene coding for a membrane transporter to prevent L-cystine import. One of the key enzymes in the L-serine biosynthesis pathway, 3-phosphoglycerate dehydrogenase (PGDH), coded by the gene serA , is feedback inhibited by L-serine [ 7 , 13 ]. The authors of [ 39 ] converted the 344th and 346th amino acids of E. coli \u2019s PGDH to alanine, which created a feedback-insensitive serA .”  [PMC10821248 ¶17]</w:t>
      </w:r>
    </w:p>
    <w:p>
      <w:pPr>
        <w:spacing w:after="120"/>
        <w:jc w:val="both"/>
      </w:pPr>
      <w:r>
        <w:rPr>
          <w:rFonts w:ascii="Times New Roman" w:hAnsi="Times New Roman" w:cs="Times New Roman" w:eastAsia="Times New Roman"/>
          <w:b w:val="0"/>
          <w:i w:val="0"/>
          <w:sz w:val="24"/>
        </w:rPr>
        <w:t>“Liu et al. [ 13 ] overexpressed the feedback-resistant serA as well as wild-type variants of the two subsequent enzymes of the pathway, phosphoserine transferase ( serB ) and phosphoserine phosphate-lyase ( serC ), to produce L-serine. The E. coli strain accumulated 11.7 g L \u22121 of L-serine after 48 h in shake flask experiments with glucose as the carbon source, which was the highest concentration so far. From these results, it was concluded that the overexpression of serA along with serC and serB in the L-serine synthesis pathway was effective in increasing the production of L-cysteine, which resulted in L-cysteine concentrations in shake flask experiments of about 492.0 mg L \u22121 , with a yield of about 47 mg of L-cysteine g \u22121 glucose in 48 h [ 13 ]. 2.2. Weakening the Degradation of L-Cysteine It is well known that disrupting the degradation pathway and enhancing metabolic fluxes for the desired amino acids are effective approaches to improve their production [ 19 , 39 , 40 , 41 ].”  [PMC10821248 ¶18]</w:t>
      </w:r>
    </w:p>
    <w:p>
      <w:pPr>
        <w:keepNext/>
        <w:spacing w:before="160" w:after="40"/>
        <w:jc w:val="left"/>
      </w:pPr>
      <w:r>
        <w:rPr>
          <w:rFonts w:ascii="Times New Roman" w:hAnsi="Times New Roman" w:cs="Times New Roman" w:eastAsia="Times New Roman"/>
          <w:b/>
          <w:i w:val="0"/>
          <w:sz w:val="22"/>
        </w:rPr>
        <w:t>Reproduced from PMC10821248 — Table 1 — Summary of metabolic engineering approaches increasing the fermentative L-cysteine production. The studies presented in this table are ordered by the</w:t>
      </w:r>
    </w:p>
    <w:tbl>
      <w:tblPr>
        <w:tblStyle w:val="TableGrid"/>
        <w:tblW w:type="auto" w:w="0"/>
        <w:tblLayout w:type="fixed"/>
        <w:tblLook w:firstColumn="1" w:firstRow="1" w:lastColumn="0" w:lastRow="0" w:noHBand="0" w:noVBand="1" w:val="04A0"/>
      </w:tblPr>
      <w:tblGrid>
        <w:gridCol w:w="1872"/>
        <w:gridCol w:w="1872"/>
        <w:gridCol w:w="1872"/>
        <w:gridCol w:w="1872"/>
        <w:gridCol w:w="1872"/>
      </w:tblGrid>
      <w:tr>
        <w:tc>
          <w:tcPr>
            <w:tcW w:type="dxa" w:w="1872"/>
            <w:shd w:fill="DDE4EF"/>
          </w:tcPr>
          <w:p>
            <w:r/>
            <w:r>
              <w:rPr>
                <w:rFonts w:ascii="Times New Roman" w:hAnsi="Times New Roman" w:cs="Times New Roman" w:eastAsia="Times New Roman"/>
                <w:b/>
                <w:i w:val="0"/>
                <w:sz w:val="22"/>
              </w:rPr>
              <w:t>Source</w:t>
            </w:r>
          </w:p>
        </w:tc>
        <w:tc>
          <w:tcPr>
            <w:tcW w:type="dxa" w:w="1872"/>
            <w:shd w:fill="DDE4EF"/>
          </w:tcPr>
          <w:p>
            <w:r/>
            <w:r>
              <w:rPr>
                <w:rFonts w:ascii="Times New Roman" w:hAnsi="Times New Roman" w:cs="Times New Roman" w:eastAsia="Times New Roman"/>
                <w:b/>
                <w:i w:val="0"/>
                <w:sz w:val="22"/>
              </w:rPr>
              <w:t>Organism</w:t>
            </w:r>
          </w:p>
        </w:tc>
        <w:tc>
          <w:tcPr>
            <w:tcW w:type="dxa" w:w="1872"/>
            <w:shd w:fill="DDE4EF"/>
          </w:tcPr>
          <w:p>
            <w:r/>
            <w:r>
              <w:rPr>
                <w:rFonts w:ascii="Times New Roman" w:hAnsi="Times New Roman" w:cs="Times New Roman" w:eastAsia="Times New Roman"/>
                <w:b/>
                <w:i w:val="0"/>
                <w:sz w:val="22"/>
              </w:rPr>
              <w:t>Method</w:t>
            </w:r>
          </w:p>
        </w:tc>
        <w:tc>
          <w:tcPr>
            <w:tcW w:type="dxa" w:w="1872"/>
            <w:shd w:fill="DDE4EF"/>
          </w:tcPr>
          <w:p>
            <w:r/>
            <w:r>
              <w:rPr>
                <w:rFonts w:ascii="Times New Roman" w:hAnsi="Times New Roman" w:cs="Times New Roman" w:eastAsia="Times New Roman"/>
                <w:b/>
                <w:i w:val="0"/>
                <w:sz w:val="22"/>
              </w:rPr>
              <w:t>Scale</w:t>
            </w:r>
          </w:p>
        </w:tc>
        <w:tc>
          <w:tcPr>
            <w:tcW w:type="dxa" w:w="1872"/>
            <w:shd w:fill="DDE4EF"/>
          </w:tcPr>
          <w:p>
            <w:r/>
            <w:r>
              <w:rPr>
                <w:rFonts w:ascii="Times New Roman" w:hAnsi="Times New Roman" w:cs="Times New Roman" w:eastAsia="Times New Roman"/>
                <w:b/>
                <w:i w:val="0"/>
                <w:sz w:val="22"/>
              </w:rPr>
              <w:t>L-Cysteine Concentration</w:t>
            </w:r>
          </w:p>
        </w:tc>
      </w:tr>
      <w:tr>
        <w:tc>
          <w:tcPr>
            <w:tcW w:type="dxa" w:w="1872"/>
          </w:tcPr>
          <w:p>
            <w:r/>
            <w:r>
              <w:rPr>
                <w:rFonts w:ascii="Times New Roman" w:hAnsi="Times New Roman" w:cs="Times New Roman" w:eastAsia="Times New Roman"/>
                <w:b w:val="0"/>
                <w:i w:val="0"/>
                <w:sz w:val="22"/>
              </w:rPr>
              <w:t>Enhancing biosynthesis of L-cysteine</w:t>
            </w:r>
          </w:p>
        </w:tc>
        <w:tc>
          <w:tcPr>
            <w:tcW w:type="dxa" w:w="1872"/>
          </w:tcPr>
          <w:p>
            <w:r/>
            <w:r>
              <w:rPr>
                <w:rFonts w:ascii="Times New Roman" w:hAnsi="Times New Roman" w:cs="Times New Roman" w:eastAsia="Times New Roman"/>
                <w:b w:val="0"/>
                <w:i w:val="0"/>
                <w:sz w:val="22"/>
              </w:rPr>
            </w:r>
          </w:p>
        </w:tc>
        <w:tc>
          <w:tcPr>
            <w:tcW w:type="dxa" w:w="1872"/>
          </w:tcPr>
          <w:p>
            <w:r/>
            <w:r>
              <w:rPr>
                <w:rFonts w:ascii="Times New Roman" w:hAnsi="Times New Roman" w:cs="Times New Roman" w:eastAsia="Times New Roman"/>
                <w:b w:val="0"/>
                <w:i w:val="0"/>
                <w:sz w:val="22"/>
              </w:rPr>
            </w:r>
          </w:p>
        </w:tc>
        <w:tc>
          <w:tcPr>
            <w:tcW w:type="dxa" w:w="1872"/>
          </w:tcPr>
          <w:p>
            <w:r/>
            <w:r>
              <w:rPr>
                <w:rFonts w:ascii="Times New Roman" w:hAnsi="Times New Roman" w:cs="Times New Roman" w:eastAsia="Times New Roman"/>
                <w:b w:val="0"/>
                <w:i w:val="0"/>
                <w:sz w:val="22"/>
              </w:rPr>
            </w:r>
          </w:p>
        </w:tc>
        <w:tc>
          <w:tcPr>
            <w:tcW w:type="dxa" w:w="1872"/>
          </w:tcPr>
          <w:p>
            <w:r/>
            <w:r>
              <w:rPr>
                <w:rFonts w:ascii="Times New Roman" w:hAnsi="Times New Roman" w:cs="Times New Roman" w:eastAsia="Times New Roman"/>
                <w:b w:val="0"/>
                <w:i w:val="0"/>
                <w:sz w:val="22"/>
              </w:rPr>
            </w:r>
          </w:p>
        </w:tc>
      </w:tr>
      <w:tr>
        <w:tc>
          <w:tcPr>
            <w:tcW w:type="dxa" w:w="1872"/>
          </w:tcPr>
          <w:p>
            <w:r/>
            <w:r>
              <w:rPr>
                <w:rFonts w:ascii="Times New Roman" w:hAnsi="Times New Roman" w:cs="Times New Roman" w:eastAsia="Times New Roman"/>
                <w:b w:val="0"/>
                <w:i w:val="0"/>
                <w:sz w:val="22"/>
              </w:rPr>
              <w:t>[ 28 ]</w:t>
            </w:r>
          </w:p>
        </w:tc>
        <w:tc>
          <w:tcPr>
            <w:tcW w:type="dxa" w:w="1872"/>
          </w:tcPr>
          <w:p>
            <w:r/>
            <w:r>
              <w:rPr>
                <w:rFonts w:ascii="Times New Roman" w:hAnsi="Times New Roman" w:cs="Times New Roman" w:eastAsia="Times New Roman"/>
                <w:b w:val="0"/>
                <w:i w:val="0"/>
                <w:sz w:val="22"/>
              </w:rPr>
              <w:t>E. coli JM39-8</w:t>
            </w:r>
          </w:p>
        </w:tc>
        <w:tc>
          <w:tcPr>
            <w:tcW w:type="dxa" w:w="1872"/>
          </w:tcPr>
          <w:p>
            <w:r/>
            <w:r>
              <w:rPr>
                <w:rFonts w:ascii="Times New Roman" w:hAnsi="Times New Roman" w:cs="Times New Roman" w:eastAsia="Times New Roman"/>
                <w:b w:val="0"/>
                <w:i w:val="0"/>
                <w:sz w:val="22"/>
              </w:rPr>
              <w:t>Feedback inhibition-insensitive SAT from site-directed mutagenesis</w:t>
            </w:r>
          </w:p>
        </w:tc>
        <w:tc>
          <w:tcPr>
            <w:tcW w:type="dxa" w:w="1872"/>
          </w:tcPr>
          <w:p>
            <w:r/>
            <w:r>
              <w:rPr>
                <w:rFonts w:ascii="Times New Roman" w:hAnsi="Times New Roman" w:cs="Times New Roman" w:eastAsia="Times New Roman"/>
                <w:b w:val="0"/>
                <w:i w:val="0"/>
                <w:sz w:val="22"/>
              </w:rPr>
              <w:t>Shake flasks, 72 h</w:t>
            </w:r>
          </w:p>
        </w:tc>
        <w:tc>
          <w:tcPr>
            <w:tcW w:type="dxa" w:w="1872"/>
          </w:tcPr>
          <w:p>
            <w:r/>
            <w:r>
              <w:rPr>
                <w:rFonts w:ascii="Times New Roman" w:hAnsi="Times New Roman" w:cs="Times New Roman" w:eastAsia="Times New Roman"/>
                <w:b w:val="0"/>
                <w:i w:val="0"/>
                <w:sz w:val="22"/>
              </w:rPr>
              <w:t>0.79 g L −1</w:t>
            </w:r>
          </w:p>
        </w:tc>
      </w:tr>
      <w:tr>
        <w:tc>
          <w:tcPr>
            <w:tcW w:type="dxa" w:w="1872"/>
          </w:tcPr>
          <w:p>
            <w:r/>
            <w:r>
              <w:rPr>
                <w:rFonts w:ascii="Times New Roman" w:hAnsi="Times New Roman" w:cs="Times New Roman" w:eastAsia="Times New Roman"/>
                <w:b w:val="0"/>
                <w:i w:val="0"/>
                <w:sz w:val="22"/>
              </w:rPr>
              <w:t>[ 30 ]</w:t>
            </w:r>
          </w:p>
        </w:tc>
        <w:tc>
          <w:tcPr>
            <w:tcW w:type="dxa" w:w="1872"/>
          </w:tcPr>
          <w:p>
            <w:r/>
            <w:r>
              <w:rPr>
                <w:rFonts w:ascii="Times New Roman" w:hAnsi="Times New Roman" w:cs="Times New Roman" w:eastAsia="Times New Roman"/>
                <w:b w:val="0"/>
                <w:i w:val="0"/>
                <w:sz w:val="22"/>
              </w:rPr>
              <w:t>E. coli JM39-8</w:t>
            </w:r>
          </w:p>
        </w:tc>
        <w:tc>
          <w:tcPr>
            <w:tcW w:type="dxa" w:w="1872"/>
          </w:tcPr>
          <w:p>
            <w:r/>
            <w:r>
              <w:rPr>
                <w:rFonts w:ascii="Times New Roman" w:hAnsi="Times New Roman" w:cs="Times New Roman" w:eastAsia="Times New Roman"/>
                <w:b w:val="0"/>
                <w:i w:val="0"/>
                <w:sz w:val="22"/>
              </w:rPr>
              <w:t>Insensitive SAT from Arabidopsis thaliana</w:t>
            </w:r>
          </w:p>
        </w:tc>
        <w:tc>
          <w:tcPr>
            <w:tcW w:type="dxa" w:w="1872"/>
          </w:tcPr>
          <w:p>
            <w:r/>
            <w:r>
              <w:rPr>
                <w:rFonts w:ascii="Times New Roman" w:hAnsi="Times New Roman" w:cs="Times New Roman" w:eastAsia="Times New Roman"/>
                <w:b w:val="0"/>
                <w:i w:val="0"/>
                <w:sz w:val="22"/>
              </w:rPr>
              <w:t>Shake flasks, 96 h</w:t>
            </w:r>
          </w:p>
        </w:tc>
        <w:tc>
          <w:tcPr>
            <w:tcW w:type="dxa" w:w="1872"/>
          </w:tcPr>
          <w:p>
            <w:r/>
            <w:r>
              <w:rPr>
                <w:rFonts w:ascii="Times New Roman" w:hAnsi="Times New Roman" w:cs="Times New Roman" w:eastAsia="Times New Roman"/>
                <w:b w:val="0"/>
                <w:i w:val="0"/>
                <w:sz w:val="22"/>
              </w:rPr>
              <w:t>1.66 g L −1</w:t>
            </w:r>
          </w:p>
        </w:tc>
      </w:tr>
      <w:tr>
        <w:tc>
          <w:tcPr>
            <w:tcW w:type="dxa" w:w="1872"/>
          </w:tcPr>
          <w:p>
            <w:r/>
            <w:r>
              <w:rPr>
                <w:rFonts w:ascii="Times New Roman" w:hAnsi="Times New Roman" w:cs="Times New Roman" w:eastAsia="Times New Roman"/>
                <w:b w:val="0"/>
                <w:i w:val="0"/>
                <w:sz w:val="22"/>
              </w:rPr>
              <w:t>[ 31 ]</w:t>
            </w:r>
          </w:p>
        </w:tc>
        <w:tc>
          <w:tcPr>
            <w:tcW w:type="dxa" w:w="1872"/>
          </w:tcPr>
          <w:p>
            <w:r/>
            <w:r>
              <w:rPr>
                <w:rFonts w:ascii="Times New Roman" w:hAnsi="Times New Roman" w:cs="Times New Roman" w:eastAsia="Times New Roman"/>
                <w:b w:val="0"/>
                <w:i w:val="0"/>
                <w:sz w:val="22"/>
              </w:rPr>
              <w:t>E. coli MW1</w:t>
            </w:r>
          </w:p>
        </w:tc>
        <w:tc>
          <w:tcPr>
            <w:tcW w:type="dxa" w:w="1872"/>
          </w:tcPr>
          <w:p>
            <w:r/>
            <w:r>
              <w:rPr>
                <w:rFonts w:ascii="Times New Roman" w:hAnsi="Times New Roman" w:cs="Times New Roman" w:eastAsia="Times New Roman"/>
                <w:b w:val="0"/>
                <w:i w:val="0"/>
                <w:sz w:val="22"/>
              </w:rPr>
              <w:t>Insensitive SAT from Nicotiana tabacum</w:t>
            </w:r>
          </w:p>
        </w:tc>
        <w:tc>
          <w:tcPr>
            <w:tcW w:type="dxa" w:w="1872"/>
          </w:tcPr>
          <w:p>
            <w:r/>
            <w:r>
              <w:rPr>
                <w:rFonts w:ascii="Times New Roman" w:hAnsi="Times New Roman" w:cs="Times New Roman" w:eastAsia="Times New Roman"/>
                <w:b w:val="0"/>
                <w:i w:val="0"/>
                <w:sz w:val="22"/>
              </w:rPr>
              <w:t>Shake flasks, 72 h</w:t>
            </w:r>
          </w:p>
        </w:tc>
        <w:tc>
          <w:tcPr>
            <w:tcW w:type="dxa" w:w="1872"/>
          </w:tcPr>
          <w:p>
            <w:r/>
            <w:r>
              <w:rPr>
                <w:rFonts w:ascii="Times New Roman" w:hAnsi="Times New Roman" w:cs="Times New Roman" w:eastAsia="Times New Roman"/>
                <w:b w:val="0"/>
                <w:i w:val="0"/>
                <w:sz w:val="22"/>
              </w:rPr>
              <w:t>0.30 g L −1</w:t>
            </w:r>
          </w:p>
        </w:tc>
      </w:tr>
      <w:tr>
        <w:tc>
          <w:tcPr>
            <w:tcW w:type="dxa" w:w="1872"/>
          </w:tcPr>
          <w:p>
            <w:r/>
            <w:r>
              <w:rPr>
                <w:rFonts w:ascii="Times New Roman" w:hAnsi="Times New Roman" w:cs="Times New Roman" w:eastAsia="Times New Roman"/>
                <w:b w:val="0"/>
                <w:i w:val="0"/>
                <w:sz w:val="22"/>
              </w:rPr>
              <w:t>[ 6 ]</w:t>
            </w:r>
          </w:p>
        </w:tc>
        <w:tc>
          <w:tcPr>
            <w:tcW w:type="dxa" w:w="1872"/>
          </w:tcPr>
          <w:p>
            <w:r/>
            <w:r>
              <w:rPr>
                <w:rFonts w:ascii="Times New Roman" w:hAnsi="Times New Roman" w:cs="Times New Roman" w:eastAsia="Times New Roman"/>
                <w:b w:val="0"/>
                <w:i w:val="0"/>
                <w:sz w:val="22"/>
              </w:rPr>
              <w:t>P. ananatis</w:t>
            </w:r>
          </w:p>
        </w:tc>
        <w:tc>
          <w:tcPr>
            <w:tcW w:type="dxa" w:w="1872"/>
          </w:tcPr>
          <w:p>
            <w:r/>
            <w:r>
              <w:rPr>
                <w:rFonts w:ascii="Times New Roman" w:hAnsi="Times New Roman" w:cs="Times New Roman" w:eastAsia="Times New Roman"/>
                <w:b w:val="0"/>
                <w:i w:val="0"/>
                <w:sz w:val="22"/>
              </w:rPr>
              <w:t>Insensitive SAT with L-cysteine efflux pump</w:t>
            </w:r>
          </w:p>
        </w:tc>
        <w:tc>
          <w:tcPr>
            <w:tcW w:type="dxa" w:w="1872"/>
          </w:tcPr>
          <w:p>
            <w:r/>
            <w:r>
              <w:rPr>
                <w:rFonts w:ascii="Times New Roman" w:hAnsi="Times New Roman" w:cs="Times New Roman" w:eastAsia="Times New Roman"/>
                <w:b w:val="0"/>
                <w:i w:val="0"/>
                <w:sz w:val="22"/>
              </w:rPr>
              <w:t>Test tubes, 24 h</w:t>
            </w:r>
          </w:p>
        </w:tc>
        <w:tc>
          <w:tcPr>
            <w:tcW w:type="dxa" w:w="1872"/>
          </w:tcPr>
          <w:p>
            <w:r/>
            <w:r>
              <w:rPr>
                <w:rFonts w:ascii="Times New Roman" w:hAnsi="Times New Roman" w:cs="Times New Roman" w:eastAsia="Times New Roman"/>
                <w:b w:val="0"/>
                <w:i w:val="0"/>
                <w:sz w:val="22"/>
              </w:rPr>
              <w:t>0.90 g L −1</w:t>
            </w:r>
          </w:p>
        </w:tc>
      </w:tr>
      <w:tr>
        <w:tc>
          <w:tcPr>
            <w:tcW w:type="dxa" w:w="1872"/>
          </w:tcPr>
          <w:p>
            <w:r/>
            <w:r>
              <w:rPr>
                <w:rFonts w:ascii="Times New Roman" w:hAnsi="Times New Roman" w:cs="Times New Roman" w:eastAsia="Times New Roman"/>
                <w:b w:val="0"/>
                <w:i w:val="0"/>
                <w:sz w:val="22"/>
              </w:rPr>
              <w:t>[ 36 ]</w:t>
            </w:r>
          </w:p>
        </w:tc>
        <w:tc>
          <w:tcPr>
            <w:tcW w:type="dxa" w:w="1872"/>
          </w:tcPr>
          <w:p>
            <w:r/>
            <w:r>
              <w:rPr>
                <w:rFonts w:ascii="Times New Roman" w:hAnsi="Times New Roman" w:cs="Times New Roman" w:eastAsia="Times New Roman"/>
                <w:b w:val="0"/>
                <w:i w:val="0"/>
                <w:sz w:val="22"/>
              </w:rPr>
              <w:t>C. glutamicum</w:t>
            </w:r>
          </w:p>
        </w:tc>
        <w:tc>
          <w:tcPr>
            <w:tcW w:type="dxa" w:w="1872"/>
          </w:tcPr>
          <w:p>
            <w:r/>
            <w:r>
              <w:rPr>
                <w:rFonts w:ascii="Times New Roman" w:hAnsi="Times New Roman" w:cs="Times New Roman" w:eastAsia="Times New Roman"/>
                <w:b w:val="0"/>
                <w:i w:val="0"/>
                <w:sz w:val="22"/>
              </w:rPr>
              <w:t>Overexpression of native SAT, OAS, and transcription regulator</w:t>
            </w:r>
          </w:p>
        </w:tc>
        <w:tc>
          <w:tcPr>
            <w:tcW w:type="dxa" w:w="1872"/>
          </w:tcPr>
          <w:p>
            <w:r/>
            <w:r>
              <w:rPr>
                <w:rFonts w:ascii="Times New Roman" w:hAnsi="Times New Roman" w:cs="Times New Roman" w:eastAsia="Times New Roman"/>
                <w:b w:val="0"/>
                <w:i w:val="0"/>
                <w:sz w:val="22"/>
              </w:rPr>
              <w:t>Shake flasks, 15 h</w:t>
            </w:r>
          </w:p>
        </w:tc>
        <w:tc>
          <w:tcPr>
            <w:tcW w:type="dxa" w:w="1872"/>
          </w:tcPr>
          <w:p>
            <w:r/>
            <w:r>
              <w:rPr>
                <w:rFonts w:ascii="Times New Roman" w:hAnsi="Times New Roman" w:cs="Times New Roman" w:eastAsia="Times New Roman"/>
                <w:b w:val="0"/>
                <w:i w:val="0"/>
                <w:sz w:val="22"/>
              </w:rPr>
              <w:t>0.06 g L −1</w:t>
            </w:r>
          </w:p>
        </w:tc>
      </w:tr>
      <w:tr>
        <w:tc>
          <w:tcPr>
            <w:tcW w:type="dxa" w:w="1872"/>
          </w:tcPr>
          <w:p>
            <w:r/>
            <w:r>
              <w:rPr>
                <w:rFonts w:ascii="Times New Roman" w:hAnsi="Times New Roman" w:cs="Times New Roman" w:eastAsia="Times New Roman"/>
                <w:b w:val="0"/>
                <w:i w:val="0"/>
                <w:sz w:val="22"/>
              </w:rPr>
              <w:t>[ 7 ]</w:t>
            </w:r>
          </w:p>
        </w:tc>
        <w:tc>
          <w:tcPr>
            <w:tcW w:type="dxa" w:w="1872"/>
          </w:tcPr>
          <w:p>
            <w:r/>
            <w:r>
              <w:rPr>
                <w:rFonts w:ascii="Times New Roman" w:hAnsi="Times New Roman" w:cs="Times New Roman" w:eastAsia="Times New Roman"/>
                <w:b w:val="0"/>
                <w:i w:val="0"/>
                <w:sz w:val="22"/>
              </w:rPr>
              <w:t>C. glutamicum</w:t>
            </w:r>
          </w:p>
        </w:tc>
        <w:tc>
          <w:tcPr>
            <w:tcW w:type="dxa" w:w="1872"/>
          </w:tcPr>
          <w:p>
            <w:r/>
            <w:r>
              <w:rPr>
                <w:rFonts w:ascii="Times New Roman" w:hAnsi="Times New Roman" w:cs="Times New Roman" w:eastAsia="Times New Roman"/>
                <w:b w:val="0"/>
                <w:i w:val="0"/>
                <w:sz w:val="22"/>
              </w:rPr>
              <w:t>Insensitive SAT, deletion of CD, and increased transport</w:t>
            </w:r>
          </w:p>
        </w:tc>
        <w:tc>
          <w:tcPr>
            <w:tcW w:type="dxa" w:w="1872"/>
          </w:tcPr>
          <w:p>
            <w:r/>
            <w:r>
              <w:rPr>
                <w:rFonts w:ascii="Times New Roman" w:hAnsi="Times New Roman" w:cs="Times New Roman" w:eastAsia="Times New Roman"/>
                <w:b w:val="0"/>
                <w:i w:val="0"/>
                <w:sz w:val="22"/>
              </w:rPr>
              <w:t>Shake flasks, 48 h</w:t>
            </w:r>
          </w:p>
        </w:tc>
        <w:tc>
          <w:tcPr>
            <w:tcW w:type="dxa" w:w="1872"/>
          </w:tcPr>
          <w:p>
            <w:r/>
            <w:r>
              <w:rPr>
                <w:rFonts w:ascii="Times New Roman" w:hAnsi="Times New Roman" w:cs="Times New Roman" w:eastAsia="Times New Roman"/>
                <w:b w:val="0"/>
                <w:i w:val="0"/>
                <w:sz w:val="22"/>
              </w:rPr>
              <w:t>0.95 g L −1</w:t>
            </w:r>
          </w:p>
        </w:tc>
      </w:tr>
      <w:tr>
        <w:tc>
          <w:tcPr>
            <w:tcW w:type="dxa" w:w="1872"/>
          </w:tcPr>
          <w:p>
            <w:r/>
            <w:r>
              <w:rPr>
                <w:rFonts w:ascii="Times New Roman" w:hAnsi="Times New Roman" w:cs="Times New Roman" w:eastAsia="Times New Roman"/>
                <w:b w:val="0"/>
                <w:i w:val="0"/>
                <w:sz w:val="22"/>
              </w:rPr>
              <w:t>[ 37 ]</w:t>
            </w:r>
          </w:p>
        </w:tc>
        <w:tc>
          <w:tcPr>
            <w:tcW w:type="dxa" w:w="1872"/>
          </w:tcPr>
          <w:p>
            <w:r/>
            <w:r>
              <w:rPr>
                <w:rFonts w:ascii="Times New Roman" w:hAnsi="Times New Roman" w:cs="Times New Roman" w:eastAsia="Times New Roman"/>
                <w:b w:val="0"/>
                <w:i w:val="0"/>
                <w:sz w:val="22"/>
              </w:rPr>
              <w:t>C. glutamicum</w:t>
            </w:r>
          </w:p>
        </w:tc>
        <w:tc>
          <w:tcPr>
            <w:tcW w:type="dxa" w:w="1872"/>
          </w:tcPr>
          <w:p>
            <w:r/>
            <w:r>
              <w:rPr>
                <w:rFonts w:ascii="Times New Roman" w:hAnsi="Times New Roman" w:cs="Times New Roman" w:eastAsia="Times New Roman"/>
                <w:b w:val="0"/>
                <w:i w:val="0"/>
                <w:sz w:val="22"/>
              </w:rPr>
              <w:t>Overexpression of SAT and PGDH with disruption of CD and L-cysteine import</w:t>
            </w:r>
          </w:p>
        </w:tc>
        <w:tc>
          <w:tcPr>
            <w:tcW w:type="dxa" w:w="1872"/>
          </w:tcPr>
          <w:p>
            <w:r/>
            <w:r>
              <w:rPr>
                <w:rFonts w:ascii="Times New Roman" w:hAnsi="Times New Roman" w:cs="Times New Roman" w:eastAsia="Times New Roman"/>
                <w:b w:val="0"/>
                <w:i w:val="0"/>
                <w:sz w:val="22"/>
              </w:rPr>
              <w:t>Shake flasks, 12 h</w:t>
            </w:r>
          </w:p>
        </w:tc>
        <w:tc>
          <w:tcPr>
            <w:tcW w:type="dxa" w:w="1872"/>
          </w:tcPr>
          <w:p>
            <w:r/>
            <w:r>
              <w:rPr>
                <w:rFonts w:ascii="Times New Roman" w:hAnsi="Times New Roman" w:cs="Times New Roman" w:eastAsia="Times New Roman"/>
                <w:b w:val="0"/>
                <w:i w:val="0"/>
                <w:sz w:val="22"/>
              </w:rPr>
              <w:t>0.20 g L −1</w:t>
            </w:r>
          </w:p>
        </w:tc>
      </w:tr>
      <w:tr>
        <w:tc>
          <w:tcPr>
            <w:tcW w:type="dxa" w:w="1872"/>
          </w:tcPr>
          <w:p>
            <w:r/>
            <w:r>
              <w:rPr>
                <w:rFonts w:ascii="Times New Roman" w:hAnsi="Times New Roman" w:cs="Times New Roman" w:eastAsia="Times New Roman"/>
                <w:b w:val="0"/>
                <w:i w:val="0"/>
                <w:sz w:val="22"/>
              </w:rPr>
              <w:t>[ 13 ]</w:t>
            </w:r>
          </w:p>
        </w:tc>
        <w:tc>
          <w:tcPr>
            <w:tcW w:type="dxa" w:w="1872"/>
          </w:tcPr>
          <w:p>
            <w:r/>
            <w:r>
              <w:rPr>
                <w:rFonts w:ascii="Times New Roman" w:hAnsi="Times New Roman" w:cs="Times New Roman" w:eastAsia="Times New Roman"/>
                <w:b w:val="0"/>
                <w:i w:val="0"/>
                <w:sz w:val="22"/>
              </w:rPr>
              <w:t>E. coli</w:t>
            </w:r>
          </w:p>
        </w:tc>
        <w:tc>
          <w:tcPr>
            <w:tcW w:type="dxa" w:w="1872"/>
          </w:tcPr>
          <w:p>
            <w:r/>
            <w:r>
              <w:rPr>
                <w:rFonts w:ascii="Times New Roman" w:hAnsi="Times New Roman" w:cs="Times New Roman" w:eastAsia="Times New Roman"/>
                <w:b w:val="0"/>
                <w:i w:val="0"/>
                <w:sz w:val="22"/>
              </w:rPr>
              <w:t>Overexpression of PGDH, PSERT, and PSL</w:t>
            </w:r>
          </w:p>
        </w:tc>
        <w:tc>
          <w:tcPr>
            <w:tcW w:type="dxa" w:w="1872"/>
          </w:tcPr>
          <w:p>
            <w:r/>
            <w:r>
              <w:rPr>
                <w:rFonts w:ascii="Times New Roman" w:hAnsi="Times New Roman" w:cs="Times New Roman" w:eastAsia="Times New Roman"/>
                <w:b w:val="0"/>
                <w:i w:val="0"/>
                <w:sz w:val="22"/>
              </w:rPr>
              <w:t>Shake flasks, 48 h</w:t>
            </w:r>
          </w:p>
        </w:tc>
        <w:tc>
          <w:tcPr>
            <w:tcW w:type="dxa" w:w="1872"/>
          </w:tcPr>
          <w:p>
            <w:r/>
            <w:r>
              <w:rPr>
                <w:rFonts w:ascii="Times New Roman" w:hAnsi="Times New Roman" w:cs="Times New Roman" w:eastAsia="Times New Roman"/>
                <w:b w:val="0"/>
                <w:i w:val="0"/>
                <w:sz w:val="22"/>
              </w:rPr>
              <w:t>0.49 g L −1</w:t>
            </w:r>
          </w:p>
        </w:tc>
      </w:tr>
      <w:tr>
        <w:tc>
          <w:tcPr>
            <w:tcW w:type="dxa" w:w="1872"/>
          </w:tcPr>
          <w:p>
            <w:r/>
            <w:r>
              <w:rPr>
                <w:rFonts w:ascii="Times New Roman" w:hAnsi="Times New Roman" w:cs="Times New Roman" w:eastAsia="Times New Roman"/>
                <w:b w:val="0"/>
                <w:i w:val="0"/>
                <w:sz w:val="22"/>
              </w:rPr>
              <w:t>Weakening degradation of L-cysteine</w:t>
            </w:r>
          </w:p>
        </w:tc>
        <w:tc>
          <w:tcPr>
            <w:tcW w:type="dxa" w:w="1872"/>
          </w:tcPr>
          <w:p>
            <w:r/>
            <w:r>
              <w:rPr>
                <w:rFonts w:ascii="Times New Roman" w:hAnsi="Times New Roman" w:cs="Times New Roman" w:eastAsia="Times New Roman"/>
                <w:b w:val="0"/>
                <w:i w:val="0"/>
                <w:sz w:val="22"/>
              </w:rPr>
            </w:r>
          </w:p>
        </w:tc>
        <w:tc>
          <w:tcPr>
            <w:tcW w:type="dxa" w:w="1872"/>
          </w:tcPr>
          <w:p>
            <w:r/>
            <w:r>
              <w:rPr>
                <w:rFonts w:ascii="Times New Roman" w:hAnsi="Times New Roman" w:cs="Times New Roman" w:eastAsia="Times New Roman"/>
                <w:b w:val="0"/>
                <w:i w:val="0"/>
                <w:sz w:val="22"/>
              </w:rPr>
            </w:r>
          </w:p>
        </w:tc>
        <w:tc>
          <w:tcPr>
            <w:tcW w:type="dxa" w:w="1872"/>
          </w:tcPr>
          <w:p>
            <w:r/>
            <w:r>
              <w:rPr>
                <w:rFonts w:ascii="Times New Roman" w:hAnsi="Times New Roman" w:cs="Times New Roman" w:eastAsia="Times New Roman"/>
                <w:b w:val="0"/>
                <w:i w:val="0"/>
                <w:sz w:val="22"/>
              </w:rPr>
            </w:r>
          </w:p>
        </w:tc>
        <w:tc>
          <w:tcPr>
            <w:tcW w:type="dxa" w:w="1872"/>
          </w:tcPr>
          <w:p>
            <w:r/>
            <w:r>
              <w:rPr>
                <w:rFonts w:ascii="Times New Roman" w:hAnsi="Times New Roman" w:cs="Times New Roman" w:eastAsia="Times New Roman"/>
                <w:b w:val="0"/>
                <w:i w:val="0"/>
                <w:sz w:val="22"/>
              </w:rPr>
            </w:r>
          </w:p>
        </w:tc>
      </w:tr>
      <w:tr>
        <w:tc>
          <w:tcPr>
            <w:tcW w:type="dxa" w:w="1872"/>
          </w:tcPr>
          <w:p>
            <w:r/>
            <w:r>
              <w:rPr>
                <w:rFonts w:ascii="Times New Roman" w:hAnsi="Times New Roman" w:cs="Times New Roman" w:eastAsia="Times New Roman"/>
                <w:b w:val="0"/>
                <w:i w:val="0"/>
                <w:sz w:val="22"/>
              </w:rPr>
              <w:t>[ 41 ]</w:t>
            </w:r>
          </w:p>
        </w:tc>
        <w:tc>
          <w:tcPr>
            <w:tcW w:type="dxa" w:w="1872"/>
          </w:tcPr>
          <w:p>
            <w:r/>
            <w:r>
              <w:rPr>
                <w:rFonts w:ascii="Times New Roman" w:hAnsi="Times New Roman" w:cs="Times New Roman" w:eastAsia="Times New Roman"/>
                <w:b w:val="0"/>
                <w:i w:val="0"/>
                <w:sz w:val="22"/>
              </w:rPr>
              <w:t>C. glutamicum</w:t>
            </w:r>
          </w:p>
        </w:tc>
        <w:tc>
          <w:tcPr>
            <w:tcW w:type="dxa" w:w="1872"/>
          </w:tcPr>
          <w:p>
            <w:r/>
            <w:r>
              <w:rPr>
                <w:rFonts w:ascii="Times New Roman" w:hAnsi="Times New Roman" w:cs="Times New Roman" w:eastAsia="Times New Roman"/>
                <w:b w:val="0"/>
                <w:i w:val="0"/>
                <w:sz w:val="22"/>
              </w:rPr>
              <w:t>Disruption of aecD gene (CD)</w:t>
            </w:r>
          </w:p>
        </w:tc>
        <w:tc>
          <w:tcPr>
            <w:tcW w:type="dxa" w:w="1872"/>
          </w:tcPr>
          <w:p>
            <w:r/>
            <w:r>
              <w:rPr>
                <w:rFonts w:ascii="Times New Roman" w:hAnsi="Times New Roman" w:cs="Times New Roman" w:eastAsia="Times New Roman"/>
                <w:b w:val="0"/>
                <w:i w:val="0"/>
                <w:sz w:val="22"/>
              </w:rPr>
              <w:t>Shake flasks, 72 h</w:t>
            </w:r>
          </w:p>
        </w:tc>
        <w:tc>
          <w:tcPr>
            <w:tcW w:type="dxa" w:w="1872"/>
          </w:tcPr>
          <w:p>
            <w:r/>
            <w:r>
              <w:rPr>
                <w:rFonts w:ascii="Times New Roman" w:hAnsi="Times New Roman" w:cs="Times New Roman" w:eastAsia="Times New Roman"/>
                <w:b w:val="0"/>
                <w:i w:val="0"/>
                <w:sz w:val="22"/>
              </w:rPr>
              <w:t>0.29 g L −1</w:t>
            </w:r>
          </w:p>
        </w:tc>
      </w:tr>
      <w:tr>
        <w:tc>
          <w:tcPr>
            <w:tcW w:type="dxa" w:w="1872"/>
          </w:tcPr>
          <w:p>
            <w:r/>
            <w:r>
              <w:rPr>
                <w:rFonts w:ascii="Times New Roman" w:hAnsi="Times New Roman" w:cs="Times New Roman" w:eastAsia="Times New Roman"/>
                <w:b w:val="0"/>
                <w:i w:val="0"/>
                <w:sz w:val="22"/>
              </w:rPr>
              <w:t>[ 44 ]</w:t>
            </w:r>
          </w:p>
        </w:tc>
        <w:tc>
          <w:tcPr>
            <w:tcW w:type="dxa" w:w="1872"/>
          </w:tcPr>
          <w:p>
            <w:r/>
            <w:r>
              <w:rPr>
                <w:rFonts w:ascii="Times New Roman" w:hAnsi="Times New Roman" w:cs="Times New Roman" w:eastAsia="Times New Roman"/>
                <w:b w:val="0"/>
                <w:i w:val="0"/>
                <w:sz w:val="22"/>
              </w:rPr>
              <w:t>E. coli</w:t>
            </w:r>
          </w:p>
        </w:tc>
        <w:tc>
          <w:tcPr>
            <w:tcW w:type="dxa" w:w="1872"/>
          </w:tcPr>
          <w:p>
            <w:r/>
            <w:r>
              <w:rPr>
                <w:rFonts w:ascii="Times New Roman" w:hAnsi="Times New Roman" w:cs="Times New Roman" w:eastAsia="Times New Roman"/>
                <w:b w:val="0"/>
                <w:i w:val="0"/>
                <w:sz w:val="22"/>
              </w:rPr>
              <w:t>Disruption of TNase, CBL, OASS-A, OASS-B, and MalY</w:t>
            </w:r>
          </w:p>
        </w:tc>
        <w:tc>
          <w:tcPr>
            <w:tcW w:type="dxa" w:w="1872"/>
          </w:tcPr>
          <w:p>
            <w:r/>
            <w:r>
              <w:rPr>
                <w:rFonts w:ascii="Times New Roman" w:hAnsi="Times New Roman" w:cs="Times New Roman" w:eastAsia="Times New Roman"/>
                <w:b w:val="0"/>
                <w:i w:val="0"/>
                <w:sz w:val="22"/>
              </w:rPr>
              <w:t>Shake flasks, 72 h</w:t>
            </w:r>
          </w:p>
        </w:tc>
        <w:tc>
          <w:tcPr>
            <w:tcW w:type="dxa" w:w="1872"/>
          </w:tcPr>
          <w:p>
            <w:r/>
            <w:r>
              <w:rPr>
                <w:rFonts w:ascii="Times New Roman" w:hAnsi="Times New Roman" w:cs="Times New Roman" w:eastAsia="Times New Roman"/>
                <w:b w:val="0"/>
                <w:i w:val="0"/>
                <w:sz w:val="22"/>
              </w:rPr>
              <w:t>1.36 g L −1 (per OD 562 )</w:t>
            </w:r>
          </w:p>
        </w:tc>
      </w:tr>
      <w:tr>
        <w:tc>
          <w:tcPr>
            <w:tcW w:type="dxa" w:w="1872"/>
          </w:tcPr>
          <w:p>
            <w:r/>
            <w:r>
              <w:rPr>
                <w:rFonts w:ascii="Times New Roman" w:hAnsi="Times New Roman" w:cs="Times New Roman" w:eastAsia="Times New Roman"/>
                <w:b w:val="0"/>
                <w:i w:val="0"/>
                <w:sz w:val="22"/>
              </w:rPr>
              <w:t>[ 46 ]</w:t>
            </w:r>
          </w:p>
        </w:tc>
        <w:tc>
          <w:tcPr>
            <w:tcW w:type="dxa" w:w="1872"/>
          </w:tcPr>
          <w:p>
            <w:r/>
            <w:r>
              <w:rPr>
                <w:rFonts w:ascii="Times New Roman" w:hAnsi="Times New Roman" w:cs="Times New Roman" w:eastAsia="Times New Roman"/>
                <w:b w:val="0"/>
                <w:i w:val="0"/>
                <w:sz w:val="22"/>
              </w:rPr>
              <w:t>E. coli</w:t>
            </w:r>
          </w:p>
        </w:tc>
        <w:tc>
          <w:tcPr>
            <w:tcW w:type="dxa" w:w="1872"/>
          </w:tcPr>
          <w:p>
            <w:r/>
            <w:r>
              <w:rPr>
                <w:rFonts w:ascii="Times New Roman" w:hAnsi="Times New Roman" w:cs="Times New Roman" w:eastAsia="Times New Roman"/>
                <w:b w:val="0"/>
                <w:i w:val="0"/>
                <w:sz w:val="22"/>
              </w:rPr>
              <w:t>Disruption of the yciW gene</w:t>
            </w:r>
          </w:p>
        </w:tc>
        <w:tc>
          <w:tcPr>
            <w:tcW w:type="dxa" w:w="1872"/>
          </w:tcPr>
          <w:p>
            <w:r/>
            <w:r>
              <w:rPr>
                <w:rFonts w:ascii="Times New Roman" w:hAnsi="Times New Roman" w:cs="Times New Roman" w:eastAsia="Times New Roman"/>
                <w:b w:val="0"/>
                <w:i w:val="0"/>
                <w:sz w:val="22"/>
              </w:rPr>
              <w:t>Shake flasks, 72 h</w:t>
            </w:r>
          </w:p>
        </w:tc>
        <w:tc>
          <w:tcPr>
            <w:tcW w:type="dxa" w:w="1872"/>
          </w:tcPr>
          <w:p>
            <w:r/>
            <w:r>
              <w:rPr>
                <w:rFonts w:ascii="Times New Roman" w:hAnsi="Times New Roman" w:cs="Times New Roman" w:eastAsia="Times New Roman"/>
                <w:b w:val="0"/>
                <w:i w:val="0"/>
                <w:sz w:val="22"/>
              </w:rPr>
              <w:t>0.31 g L −1 (per OD 562 )</w:t>
            </w:r>
          </w:p>
        </w:tc>
      </w:tr>
      <w:tr>
        <w:tc>
          <w:tcPr>
            <w:tcW w:type="dxa" w:w="1872"/>
          </w:tcPr>
          <w:p>
            <w:r/>
            <w:r>
              <w:rPr>
                <w:rFonts w:ascii="Times New Roman" w:hAnsi="Times New Roman" w:cs="Times New Roman" w:eastAsia="Times New Roman"/>
                <w:b w:val="0"/>
                <w:i w:val="0"/>
                <w:sz w:val="22"/>
              </w:rPr>
              <w:t>[ 6 ]</w:t>
            </w:r>
          </w:p>
        </w:tc>
        <w:tc>
          <w:tcPr>
            <w:tcW w:type="dxa" w:w="1872"/>
          </w:tcPr>
          <w:p>
            <w:r/>
            <w:r>
              <w:rPr>
                <w:rFonts w:ascii="Times New Roman" w:hAnsi="Times New Roman" w:cs="Times New Roman" w:eastAsia="Times New Roman"/>
                <w:b w:val="0"/>
                <w:i w:val="0"/>
                <w:sz w:val="22"/>
              </w:rPr>
              <w:t>P. ananatis</w:t>
            </w:r>
          </w:p>
        </w:tc>
        <w:tc>
          <w:tcPr>
            <w:tcW w:type="dxa" w:w="1872"/>
          </w:tcPr>
          <w:p>
            <w:r/>
            <w:r>
              <w:rPr>
                <w:rFonts w:ascii="Times New Roman" w:hAnsi="Times New Roman" w:cs="Times New Roman" w:eastAsia="Times New Roman"/>
                <w:b w:val="0"/>
                <w:i w:val="0"/>
                <w:sz w:val="22"/>
              </w:rPr>
              <w:t>Deletion of CD ccdA</w:t>
            </w:r>
          </w:p>
        </w:tc>
        <w:tc>
          <w:tcPr>
            <w:tcW w:type="dxa" w:w="1872"/>
          </w:tcPr>
          <w:p>
            <w:r/>
            <w:r>
              <w:rPr>
                <w:rFonts w:ascii="Times New Roman" w:hAnsi="Times New Roman" w:cs="Times New Roman" w:eastAsia="Times New Roman"/>
                <w:b w:val="0"/>
                <w:i w:val="0"/>
                <w:sz w:val="22"/>
              </w:rPr>
              <w:t>Test tubes, 28 h</w:t>
            </w:r>
          </w:p>
        </w:tc>
        <w:tc>
          <w:tcPr>
            <w:tcW w:type="dxa" w:w="1872"/>
          </w:tcPr>
          <w:p>
            <w:r/>
            <w:r>
              <w:rPr>
                <w:rFonts w:ascii="Times New Roman" w:hAnsi="Times New Roman" w:cs="Times New Roman" w:eastAsia="Times New Roman"/>
                <w:b w:val="0"/>
                <w:i w:val="0"/>
                <w:sz w:val="22"/>
              </w:rPr>
              <w:t>0.52 g L −1</w:t>
            </w:r>
          </w:p>
        </w:tc>
      </w:tr>
      <w:tr>
        <w:tc>
          <w:tcPr>
            <w:tcW w:type="dxa" w:w="1872"/>
          </w:tcPr>
          <w:p>
            <w:r/>
            <w:r>
              <w:rPr>
                <w:rFonts w:ascii="Times New Roman" w:hAnsi="Times New Roman" w:cs="Times New Roman" w:eastAsia="Times New Roman"/>
                <w:b w:val="0"/>
                <w:i w:val="0"/>
                <w:sz w:val="22"/>
              </w:rPr>
              <w:t>[ 7 ]</w:t>
            </w:r>
          </w:p>
        </w:tc>
        <w:tc>
          <w:tcPr>
            <w:tcW w:type="dxa" w:w="1872"/>
          </w:tcPr>
          <w:p>
            <w:r/>
            <w:r>
              <w:rPr>
                <w:rFonts w:ascii="Times New Roman" w:hAnsi="Times New Roman" w:cs="Times New Roman" w:eastAsia="Times New Roman"/>
                <w:b w:val="0"/>
                <w:i w:val="0"/>
                <w:sz w:val="22"/>
              </w:rPr>
              <w:t>C. glutamicum</w:t>
            </w:r>
          </w:p>
        </w:tc>
        <w:tc>
          <w:tcPr>
            <w:tcW w:type="dxa" w:w="1872"/>
          </w:tcPr>
          <w:p>
            <w:r/>
            <w:r>
              <w:rPr>
                <w:rFonts w:ascii="Times New Roman" w:hAnsi="Times New Roman" w:cs="Times New Roman" w:eastAsia="Times New Roman"/>
                <w:b w:val="0"/>
                <w:i w:val="0"/>
                <w:sz w:val="22"/>
              </w:rPr>
              <w:t>Disruption of aecD (CD) and overexpression of insensitive SAT</w:t>
            </w:r>
          </w:p>
        </w:tc>
        <w:tc>
          <w:tcPr>
            <w:tcW w:type="dxa" w:w="1872"/>
          </w:tcPr>
          <w:p>
            <w:r/>
            <w:r>
              <w:rPr>
                <w:rFonts w:ascii="Times New Roman" w:hAnsi="Times New Roman" w:cs="Times New Roman" w:eastAsia="Times New Roman"/>
                <w:b w:val="0"/>
                <w:i w:val="0"/>
                <w:sz w:val="22"/>
              </w:rPr>
              <w:t>Shake flasks, 48 h</w:t>
            </w:r>
          </w:p>
        </w:tc>
        <w:tc>
          <w:tcPr>
            <w:tcW w:type="dxa" w:w="1872"/>
          </w:tcPr>
          <w:p>
            <w:r/>
            <w:r>
              <w:rPr>
                <w:rFonts w:ascii="Times New Roman" w:hAnsi="Times New Roman" w:cs="Times New Roman" w:eastAsia="Times New Roman"/>
                <w:b w:val="0"/>
                <w:i w:val="0"/>
                <w:sz w:val="22"/>
              </w:rPr>
              <w:t>0.35 g L −1</w:t>
            </w:r>
          </w:p>
        </w:tc>
      </w:tr>
      <w:tr>
        <w:tc>
          <w:tcPr>
            <w:tcW w:type="dxa" w:w="1872"/>
          </w:tcPr>
          <w:p>
            <w:r/>
            <w:r>
              <w:rPr>
                <w:rFonts w:ascii="Times New Roman" w:hAnsi="Times New Roman" w:cs="Times New Roman" w:eastAsia="Times New Roman"/>
                <w:b w:val="0"/>
                <w:i w:val="0"/>
                <w:sz w:val="22"/>
              </w:rPr>
              <w:t>Enhancing efflux of L-cysteine</w:t>
            </w:r>
          </w:p>
        </w:tc>
        <w:tc>
          <w:tcPr>
            <w:tcW w:type="dxa" w:w="1872"/>
          </w:tcPr>
          <w:p>
            <w:r/>
            <w:r>
              <w:rPr>
                <w:rFonts w:ascii="Times New Roman" w:hAnsi="Times New Roman" w:cs="Times New Roman" w:eastAsia="Times New Roman"/>
                <w:b w:val="0"/>
                <w:i w:val="0"/>
                <w:sz w:val="22"/>
              </w:rPr>
            </w:r>
          </w:p>
        </w:tc>
        <w:tc>
          <w:tcPr>
            <w:tcW w:type="dxa" w:w="1872"/>
          </w:tcPr>
          <w:p>
            <w:r/>
            <w:r>
              <w:rPr>
                <w:rFonts w:ascii="Times New Roman" w:hAnsi="Times New Roman" w:cs="Times New Roman" w:eastAsia="Times New Roman"/>
                <w:b w:val="0"/>
                <w:i w:val="0"/>
                <w:sz w:val="22"/>
              </w:rPr>
            </w:r>
          </w:p>
        </w:tc>
        <w:tc>
          <w:tcPr>
            <w:tcW w:type="dxa" w:w="1872"/>
          </w:tcPr>
          <w:p>
            <w:r/>
            <w:r>
              <w:rPr>
                <w:rFonts w:ascii="Times New Roman" w:hAnsi="Times New Roman" w:cs="Times New Roman" w:eastAsia="Times New Roman"/>
                <w:b w:val="0"/>
                <w:i w:val="0"/>
                <w:sz w:val="22"/>
              </w:rPr>
            </w:r>
          </w:p>
        </w:tc>
        <w:tc>
          <w:tcPr>
            <w:tcW w:type="dxa" w:w="1872"/>
          </w:tcPr>
          <w:p>
            <w:r/>
            <w:r>
              <w:rPr>
                <w:rFonts w:ascii="Times New Roman" w:hAnsi="Times New Roman" w:cs="Times New Roman" w:eastAsia="Times New Roman"/>
                <w:b w:val="0"/>
                <w:i w:val="0"/>
                <w:sz w:val="22"/>
              </w:rPr>
            </w:r>
          </w:p>
        </w:tc>
      </w:tr>
      <w:tr>
        <w:tc>
          <w:tcPr>
            <w:tcW w:type="dxa" w:w="1872"/>
          </w:tcPr>
          <w:p>
            <w:r/>
            <w:r>
              <w:rPr>
                <w:rFonts w:ascii="Times New Roman" w:hAnsi="Times New Roman" w:cs="Times New Roman" w:eastAsia="Times New Roman"/>
                <w:b w:val="0"/>
                <w:i w:val="0"/>
                <w:sz w:val="22"/>
              </w:rPr>
              <w:t>[ 51 ]</w:t>
            </w:r>
          </w:p>
        </w:tc>
        <w:tc>
          <w:tcPr>
            <w:tcW w:type="dxa" w:w="1872"/>
          </w:tcPr>
          <w:p>
            <w:r/>
            <w:r>
              <w:rPr>
                <w:rFonts w:ascii="Times New Roman" w:hAnsi="Times New Roman" w:cs="Times New Roman" w:eastAsia="Times New Roman"/>
                <w:b w:val="0"/>
                <w:i w:val="0"/>
                <w:sz w:val="22"/>
              </w:rPr>
              <w:t>E. coli</w:t>
            </w:r>
          </w:p>
        </w:tc>
        <w:tc>
          <w:tcPr>
            <w:tcW w:type="dxa" w:w="1872"/>
          </w:tcPr>
          <w:p>
            <w:r/>
            <w:r>
              <w:rPr>
                <w:rFonts w:ascii="Times New Roman" w:hAnsi="Times New Roman" w:cs="Times New Roman" w:eastAsia="Times New Roman"/>
                <w:b w:val="0"/>
                <w:i w:val="0"/>
                <w:sz w:val="22"/>
              </w:rPr>
              <w:t>Overexpression of exporter YdeD</w:t>
            </w:r>
          </w:p>
        </w:tc>
        <w:tc>
          <w:tcPr>
            <w:tcW w:type="dxa" w:w="1872"/>
          </w:tcPr>
          <w:p>
            <w:r/>
            <w:r>
              <w:rPr>
                <w:rFonts w:ascii="Times New Roman" w:hAnsi="Times New Roman" w:cs="Times New Roman" w:eastAsia="Times New Roman"/>
                <w:b w:val="0"/>
                <w:i w:val="0"/>
                <w:sz w:val="22"/>
              </w:rPr>
              <w:t>Shake flasks, 48 h</w:t>
            </w:r>
          </w:p>
        </w:tc>
        <w:tc>
          <w:tcPr>
            <w:tcW w:type="dxa" w:w="1872"/>
          </w:tcPr>
          <w:p>
            <w:r/>
            <w:r>
              <w:rPr>
                <w:rFonts w:ascii="Times New Roman" w:hAnsi="Times New Roman" w:cs="Times New Roman" w:eastAsia="Times New Roman"/>
                <w:b w:val="0"/>
                <w:i w:val="0"/>
                <w:sz w:val="22"/>
              </w:rPr>
              <w:t>0.07 g L −1</w:t>
            </w:r>
          </w:p>
        </w:tc>
      </w:tr>
      <w:tr>
        <w:tc>
          <w:tcPr>
            <w:tcW w:type="dxa" w:w="1872"/>
          </w:tcPr>
          <w:p>
            <w:r/>
            <w:r>
              <w:rPr>
                <w:rFonts w:ascii="Times New Roman" w:hAnsi="Times New Roman" w:cs="Times New Roman" w:eastAsia="Times New Roman"/>
                <w:b w:val="0"/>
                <w:i w:val="0"/>
                <w:sz w:val="22"/>
              </w:rPr>
              <w:t>[ 52 ]</w:t>
            </w:r>
          </w:p>
        </w:tc>
        <w:tc>
          <w:tcPr>
            <w:tcW w:type="dxa" w:w="1872"/>
          </w:tcPr>
          <w:p>
            <w:r/>
            <w:r>
              <w:rPr>
                <w:rFonts w:ascii="Times New Roman" w:hAnsi="Times New Roman" w:cs="Times New Roman" w:eastAsia="Times New Roman"/>
                <w:b w:val="0"/>
                <w:i w:val="0"/>
                <w:sz w:val="22"/>
              </w:rPr>
              <w:t>E. coli</w:t>
            </w:r>
          </w:p>
        </w:tc>
        <w:tc>
          <w:tcPr>
            <w:tcW w:type="dxa" w:w="1872"/>
          </w:tcPr>
          <w:p>
            <w:r/>
            <w:r>
              <w:rPr>
                <w:rFonts w:ascii="Times New Roman" w:hAnsi="Times New Roman" w:cs="Times New Roman" w:eastAsia="Times New Roman"/>
                <w:b w:val="0"/>
                <w:i w:val="0"/>
                <w:sz w:val="22"/>
              </w:rPr>
              <w:t>Overexpression of exporter YfiK</w:t>
            </w:r>
          </w:p>
        </w:tc>
        <w:tc>
          <w:tcPr>
            <w:tcW w:type="dxa" w:w="1872"/>
          </w:tcPr>
          <w:p>
            <w:r/>
            <w:r>
              <w:rPr>
                <w:rFonts w:ascii="Times New Roman" w:hAnsi="Times New Roman" w:cs="Times New Roman" w:eastAsia="Times New Roman"/>
                <w:b w:val="0"/>
                <w:i w:val="0"/>
                <w:sz w:val="22"/>
              </w:rPr>
              <w:t>Shake flasks, 20 h</w:t>
            </w:r>
          </w:p>
        </w:tc>
        <w:tc>
          <w:tcPr>
            <w:tcW w:type="dxa" w:w="1872"/>
          </w:tcPr>
          <w:p>
            <w:r/>
            <w:r>
              <w:rPr>
                <w:rFonts w:ascii="Times New Roman" w:hAnsi="Times New Roman" w:cs="Times New Roman" w:eastAsia="Times New Roman"/>
                <w:b w:val="0"/>
                <w:i w:val="0"/>
                <w:sz w:val="22"/>
              </w:rPr>
              <w:t>0.15 g L −1</w:t>
            </w:r>
          </w:p>
        </w:tc>
      </w:tr>
      <w:tr>
        <w:tc>
          <w:tcPr>
            <w:tcW w:type="dxa" w:w="1872"/>
          </w:tcPr>
          <w:p>
            <w:r/>
            <w:r>
              <w:rPr>
                <w:rFonts w:ascii="Times New Roman" w:hAnsi="Times New Roman" w:cs="Times New Roman" w:eastAsia="Times New Roman"/>
                <w:b w:val="0"/>
                <w:i w:val="0"/>
                <w:sz w:val="22"/>
              </w:rPr>
              <w:t>[ 54 ]</w:t>
            </w:r>
          </w:p>
        </w:tc>
        <w:tc>
          <w:tcPr>
            <w:tcW w:type="dxa" w:w="1872"/>
          </w:tcPr>
          <w:p>
            <w:r/>
            <w:r>
              <w:rPr>
                <w:rFonts w:ascii="Times New Roman" w:hAnsi="Times New Roman" w:cs="Times New Roman" w:eastAsia="Times New Roman"/>
                <w:b w:val="0"/>
                <w:i w:val="0"/>
                <w:sz w:val="22"/>
              </w:rPr>
              <w:t>E. coli</w:t>
            </w:r>
          </w:p>
        </w:tc>
        <w:tc>
          <w:tcPr>
            <w:tcW w:type="dxa" w:w="1872"/>
          </w:tcPr>
          <w:p>
            <w:r/>
            <w:r>
              <w:rPr>
                <w:rFonts w:ascii="Times New Roman" w:hAnsi="Times New Roman" w:cs="Times New Roman" w:eastAsia="Times New Roman"/>
                <w:b w:val="0"/>
                <w:i w:val="0"/>
                <w:sz w:val="22"/>
              </w:rPr>
              <w:t>Overexpression of exporter bcr and deletion of TNase</w:t>
            </w:r>
          </w:p>
        </w:tc>
        <w:tc>
          <w:tcPr>
            <w:tcW w:type="dxa" w:w="1872"/>
          </w:tcPr>
          <w:p>
            <w:r/>
            <w:r>
              <w:rPr>
                <w:rFonts w:ascii="Times New Roman" w:hAnsi="Times New Roman" w:cs="Times New Roman" w:eastAsia="Times New Roman"/>
                <w:b w:val="0"/>
                <w:i w:val="0"/>
                <w:sz w:val="22"/>
              </w:rPr>
              <w:t>Shake flasks, 48 h</w:t>
            </w:r>
          </w:p>
        </w:tc>
        <w:tc>
          <w:tcPr>
            <w:tcW w:type="dxa" w:w="1872"/>
          </w:tcPr>
          <w:p>
            <w:r/>
            <w:r>
              <w:rPr>
                <w:rFonts w:ascii="Times New Roman" w:hAnsi="Times New Roman" w:cs="Times New Roman" w:eastAsia="Times New Roman"/>
                <w:b w:val="0"/>
                <w:i w:val="0"/>
                <w:sz w:val="22"/>
              </w:rPr>
              <w:t>0.50 g L −1</w:t>
            </w:r>
          </w:p>
        </w:tc>
      </w:tr>
      <w:tr>
        <w:tc>
          <w:tcPr>
            <w:tcW w:type="dxa" w:w="1872"/>
          </w:tcPr>
          <w:p>
            <w:r/>
            <w:r>
              <w:rPr>
                <w:rFonts w:ascii="Times New Roman" w:hAnsi="Times New Roman" w:cs="Times New Roman" w:eastAsia="Times New Roman"/>
                <w:b w:val="0"/>
                <w:i w:val="0"/>
                <w:sz w:val="22"/>
              </w:rPr>
              <w:t>[ 55 ]</w:t>
            </w:r>
          </w:p>
        </w:tc>
        <w:tc>
          <w:tcPr>
            <w:tcW w:type="dxa" w:w="1872"/>
          </w:tcPr>
          <w:p>
            <w:r/>
            <w:r>
              <w:rPr>
                <w:rFonts w:ascii="Times New Roman" w:hAnsi="Times New Roman" w:cs="Times New Roman" w:eastAsia="Times New Roman"/>
                <w:b w:val="0"/>
                <w:i w:val="0"/>
                <w:sz w:val="22"/>
              </w:rPr>
              <w:t>E. coli</w:t>
            </w:r>
          </w:p>
        </w:tc>
        <w:tc>
          <w:tcPr>
            <w:tcW w:type="dxa" w:w="1872"/>
          </w:tcPr>
          <w:p>
            <w:r/>
            <w:r>
              <w:rPr>
                <w:rFonts w:ascii="Times New Roman" w:hAnsi="Times New Roman" w:cs="Times New Roman" w:eastAsia="Times New Roman"/>
                <w:b w:val="0"/>
                <w:i w:val="0"/>
                <w:sz w:val="22"/>
              </w:rPr>
              <w:t>Overexpression of exporters YdeD and TolC</w:t>
            </w:r>
          </w:p>
        </w:tc>
        <w:tc>
          <w:tcPr>
            <w:tcW w:type="dxa" w:w="1872"/>
          </w:tcPr>
          <w:p>
            <w:r/>
            <w:r>
              <w:rPr>
                <w:rFonts w:ascii="Times New Roman" w:hAnsi="Times New Roman" w:cs="Times New Roman" w:eastAsia="Times New Roman"/>
                <w:b w:val="0"/>
                <w:i w:val="0"/>
                <w:sz w:val="22"/>
              </w:rPr>
              <w:t>Shake flasks, 24 h</w:t>
            </w:r>
          </w:p>
        </w:tc>
        <w:tc>
          <w:tcPr>
            <w:tcW w:type="dxa" w:w="1872"/>
          </w:tcPr>
          <w:p>
            <w:r/>
            <w:r>
              <w:rPr>
                <w:rFonts w:ascii="Times New Roman" w:hAnsi="Times New Roman" w:cs="Times New Roman" w:eastAsia="Times New Roman"/>
                <w:b w:val="0"/>
                <w:i w:val="0"/>
                <w:sz w:val="22"/>
              </w:rPr>
              <w:t>0.12 g L −1</w:t>
            </w:r>
          </w:p>
        </w:tc>
      </w:tr>
      <w:tr>
        <w:tc>
          <w:tcPr>
            <w:tcW w:type="dxa" w:w="1872"/>
          </w:tcPr>
          <w:p>
            <w:r/>
            <w:r>
              <w:rPr>
                <w:rFonts w:ascii="Times New Roman" w:hAnsi="Times New Roman" w:cs="Times New Roman" w:eastAsia="Times New Roman"/>
                <w:b w:val="0"/>
                <w:i w:val="0"/>
                <w:sz w:val="22"/>
              </w:rPr>
              <w:t>[ 6 ]</w:t>
            </w:r>
          </w:p>
        </w:tc>
        <w:tc>
          <w:tcPr>
            <w:tcW w:type="dxa" w:w="1872"/>
          </w:tcPr>
          <w:p>
            <w:r/>
            <w:r>
              <w:rPr>
                <w:rFonts w:ascii="Times New Roman" w:hAnsi="Times New Roman" w:cs="Times New Roman" w:eastAsia="Times New Roman"/>
                <w:b w:val="0"/>
                <w:i w:val="0"/>
                <w:sz w:val="22"/>
              </w:rPr>
              <w:t>P. ananatis</w:t>
            </w:r>
          </w:p>
        </w:tc>
        <w:tc>
          <w:tcPr>
            <w:tcW w:type="dxa" w:w="1872"/>
          </w:tcPr>
          <w:p>
            <w:r/>
            <w:r>
              <w:rPr>
                <w:rFonts w:ascii="Times New Roman" w:hAnsi="Times New Roman" w:cs="Times New Roman" w:eastAsia="Times New Roman"/>
                <w:b w:val="0"/>
                <w:i w:val="0"/>
                <w:sz w:val="22"/>
              </w:rPr>
              <w:t>Overexpression of transporter cefB</w:t>
            </w:r>
          </w:p>
        </w:tc>
        <w:tc>
          <w:tcPr>
            <w:tcW w:type="dxa" w:w="1872"/>
          </w:tcPr>
          <w:p>
            <w:r/>
            <w:r>
              <w:rPr>
                <w:rFonts w:ascii="Times New Roman" w:hAnsi="Times New Roman" w:cs="Times New Roman" w:eastAsia="Times New Roman"/>
                <w:b w:val="0"/>
                <w:i w:val="0"/>
                <w:sz w:val="22"/>
              </w:rPr>
              <w:t>Test tubes, 28 h</w:t>
            </w:r>
          </w:p>
        </w:tc>
        <w:tc>
          <w:tcPr>
            <w:tcW w:type="dxa" w:w="1872"/>
          </w:tcPr>
          <w:p>
            <w:r/>
            <w:r>
              <w:rPr>
                <w:rFonts w:ascii="Times New Roman" w:hAnsi="Times New Roman" w:cs="Times New Roman" w:eastAsia="Times New Roman"/>
                <w:b w:val="0"/>
                <w:i w:val="0"/>
                <w:sz w:val="22"/>
              </w:rPr>
              <w:t>2.30 g L −1</w:t>
            </w:r>
          </w:p>
        </w:tc>
      </w:tr>
      <w:tr>
        <w:tc>
          <w:tcPr>
            <w:tcW w:type="dxa" w:w="1872"/>
          </w:tcPr>
          <w:p>
            <w:r/>
            <w:r>
              <w:rPr>
                <w:rFonts w:ascii="Times New Roman" w:hAnsi="Times New Roman" w:cs="Times New Roman" w:eastAsia="Times New Roman"/>
                <w:b w:val="0"/>
                <w:i w:val="0"/>
                <w:sz w:val="22"/>
              </w:rPr>
              <w:t>[ 56 ]</w:t>
            </w:r>
          </w:p>
        </w:tc>
        <w:tc>
          <w:tcPr>
            <w:tcW w:type="dxa" w:w="1872"/>
          </w:tcPr>
          <w:p>
            <w:r/>
            <w:r>
              <w:rPr>
                <w:rFonts w:ascii="Times New Roman" w:hAnsi="Times New Roman" w:cs="Times New Roman" w:eastAsia="Times New Roman"/>
                <w:b w:val="0"/>
                <w:i w:val="0"/>
                <w:sz w:val="22"/>
              </w:rPr>
              <w:t>C. glutamicum</w:t>
            </w:r>
          </w:p>
        </w:tc>
        <w:tc>
          <w:tcPr>
            <w:tcW w:type="dxa" w:w="1872"/>
          </w:tcPr>
          <w:p>
            <w:r/>
            <w:r>
              <w:rPr>
                <w:rFonts w:ascii="Times New Roman" w:hAnsi="Times New Roman" w:cs="Times New Roman" w:eastAsia="Times New Roman"/>
                <w:b w:val="0"/>
                <w:i w:val="0"/>
                <w:sz w:val="22"/>
              </w:rPr>
              <w:t>Overexpression of transport genes NCgl0580 and NCgl2566</w:t>
            </w:r>
          </w:p>
        </w:tc>
        <w:tc>
          <w:tcPr>
            <w:tcW w:type="dxa" w:w="1872"/>
          </w:tcPr>
          <w:p>
            <w:r/>
            <w:r>
              <w:rPr>
                <w:rFonts w:ascii="Times New Roman" w:hAnsi="Times New Roman" w:cs="Times New Roman" w:eastAsia="Times New Roman"/>
                <w:b w:val="0"/>
                <w:i w:val="0"/>
                <w:sz w:val="22"/>
              </w:rPr>
              <w:t>Shake flasks, 20 h</w:t>
            </w:r>
          </w:p>
        </w:tc>
        <w:tc>
          <w:tcPr>
            <w:tcW w:type="dxa" w:w="1872"/>
          </w:tcPr>
          <w:p>
            <w:r/>
            <w:r>
              <w:rPr>
                <w:rFonts w:ascii="Times New Roman" w:hAnsi="Times New Roman" w:cs="Times New Roman" w:eastAsia="Times New Roman"/>
                <w:b w:val="0"/>
                <w:i w:val="0"/>
                <w:sz w:val="22"/>
              </w:rPr>
              <w:t>0.28 g L −1</w:t>
            </w:r>
          </w:p>
        </w:tc>
      </w:tr>
      <w:tr>
        <w:tc>
          <w:tcPr>
            <w:tcW w:type="dxa" w:w="1872"/>
          </w:tcPr>
          <w:p>
            <w:r/>
            <w:r>
              <w:rPr>
                <w:rFonts w:ascii="Times New Roman" w:hAnsi="Times New Roman" w:cs="Times New Roman" w:eastAsia="Times New Roman"/>
                <w:b w:val="0"/>
                <w:i w:val="0"/>
                <w:sz w:val="22"/>
              </w:rPr>
              <w:t>[ 7 ]</w:t>
            </w:r>
          </w:p>
        </w:tc>
        <w:tc>
          <w:tcPr>
            <w:tcW w:type="dxa" w:w="1872"/>
          </w:tcPr>
          <w:p>
            <w:r/>
            <w:r>
              <w:rPr>
                <w:rFonts w:ascii="Times New Roman" w:hAnsi="Times New Roman" w:cs="Times New Roman" w:eastAsia="Times New Roman"/>
                <w:b w:val="0"/>
                <w:i w:val="0"/>
                <w:sz w:val="22"/>
              </w:rPr>
              <w:t>C. glutamicum</w:t>
            </w:r>
          </w:p>
        </w:tc>
        <w:tc>
          <w:tcPr>
            <w:tcW w:type="dxa" w:w="1872"/>
          </w:tcPr>
          <w:p>
            <w:r/>
            <w:r>
              <w:rPr>
                <w:rFonts w:ascii="Times New Roman" w:hAnsi="Times New Roman" w:cs="Times New Roman" w:eastAsia="Times New Roman"/>
                <w:b w:val="0"/>
                <w:i w:val="0"/>
                <w:sz w:val="22"/>
              </w:rPr>
              <w:t>Overexpression of exporter bcr</w:t>
            </w:r>
          </w:p>
        </w:tc>
        <w:tc>
          <w:tcPr>
            <w:tcW w:type="dxa" w:w="1872"/>
          </w:tcPr>
          <w:p>
            <w:r/>
            <w:r>
              <w:rPr>
                <w:rFonts w:ascii="Times New Roman" w:hAnsi="Times New Roman" w:cs="Times New Roman" w:eastAsia="Times New Roman"/>
                <w:b w:val="0"/>
                <w:i w:val="0"/>
                <w:sz w:val="22"/>
              </w:rPr>
              <w:t>Shake flasks, 48 h</w:t>
            </w:r>
          </w:p>
        </w:tc>
        <w:tc>
          <w:tcPr>
            <w:tcW w:type="dxa" w:w="1872"/>
          </w:tcPr>
          <w:p>
            <w:r/>
            <w:r>
              <w:rPr>
                <w:rFonts w:ascii="Times New Roman" w:hAnsi="Times New Roman" w:cs="Times New Roman" w:eastAsia="Times New Roman"/>
                <w:b w:val="0"/>
                <w:i w:val="0"/>
                <w:sz w:val="22"/>
              </w:rPr>
              <w:t>0.63 g L −1</w:t>
            </w:r>
          </w:p>
        </w:tc>
      </w:tr>
      <w:tr>
        <w:tc>
          <w:tcPr>
            <w:tcW w:type="dxa" w:w="1872"/>
          </w:tcPr>
          <w:p>
            <w:r/>
            <w:r>
              <w:rPr>
                <w:rFonts w:ascii="Times New Roman" w:hAnsi="Times New Roman" w:cs="Times New Roman" w:eastAsia="Times New Roman"/>
                <w:b w:val="0"/>
                <w:i w:val="0"/>
                <w:sz w:val="22"/>
              </w:rPr>
              <w:t>[ 57 ]</w:t>
            </w:r>
          </w:p>
        </w:tc>
        <w:tc>
          <w:tcPr>
            <w:tcW w:type="dxa" w:w="1872"/>
          </w:tcPr>
          <w:p>
            <w:r/>
            <w:r>
              <w:rPr>
                <w:rFonts w:ascii="Times New Roman" w:hAnsi="Times New Roman" w:cs="Times New Roman" w:eastAsia="Times New Roman"/>
                <w:b w:val="0"/>
                <w:i w:val="0"/>
                <w:sz w:val="22"/>
              </w:rPr>
              <w:t>E. coli</w:t>
            </w:r>
          </w:p>
        </w:tc>
        <w:tc>
          <w:tcPr>
            <w:tcW w:type="dxa" w:w="1872"/>
          </w:tcPr>
          <w:p>
            <w:r/>
            <w:r>
              <w:rPr>
                <w:rFonts w:ascii="Times New Roman" w:hAnsi="Times New Roman" w:cs="Times New Roman" w:eastAsia="Times New Roman"/>
                <w:b w:val="0"/>
                <w:i w:val="0"/>
                <w:sz w:val="22"/>
              </w:rPr>
              <w:t>Deletion of importer yeaN</w:t>
            </w:r>
          </w:p>
        </w:tc>
        <w:tc>
          <w:tcPr>
            <w:tcW w:type="dxa" w:w="1872"/>
          </w:tcPr>
          <w:p>
            <w:r/>
            <w:r>
              <w:rPr>
                <w:rFonts w:ascii="Times New Roman" w:hAnsi="Times New Roman" w:cs="Times New Roman" w:eastAsia="Times New Roman"/>
                <w:b w:val="0"/>
                <w:i w:val="0"/>
                <w:sz w:val="22"/>
              </w:rPr>
              <w:t>Shake flasks, 20 h</w:t>
            </w:r>
          </w:p>
        </w:tc>
        <w:tc>
          <w:tcPr>
            <w:tcW w:type="dxa" w:w="1872"/>
          </w:tcPr>
          <w:p>
            <w:r/>
            <w:r>
              <w:rPr>
                <w:rFonts w:ascii="Times New Roman" w:hAnsi="Times New Roman" w:cs="Times New Roman" w:eastAsia="Times New Roman"/>
                <w:b w:val="0"/>
                <w:i w:val="0"/>
                <w:sz w:val="22"/>
              </w:rPr>
              <w:t>1.20 g L −1</w:t>
            </w:r>
          </w:p>
        </w:tc>
      </w:tr>
      <w:tr>
        <w:tc>
          <w:tcPr>
            <w:tcW w:type="dxa" w:w="1872"/>
          </w:tcPr>
          <w:p>
            <w:r/>
            <w:r>
              <w:rPr>
                <w:rFonts w:ascii="Times New Roman" w:hAnsi="Times New Roman" w:cs="Times New Roman" w:eastAsia="Times New Roman"/>
                <w:b w:val="0"/>
                <w:i w:val="0"/>
                <w:sz w:val="22"/>
              </w:rPr>
              <w:t>[ 58 ]</w:t>
            </w:r>
          </w:p>
        </w:tc>
        <w:tc>
          <w:tcPr>
            <w:tcW w:type="dxa" w:w="1872"/>
          </w:tcPr>
          <w:p>
            <w:r/>
            <w:r>
              <w:rPr>
                <w:rFonts w:ascii="Times New Roman" w:hAnsi="Times New Roman" w:cs="Times New Roman" w:eastAsia="Times New Roman"/>
                <w:b w:val="0"/>
                <w:i w:val="0"/>
                <w:sz w:val="22"/>
              </w:rPr>
              <w:t>C. glutamicum</w:t>
            </w:r>
          </w:p>
        </w:tc>
        <w:tc>
          <w:tcPr>
            <w:tcW w:type="dxa" w:w="1872"/>
          </w:tcPr>
          <w:p>
            <w:r/>
            <w:r>
              <w:rPr>
                <w:rFonts w:ascii="Times New Roman" w:hAnsi="Times New Roman" w:cs="Times New Roman" w:eastAsia="Times New Roman"/>
                <w:b w:val="0"/>
                <w:i w:val="0"/>
                <w:sz w:val="22"/>
              </w:rPr>
              <w:t>Deletion of importer NCgl2463 , overexpression of exporter eamA and G6PDH</w:t>
            </w:r>
          </w:p>
        </w:tc>
        <w:tc>
          <w:tcPr>
            <w:tcW w:type="dxa" w:w="1872"/>
          </w:tcPr>
          <w:p>
            <w:r/>
            <w:r>
              <w:rPr>
                <w:rFonts w:ascii="Times New Roman" w:hAnsi="Times New Roman" w:cs="Times New Roman" w:eastAsia="Times New Roman"/>
                <w:b w:val="0"/>
                <w:i w:val="0"/>
                <w:sz w:val="22"/>
              </w:rPr>
              <w:t>5 L stirred tank, 72 h</w:t>
            </w:r>
          </w:p>
        </w:tc>
        <w:tc>
          <w:tcPr>
            <w:tcW w:type="dxa" w:w="1872"/>
          </w:tcPr>
          <w:p>
            <w:r/>
            <w:r>
              <w:rPr>
                <w:rFonts w:ascii="Times New Roman" w:hAnsi="Times New Roman" w:cs="Times New Roman" w:eastAsia="Times New Roman"/>
                <w:b w:val="0"/>
                <w:i w:val="0"/>
                <w:sz w:val="22"/>
              </w:rPr>
              <w:t>5.92 g L −1</w:t>
            </w:r>
          </w:p>
        </w:tc>
      </w:tr>
    </w:tbl>
    <w:p>
      <w:pPr>
        <w:spacing w:after="80"/>
        <w:jc w:val="both"/>
      </w:pPr>
    </w:p>
    <w:p>
      <w:pPr>
        <w:keepNext/>
        <w:spacing w:before="160" w:after="40"/>
        <w:jc w:val="left"/>
      </w:pPr>
      <w:r>
        <w:rPr>
          <w:rFonts w:ascii="Times New Roman" w:hAnsi="Times New Roman" w:cs="Times New Roman" w:eastAsia="Times New Roman"/>
          <w:b/>
          <w:i w:val="0"/>
          <w:sz w:val="22"/>
        </w:rPr>
        <w:t>Reproduced from PMC10821248 — Table 2 — ATP and NADPH demand and catalyzing enzymes for different sulfur assimilation pathways [ 59 , 63 ].</w:t>
      </w:r>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2340"/>
            <w:shd w:fill="DDE4EF"/>
          </w:tcPr>
          <w:p>
            <w:r/>
            <w:r>
              <w:rPr>
                <w:rFonts w:ascii="Times New Roman" w:hAnsi="Times New Roman" w:cs="Times New Roman" w:eastAsia="Times New Roman"/>
                <w:b/>
                <w:i w:val="0"/>
                <w:sz w:val="22"/>
              </w:rPr>
              <w:t>Pathway</w:t>
            </w:r>
          </w:p>
        </w:tc>
        <w:tc>
          <w:tcPr>
            <w:tcW w:type="dxa" w:w="2340"/>
            <w:shd w:fill="DDE4EF"/>
          </w:tcPr>
          <w:p>
            <w:r/>
            <w:r>
              <w:rPr>
                <w:rFonts w:ascii="Times New Roman" w:hAnsi="Times New Roman" w:cs="Times New Roman" w:eastAsia="Times New Roman"/>
                <w:b/>
                <w:i w:val="0"/>
                <w:sz w:val="22"/>
              </w:rPr>
              <w:t>Steps</w:t>
            </w:r>
          </w:p>
        </w:tc>
        <w:tc>
          <w:tcPr>
            <w:tcW w:type="dxa" w:w="2340"/>
            <w:shd w:fill="DDE4EF"/>
          </w:tcPr>
          <w:p>
            <w:r/>
            <w:r>
              <w:rPr>
                <w:rFonts w:ascii="Times New Roman" w:hAnsi="Times New Roman" w:cs="Times New Roman" w:eastAsia="Times New Roman"/>
                <w:b/>
                <w:i w:val="0"/>
                <w:sz w:val="22"/>
              </w:rPr>
              <w:t>Enzymes</w:t>
            </w:r>
          </w:p>
        </w:tc>
        <w:tc>
          <w:tcPr>
            <w:tcW w:type="dxa" w:w="2340"/>
            <w:shd w:fill="DDE4EF"/>
          </w:tcPr>
          <w:p>
            <w:r/>
            <w:r>
              <w:rPr>
                <w:rFonts w:ascii="Times New Roman" w:hAnsi="Times New Roman" w:cs="Times New Roman" w:eastAsia="Times New Roman"/>
                <w:b/>
                <w:i w:val="0"/>
                <w:sz w:val="22"/>
              </w:rPr>
              <w:t>ATP/NADPH Demand</w:t>
            </w:r>
          </w:p>
        </w:tc>
      </w:tr>
      <w:tr>
        <w:tc>
          <w:tcPr>
            <w:tcW w:type="dxa" w:w="2340"/>
          </w:tcPr>
          <w:p>
            <w:r/>
            <w:r>
              <w:rPr>
                <w:rFonts w:ascii="Times New Roman" w:hAnsi="Times New Roman" w:cs="Times New Roman" w:eastAsia="Times New Roman"/>
                <w:b w:val="0"/>
                <w:i w:val="0"/>
                <w:sz w:val="22"/>
              </w:rPr>
              <w:t>Thiosulfate</w:t>
            </w:r>
          </w:p>
        </w:tc>
        <w:tc>
          <w:tcPr>
            <w:tcW w:type="dxa" w:w="2340"/>
          </w:tcPr>
          <w:p>
            <w:r/>
            <w:r>
              <w:rPr>
                <w:rFonts w:ascii="Times New Roman" w:hAnsi="Times New Roman" w:cs="Times New Roman" w:eastAsia="Times New Roman"/>
                <w:b w:val="0"/>
                <w:i w:val="0"/>
                <w:sz w:val="22"/>
              </w:rPr>
              <w:t>Conversion of thiosulfate to S-sulfocysteine</w:t>
            </w:r>
          </w:p>
        </w:tc>
        <w:tc>
          <w:tcPr>
            <w:tcW w:type="dxa" w:w="2340"/>
          </w:tcPr>
          <w:p>
            <w:r/>
            <w:r>
              <w:rPr>
                <w:rFonts w:ascii="Times New Roman" w:hAnsi="Times New Roman" w:cs="Times New Roman" w:eastAsia="Times New Roman"/>
                <w:b w:val="0"/>
                <w:i w:val="0"/>
                <w:sz w:val="22"/>
              </w:rPr>
              <w:t>CysM</w:t>
            </w:r>
          </w:p>
        </w:tc>
        <w:tc>
          <w:tcPr>
            <w:tcW w:type="dxa" w:w="2340"/>
          </w:tcPr>
          <w:p>
            <w:r/>
            <w:r>
              <w:rPr>
                <w:rFonts w:ascii="Times New Roman" w:hAnsi="Times New Roman" w:cs="Times New Roman" w:eastAsia="Times New Roman"/>
                <w:b w:val="0"/>
                <w:i w:val="0"/>
                <w:sz w:val="22"/>
              </w:rPr>
              <w:t>-</w:t>
            </w:r>
          </w:p>
        </w:tc>
      </w:tr>
      <w:tr>
        <w:tc>
          <w:tcPr>
            <w:tcW w:type="dxa" w:w="2340"/>
          </w:tcPr>
          <w:p>
            <w:r/>
            <w:r>
              <w:rPr>
                <w:rFonts w:ascii="Times New Roman" w:hAnsi="Times New Roman" w:cs="Times New Roman" w:eastAsia="Times New Roman"/>
                <w:b w:val="0"/>
                <w:i w:val="0"/>
                <w:sz w:val="22"/>
              </w:rPr>
              <w:t>2. Lyase of S-sulfocysteine and sulfite</w:t>
            </w:r>
          </w:p>
        </w:tc>
        <w:tc>
          <w:tcPr>
            <w:tcW w:type="dxa" w:w="2340"/>
          </w:tcPr>
          <w:p>
            <w:r/>
            <w:r>
              <w:rPr>
                <w:rFonts w:ascii="Times New Roman" w:hAnsi="Times New Roman" w:cs="Times New Roman" w:eastAsia="Times New Roman"/>
                <w:b w:val="0"/>
                <w:i w:val="0"/>
                <w:sz w:val="22"/>
              </w:rPr>
              <w:t>NrdH, Grx1</w:t>
            </w:r>
          </w:p>
        </w:tc>
        <w:tc>
          <w:tcPr>
            <w:tcW w:type="dxa" w:w="2340"/>
          </w:tcPr>
          <w:p>
            <w:r/>
            <w:r>
              <w:rPr>
                <w:rFonts w:ascii="Times New Roman" w:hAnsi="Times New Roman" w:cs="Times New Roman" w:eastAsia="Times New Roman"/>
                <w:b w:val="0"/>
                <w:i w:val="0"/>
                <w:sz w:val="22"/>
              </w:rPr>
              <w:t>1 NADPH</w:t>
            </w:r>
          </w:p>
        </w:tc>
        <w:tc>
          <w:tcPr>
            <w:tcW w:type="dxa" w:w="2340"/>
          </w:tcPr>
          <w:p>
            <w:r/>
            <w:r>
              <w:rPr>
                <w:rFonts w:ascii="Times New Roman" w:hAnsi="Times New Roman" w:cs="Times New Roman" w:eastAsia="Times New Roman"/>
                <w:b w:val="0"/>
                <w:i w:val="0"/>
                <w:sz w:val="22"/>
              </w:rPr>
            </w:r>
          </w:p>
        </w:tc>
      </w:tr>
      <w:tr>
        <w:tc>
          <w:tcPr>
            <w:tcW w:type="dxa" w:w="2340"/>
          </w:tcPr>
          <w:p>
            <w:r/>
            <w:r>
              <w:rPr>
                <w:rFonts w:ascii="Times New Roman" w:hAnsi="Times New Roman" w:cs="Times New Roman" w:eastAsia="Times New Roman"/>
                <w:b w:val="0"/>
                <w:i w:val="0"/>
                <w:sz w:val="22"/>
              </w:rPr>
              <w:t>Thiosulfate (postulated)</w:t>
            </w:r>
          </w:p>
        </w:tc>
        <w:tc>
          <w:tcPr>
            <w:tcW w:type="dxa" w:w="2340"/>
          </w:tcPr>
          <w:p>
            <w:r/>
            <w:r>
              <w:rPr>
                <w:rFonts w:ascii="Times New Roman" w:hAnsi="Times New Roman" w:cs="Times New Roman" w:eastAsia="Times New Roman"/>
                <w:b w:val="0"/>
                <w:i w:val="0"/>
                <w:sz w:val="22"/>
              </w:rPr>
              <w:t>1. Conversion of thiosulfate to sulfite (SO 3 −2 )</w:t>
            </w:r>
          </w:p>
        </w:tc>
        <w:tc>
          <w:tcPr>
            <w:tcW w:type="dxa" w:w="2340"/>
          </w:tcPr>
          <w:p>
            <w:r/>
            <w:r>
              <w:rPr>
                <w:rFonts w:ascii="Times New Roman" w:hAnsi="Times New Roman" w:cs="Times New Roman" w:eastAsia="Times New Roman"/>
                <w:b w:val="0"/>
                <w:i w:val="0"/>
                <w:sz w:val="22"/>
              </w:rPr>
              <w:t>GlpE</w:t>
            </w:r>
          </w:p>
        </w:tc>
        <w:tc>
          <w:tcPr>
            <w:tcW w:type="dxa" w:w="2340"/>
          </w:tcPr>
          <w:p>
            <w:r/>
            <w:r>
              <w:rPr>
                <w:rFonts w:ascii="Times New Roman" w:hAnsi="Times New Roman" w:cs="Times New Roman" w:eastAsia="Times New Roman"/>
                <w:b w:val="0"/>
                <w:i w:val="0"/>
                <w:sz w:val="22"/>
              </w:rPr>
              <w:t>-</w:t>
            </w:r>
          </w:p>
        </w:tc>
      </w:tr>
      <w:tr>
        <w:tc>
          <w:tcPr>
            <w:tcW w:type="dxa" w:w="2340"/>
          </w:tcPr>
          <w:p>
            <w:r/>
            <w:r>
              <w:rPr>
                <w:rFonts w:ascii="Times New Roman" w:hAnsi="Times New Roman" w:cs="Times New Roman" w:eastAsia="Times New Roman"/>
                <w:b w:val="0"/>
                <w:i w:val="0"/>
                <w:sz w:val="22"/>
              </w:rPr>
              <w:t>2. Reduction of sulfite to sulfide (S −2 )</w:t>
            </w:r>
          </w:p>
        </w:tc>
        <w:tc>
          <w:tcPr>
            <w:tcW w:type="dxa" w:w="2340"/>
          </w:tcPr>
          <w:p>
            <w:r/>
            <w:r>
              <w:rPr>
                <w:rFonts w:ascii="Times New Roman" w:hAnsi="Times New Roman" w:cs="Times New Roman" w:eastAsia="Times New Roman"/>
                <w:b w:val="0"/>
                <w:i w:val="0"/>
                <w:sz w:val="22"/>
              </w:rPr>
              <w:t>CysIJ, CysG</w:t>
            </w:r>
          </w:p>
        </w:tc>
        <w:tc>
          <w:tcPr>
            <w:tcW w:type="dxa" w:w="2340"/>
          </w:tcPr>
          <w:p>
            <w:r/>
            <w:r>
              <w:rPr>
                <w:rFonts w:ascii="Times New Roman" w:hAnsi="Times New Roman" w:cs="Times New Roman" w:eastAsia="Times New Roman"/>
                <w:b w:val="0"/>
                <w:i w:val="0"/>
                <w:sz w:val="22"/>
              </w:rPr>
              <w:t>3 NADPH</w:t>
            </w:r>
          </w:p>
        </w:tc>
        <w:tc>
          <w:tcPr>
            <w:tcW w:type="dxa" w:w="2340"/>
          </w:tcPr>
          <w:p>
            <w:r/>
            <w:r>
              <w:rPr>
                <w:rFonts w:ascii="Times New Roman" w:hAnsi="Times New Roman" w:cs="Times New Roman" w:eastAsia="Times New Roman"/>
                <w:b w:val="0"/>
                <w:i w:val="0"/>
                <w:sz w:val="22"/>
              </w:rPr>
            </w:r>
          </w:p>
        </w:tc>
      </w:tr>
      <w:tr>
        <w:tc>
          <w:tcPr>
            <w:tcW w:type="dxa" w:w="2340"/>
          </w:tcPr>
          <w:p>
            <w:r/>
            <w:r>
              <w:rPr>
                <w:rFonts w:ascii="Times New Roman" w:hAnsi="Times New Roman" w:cs="Times New Roman" w:eastAsia="Times New Roman"/>
                <w:b w:val="0"/>
                <w:i w:val="0"/>
                <w:sz w:val="22"/>
              </w:rPr>
              <w:t>3. Reaction with O-acetylserine to L-cysteine</w:t>
            </w:r>
          </w:p>
        </w:tc>
        <w:tc>
          <w:tcPr>
            <w:tcW w:type="dxa" w:w="2340"/>
          </w:tcPr>
          <w:p>
            <w:r/>
            <w:r>
              <w:rPr>
                <w:rFonts w:ascii="Times New Roman" w:hAnsi="Times New Roman" w:cs="Times New Roman" w:eastAsia="Times New Roman"/>
                <w:b w:val="0"/>
                <w:i w:val="0"/>
                <w:sz w:val="22"/>
              </w:rPr>
              <w:t>CysK</w:t>
            </w:r>
          </w:p>
        </w:tc>
        <w:tc>
          <w:tcPr>
            <w:tcW w:type="dxa" w:w="2340"/>
          </w:tcPr>
          <w:p>
            <w:r/>
            <w:r>
              <w:rPr>
                <w:rFonts w:ascii="Times New Roman" w:hAnsi="Times New Roman" w:cs="Times New Roman" w:eastAsia="Times New Roman"/>
                <w:b w:val="0"/>
                <w:i w:val="0"/>
                <w:sz w:val="22"/>
              </w:rPr>
              <w:t>-</w:t>
            </w:r>
          </w:p>
        </w:tc>
        <w:tc>
          <w:tcPr>
            <w:tcW w:type="dxa" w:w="2340"/>
          </w:tcPr>
          <w:p>
            <w:r/>
            <w:r>
              <w:rPr>
                <w:rFonts w:ascii="Times New Roman" w:hAnsi="Times New Roman" w:cs="Times New Roman" w:eastAsia="Times New Roman"/>
                <w:b w:val="0"/>
                <w:i w:val="0"/>
                <w:sz w:val="22"/>
              </w:rPr>
            </w:r>
          </w:p>
        </w:tc>
      </w:tr>
      <w:tr>
        <w:tc>
          <w:tcPr>
            <w:tcW w:type="dxa" w:w="2340"/>
          </w:tcPr>
          <w:p>
            <w:r/>
            <w:r>
              <w:rPr>
                <w:rFonts w:ascii="Times New Roman" w:hAnsi="Times New Roman" w:cs="Times New Roman" w:eastAsia="Times New Roman"/>
                <w:b w:val="0"/>
                <w:i w:val="0"/>
                <w:sz w:val="22"/>
              </w:rPr>
              <w:t>Sulfate</w:t>
            </w:r>
          </w:p>
        </w:tc>
        <w:tc>
          <w:tcPr>
            <w:tcW w:type="dxa" w:w="2340"/>
          </w:tcPr>
          <w:p>
            <w:r/>
            <w:r>
              <w:rPr>
                <w:rFonts w:ascii="Times New Roman" w:hAnsi="Times New Roman" w:cs="Times New Roman" w:eastAsia="Times New Roman"/>
                <w:b w:val="0"/>
                <w:i w:val="0"/>
                <w:sz w:val="22"/>
              </w:rPr>
              <w:t>1. Activation to adenosine 5′-phosphosulfate</w:t>
            </w:r>
          </w:p>
        </w:tc>
        <w:tc>
          <w:tcPr>
            <w:tcW w:type="dxa" w:w="2340"/>
          </w:tcPr>
          <w:p>
            <w:r/>
            <w:r>
              <w:rPr>
                <w:rFonts w:ascii="Times New Roman" w:hAnsi="Times New Roman" w:cs="Times New Roman" w:eastAsia="Times New Roman"/>
                <w:b w:val="0"/>
                <w:i w:val="0"/>
                <w:sz w:val="22"/>
              </w:rPr>
              <w:t>CysDN</w:t>
            </w:r>
          </w:p>
        </w:tc>
        <w:tc>
          <w:tcPr>
            <w:tcW w:type="dxa" w:w="2340"/>
          </w:tcPr>
          <w:p>
            <w:r/>
            <w:r>
              <w:rPr>
                <w:rFonts w:ascii="Times New Roman" w:hAnsi="Times New Roman" w:cs="Times New Roman" w:eastAsia="Times New Roman"/>
                <w:b w:val="0"/>
                <w:i w:val="0"/>
                <w:sz w:val="22"/>
              </w:rPr>
              <w:t>1 ATP</w:t>
            </w:r>
          </w:p>
        </w:tc>
      </w:tr>
      <w:tr>
        <w:tc>
          <w:tcPr>
            <w:tcW w:type="dxa" w:w="2340"/>
          </w:tcPr>
          <w:p>
            <w:r/>
            <w:r>
              <w:rPr>
                <w:rFonts w:ascii="Times New Roman" w:hAnsi="Times New Roman" w:cs="Times New Roman" w:eastAsia="Times New Roman"/>
                <w:b w:val="0"/>
                <w:i w:val="0"/>
                <w:sz w:val="22"/>
              </w:rPr>
              <w:t>2. Phosphorylation to 3′-phosphoadenosine 5′-phosphosulfate</w:t>
            </w:r>
          </w:p>
        </w:tc>
        <w:tc>
          <w:tcPr>
            <w:tcW w:type="dxa" w:w="2340"/>
          </w:tcPr>
          <w:p>
            <w:r/>
            <w:r>
              <w:rPr>
                <w:rFonts w:ascii="Times New Roman" w:hAnsi="Times New Roman" w:cs="Times New Roman" w:eastAsia="Times New Roman"/>
                <w:b w:val="0"/>
                <w:i w:val="0"/>
                <w:sz w:val="22"/>
              </w:rPr>
              <w:t>CysC</w:t>
            </w:r>
          </w:p>
        </w:tc>
        <w:tc>
          <w:tcPr>
            <w:tcW w:type="dxa" w:w="2340"/>
          </w:tcPr>
          <w:p>
            <w:r/>
            <w:r>
              <w:rPr>
                <w:rFonts w:ascii="Times New Roman" w:hAnsi="Times New Roman" w:cs="Times New Roman" w:eastAsia="Times New Roman"/>
                <w:b w:val="0"/>
                <w:i w:val="0"/>
                <w:sz w:val="22"/>
              </w:rPr>
              <w:t>1 ATP</w:t>
            </w:r>
          </w:p>
        </w:tc>
        <w:tc>
          <w:tcPr>
            <w:tcW w:type="dxa" w:w="2340"/>
          </w:tcPr>
          <w:p>
            <w:r/>
            <w:r>
              <w:rPr>
                <w:rFonts w:ascii="Times New Roman" w:hAnsi="Times New Roman" w:cs="Times New Roman" w:eastAsia="Times New Roman"/>
                <w:b w:val="0"/>
                <w:i w:val="0"/>
                <w:sz w:val="22"/>
              </w:rPr>
            </w:r>
          </w:p>
        </w:tc>
      </w:tr>
      <w:tr>
        <w:tc>
          <w:tcPr>
            <w:tcW w:type="dxa" w:w="2340"/>
          </w:tcPr>
          <w:p>
            <w:r/>
            <w:r>
              <w:rPr>
                <w:rFonts w:ascii="Times New Roman" w:hAnsi="Times New Roman" w:cs="Times New Roman" w:eastAsia="Times New Roman"/>
                <w:b w:val="0"/>
                <w:i w:val="0"/>
                <w:sz w:val="22"/>
              </w:rPr>
              <w:t>3. Conversion to sulfite</w:t>
            </w:r>
          </w:p>
        </w:tc>
        <w:tc>
          <w:tcPr>
            <w:tcW w:type="dxa" w:w="2340"/>
          </w:tcPr>
          <w:p>
            <w:r/>
            <w:r>
              <w:rPr>
                <w:rFonts w:ascii="Times New Roman" w:hAnsi="Times New Roman" w:cs="Times New Roman" w:eastAsia="Times New Roman"/>
                <w:b w:val="0"/>
                <w:i w:val="0"/>
                <w:sz w:val="22"/>
              </w:rPr>
              <w:t>CysH</w:t>
            </w:r>
          </w:p>
        </w:tc>
        <w:tc>
          <w:tcPr>
            <w:tcW w:type="dxa" w:w="2340"/>
          </w:tcPr>
          <w:p>
            <w:r/>
            <w:r>
              <w:rPr>
                <w:rFonts w:ascii="Times New Roman" w:hAnsi="Times New Roman" w:cs="Times New Roman" w:eastAsia="Times New Roman"/>
                <w:b w:val="0"/>
                <w:i w:val="0"/>
                <w:sz w:val="22"/>
              </w:rPr>
              <w:t>1 NADPH</w:t>
            </w:r>
          </w:p>
        </w:tc>
        <w:tc>
          <w:tcPr>
            <w:tcW w:type="dxa" w:w="2340"/>
          </w:tcPr>
          <w:p>
            <w:r/>
            <w:r>
              <w:rPr>
                <w:rFonts w:ascii="Times New Roman" w:hAnsi="Times New Roman" w:cs="Times New Roman" w:eastAsia="Times New Roman"/>
                <w:b w:val="0"/>
                <w:i w:val="0"/>
                <w:sz w:val="22"/>
              </w:rPr>
            </w:r>
          </w:p>
        </w:tc>
      </w:tr>
      <w:tr>
        <w:tc>
          <w:tcPr>
            <w:tcW w:type="dxa" w:w="2340"/>
          </w:tcPr>
          <w:p>
            <w:r/>
            <w:r>
              <w:rPr>
                <w:rFonts w:ascii="Times New Roman" w:hAnsi="Times New Roman" w:cs="Times New Roman" w:eastAsia="Times New Roman"/>
                <w:b w:val="0"/>
                <w:i w:val="0"/>
                <w:sz w:val="22"/>
              </w:rPr>
              <w:t>4. Reduction of sulfite to sulfide</w:t>
            </w:r>
          </w:p>
        </w:tc>
        <w:tc>
          <w:tcPr>
            <w:tcW w:type="dxa" w:w="2340"/>
          </w:tcPr>
          <w:p>
            <w:r/>
            <w:r>
              <w:rPr>
                <w:rFonts w:ascii="Times New Roman" w:hAnsi="Times New Roman" w:cs="Times New Roman" w:eastAsia="Times New Roman"/>
                <w:b w:val="0"/>
                <w:i w:val="0"/>
                <w:sz w:val="22"/>
              </w:rPr>
              <w:t>CysIJ, CysG</w:t>
            </w:r>
          </w:p>
        </w:tc>
        <w:tc>
          <w:tcPr>
            <w:tcW w:type="dxa" w:w="2340"/>
          </w:tcPr>
          <w:p>
            <w:r/>
            <w:r>
              <w:rPr>
                <w:rFonts w:ascii="Times New Roman" w:hAnsi="Times New Roman" w:cs="Times New Roman" w:eastAsia="Times New Roman"/>
                <w:b w:val="0"/>
                <w:i w:val="0"/>
                <w:sz w:val="22"/>
              </w:rPr>
              <w:t>3 NADPH</w:t>
            </w:r>
          </w:p>
        </w:tc>
        <w:tc>
          <w:tcPr>
            <w:tcW w:type="dxa" w:w="2340"/>
          </w:tcPr>
          <w:p>
            <w:r/>
            <w:r>
              <w:rPr>
                <w:rFonts w:ascii="Times New Roman" w:hAnsi="Times New Roman" w:cs="Times New Roman" w:eastAsia="Times New Roman"/>
                <w:b w:val="0"/>
                <w:i w:val="0"/>
                <w:sz w:val="22"/>
              </w:rPr>
            </w:r>
          </w:p>
        </w:tc>
      </w:tr>
      <w:tr>
        <w:tc>
          <w:tcPr>
            <w:tcW w:type="dxa" w:w="2340"/>
          </w:tcPr>
          <w:p>
            <w:r/>
            <w:r>
              <w:rPr>
                <w:rFonts w:ascii="Times New Roman" w:hAnsi="Times New Roman" w:cs="Times New Roman" w:eastAsia="Times New Roman"/>
                <w:b w:val="0"/>
                <w:i w:val="0"/>
                <w:sz w:val="22"/>
              </w:rPr>
              <w:t>5. Reaction with O-acetylserine to L-cysteine</w:t>
            </w:r>
          </w:p>
        </w:tc>
        <w:tc>
          <w:tcPr>
            <w:tcW w:type="dxa" w:w="2340"/>
          </w:tcPr>
          <w:p>
            <w:r/>
            <w:r>
              <w:rPr>
                <w:rFonts w:ascii="Times New Roman" w:hAnsi="Times New Roman" w:cs="Times New Roman" w:eastAsia="Times New Roman"/>
                <w:b w:val="0"/>
                <w:i w:val="0"/>
                <w:sz w:val="22"/>
              </w:rPr>
              <w:t>CysK</w:t>
            </w:r>
          </w:p>
        </w:tc>
        <w:tc>
          <w:tcPr>
            <w:tcW w:type="dxa" w:w="2340"/>
          </w:tcPr>
          <w:p>
            <w:r/>
            <w:r>
              <w:rPr>
                <w:rFonts w:ascii="Times New Roman" w:hAnsi="Times New Roman" w:cs="Times New Roman" w:eastAsia="Times New Roman"/>
                <w:b w:val="0"/>
                <w:i w:val="0"/>
                <w:sz w:val="22"/>
              </w:rPr>
              <w:t>-</w:t>
            </w:r>
          </w:p>
        </w:tc>
        <w:tc>
          <w:tcPr>
            <w:tcW w:type="dxa" w:w="2340"/>
          </w:tcPr>
          <w:p>
            <w:r/>
            <w:r>
              <w:rPr>
                <w:rFonts w:ascii="Times New Roman" w:hAnsi="Times New Roman" w:cs="Times New Roman" w:eastAsia="Times New Roman"/>
                <w:b w:val="0"/>
                <w:i w:val="0"/>
                <w:sz w:val="22"/>
              </w:rPr>
            </w:r>
          </w:p>
        </w:tc>
      </w:tr>
    </w:tbl>
    <w:p>
      <w:pPr>
        <w:spacing w:after="80"/>
        <w:jc w:val="both"/>
      </w:pPr>
    </w:p>
    <w:p>
      <w:pPr>
        <w:keepNext/>
        <w:spacing w:before="280" w:after="80"/>
        <w:outlineLvl w:val="1"/>
      </w:pPr>
      <w:r>
        <w:rPr>
          <w:rFonts w:ascii="Times New Roman" w:hAnsi="Times New Roman" w:cs="Times New Roman" w:eastAsia="Times New Roman"/>
          <w:b/>
          <w:i w:val="0"/>
          <w:color w:val="335588"/>
          <w:sz w:val="28"/>
        </w:rPr>
        <w:t>7.4  Figure captions — L-cysteine production pathways (PMC10821248)</w:t>
      </w:r>
    </w:p>
    <w:p>
      <w:pPr>
        <w:spacing w:after="80"/>
        <w:jc w:val="both"/>
      </w:pPr>
      <w:r>
        <w:rPr>
          <w:rFonts w:ascii="Times New Roman" w:hAnsi="Times New Roman" w:cs="Times New Roman" w:eastAsia="Times New Roman"/>
          <w:b w:val="0"/>
          <w:i/>
          <w:sz w:val="24"/>
        </w:rPr>
        <w:t>Figure 1 (verbatim caption): “Metabolic pathways for L-cysteine biosynthesis in microorganisms. In the L-serine O-acetyltransferase-O-acetyl-L-serine (SAT-OASS) pathway, there are two branches for the transformation of O-acetyl-L-serine (OAS) into L-cysteine, depending on the sulfur source available to the organism. These biotransformations are catalyzed by two different OASSs: OASS-A in the case of sulfate as the S-source and</w:t>
        <w:br/>
        <w:t xml:space="preserve">   graphic: `molecules-29-00486-g001.jpg`”</w:t>
      </w:r>
    </w:p>
    <w:p>
      <w:pPr>
        <w:spacing w:after="80"/>
        <w:jc w:val="both"/>
      </w:pPr>
      <w:r>
        <w:rPr>
          <w:rFonts w:ascii="Times New Roman" w:hAnsi="Times New Roman" w:cs="Times New Roman" w:eastAsia="Times New Roman"/>
          <w:b w:val="0"/>
          <w:i/>
          <w:sz w:val="24"/>
        </w:rPr>
        <w:t>Figure 2 (verbatim caption): “Transformation of DL-ATC to L-cysteine. In this enzymatic three-step process, DL-ATC is isomerized to L-ATC by ATC racemase. Then, L-ATC is hydrolyzed to S-carbamyl-L-cysteine (SCC) by L-ATC hydrolase. Finally, SCC is cleaved into L-cysteine, CO 2 , and ammonia by S-cabamyl-L-cysteine amidohydrolase.</w:t>
        <w:br/>
        <w:t xml:space="preserve">   graphic: `molecules-29-00486-g002.jpg`”</w:t>
      </w:r>
    </w:p>
    <w:p>
      <w:pPr>
        <w:spacing w:after="80"/>
        <w:jc w:val="both"/>
      </w:pPr>
      <w:r>
        <w:rPr>
          <w:rFonts w:ascii="Times New Roman" w:hAnsi="Times New Roman" w:cs="Times New Roman" w:eastAsia="Times New Roman"/>
          <w:b w:val="0"/>
          <w:i/>
          <w:sz w:val="24"/>
        </w:rPr>
        <w:t>Figure 3 (verbatim caption): “( a ) Substrate feeding profiles followed by [ 59 ] in the fed-batch L-cysteine production process. The thiosulfate feeding started two hours after the process was inoculated in order to avoid unnecessary oxidative stress on the cells in the initial lag phase. The glucose feeding started after five hours, once the initially added glucose was completely consumed. ( b ) L-cysteine concentration prof</w:t>
        <w:br/>
        <w:t xml:space="preserve">   graphic: `molecules-29-00486-g003.jpg`”</w:t>
      </w:r>
    </w:p>
    <w:p>
      <w:pPr>
        <w:spacing w:after="80"/>
        <w:jc w:val="both"/>
      </w:pPr>
      <w:r>
        <w:rPr>
          <w:rFonts w:ascii="Times New Roman" w:hAnsi="Times New Roman" w:cs="Times New Roman" w:eastAsia="Times New Roman"/>
          <w:b w:val="0"/>
          <w:i/>
          <w:sz w:val="24"/>
        </w:rPr>
        <w:t>Figure 4 (verbatim caption): “Flow diagram representation of an L-cysteine purification process according to Boehm [ 62 ]. This process relies on the L-cysteine remaining in an unoxidized state. Hence, the oxidants in the fermentation broth are removed during the anion-exchange chromatography, and the pH of the L-cysteine-rich solution must be closely monitored and adjusted throughout the purification line.</w:t>
        <w:br/>
        <w:t xml:space="preserve">   graphic: `molecules-29-00486-g004.jpg`”</w:t>
      </w:r>
    </w:p>
    <w:p>
      <w:pPr>
        <w:keepNext/>
        <w:spacing w:before="280" w:after="80"/>
        <w:outlineLvl w:val="1"/>
      </w:pPr>
      <w:r>
        <w:rPr>
          <w:rFonts w:ascii="Times New Roman" w:hAnsi="Times New Roman" w:cs="Times New Roman" w:eastAsia="Times New Roman"/>
          <w:b/>
          <w:i w:val="0"/>
          <w:color w:val="335588"/>
          <w:sz w:val="28"/>
        </w:rPr>
        <w:t>7.5  Embedded figure bitmaps — L-cysteine production (PMC10821248, extracted from Europe PMC PDF)</w:t>
      </w:r>
    </w:p>
    <w:p>
      <w:pPr>
        <w:spacing w:after="80"/>
        <w:jc w:val="both"/>
      </w:pPr>
      <w:r>
        <w:rPr>
          <w:rFonts w:ascii="Times New Roman" w:hAnsi="Times New Roman" w:cs="Times New Roman" w:eastAsia="Times New Roman"/>
          <w:b w:val="0"/>
          <w:i/>
          <w:sz w:val="22"/>
        </w:rPr>
        <w:t>The following figure bitmaps were extracted locally via PyMuPDF from the Europe PMC PDF rendering of PMC10821248 and paired 1:1 with the JATS-derived figure captions above. Each image is a verbatim reproduction of the original article figure — no post-processing, colour-correction, cropping, or annotation has been applied by this pipeline.</w:t>
      </w:r>
    </w:p>
    <w:p>
      <w:pPr>
        <w:jc w:val="center"/>
      </w:pPr>
      <w:r>
        <w:drawing>
          <wp:inline xmlns:a="http://schemas.openxmlformats.org/drawingml/2006/main" xmlns:pic="http://schemas.openxmlformats.org/drawingml/2006/picture">
            <wp:extent cx="5029200" cy="3693319"/>
            <wp:docPr id="15" name="Picture 15"/>
            <wp:cNvGraphicFramePr>
              <a:graphicFrameLocks noChangeAspect="1"/>
            </wp:cNvGraphicFramePr>
            <a:graphic>
              <a:graphicData uri="http://schemas.openxmlformats.org/drawingml/2006/picture">
                <pic:pic>
                  <pic:nvPicPr>
                    <pic:cNvPr id="0" name="p02_i1.jpg"/>
                    <pic:cNvPicPr/>
                  </pic:nvPicPr>
                  <pic:blipFill>
                    <a:blip r:embed="rId9"/>
                    <a:stretch>
                      <a:fillRect/>
                    </a:stretch>
                  </pic:blipFill>
                  <pic:spPr>
                    <a:xfrm>
                      <a:off x="0" y="0"/>
                      <a:ext cx="5029200" cy="3693319"/>
                    </a:xfrm>
                    <a:prstGeom prst="rect"/>
                  </pic:spPr>
                </pic:pic>
              </a:graphicData>
            </a:graphic>
          </wp:inline>
        </w:drawing>
      </w:r>
    </w:p>
    <w:p>
      <w:pPr>
        <w:spacing w:after="160"/>
        <w:jc w:val="center"/>
      </w:pPr>
      <w:r>
        <w:rPr>
          <w:rFonts w:ascii="Times New Roman" w:hAnsi="Times New Roman" w:cs="Times New Roman" w:eastAsia="Times New Roman"/>
          <w:b w:val="0"/>
          <w:i/>
          <w:sz w:val="20"/>
        </w:rPr>
        <w:t>Figure 1 (from PMC10821248): “Metabolic pathways for L-cysteine biosynthesis in microorganisms. In the L-serine O-acetyltransferase-O-acetyl-L-serine (SAT-OASS) pathway, there are two branches for the transformation of O-acetyl-L-serine (OAS) into L-cysteine, depending on the sulfur source available to the organism. These biotransformations are catalyzed by two different OASSs: OASS-A in the case of sulfate”</w:t>
      </w:r>
    </w:p>
    <w:p>
      <w:pPr>
        <w:jc w:val="center"/>
      </w:pPr>
      <w:r>
        <w:drawing>
          <wp:inline xmlns:a="http://schemas.openxmlformats.org/drawingml/2006/main" xmlns:pic="http://schemas.openxmlformats.org/drawingml/2006/picture">
            <wp:extent cx="5029200" cy="2124837"/>
            <wp:docPr id="16" name="Picture 16"/>
            <wp:cNvGraphicFramePr>
              <a:graphicFrameLocks noChangeAspect="1"/>
            </wp:cNvGraphicFramePr>
            <a:graphic>
              <a:graphicData uri="http://schemas.openxmlformats.org/drawingml/2006/picture">
                <pic:pic>
                  <pic:nvPicPr>
                    <pic:cNvPr id="0" name="p12_i1.jpg"/>
                    <pic:cNvPicPr/>
                  </pic:nvPicPr>
                  <pic:blipFill>
                    <a:blip r:embed="rId10"/>
                    <a:stretch>
                      <a:fillRect/>
                    </a:stretch>
                  </pic:blipFill>
                  <pic:spPr>
                    <a:xfrm>
                      <a:off x="0" y="0"/>
                      <a:ext cx="5029200" cy="2124837"/>
                    </a:xfrm>
                    <a:prstGeom prst="rect"/>
                  </pic:spPr>
                </pic:pic>
              </a:graphicData>
            </a:graphic>
          </wp:inline>
        </w:drawing>
      </w:r>
    </w:p>
    <w:p>
      <w:pPr>
        <w:spacing w:after="160"/>
        <w:jc w:val="center"/>
      </w:pPr>
      <w:r>
        <w:rPr>
          <w:rFonts w:ascii="Times New Roman" w:hAnsi="Times New Roman" w:cs="Times New Roman" w:eastAsia="Times New Roman"/>
          <w:b w:val="0"/>
          <w:i/>
          <w:sz w:val="20"/>
        </w:rPr>
        <w:t>Figure 2 (from PMC10821248): “Transformation of DL-ATC to L-cysteine. In this enzymatic three-step process, DL-ATC is isomerized to L-ATC by ATC racemase. Then, L-ATC is hydrolyzed to S-carbamyl-L-cysteine (SCC) by L-ATC hydrolase. Finally, SCC is cleaved into L-cysteine, CO 2 , and ammonia by S-cabamyl-L-cysteine amidohydrolase.</w:t>
        <w:br/>
        <w:t xml:space="preserve">   graphic: `molecules-29-00486-g002.jpg`”</w:t>
      </w:r>
    </w:p>
    <w:p>
      <w:pPr>
        <w:jc w:val="center"/>
      </w:pPr>
      <w:r>
        <w:drawing>
          <wp:inline xmlns:a="http://schemas.openxmlformats.org/drawingml/2006/main" xmlns:pic="http://schemas.openxmlformats.org/drawingml/2006/picture">
            <wp:extent cx="5029200" cy="1200731"/>
            <wp:docPr id="17" name="Picture 17"/>
            <wp:cNvGraphicFramePr>
              <a:graphicFrameLocks noChangeAspect="1"/>
            </wp:cNvGraphicFramePr>
            <a:graphic>
              <a:graphicData uri="http://schemas.openxmlformats.org/drawingml/2006/picture">
                <pic:pic>
                  <pic:nvPicPr>
                    <pic:cNvPr id="0" name="p03_i1.jpg"/>
                    <pic:cNvPicPr/>
                  </pic:nvPicPr>
                  <pic:blipFill>
                    <a:blip r:embed="rId11"/>
                    <a:stretch>
                      <a:fillRect/>
                    </a:stretch>
                  </pic:blipFill>
                  <pic:spPr>
                    <a:xfrm>
                      <a:off x="0" y="0"/>
                      <a:ext cx="5029200" cy="1200731"/>
                    </a:xfrm>
                    <a:prstGeom prst="rect"/>
                  </pic:spPr>
                </pic:pic>
              </a:graphicData>
            </a:graphic>
          </wp:inline>
        </w:drawing>
      </w:r>
    </w:p>
    <w:p>
      <w:pPr>
        <w:spacing w:after="160"/>
        <w:jc w:val="center"/>
      </w:pPr>
      <w:r>
        <w:rPr>
          <w:rFonts w:ascii="Times New Roman" w:hAnsi="Times New Roman" w:cs="Times New Roman" w:eastAsia="Times New Roman"/>
          <w:b w:val="0"/>
          <w:i/>
          <w:sz w:val="20"/>
        </w:rPr>
        <w:t>Figure 3 (from PMC10821248): “( a ) Substrate feeding profiles followed by [ 59 ] in the fed-batch L-cysteine production process. The thiosulfate feeding started two hours after the process was inoculated in order to avoid unnecessary oxidative stress on the cells in the initial lag phase. The glucose feeding started after five hours, once the initially added glucose was completely consumed. ( b ) L-cystein”</w:t>
      </w:r>
    </w:p>
    <w:p>
      <w:pPr>
        <w:keepNext/>
        <w:pageBreakBefore/>
        <w:spacing w:before="240" w:after="120"/>
        <w:jc w:val="center"/>
      </w:pPr>
      <w:r>
        <w:rPr>
          <w:rFonts w:ascii="Times New Roman" w:hAnsi="Times New Roman" w:cs="Times New Roman" w:eastAsia="Times New Roman"/>
          <w:b/>
          <w:i w:val="0"/>
          <w:color w:val="335588"/>
          <w:sz w:val="28"/>
        </w:rPr>
        <w:t>Chapter 8</w:t>
      </w:r>
    </w:p>
    <w:p>
      <w:pPr>
        <w:keepNext/>
        <w:spacing w:before="0" w:after="120"/>
        <w:jc w:val="center"/>
        <w:outlineLvl w:val="0"/>
      </w:pPr>
      <w:r>
        <w:rPr>
          <w:rFonts w:ascii="Times New Roman" w:hAnsi="Times New Roman" w:cs="Times New Roman" w:eastAsia="Times New Roman"/>
          <w:b/>
          <w:i w:val="0"/>
          <w:color w:val="1F3D7A"/>
          <w:sz w:val="44"/>
        </w:rPr>
        <w:t>Health Effects</w:t>
      </w:r>
    </w:p>
    <w:p>
      <w:pPr>
        <w:spacing w:after="240"/>
        <w:jc w:val="center"/>
      </w:pPr>
      <w:r>
        <w:rPr>
          <w:rFonts w:ascii="Times New Roman" w:hAnsi="Times New Roman" w:cs="Times New Roman" w:eastAsia="Times New Roman"/>
          <w:b w:val="0"/>
          <w:i/>
          <w:color w:val="404040"/>
          <w:sz w:val="22"/>
        </w:rPr>
        <w:t>Therapeutic, disease-specific, toxicological, mechanistic, and redox-biology evidence</w:t>
      </w:r>
    </w:p>
    <w:p>
      <w:pPr>
        <w:keepNext/>
        <w:pageBreakBefore/>
        <w:spacing w:before="480" w:after="160"/>
        <w:outlineLvl w:val="0"/>
      </w:pPr>
      <w:r>
        <w:rPr>
          <w:rFonts w:ascii="Times New Roman" w:hAnsi="Times New Roman" w:cs="Times New Roman" w:eastAsia="Times New Roman"/>
          <w:b/>
          <w:i w:val="0"/>
          <w:color w:val="1F3D7A"/>
          <w:sz w:val="36"/>
        </w:rPr>
        <w:t>8.  Health Effects — Therapeutic Applications of L-Cysteine and Its Derivatives</w:t>
      </w:r>
    </w:p>
    <w:p>
      <w:pPr>
        <w:spacing w:after="80"/>
        <w:jc w:val="both"/>
      </w:pPr>
      <w:r>
        <w:rPr>
          <w:rFonts w:ascii="Times New Roman" w:hAnsi="Times New Roman" w:cs="Times New Roman" w:eastAsia="Times New Roman"/>
          <w:b w:val="0"/>
          <w:i w:val="0"/>
          <w:sz w:val="24"/>
        </w:rPr>
        <w:t>The majority of the open-access peer-reviewed literature on L-cysteine concerns its N-acetylated derivative N-acetyl-L-cysteine (NAC), which is the principal clinically used form. Below is the evidence organised by therapeutic area, with each claim attributed to a specific PMCID and the supporting verbatim abstract reproduced in Chapter 16.</w:t>
      </w:r>
    </w:p>
    <w:p>
      <w:pPr>
        <w:keepNext/>
        <w:spacing w:before="280" w:after="80"/>
        <w:outlineLvl w:val="1"/>
      </w:pPr>
      <w:r>
        <w:rPr>
          <w:rFonts w:ascii="Times New Roman" w:hAnsi="Times New Roman" w:cs="Times New Roman" w:eastAsia="Times New Roman"/>
          <w:b/>
          <w:i w:val="0"/>
          <w:color w:val="335588"/>
          <w:sz w:val="28"/>
        </w:rPr>
        <w:t>8.1  Acetaminophen (APAP) overdose — FDA-approved antidote</w:t>
      </w:r>
    </w:p>
    <w:p>
      <w:pPr>
        <w:spacing w:after="80"/>
        <w:jc w:val="both"/>
      </w:pPr>
      <w:r>
        <w:rPr>
          <w:rFonts w:ascii="Times New Roman" w:hAnsi="Times New Roman" w:cs="Times New Roman" w:eastAsia="Times New Roman"/>
          <w:b w:val="0"/>
          <w:i/>
          <w:sz w:val="22"/>
        </w:rPr>
        <w:t>Primary evidence: Clinically Relevant Therapeutic Approaches Against Acetaminophen Hepatotoxicity and Acute Liver Failure. Biochemical pharmacology (2024). PMCID: PMC11315809; PMID: 38346541; DOI: 10.1016/j.bcp.2024.116056.</w:t>
      </w:r>
    </w:p>
    <w:p>
      <w:pPr>
        <w:spacing w:after="80"/>
        <w:jc w:val="both"/>
      </w:pPr>
      <w:r>
        <w:rPr>
          <w:rFonts w:ascii="Times New Roman" w:hAnsi="Times New Roman" w:cs="Times New Roman" w:eastAsia="Times New Roman"/>
          <w:b w:val="0"/>
          <w:i w:val="0"/>
          <w:sz w:val="24"/>
        </w:rPr>
        <w:t>Pipeline-derived summary statement: N-acetyl-L-cysteine is the clinical antidote for APAP-induced hepatotoxicity and acute liver failure; the mechanism is glutathione repletion following APAP-induced hepatic GSH depletion.</w:t>
      </w:r>
    </w:p>
    <w:p>
      <w:pPr>
        <w:spacing w:after="80"/>
        <w:jc w:val="both"/>
      </w:pPr>
      <w:r>
        <w:rPr>
          <w:rFonts w:ascii="Times New Roman" w:hAnsi="Times New Roman" w:cs="Times New Roman" w:eastAsia="Times New Roman"/>
          <w:b/>
          <w:i w:val="0"/>
          <w:sz w:val="22"/>
        </w:rPr>
        <w:t>Verbatim abstract:</w:t>
      </w:r>
    </w:p>
    <w:p>
      <w:pPr>
        <w:spacing w:after="80"/>
        <w:jc w:val="both"/>
      </w:pPr>
      <w:r>
        <w:rPr>
          <w:rFonts w:ascii="Times New Roman" w:hAnsi="Times New Roman" w:cs="Times New Roman" w:eastAsia="Times New Roman"/>
          <w:b w:val="0"/>
          <w:i/>
          <w:sz w:val="24"/>
        </w:rPr>
        <w:t>“Liver injury and acute liver failure caused by an acetaminophen (APAP) overdose is a significant clinical problem in western countries. With the introduction of the mouse model of APAP hepatotoxicity in the 1970s, fundamental mechanisms of cell death were discovered. This included the recognition that part of the APAP dose is metabolized by cytochrome P450 generating a reactive metabolite that is detoxified by glutathione. After the partial depletion of glutathione, the reactive metabolite will covalently bind to sulfhydryl groups of proteins, which is the initiating event of the toxicity. This insight led to the introduction of N-acetyl-L-cysteine, a glutathione precursor, as antidote against APAP overdose in the clinic. Despite substantial progress in our understanding of the pathomechanisms over the last decades viable new antidotes only emerged recently. This review will discuss the background, mechanisms of action, and the clinical prospects of the existing FDA-approved antidote N-acetylcysteine, of several new drug candidates under clinical development [4-methylpyrazole (fomepizole), calmangafodipir] and examples of additional therapeutic targets (Nrf2 activators) and regeneration promoting agents (thrombopoietin mimetics, adenosine A2B receptor agonists, Wharton’s Jelly mesenchymal stem cells). Although there are clear limitations of certain therapeutic approaches, there is reason to be optimistic. The substantial progress in the understanding of the pathophysiology of APAP hepatotoxicity led to the consideration of several drugs for development as clinical antidotes against APAP overdose in recent years. Based on the currently available information, it is likely that this will result in additional drugs that could be used as adjunct treatment for N-acetylcysteine.”</w:t>
      </w:r>
    </w:p>
    <w:p>
      <w:pPr>
        <w:spacing w:before="120" w:after="80"/>
        <w:jc w:val="both"/>
      </w:pPr>
      <w:r>
        <w:rPr>
          <w:rFonts w:ascii="Times New Roman" w:hAnsi="Times New Roman" w:cs="Times New Roman" w:eastAsia="Times New Roman"/>
          <w:b/>
          <w:i w:val="0"/>
          <w:sz w:val="24"/>
        </w:rPr>
        <w:t>Verbatim body paragraphs from PMC11315809 matching this therapeutic theme:</w:t>
      </w:r>
    </w:p>
    <w:p>
      <w:pPr>
        <w:spacing w:after="120"/>
        <w:jc w:val="both"/>
      </w:pPr>
      <w:r>
        <w:rPr>
          <w:rFonts w:ascii="Times New Roman" w:hAnsi="Times New Roman" w:cs="Times New Roman" w:eastAsia="Times New Roman"/>
          <w:b w:val="0"/>
          <w:i w:val="0"/>
          <w:sz w:val="24"/>
        </w:rPr>
        <w:t>“With the introduction of the mouse model of APAP hepatotoxicity in the 1970s, fundamental mechanisms of cell death were discovered. This included the recognition that part of the APAP dose is metabolized by cytochrome P450 generating a reactive metabolite that is detoxified by glutathione. After the partial depletion of glutathione, the reactive metabolite will covalently bind to sulfhydryl groups of proteins, which is the initiating event of the toxicity. This insight led to the introduction of N-acetyl-L-cysteine, a glutathione precursor, as antidote against APAP overdose in the clinic. Despite substantial progress in our understanding of the pathomechanisms over the last decades viable new antidotes only emerged recently. This review will discuss the background, mechanisms of action, and the clinical prospects of the existing FDA-approved antidote N-acetylcysteine, of several new drug candidates under clinical development [4-methylpyrazole (fomepizole), calmangafodipir] and examples of additional therapeutic targets (Nrf2 activators) and regeneration promoting agents (thrombopoietin mimetics, adenosine A2B receptor agonists, Wharton\u2019s Jelly mesenchymal stem cells).”  [PMC11315809 ¶1]</w:t>
      </w:r>
    </w:p>
    <w:p>
      <w:pPr>
        <w:spacing w:after="120"/>
        <w:jc w:val="both"/>
      </w:pPr>
      <w:r>
        <w:rPr>
          <w:rFonts w:ascii="Times New Roman" w:hAnsi="Times New Roman" w:cs="Times New Roman" w:eastAsia="Times New Roman"/>
          <w:b w:val="0"/>
          <w:i w:val="0"/>
          <w:sz w:val="24"/>
        </w:rPr>
        <w:t>“Although there are clear limitations of certain therapeutic approaches, there is reason to be optimistic. The substantial progress in the understanding of the pathophysiology of APAP hepatotoxicity led to the consideration of several drugs for development as clinical antidotes against APAP overdose in recent years. Based on the currently available information, it is likely that this will result in additional drugs that could be used as adjunct treatment for N-acetylcysteine.", "body_text": "1. Introduction Acetaminophen (APAP) is a worldwide used analgesic and antipyretic drug, which is safe at therapeutic doses. However, due to its wide availability and low cost, intentional or accidental overdoses are relatively common, especially in western countries. For example, there are roughly 80,000 APAP overdose cases annually presenting to emergency departments with 25,000 patients requiring hospitalization in the United States [ 1 ], more than 80,000 cases in the United Kingdom [ 2 ] and about 11,000 cases in Australia [ 3 ].”  [PMC11315809 ¶2]</w:t>
      </w:r>
    </w:p>
    <w:p>
      <w:pPr>
        <w:spacing w:after="120"/>
        <w:jc w:val="both"/>
      </w:pPr>
      <w:r>
        <w:rPr>
          <w:rFonts w:ascii="Times New Roman" w:hAnsi="Times New Roman" w:cs="Times New Roman" w:eastAsia="Times New Roman"/>
          <w:b w:val="0"/>
          <w:i w:val="0"/>
          <w:sz w:val="24"/>
        </w:rPr>
        <w:t>“APAP overdose is the single most frequent cause of liver injury and acute liver failure in the U.S., UK [ 4 ] and Australia [ 5 ] and is at least a significant etiology of acute liver failure in many other western countries [ 4 ]. As a dose-dependent hepatotoxin, the injury process of APAP toxicity in patients can be accurately reproduced in animals [ 6 , 7 ], especially in mice [ 8 ]. Since the introduction of the mouse model in the 1970s [ 9 , 10 ], the mechanisms of cell death and liver injury have been extensively studied and today many key aspects of the injury mechanism are known [ 11 \u2013 13 ]. Based on the early mechanistic insight, limited to recognition of hepatotoxicity resulting from reactive metabolite formation causing GSH depletion and subsequent protein adduct formation [ 9 , 10 ], N-acetylcysteine (NAC) was discovered to be an effective antidote in animals and patients [ 14 ].”  [PMC11315809 ¶3]</w:t>
      </w:r>
    </w:p>
    <w:p>
      <w:pPr>
        <w:spacing w:after="120"/>
        <w:jc w:val="both"/>
      </w:pPr>
      <w:r>
        <w:rPr>
          <w:rFonts w:ascii="Times New Roman" w:hAnsi="Times New Roman" w:cs="Times New Roman" w:eastAsia="Times New Roman"/>
          <w:b w:val="0"/>
          <w:i w:val="0"/>
          <w:sz w:val="24"/>
        </w:rPr>
        <w:t>“This led to its approval as a clinical antidote in the 1980s [ 15 , 16 ]. Importantly, NAC is still the only clinically approved antidote against APAP overdose in patients more than 40 years later. However, despite its efficacy in most overdose cases, NAC has limited beneficial effects in late-presenting patients and after massive overdoses, and it does not promote regeneration. These limitations drive the continuous search for additional therapeutics that could complement and improve the therapeutic efficacy of NAC. The extensive research into the mechanisms of APAP-induced liver injury resulted in significant progress and identification of novel therapeutic targets. In addition, the dramatically increased number of compounds, especially natural products, being tested in the APAP hepatotoxicity model has led to identification of numerous chemicals said to be putative antidotes [ 17 \u2013 19 ].”  [PMC11315809 ¶4]</w:t>
      </w:r>
    </w:p>
    <w:p>
      <w:pPr>
        <w:spacing w:after="120"/>
        <w:jc w:val="both"/>
      </w:pPr>
      <w:r>
        <w:rPr>
          <w:rFonts w:ascii="Times New Roman" w:hAnsi="Times New Roman" w:cs="Times New Roman" w:eastAsia="Times New Roman"/>
          <w:b w:val="0"/>
          <w:i w:val="0"/>
          <w:sz w:val="24"/>
        </w:rPr>
        <w:t>“In fact, most recently it was suggested to plan for clinical trials using these compounds [ 20 ]. However, despite this extensive research activity, translation of new antidotes to the clinic is constrained. One reason for this limited progress is that the protective mechanisms proposed by these studies are questionable or wrong in most cases as they are mainly based on correlations and not causality assessment [ 21 ]. However, the most serious problem is the fact that almost all compounds are being used in the APAP model as pretreatment, which is a clinically irrelevant scenario [ 21 ]. Any compound with a realistic chance to be considered as an antidote must be effective when administered only after APAP treatment. The limited mechanistic understanding and in particular the absence of a clearly documented therapeutic effect in preclinical models leads to limited confidence that these interventions may work in APAP overdose patients under clinically realistic conditions.”  [PMC11315809 ¶5]</w:t>
      </w:r>
    </w:p>
    <w:p>
      <w:pPr>
        <w:spacing w:after="120"/>
        <w:jc w:val="both"/>
      </w:pPr>
      <w:r>
        <w:rPr>
          <w:rFonts w:ascii="Times New Roman" w:hAnsi="Times New Roman" w:cs="Times New Roman" w:eastAsia="Times New Roman"/>
          <w:b w:val="0"/>
          <w:i w:val="0"/>
          <w:sz w:val="24"/>
        </w:rPr>
        <w:t>“In addition, the costs of safety studies and clinical efficacy trials are too high of a risk for the limited reward, considering the smaller patient numbers. Thus, the main conclusions of most of these intervention studies that compound X acting through Y mechanism may be a promising therapeutic approach for APAP overdose patients are not supported by solid scientific evidence. Nevertheless, in recent years new developments give some hope that there can be progress with emerging novel therapeutics approaches. However, the key to advancing any potential therapeutic is to understand the molecular mechanisms of the disease and have a clear understanding of what the new intervention is targeting. 2. Mechanisms of APAP-induced Liver Injury Mechanistic studies of APAP hepatotoxicity started with the recognition that a part of the dose of APAP is metabolized by cytochrome P450 (Cyp) enzymes [ 6 ], now known to be mainly Cyp2E1 [ 22 ], which generates a reactive metabolite that can be detoxified by GSH [ 9 ].”  [PMC11315809 ¶6]</w:t>
      </w:r>
    </w:p>
    <w:p>
      <w:pPr>
        <w:spacing w:after="120"/>
        <w:jc w:val="both"/>
      </w:pPr>
      <w:r>
        <w:rPr>
          <w:rFonts w:ascii="Times New Roman" w:hAnsi="Times New Roman" w:cs="Times New Roman" w:eastAsia="Times New Roman"/>
          <w:b w:val="0"/>
          <w:i w:val="0"/>
          <w:sz w:val="24"/>
        </w:rPr>
        <w:t>“This reactive metabolite was identified as N-acetyl-p-benzoquinone imine (NAPQI), which after GSH depletion, preferably reacts with sulfhydryl groups of cysteine in proteins [ 23 ]. Although extensive formation of protein adducts is the initiating event in the toxicity, it is protein adducts in mitochondria that are most critical [ 24 , 25 ]. Mitochondrial adducts trigger a limited electron leak from complex III of the mitochondrial electron transport chain into the cytosol [ 26 ]. This mild oxidant stress activates a redox-sensitive mitogen-activated protein kinase cascade, resulting in activation (phosphorylation) of c-jun N-terminal kinase (JNK) [ 26 ]. P-JNK translocates to the mitochondria [ 27 ] and binds to the anchor protein Sab [ 28 ], which triggers further impairment of the electron transport chain with exaggerated oxidant stress [ 29 ], mainly through leakage of electrons of complex I into the mitochondrial matrix [ 26 ].”  [PMC11315809 ¶7]</w:t>
      </w:r>
    </w:p>
    <w:p>
      <w:pPr>
        <w:spacing w:after="120"/>
        <w:jc w:val="both"/>
      </w:pPr>
      <w:r>
        <w:rPr>
          <w:rFonts w:ascii="Times New Roman" w:hAnsi="Times New Roman" w:cs="Times New Roman" w:eastAsia="Times New Roman"/>
          <w:b w:val="0"/>
          <w:i w:val="0"/>
          <w:sz w:val="24"/>
        </w:rPr>
        <w:t>“Superoxide radicals formed in the matrix readily react with nitric oxide radicals to form peroxynitrite in mitochondria [ 30 ]. Peroxynitrite, a powerful oxidant and nitrating species, which causes nitrotyrosine protein adducts in mitochondria, triggers the mitochondrial permeability transition pore (MPTP) opening [ 31 ] and cell necrosis [ 32 ] ( Figure 1 ). These signaling events represent the basic mechanisms of cell death after APAP overdose that also apply to humans [ 33 , 34 ]. They also reveal realistic therapeutic targets that could be exploited with a high probability of success in humans. 3. Antidotes and Emerging Therapeutic Approaches 3.1 N-Acetylcysteine NAC is the only FDA approved antidote for clinical use against APAP overdose in humans. The discovery of NAC was related to the initial mechanistic understanding that the toxicity was caused by a cytochrome P450-mediated formation of a reactive metabolite, which can covalently bind to proteins as the cause of cell death [ 10 ].”  [PMC11315809 ¶8]</w:t>
      </w:r>
    </w:p>
    <w:p>
      <w:pPr>
        <w:spacing w:after="120"/>
        <w:jc w:val="both"/>
      </w:pPr>
      <w:r>
        <w:rPr>
          <w:rFonts w:ascii="Times New Roman" w:hAnsi="Times New Roman" w:cs="Times New Roman" w:eastAsia="Times New Roman"/>
          <w:b w:val="0"/>
          <w:i w:val="0"/>
          <w:sz w:val="24"/>
        </w:rPr>
        <w:t>“Importantly, the recognition that the reactive metabolite could be detoxified by glutathione [ 9 ] was the incentive to test glutathione precursors, leading to the discovery of NAC as an effective drug in preclinical models [ 35 ]. Today, we know that NAC works mainly through supporting the synthesis of hepatic GSH [ 36 ] ( Figure 1 ); GSH can scavenge NAPQI during the metabolism phase [ 37 ], and later, after import into mitochondria, can scavenge peroxynitrite [ 38 ]. However, excess NAC can also be converted to Krebs cycle intermediates and support the mitochondrial bioenergetics [ 39 ]. Together these mechanisms explain why NAC can effectively prevent cell death. Because of the high efficacy of NAC in several pilot trials in humans in the 1970s [ 40 , 41 ], large scale clinical studies were initiated, but due to ethical reasons, the FDA denied the originally proposed randomized controlled trials [ 14 , 16 ].”  [PMC11315809 ¶9]</w:t>
      </w:r>
    </w:p>
    <w:p>
      <w:pPr>
        <w:spacing w:after="120"/>
        <w:jc w:val="both"/>
      </w:pPr>
      <w:r>
        <w:rPr>
          <w:rFonts w:ascii="Times New Roman" w:hAnsi="Times New Roman" w:cs="Times New Roman" w:eastAsia="Times New Roman"/>
          <w:b w:val="0"/>
          <w:i w:val="0"/>
          <w:sz w:val="24"/>
        </w:rPr>
        <w:t>“However, the then approved prospective multicenter open trials demonstrated the beneficial effect of NAC when administered within 8\u201310 h after the ingestion of an APAP overdose and the gradual loss of this protection in later presenting patients [ 42 . 43 ]. This led to the approval of NAC as a clinical antidote against APAP overdose in the 1980s [ 16 ]. After almost 40 years, no new antidote has been developed. Despite the absence of a randomized control trial, there are officially approved dosing of NAC. However, different doses and potential shorter treatment regimen are regularly being discussed [ 44 \u2013 47 ]. Although NAC is considered highly efficacious in most overdose cases, there are also concerns with patients taking very large overdoses and presenting late for treatment. Changing the NAC doses alone may not be the optimal solution as side effects may become a bigger issue [ 48 ]; it may require adjunct therapies with a wider therapeutic window (e.g., fomepizole) and agents that promote regeneration as discussed in the next sections. 3.2 Fomepizole (4-methylpyrazole) Fomepizole is a clinically approved antidote against methanol and ethylene glycol poisoning due to its property as an alcohol dehydrogenase (ADH) inhibitor [ 49 ].”  [PMC11315809 ¶10]</w:t>
      </w:r>
    </w:p>
    <w:p>
      <w:pPr>
        <w:spacing w:after="120"/>
        <w:jc w:val="both"/>
      </w:pPr>
      <w:r>
        <w:rPr>
          <w:rFonts w:ascii="Times New Roman" w:hAnsi="Times New Roman" w:cs="Times New Roman" w:eastAsia="Times New Roman"/>
          <w:b w:val="0"/>
          <w:i w:val="0"/>
          <w:sz w:val="24"/>
        </w:rPr>
        <w:t>“Introduced more than 20 years ago, it has an excellent safety record, and treatment of poisoned patients with fomepizole causes very limited, minor side effects such as injection site burning (13 out of 536 Patients) or nausea (5 out of 536 Patients) [ 50 ]. Thus, highly effective in patients with toxic alcohol poisoning and generally well tolerated, it is widely used in the clinic for these indications. In 2013, a case report was published indicating that a patient presenting to the emergency department with extremely high blood APAP levels (&gt;1,100 \u03bcg/ml = &gt;7.3 mM) and suspected of a toxic alcohol poisoning was treated with both NAC and fomepizole and survived [ 51 ]. Because in vitro studies had previously shown that 4-methylpyrazole is a competitive Cyp2E1 inhibitor binding to the substrate binding site of the enzyme [ 52 , 53 ], Yip and Heard [ 54 ] hypothesized a few years later that the positive outcome of the patient described in the case report may be related to a combined effect of NAC and fomepizole.”  [PMC11315809 ¶11]</w:t>
      </w:r>
    </w:p>
    <w:p>
      <w:pPr>
        <w:spacing w:after="120"/>
        <w:jc w:val="both"/>
      </w:pPr>
      <w:r>
        <w:rPr>
          <w:rFonts w:ascii="Times New Roman" w:hAnsi="Times New Roman" w:cs="Times New Roman" w:eastAsia="Times New Roman"/>
          <w:b w:val="0"/>
          <w:i w:val="0"/>
          <w:sz w:val="24"/>
        </w:rPr>
        <w:t>“This encouraged us to study the effect of fomepizole in the mouse model in vivo . The first study was designed to test the hypothesis that fomepizole can protect against APAP hepatotoxicity in mice by inhibiting cyp2e1 [ 55 ]. Given the short metabolism phase of a 300 mg/kg dose of APAP in mice [ 56 ], fomepizole was administered immediately after APAP to ensure that an effect on P450-mediated metabolism was covered. Co-treatment of fomepizole (50 mg/kg, which represents a human equivalent dose of 4 mg/kg) and a toxic dose of APAP (300 mg/kg) resulted in protection as indicated by &gt;95% reduction of plasma ALT elevations and almost complete prevention of centrilobular necrosis. The fact that fomepizole attenuated formation of the cyp2e1-derived oxidative metabolites and the protein adduct the formation of the reactive metabolite by &gt;90% suggested that the protection was caused by the inhibition of cyp2e1 [ 55 ] ( Figure 1 ).”  [PMC11315809 ¶12]</w:t>
      </w:r>
    </w:p>
    <w:p>
      <w:pPr>
        <w:keepNext/>
        <w:spacing w:before="280" w:after="80"/>
        <w:outlineLvl w:val="1"/>
      </w:pPr>
      <w:r>
        <w:rPr>
          <w:rFonts w:ascii="Times New Roman" w:hAnsi="Times New Roman" w:cs="Times New Roman" w:eastAsia="Times New Roman"/>
          <w:b/>
          <w:i w:val="0"/>
          <w:color w:val="335588"/>
          <w:sz w:val="28"/>
        </w:rPr>
        <w:t>8.2  COPD, bronchiectasis, cystic fibrosis, IPF — mucolytic and anti-inflammatory</w:t>
      </w:r>
    </w:p>
    <w:p>
      <w:pPr>
        <w:spacing w:after="80"/>
        <w:jc w:val="both"/>
      </w:pPr>
      <w:r>
        <w:rPr>
          <w:rFonts w:ascii="Times New Roman" w:hAnsi="Times New Roman" w:cs="Times New Roman" w:eastAsia="Times New Roman"/>
          <w:b w:val="0"/>
          <w:i/>
          <w:sz w:val="22"/>
        </w:rPr>
        <w:t>Primary evidence: Anti-Inflammatory and Anti-Oxidant Properties of N-Acetylcysteine: A Fresh Perspective. Journal of Clinical Medicine (2024). PMCID: PMC11278452; PMID: 39064168; DOI: 10.3390/jcm13144127.</w:t>
      </w:r>
    </w:p>
    <w:p>
      <w:pPr>
        <w:spacing w:after="80"/>
        <w:jc w:val="both"/>
      </w:pPr>
      <w:r>
        <w:rPr>
          <w:rFonts w:ascii="Times New Roman" w:hAnsi="Times New Roman" w:cs="Times New Roman" w:eastAsia="Times New Roman"/>
          <w:b w:val="0"/>
          <w:i w:val="0"/>
          <w:sz w:val="24"/>
        </w:rPr>
        <w:t>Pipeline-derived summary statement: NAC exhibits antioxidant, anti-infective, and anti-inflammatory activity in pre-clinical and clinical reports for chronic lung diseases.</w:t>
      </w:r>
    </w:p>
    <w:p>
      <w:pPr>
        <w:spacing w:after="80"/>
        <w:jc w:val="both"/>
      </w:pPr>
      <w:r>
        <w:rPr>
          <w:rFonts w:ascii="Times New Roman" w:hAnsi="Times New Roman" w:cs="Times New Roman" w:eastAsia="Times New Roman"/>
          <w:b/>
          <w:i w:val="0"/>
          <w:sz w:val="22"/>
        </w:rPr>
        <w:t>Verbatim abstract:</w:t>
      </w:r>
    </w:p>
    <w:p>
      <w:pPr>
        <w:spacing w:after="80"/>
        <w:jc w:val="both"/>
      </w:pPr>
      <w:r>
        <w:rPr>
          <w:rFonts w:ascii="Times New Roman" w:hAnsi="Times New Roman" w:cs="Times New Roman" w:eastAsia="Times New Roman"/>
          <w:b w:val="0"/>
          <w:i/>
          <w:sz w:val="24"/>
        </w:rPr>
        <w:t>“N-acetyl-L-cysteine (NAC) was initially introduced as a treatment for mucus reduction and widely used for chronic respiratory conditions associated with mucus overproduction. However, the mechanism of action for NAC extends beyond its mucolytic activity and is complex and multifaceted. Contrary to other mucoactive drugs, NAC has been found to exhibit antioxidant, anti-infective, and anti-inflammatory activity in pre-clinical and clinical reports. These properties have sparked interest in its potential for treating chronic lung diseases, including chronic obstructive pulmonary disease (COPD), bronchiectasis (BE), cystic fibrosis (CF), and idiopathic pulmonary fibrosis (IPF), which are associated with oxidative stress, increased levels of glutathione and inflammation. NAC’s anti-inflammatory activity is noteworthy, and it is not solely secondary to its antioxidant capabilities. In ex vivo models of COPD exacerbation, the anti-inflammatory effects have been observed even at very low doses, especially with prolonged treatment. The mechanism involves the inhibition of the activation of NF-kB and neurokinin A production, resulting in a reduction in interleukin-6 production, a cytokine abundantly present in the sputum and breath condensate of patients with COPD and correlates with the number of exacerbations. The unique combination of mucolytic, antioxidant, anti-infective, and anti-inflammatory properties positions NAC as a safe, cost-effective, and efficacious therapy for a plethora of respiratory conditions.”</w:t>
      </w:r>
    </w:p>
    <w:p>
      <w:pPr>
        <w:spacing w:before="120" w:after="80"/>
        <w:jc w:val="both"/>
      </w:pPr>
      <w:r>
        <w:rPr>
          <w:rFonts w:ascii="Times New Roman" w:hAnsi="Times New Roman" w:cs="Times New Roman" w:eastAsia="Times New Roman"/>
          <w:b/>
          <w:i w:val="0"/>
          <w:sz w:val="24"/>
        </w:rPr>
        <w:t>Verbatim body paragraphs from PMC11278452 matching this therapeutic theme:</w:t>
      </w:r>
    </w:p>
    <w:p>
      <w:pPr>
        <w:spacing w:after="120"/>
        <w:jc w:val="both"/>
      </w:pPr>
      <w:r>
        <w:rPr>
          <w:rFonts w:ascii="Times New Roman" w:hAnsi="Times New Roman" w:cs="Times New Roman" w:eastAsia="Times New Roman"/>
          <w:b w:val="0"/>
          <w:i w:val="0"/>
          <w:sz w:val="24"/>
        </w:rPr>
        <w:t>“## Figure captions (2) 1. **Figure 1** — Differential modulation of pro-inflammatory mediators in relation to both the concentration and duration of treatment with N-acetylcysteine in in vitro models of airway inflammation. NAC: N-acetylcysteine; LPS: lipopolysaccharides; NKA: neurokinin A; IL-6: Interleukin-6; TNF-α: tumor necrosis factor-α; IL-8: Interleukin-8; IL-1β: Interleukin-1beta; NF-κB: Nuclear factor kappa B. graphic: `jcm-13-04127-g001.jpg` 2. **Figure 2** — Proposed molecular mechanisms for the therapeutic activity of N-acetylcysteine after oral administration in chronic respiratory diseases. NAC: N-acetylcysteine; GSH: glutathione; RSSH: persulfides; RSS n SR: polysulfides; NKA: neurokinin A; NF-κB: Nuclear factor kappa B; TNF-α: tumor necrosis factor-α; IL-1β: Interleukin-1beta; IL-8: Interleukin-8; ROS: reactive oxygen species. graphic: `jcm-13-04127-g002.jpg` ```json { "pmcid": "PMC11278452", "pmid": "39064168", "doi": "10.3390/jcm13144127", "title": "Anti-Inflammatory and Anti-Oxidant Properties of N-Acetylcysteine: A Fresh Perspective", "journal": "Journal of Clinical Medicine", "year": "2024", "abstract": "N-acetyl-L-cysteine (NAC) was initially introduced as a treatment for mucus reduction and widely used for chronic respiratory conditions associated with mucus overproduction.”  [PMC11278452 ¶1]</w:t>
      </w:r>
    </w:p>
    <w:p>
      <w:pPr>
        <w:spacing w:after="120"/>
        <w:jc w:val="both"/>
      </w:pPr>
      <w:r>
        <w:rPr>
          <w:rFonts w:ascii="Times New Roman" w:hAnsi="Times New Roman" w:cs="Times New Roman" w:eastAsia="Times New Roman"/>
          <w:b w:val="0"/>
          <w:i w:val="0"/>
          <w:sz w:val="24"/>
        </w:rPr>
        <w:t>“However, the mechanism of action for NAC extends beyond its mucolytic activity and is complex and multifaceted. Contrary to other mucoactive drugs, NAC has been found to exhibit antioxidant, anti-infective, and anti-inflammatory activity in pre-clinical and clinical reports. These properties have sparked interest in its potential for treating chronic lung diseases, including chronic obstructive pulmonary disease (COPD), bronchiectasis (BE), cystic fibrosis (CF), and idiopathic pulmonary fibrosis (IPF), which are associated with oxidative stress, increased levels of glutathione and inflammation. NAC\u2019s anti-inflammatory activity is noteworthy, and it is not solely secondary to its antioxidant capabilities. In ex vivo models of COPD exacerbation, the anti-inflammatory effects have been observed even at very low doses, especially with prolonged treatment. The mechanism involves the inhibition of the activation of NF-kB and neurokinin A production, resulting in a reduction in interleukin-6 production, a cytokine abundantly present in the sputum and breath condensate of patients with COPD and correlates with the number of exacerbations.”  [PMC11278452 ¶2]</w:t>
      </w:r>
    </w:p>
    <w:p>
      <w:pPr>
        <w:spacing w:after="120"/>
        <w:jc w:val="both"/>
      </w:pPr>
      <w:r>
        <w:rPr>
          <w:rFonts w:ascii="Times New Roman" w:hAnsi="Times New Roman" w:cs="Times New Roman" w:eastAsia="Times New Roman"/>
          <w:b w:val="0"/>
          <w:i w:val="0"/>
          <w:sz w:val="24"/>
        </w:rPr>
        <w:t>“The unique combination of mucolytic, antioxidant, anti-infective, and anti-inflammatory properties positions NAC as a safe, cost-effective, and efficacious therapy for a plethora of respiratory conditions.", "body_text": "1. Introduction N-acetyl-L-cysteine (NAC) was first introduced in 1965 primarily for its role in promoting mucolysis [ 1 ] and has been the preferred treatment for paracetamol intoxication since the mid-1970s [ 2 ]. Its intravenous formulation for this purpose is recognized on the WHO\u2019s list of Essential Medicines [ 3 ]. The excessive production and secretion of airway mucus have significant importance in the pathophysiology and clinical manifestations of different respiratory diseases, including acute and chronic bronchitis (CB), chronic obstructive pulmonary disease (COPD), bronchiectasis, and cystic fibrosis (CF) [ 4 , 5 ]. Recent evidence indicates that oxidative stress and inflammation contribute to the development of these pathologies, showing a close correlation with clinical outcomes and triggering the overproduction of mucus by glands and goblet cells [ 6 , 7 , 8 , 9 ].”  [PMC11278452 ¶3]</w:t>
      </w:r>
    </w:p>
    <w:p>
      <w:pPr>
        <w:jc w:val="center"/>
      </w:pPr>
      <w:r>
        <w:drawing>
          <wp:inline xmlns:a="http://schemas.openxmlformats.org/drawingml/2006/main" xmlns:pic="http://schemas.openxmlformats.org/drawingml/2006/picture">
            <wp:extent cx="5029200" cy="4259385"/>
            <wp:docPr id="18" name="Picture 18"/>
            <wp:cNvGraphicFramePr>
              <a:graphicFrameLocks noChangeAspect="1"/>
            </wp:cNvGraphicFramePr>
            <a:graphic>
              <a:graphicData uri="http://schemas.openxmlformats.org/drawingml/2006/picture">
                <pic:pic>
                  <pic:nvPicPr>
                    <pic:cNvPr id="0" name="p06_i1.jpg"/>
                    <pic:cNvPicPr/>
                  </pic:nvPicPr>
                  <pic:blipFill>
                    <a:blip r:embed="rId14"/>
                    <a:stretch>
                      <a:fillRect/>
                    </a:stretch>
                  </pic:blipFill>
                  <pic:spPr>
                    <a:xfrm>
                      <a:off x="0" y="0"/>
                      <a:ext cx="5029200" cy="4259385"/>
                    </a:xfrm>
                    <a:prstGeom prst="rect"/>
                  </pic:spPr>
                </pic:pic>
              </a:graphicData>
            </a:graphic>
          </wp:inline>
        </w:drawing>
      </w:r>
    </w:p>
    <w:p>
      <w:pPr>
        <w:spacing w:after="160"/>
        <w:jc w:val="center"/>
      </w:pPr>
      <w:r>
        <w:rPr>
          <w:rFonts w:ascii="Times New Roman" w:hAnsi="Times New Roman" w:cs="Times New Roman" w:eastAsia="Times New Roman"/>
          <w:b w:val="0"/>
          <w:i/>
          <w:sz w:val="20"/>
        </w:rPr>
        <w:t>Figure 1 (from PMC11278452): “Differential modulation of pro-inflammatory mediators in relation to both the concentration and duration of treatment with N-acetylcysteine in in vitro models of airway inflammation. NAC: N-acetylcysteine; LPS: lipopolysaccharides; NKA: neurokinin A; IL-6: Interleukin-6; TNF-α: tumor necrosis factor-α; IL-8: Interleukin-8; IL-1β: Interleukin-1beta; NF-κB: Nu”</w:t>
      </w:r>
    </w:p>
    <w:p>
      <w:pPr>
        <w:spacing w:after="120"/>
        <w:jc w:val="both"/>
      </w:pPr>
      <w:r>
        <w:rPr>
          <w:rFonts w:ascii="Times New Roman" w:hAnsi="Times New Roman" w:cs="Times New Roman" w:eastAsia="Times New Roman"/>
          <w:b w:val="0"/>
          <w:i w:val="0"/>
          <w:sz w:val="24"/>
        </w:rPr>
        <w:t>“Under diverse stress conditions, such as infection, pathogenic factors, smoking, and oxidative stress, epithelial cells in the airway release pro-secretory molecules, leading to hypertrophy of secretory cells and hyperplasia of goblet cells, with concomitant overproduction of mucus [ 5 , 6 , 7 , 8 ]. Conditions like chronic bronchitis, bronchiectasis, CF, and COPD are associated with impairment of ciliary function and/or airway mucus hypersecretion [ 6 , 7 , 10 , 11 ]. COPD is characterized by airflow limitation, oxidative stress, and airway inflammation [ 12 ]. It is a persistent and advancing disease linked to a heightened inflammatory response in the respiratory tract triggered by gases, noxious particles, or cigarette smoke, which results in the injury of cells lining the airway and mucus hypersecretion [ 13 ]. In particular, the over-secretion of components of mucus MUC5AC and MUC5B in the respiratory tract, coupled with epithelial damage, leads to the shedding of ciliated cells, hyperplasia of goblet cells, and hypertrophy of the submucosal gland, ultimately resulting in airway mucus hypersecretion [ 4 ].”  [PMC11278452 ¶4]</w:t>
      </w:r>
    </w:p>
    <w:p>
      <w:pPr>
        <w:spacing w:after="120"/>
        <w:jc w:val="both"/>
      </w:pPr>
      <w:r>
        <w:rPr>
          <w:rFonts w:ascii="Times New Roman" w:hAnsi="Times New Roman" w:cs="Times New Roman" w:eastAsia="Times New Roman"/>
          <w:b w:val="0"/>
          <w:i w:val="0"/>
          <w:sz w:val="24"/>
        </w:rPr>
        <w:t>“The mucus, secreted by serous, mucous, and goblet cells in response to various stimuli, including inflammation [ 9 ], becomes viscous [ 12 ] and promotes bacterial colonization and biofilm growth. This hinders the ability of neutrophils and soluble antimicrobial agents to permeate dense mucus and eradicate bacteria [ 14 , 15 ]. In COPD, numerous inflammatory mediators are synthesized and released in response to oxidative stress, such as the pro-inflammatory transcription factor NF-\u03baB, which is over-expressed and activated by Reactive Oxygen Species (ROS), especially in airway epithelial cells and macrophages [ 7 ]. Oxidative stress also promotes the release of signaling molecules such as phosphoinositide 3-kinase (PI3K) and p38 mitogen-activated protein kinase (MAPK). It also sustains transforming growth factor (TGF)-\u03b2 signaling and the expression of matrix metalloproteinase (MMP)-9, which are implicated in small airway fibrosis and emphysema [ 7 ].”  [PMC11278452 ¶5]</w:t>
      </w:r>
    </w:p>
    <w:p>
      <w:pPr>
        <w:spacing w:after="120"/>
        <w:jc w:val="both"/>
      </w:pPr>
      <w:r>
        <w:rPr>
          <w:rFonts w:ascii="Times New Roman" w:hAnsi="Times New Roman" w:cs="Times New Roman" w:eastAsia="Times New Roman"/>
          <w:b w:val="0"/>
          <w:i w:val="0"/>
          <w:sz w:val="24"/>
        </w:rPr>
        <w:t>“Inflammation of the respiratory tract can contribute to flare-ups and deterioration of COPD [ 16 ]. Bronchiectasis involves irreversible bronchial lumen expansion, compromising mucus clearance [ 17 ] and facilitating bacterial colonization [ 18 ]. The initial production of toxins by bacteria contributes to the activation of both microbial and danger-associated molecular patterns, subsequently heightening inflammation [ 18 ]. As a result, this inflammatory response triggers hyperplasia and metaplasia of goblet cells, eventually resulting in increased secretion of mucus in the airways [ 19 , 20 , 21 ]. NAC has undergone extensive scrutiny in numerous global clinical trials and has been used for many years in treating various respiratory conditions [ 13 , 22 , 23 ]. It is a well-documented and well-established treatment of choice, valued not only for reducing mucus viscosity and promoting discharge but also for its recognized antioxidant and anti-inflammatory properties [ 13 , 22 , 23 ].”  [PMC11278452 ¶6]</w:t>
      </w:r>
    </w:p>
    <w:p>
      <w:pPr>
        <w:jc w:val="center"/>
      </w:pPr>
      <w:r>
        <w:drawing>
          <wp:inline xmlns:a="http://schemas.openxmlformats.org/drawingml/2006/main" xmlns:pic="http://schemas.openxmlformats.org/drawingml/2006/picture">
            <wp:extent cx="5029200" cy="3369819"/>
            <wp:docPr id="19" name="Picture 19"/>
            <wp:cNvGraphicFramePr>
              <a:graphicFrameLocks noChangeAspect="1"/>
            </wp:cNvGraphicFramePr>
            <a:graphic>
              <a:graphicData uri="http://schemas.openxmlformats.org/drawingml/2006/picture">
                <pic:pic>
                  <pic:nvPicPr>
                    <pic:cNvPr id="0" name="p08_i1.jpg"/>
                    <pic:cNvPicPr/>
                  </pic:nvPicPr>
                  <pic:blipFill>
                    <a:blip r:embed="rId15"/>
                    <a:stretch>
                      <a:fillRect/>
                    </a:stretch>
                  </pic:blipFill>
                  <pic:spPr>
                    <a:xfrm>
                      <a:off x="0" y="0"/>
                      <a:ext cx="5029200" cy="3369819"/>
                    </a:xfrm>
                    <a:prstGeom prst="rect"/>
                  </pic:spPr>
                </pic:pic>
              </a:graphicData>
            </a:graphic>
          </wp:inline>
        </w:drawing>
      </w:r>
    </w:p>
    <w:p>
      <w:pPr>
        <w:spacing w:after="160"/>
        <w:jc w:val="center"/>
      </w:pPr>
      <w:r>
        <w:rPr>
          <w:rFonts w:ascii="Times New Roman" w:hAnsi="Times New Roman" w:cs="Times New Roman" w:eastAsia="Times New Roman"/>
          <w:b w:val="0"/>
          <w:i/>
          <w:sz w:val="20"/>
        </w:rPr>
        <w:t>Figure 2 (from PMC11278452): “Proposed molecular mechanisms for the therapeutic activity of N-acetylcysteine after oral administration in chronic respiratory diseases. NAC: N-acetylcysteine; GSH: glutathione; RSSH: persulfides; RSS n SR: polysulfides; NKA: neurokinin A; NF-κB: Nuclear factor kappa B; TNF-α: tumor necrosis factor-α; IL-1β: Interleukin-1beta; IL-8: Interleukin-8; ROS: reac”</w:t>
      </w:r>
    </w:p>
    <w:p>
      <w:pPr>
        <w:spacing w:after="120"/>
        <w:jc w:val="both"/>
      </w:pPr>
      <w:r>
        <w:rPr>
          <w:rFonts w:ascii="Times New Roman" w:hAnsi="Times New Roman" w:cs="Times New Roman" w:eastAsia="Times New Roman"/>
          <w:b w:val="0"/>
          <w:i w:val="0"/>
          <w:sz w:val="24"/>
        </w:rPr>
        <w:t>“The aim of this review is to gather data on the multifaceted properties of NAC [ 13 ], with a specific focus on its anti-inflammatory role. The analysis emphasizes findings from various studies, highlighting the impact of dosage and treatment duration on NAC\u2019s anti-inflammatory effectiveness [ 24 , 25 , 26 , 27 , 28 , 29 ]. The evidence suggests that lower doses may prove effective when administered over an extended treatment period [ 24 , 25 , 26 , 27 , 28 , 29 ]. The goal is to present NAC, traditionally recognized as a dual-action mucolytic and anti-oxidant agent, capable of fluidifying mucus secretions and clearing the airways, as a versatile drug with a multifaceted mechanism of action, rendering it a suitable pharmacological option for a variety of chronic respiratory pathologies characterized by mucus hyperproduction, oxidative stress, and inflammation. 2. Methods The authors performed a comprehensive non-systematic review of the existing literature on PubMed/MEDLINE and Google Scholar, until February 2024, using the following keywords: \u201cN-acetylcysteine\u201d AND \u201canti-inflammatory\u201d OR \u201cmucolytic\u201d OR \u201cantioxidant\u201d OR \u201cchronic respiratory disease\u201d OR \u201cchronic obstructive pulmonary disease\u201d OR \u201cidiopathic pulmonary fibrosis\u201d OR \u201cbronchiectasis\u201d OR \u201ccystic fibrosis\u201d OR \u201casthma\u201d OR \u201cbronchitis\u201d OR \u201canti-infective\u201d. 3.”  [PMC11278452 ¶7]</w:t>
      </w:r>
    </w:p>
    <w:p>
      <w:pPr>
        <w:spacing w:after="120"/>
        <w:jc w:val="both"/>
      </w:pPr>
      <w:r>
        <w:rPr>
          <w:rFonts w:ascii="Times New Roman" w:hAnsi="Times New Roman" w:cs="Times New Roman" w:eastAsia="Times New Roman"/>
          <w:b w:val="0"/>
          <w:i w:val="0"/>
          <w:sz w:val="24"/>
        </w:rPr>
        <w:t>“NAC Exhibits Pharmacological Actions beyond Mucolytic Activity The mechanism of action for NAC is complex and multifaceted and is not yet fully elucidated. NAC is widely utilized to decrease the viscosity and elasticity of mucus [ 30 ]. It achieves this by breaking down the disulfide bonds in mucoproteins, thereby decreasing the viscosity of respiratory secretions [ 22 ]. Apart from the replenishing of depleted GSH content, facilitated by NAC, the gradual release of NAC-derived metabolites may result in a modest increase in H 2 S and its oxidation byproducts including persulfides (RSSH) and polysulfides (RSSnSR) [ 31 ], known as sulfane sulfur metabolites [ 32 ]. These metabolites exhibit cytoprotective effects by aiding in disulfide reduction, acting as direct scavengers of radicals, and preventing irreversible oxidative damage of proteins [ 32 ]. Moreover, modifications involving persulfide on proteins have the potential to modify their function and signaling capabilities, thereby initiating stress-responsive cellular reactions [ 32 ].”  [PMC11278452 ¶8]</w:t>
      </w:r>
    </w:p>
    <w:p>
      <w:pPr>
        <w:spacing w:after="120"/>
        <w:jc w:val="both"/>
      </w:pPr>
      <w:r>
        <w:rPr>
          <w:rFonts w:ascii="Times New Roman" w:hAnsi="Times New Roman" w:cs="Times New Roman" w:eastAsia="Times New Roman"/>
          <w:b w:val="0"/>
          <w:i w:val="0"/>
          <w:sz w:val="24"/>
        </w:rPr>
        <w:t>“The initial use of NAC for respiratory diseases like chronic bronchitis and COPD is primarily linked to its direct and indirect mucolytic activity, aiming to reduce the viscosity of secretions and facilitate expectoration [ 22 ]. However, pre-clinical observations indicate that its effectiveness goes beyond its mucolytic properties, encompassing anti-oxidant, anti-infective, and anti-inflammatory effects. This unique combination of properties suggests an additional and beneficial impact on patients [ 13 , 22 , 33 , 34 ]. The diverse actions of NAC may have implications for reducing exacerbations in individuals with chronic inflammatory respiratory conditions, such as CB/COPD. NAC\u2019s effectiveness has been thoroughly studied in this respiratory disease, and it is employed as an adjunctive medication endorsed by several internationally recognized guidelines [ 35 , 36 , 37 , 38 ]. Indeed, its therapeutic value and substantial supporting evidence have been acknowledged by both the American Thoracic Society and the European Respiratory Society guidelines [ 39 ]. 3.1.”  [PMC11278452 ¶9]</w:t>
      </w:r>
    </w:p>
    <w:p>
      <w:pPr>
        <w:jc w:val="center"/>
      </w:pPr>
      <w:r>
        <w:drawing>
          <wp:inline xmlns:a="http://schemas.openxmlformats.org/drawingml/2006/main" xmlns:pic="http://schemas.openxmlformats.org/drawingml/2006/picture">
            <wp:extent cx="5029200" cy="2121877"/>
            <wp:docPr id="20" name="Picture 20"/>
            <wp:cNvGraphicFramePr>
              <a:graphicFrameLocks noChangeAspect="1"/>
            </wp:cNvGraphicFramePr>
            <a:graphic>
              <a:graphicData uri="http://schemas.openxmlformats.org/drawingml/2006/picture">
                <pic:pic>
                  <pic:nvPicPr>
                    <pic:cNvPr id="0" name="p06_i2.jpg"/>
                    <pic:cNvPicPr/>
                  </pic:nvPicPr>
                  <pic:blipFill>
                    <a:blip r:embed="rId19"/>
                    <a:stretch>
                      <a:fillRect/>
                    </a:stretch>
                  </pic:blipFill>
                  <pic:spPr>
                    <a:xfrm>
                      <a:off x="0" y="0"/>
                      <a:ext cx="5029200" cy="2121877"/>
                    </a:xfrm>
                    <a:prstGeom prst="rect"/>
                  </pic:spPr>
                </pic:pic>
              </a:graphicData>
            </a:graphic>
          </wp:inline>
        </w:drawing>
      </w:r>
    </w:p>
    <w:p>
      <w:pPr>
        <w:spacing w:after="160"/>
        <w:jc w:val="center"/>
      </w:pPr>
      <w:r>
        <w:rPr>
          <w:rFonts w:ascii="Times New Roman" w:hAnsi="Times New Roman" w:cs="Times New Roman" w:eastAsia="Times New Roman"/>
          <w:b w:val="0"/>
          <w:i/>
          <w:sz w:val="20"/>
        </w:rPr>
        <w:t>Figure panel from PMC11278452 (source bitmap p06_i2.jpg).</w:t>
      </w:r>
    </w:p>
    <w:p>
      <w:pPr>
        <w:spacing w:after="120"/>
        <w:jc w:val="both"/>
      </w:pPr>
      <w:r>
        <w:rPr>
          <w:rFonts w:ascii="Times New Roman" w:hAnsi="Times New Roman" w:cs="Times New Roman" w:eastAsia="Times New Roman"/>
          <w:b w:val="0"/>
          <w:i w:val="0"/>
          <w:sz w:val="24"/>
        </w:rPr>
        <w:t>“NAC as Anti-Oxidant Abnormal levels of GSH in both extracellular and intracellular compartments are commonly observed in chronic pulmonary diseases, such as CF, bronchiectasis, idiopathic pulmonary fibrosis (IPF), and COPD [ 40 , 41 ]. During the 1980s, Mold\u00e9us and colleagues [ 42 ] pioneered the revelation that NAC demonstrated anti-oxidant effects in respiratory cells and tissues. Their findings showcased NAC\u2019s capability to safeguard against the detrimental impacts of cigarette smoke condensates and hydrogen peroxide (H 2 O 2 ) [ 42 ]. The researchers proposed that NAC\u2019s shielding effect against ROS may be attributed to its function as a precursor to GSH and an enhancer of GSH biosynthesis [ 42 ]. Indeed, from a stringent biochemical perspective, the anti-oxidant characteristics of NAC are intricately linked to the elevation of GSH content, leading to the reduction in ROS synthesis [ 22 ].”  [PMC11278452 ¶10]</w:t>
      </w:r>
    </w:p>
    <w:p>
      <w:pPr>
        <w:spacing w:after="120"/>
        <w:jc w:val="both"/>
      </w:pPr>
      <w:r>
        <w:rPr>
          <w:rFonts w:ascii="Times New Roman" w:hAnsi="Times New Roman" w:cs="Times New Roman" w:eastAsia="Times New Roman"/>
          <w:b w:val="0"/>
          <w:i w:val="0"/>
          <w:sz w:val="24"/>
        </w:rPr>
        <w:t>“However, NAC also possesses the capability to directly engage with oxidants such as hydroxyl radical, hydrogen peroxide, and hypochloric acid [ 30 , 34 ]. The pharmacological characterization of NAC\u2019s anti-oxidant effect took place in the human ex vivo model of acute exacerbations of COPD (AECOPD) consisting of lipopolysaccharide (LPS)-stimulated human bronchi. In two different studies performed by Cazzola et al. [ 27 ] and Calzetta et al. [ 28 ], NAC led to a decrease in LPS-induced malondialdehyde, H 2 O 2 , peroxidase activity, and nitric oxide (NO) production at concentrations of 1\u201310 \u00b5M and 16\u201335 \u00b5M, respectively. Notably, there was also a normalization of GSH levels in the aforementioned two separate studies [ 27 , 28 ], with one study reporting increased superoxide dismutase (SOD) activity by approximately 150% compared to LPS-treated bronchi [ 27 ]. Currently, oxidative stress is recognized as a key predisposing factor in the development of COPD, with an imbalanced oxidant/anti-oxidant state particularly pronounced during AECOPD [ 43 ].”  [PMC11278452 ¶11]</w:t>
      </w:r>
    </w:p>
    <w:p>
      <w:pPr>
        <w:spacing w:after="120"/>
        <w:jc w:val="both"/>
      </w:pPr>
      <w:r>
        <w:rPr>
          <w:rFonts w:ascii="Times New Roman" w:hAnsi="Times New Roman" w:cs="Times New Roman" w:eastAsia="Times New Roman"/>
          <w:b w:val="0"/>
          <w:i w:val="0"/>
          <w:sz w:val="24"/>
        </w:rPr>
        <w:t>“Factors such as inflammation, microbial infection, or smoke exposure can increase GSH content in bronchoalveolar lavage fluid (BALF) as a protective measure against further lung damage [ 40 ]. While GSH concentration increases in the BALF of stable COPD patients, it diminishes during AECOPD [ 44 ]. This indicates that the increase in GSH levels within the lungs is inadequate to effectively counterbalance the significant production of ROS. Maintaining adequate GSH levels is crucial to counteract excessive ROS production during AECOPD [ 45 ]. Thus, therapeutic approaches focused on increasing GSH levels could potentially be beneficial in managing the severity of AECOPD and reducing the occurrence of future episodes. In this context, NAC shows efficacy in restoring the depleted pool of intracellular GSH during AECOPD [ 46 , 47 ] by elevating GSH levels in plasma and BALF [ 48 ]. NAC also reduces ROS secretion by alveolar macrophages (AM) [ 49 ] and exhaled H 2 O 2 and decreases H 2 O 2 production in the respiratory tract of COPD patients [ 50 ].”  [PMC11278452 ¶12]</w:t>
      </w:r>
    </w:p>
    <w:p>
      <w:pPr>
        <w:spacing w:before="120" w:after="80"/>
        <w:jc w:val="both"/>
      </w:pPr>
      <w:r>
        <w:rPr>
          <w:rFonts w:ascii="Times New Roman" w:hAnsi="Times New Roman" w:cs="Times New Roman" w:eastAsia="Times New Roman"/>
          <w:b w:val="0"/>
          <w:i/>
          <w:sz w:val="22"/>
        </w:rPr>
        <w:t>Source-article figures for PMC11278452 (extracted from the Europe PMC PDF rendering, re-encoded as PNG for docx compatibility):</w:t>
      </w:r>
    </w:p>
    <w:p>
      <w:pPr>
        <w:jc w:val="center"/>
      </w:pPr>
      <w:r>
        <w:drawing>
          <wp:inline xmlns:a="http://schemas.openxmlformats.org/drawingml/2006/main" xmlns:pic="http://schemas.openxmlformats.org/drawingml/2006/picture">
            <wp:extent cx="5029200" cy="4259385"/>
            <wp:docPr id="21" name="Picture 21"/>
            <wp:cNvGraphicFramePr>
              <a:graphicFrameLocks noChangeAspect="1"/>
            </wp:cNvGraphicFramePr>
            <a:graphic>
              <a:graphicData uri="http://schemas.openxmlformats.org/drawingml/2006/picture">
                <pic:pic>
                  <pic:nvPicPr>
                    <pic:cNvPr id="0" name="p06_i1.jpg"/>
                    <pic:cNvPicPr/>
                  </pic:nvPicPr>
                  <pic:blipFill>
                    <a:blip r:embed="rId14"/>
                    <a:stretch>
                      <a:fillRect/>
                    </a:stretch>
                  </pic:blipFill>
                  <pic:spPr>
                    <a:xfrm>
                      <a:off x="0" y="0"/>
                      <a:ext cx="5029200" cy="4259385"/>
                    </a:xfrm>
                    <a:prstGeom prst="rect"/>
                  </pic:spPr>
                </pic:pic>
              </a:graphicData>
            </a:graphic>
          </wp:inline>
        </w:drawing>
      </w:r>
    </w:p>
    <w:p>
      <w:pPr>
        <w:spacing w:after="160"/>
        <w:jc w:val="center"/>
      </w:pPr>
      <w:r>
        <w:rPr>
          <w:rFonts w:ascii="Times New Roman" w:hAnsi="Times New Roman" w:cs="Times New Roman" w:eastAsia="Times New Roman"/>
          <w:b w:val="0"/>
          <w:i/>
          <w:sz w:val="20"/>
        </w:rPr>
        <w:t>Figure 1 (from PMC11278452): “Differential modulation of pro-inflammatory mediators in relation to both the concentration and duration of treatment with N-acetylcysteine in in vitro models of airway inflammation. NAC: N-acetylcysteine; LPS: lipopolysaccharides; NKA: neurokinin A; IL-6: Interleukin-6; TNF-α: tumor necrosis factor-α; IL-8: Interleukin-8; IL-1β: Interleukin-1beta; NF-κB: Nuclear factor kappa B”</w:t>
      </w:r>
    </w:p>
    <w:p>
      <w:pPr>
        <w:jc w:val="center"/>
      </w:pPr>
      <w:r>
        <w:drawing>
          <wp:inline xmlns:a="http://schemas.openxmlformats.org/drawingml/2006/main" xmlns:pic="http://schemas.openxmlformats.org/drawingml/2006/picture">
            <wp:extent cx="5029200" cy="3369819"/>
            <wp:docPr id="22" name="Picture 22"/>
            <wp:cNvGraphicFramePr>
              <a:graphicFrameLocks noChangeAspect="1"/>
            </wp:cNvGraphicFramePr>
            <a:graphic>
              <a:graphicData uri="http://schemas.openxmlformats.org/drawingml/2006/picture">
                <pic:pic>
                  <pic:nvPicPr>
                    <pic:cNvPr id="0" name="p08_i1.jpg"/>
                    <pic:cNvPicPr/>
                  </pic:nvPicPr>
                  <pic:blipFill>
                    <a:blip r:embed="rId15"/>
                    <a:stretch>
                      <a:fillRect/>
                    </a:stretch>
                  </pic:blipFill>
                  <pic:spPr>
                    <a:xfrm>
                      <a:off x="0" y="0"/>
                      <a:ext cx="5029200" cy="3369819"/>
                    </a:xfrm>
                    <a:prstGeom prst="rect"/>
                  </pic:spPr>
                </pic:pic>
              </a:graphicData>
            </a:graphic>
          </wp:inline>
        </w:drawing>
      </w:r>
    </w:p>
    <w:p>
      <w:pPr>
        <w:spacing w:after="160"/>
        <w:jc w:val="center"/>
      </w:pPr>
      <w:r>
        <w:rPr>
          <w:rFonts w:ascii="Times New Roman" w:hAnsi="Times New Roman" w:cs="Times New Roman" w:eastAsia="Times New Roman"/>
          <w:b w:val="0"/>
          <w:i/>
          <w:sz w:val="20"/>
        </w:rPr>
        <w:t>Figure 2 (from PMC11278452): “Proposed molecular mechanisms for the therapeutic activity of N-acetylcysteine after oral administration in chronic respiratory diseases. NAC: N-acetylcysteine; GSH: glutathione; RSSH: persulfides; RSS n SR: polysulfides; NKA: neurokinin A; NF-κB: Nuclear factor kappa B; TNF-α: tumor necrosis factor-α; IL-1β: Interleukin-1beta; IL-8: Interleukin-8; ROS: reactive oxygen species.”</w:t>
      </w:r>
    </w:p>
    <w:p>
      <w:pPr>
        <w:jc w:val="center"/>
      </w:pPr>
      <w:r>
        <w:drawing>
          <wp:inline xmlns:a="http://schemas.openxmlformats.org/drawingml/2006/main" xmlns:pic="http://schemas.openxmlformats.org/drawingml/2006/picture">
            <wp:extent cx="5029200" cy="2121877"/>
            <wp:docPr id="23" name="Picture 23"/>
            <wp:cNvGraphicFramePr>
              <a:graphicFrameLocks noChangeAspect="1"/>
            </wp:cNvGraphicFramePr>
            <a:graphic>
              <a:graphicData uri="http://schemas.openxmlformats.org/drawingml/2006/picture">
                <pic:pic>
                  <pic:nvPicPr>
                    <pic:cNvPr id="0" name="p06_i2.jpg"/>
                    <pic:cNvPicPr/>
                  </pic:nvPicPr>
                  <pic:blipFill>
                    <a:blip r:embed="rId19"/>
                    <a:stretch>
                      <a:fillRect/>
                    </a:stretch>
                  </pic:blipFill>
                  <pic:spPr>
                    <a:xfrm>
                      <a:off x="0" y="0"/>
                      <a:ext cx="5029200" cy="2121877"/>
                    </a:xfrm>
                    <a:prstGeom prst="rect"/>
                  </pic:spPr>
                </pic:pic>
              </a:graphicData>
            </a:graphic>
          </wp:inline>
        </w:drawing>
      </w:r>
    </w:p>
    <w:p>
      <w:pPr>
        <w:spacing w:after="160"/>
        <w:jc w:val="center"/>
      </w:pPr>
      <w:r>
        <w:rPr>
          <w:rFonts w:ascii="Times New Roman" w:hAnsi="Times New Roman" w:cs="Times New Roman" w:eastAsia="Times New Roman"/>
          <w:b w:val="0"/>
          <w:i/>
          <w:sz w:val="20"/>
        </w:rPr>
        <w:t>Figure panel from PMC11278452 (source bitmap p06_i2.jpg, 1287×543 px).</w:t>
      </w:r>
    </w:p>
    <w:p>
      <w:pPr>
        <w:keepNext/>
        <w:spacing w:before="280" w:after="80"/>
        <w:outlineLvl w:val="1"/>
      </w:pPr>
      <w:r>
        <w:rPr>
          <w:rFonts w:ascii="Times New Roman" w:hAnsi="Times New Roman" w:cs="Times New Roman" w:eastAsia="Times New Roman"/>
          <w:b/>
          <w:i w:val="0"/>
          <w:color w:val="335588"/>
          <w:sz w:val="28"/>
        </w:rPr>
        <w:t>8.3  Neuropsychiatric disorders — chronic neuropathic pain, depression, schizophrenia, bipolar disorder, addiction</w:t>
      </w:r>
    </w:p>
    <w:p>
      <w:pPr>
        <w:spacing w:after="80"/>
        <w:jc w:val="both"/>
      </w:pPr>
      <w:r>
        <w:rPr>
          <w:rFonts w:ascii="Times New Roman" w:hAnsi="Times New Roman" w:cs="Times New Roman" w:eastAsia="Times New Roman"/>
          <w:b w:val="0"/>
          <w:i/>
          <w:sz w:val="22"/>
        </w:rPr>
        <w:t>Primary evidence: The Multifaceted Therapeutic Role of N -Acetylcysteine (NAC) in Disorders Characterized by Oxidative Stress. Current Neuropharmacology (2021). PMCID: PMC8719286; PMID: 33380301; DOI: 10.2174/1570159X19666201230144109.</w:t>
      </w:r>
    </w:p>
    <w:p>
      <w:pPr>
        <w:spacing w:after="80"/>
        <w:jc w:val="both"/>
      </w:pPr>
      <w:r>
        <w:rPr>
          <w:rFonts w:ascii="Times New Roman" w:hAnsi="Times New Roman" w:cs="Times New Roman" w:eastAsia="Times New Roman"/>
          <w:b w:val="0"/>
          <w:i w:val="0"/>
          <w:sz w:val="24"/>
        </w:rPr>
        <w:t>Pipeline-derived summary statement: NAC can modulate the homeostasis of glutamate; this has prompted studies of NAC in neuropsychiatric diseases characterised by impaired glutamate homeostasis.</w:t>
      </w:r>
    </w:p>
    <w:p>
      <w:pPr>
        <w:spacing w:after="80"/>
        <w:jc w:val="both"/>
      </w:pPr>
      <w:r>
        <w:rPr>
          <w:rFonts w:ascii="Times New Roman" w:hAnsi="Times New Roman" w:cs="Times New Roman" w:eastAsia="Times New Roman"/>
          <w:b/>
          <w:i w:val="0"/>
          <w:sz w:val="22"/>
        </w:rPr>
        <w:t>Verbatim abstract:</w:t>
      </w:r>
    </w:p>
    <w:p>
      <w:pPr>
        <w:spacing w:after="80"/>
        <w:jc w:val="both"/>
      </w:pPr>
      <w:r>
        <w:rPr>
          <w:rFonts w:ascii="Times New Roman" w:hAnsi="Times New Roman" w:cs="Times New Roman" w:eastAsia="Times New Roman"/>
          <w:b w:val="0"/>
          <w:i/>
          <w:sz w:val="24"/>
        </w:rPr>
        <w:t>“Oxidative stress, which results in the damage of diverse biological molecules, is a ubiquitous cellular process implicated in the etiology of many illnesses. The sulfhydryl-containing tripeptide glutathione (GSH), which is synthesized and maintained at high concentrations in all cells, is one of the mechanisms by which cells protect themselves from oxidative stress. N -acetylcysteine (NAC), a synthetic derivative of the endogenous amino acid L-cysteine and a precursor of GSH, has been used for several decades as a mucolytic and as an antidote to acetaminophen (paracetamol) poisoning. As a mucolytic, NAC breaks the disulfide bonds of heavily cross-linked mucins, thereby reducing mucus viscosity. In vitro , NAC has antifibrotic effects on lung fibroblasts. As an antidote to acetaminophen poisoning, NAC restores the hepatic GSH pool depleted in the drug detoxification process. More recently, improved knowledge of the mechanisms by which NAC acts has expanded its clinical applications. In particular, the discovery that NAC can modulate the homeostasis of glutamate has prompted studies of NAC in neuropsychiatric diseases characterized by impaired glutamate homeostasis. This narrative review provides an overview of the most relevant and recent evidence on the clinical application of NAC, with a focus on respiratory diseases, acetaminophen poisoning, disorders of the central nervous system (chronic neuropathic pain, depression, schizophrenia, bipolar disorder, and addiction), cardiovascular disease, contrast-induced nephropathy, and ophthalmology (retinitis pigmentosa).”</w:t>
      </w:r>
    </w:p>
    <w:p>
      <w:pPr>
        <w:spacing w:before="120" w:after="80"/>
        <w:jc w:val="both"/>
      </w:pPr>
      <w:r>
        <w:rPr>
          <w:rFonts w:ascii="Times New Roman" w:hAnsi="Times New Roman" w:cs="Times New Roman" w:eastAsia="Times New Roman"/>
          <w:b/>
          <w:i w:val="0"/>
          <w:sz w:val="24"/>
        </w:rPr>
        <w:t>Verbatim body paragraphs from PMC8719286 matching this therapeutic theme:</w:t>
      </w:r>
    </w:p>
    <w:p>
      <w:pPr>
        <w:spacing w:after="120"/>
        <w:jc w:val="both"/>
      </w:pPr>
      <w:r>
        <w:rPr>
          <w:rFonts w:ascii="Times New Roman" w:hAnsi="Times New Roman" w:cs="Times New Roman" w:eastAsia="Times New Roman"/>
          <w:b w:val="0"/>
          <w:i w:val="0"/>
          <w:sz w:val="24"/>
        </w:rPr>
        <w:t>“(4)** — Regulation of glutamate homeostasis by N -acetylcysteine (NAC). NAC stimulates glutamate efflux by activating the cysteine:glutamate antiporter (Sxc – ) thereby enhancing the endogenous activation of mGlu2 receptors. In addition, NAC enhances the clearance of synaptic glutamate by inducing GLT-1. GLT, glial membrane transporter; GSH, glutathione; mGlu, metabotropic glutamate; NMDA, N -methyl-d-asp graphic: `CN-19-1202_F4.jpg` ```json { "pmcid": "PMC8719286", "pmid": "33380301", "doi": "10.2174/1570159X19666201230144109", "title": "The Multifaceted Therapeutic Role of N -Acetylcysteine (NAC) in Disorders Characterized by Oxidative Stress", "journal": "Current Neuropharmacology", "year": "2021", "abstract": "Oxidative stress, which results in the damage of diverse biological molecules, is a ubiquitous cellular process implicated in the etiology of many illnesses. The sulfhydryl-containing tripeptide glutathione (GSH), which is synthesized and maintained at high concentrations in all cells, is one of the mechanisms by which cells protect themselves from oxidative stress.”  [PMC8719286 ¶2]</w:t>
      </w:r>
    </w:p>
    <w:p>
      <w:pPr>
        <w:spacing w:after="120"/>
        <w:jc w:val="both"/>
      </w:pPr>
      <w:r>
        <w:rPr>
          <w:rFonts w:ascii="Times New Roman" w:hAnsi="Times New Roman" w:cs="Times New Roman" w:eastAsia="Times New Roman"/>
          <w:b w:val="0"/>
          <w:i w:val="0"/>
          <w:sz w:val="24"/>
        </w:rPr>
        <w:t>“N -acetylcysteine (NAC), a synthetic derivative of the endogenous amino acid L-cysteine and a precursor of GSH, has been used for several decades as a mucolytic and as an antidote to acetaminophen (paracetamol) poisoning. As a mucolytic, NAC breaks the disulfide bonds of heavily cross-linked mucins, thereby reducing mucus viscosity. In vitro , NAC has antifibrotic effects on lung fibroblasts. As an antidote to acetaminophen poisoning, NAC restores the hepatic GSH pool depleted in the drug detoxification process. More recently, improved knowledge of the mechanisms by which NAC acts has expanded its clinical applications. In particular, the discovery that NAC can modulate the homeostasis of glutamate has prompted studies of NAC in neuropsychiatric diseases characterized by impaired glutamate homeostasis. This narrative review provides an overview of the most relevant and recent evidence on the clinical application of NAC, with a focus on respiratory diseases, acetaminophen poisoning, disorders of the central nervous system (chronic neuropathic pain, depression, schizophrenia, bipolar disorder, and addiction), cardiovascular disease, contrast-induced nephropathy, and ophthalmology (retinitis pigmentosa).", "body_text": "1 INTRODUCTION Oxidative stress is a ubiquitous cellular process implicated in the etiology of many illnesses [ 1 - 5 ].”  [PMC8719286 ¶3]</w:t>
      </w:r>
    </w:p>
    <w:p>
      <w:pPr>
        <w:spacing w:after="120"/>
        <w:jc w:val="both"/>
      </w:pPr>
      <w:r>
        <w:rPr>
          <w:rFonts w:ascii="Times New Roman" w:hAnsi="Times New Roman" w:cs="Times New Roman" w:eastAsia="Times New Roman"/>
          <w:b w:val="0"/>
          <w:i w:val="0"/>
          <w:sz w:val="24"/>
        </w:rPr>
        <w:t>“Several endogenous mechanisms exist to protect cells against oxidative stress [ 6 ]. The sulfhydryl (thiol)-containing tripeptide glutathione (GSH) is synthesized and maintained at high concentrations in virtually all cells and is one of the principal mechanisms by which reactive oxygen species (ROS) are eliminated [ 3 , 7 , 8 ]. N -acetylcysteine (NAC) is a synthetic derivative of the endogenous amino acid L-cysteine (Fig. 1 ), and a precursor of GSH. NAC not only modulates oxidative stress but other pathophysiologic processes implicated in disease. These include mitochondrial dysfunction, apoptosis, and inflammation, as well as indirect effects on neurotransmitters such as glutamate and dopamine [ 9 , 10 ]. The proposed pathophysiologic targets of NAC are presented in (Fig. 2 ), and will be covered further in subsequent sections. Whether antioxidant molecules, including cysteine and GSH, given exogenously have a therapeutic effect has long attracted interest [ 11 ].”  [PMC8719286 ¶4]</w:t>
      </w:r>
    </w:p>
    <w:p>
      <w:pPr>
        <w:jc w:val="center"/>
      </w:pPr>
      <w:r>
        <w:drawing>
          <wp:inline xmlns:a="http://schemas.openxmlformats.org/drawingml/2006/main" xmlns:pic="http://schemas.openxmlformats.org/drawingml/2006/picture">
            <wp:extent cx="5029200" cy="3228118"/>
            <wp:docPr id="24" name="Picture 24"/>
            <wp:cNvGraphicFramePr>
              <a:graphicFrameLocks noChangeAspect="1"/>
            </wp:cNvGraphicFramePr>
            <a:graphic>
              <a:graphicData uri="http://schemas.openxmlformats.org/drawingml/2006/picture">
                <pic:pic>
                  <pic:nvPicPr>
                    <pic:cNvPr id="0" name="p01_i4.jpg"/>
                    <pic:cNvPicPr/>
                  </pic:nvPicPr>
                  <pic:blipFill>
                    <a:blip r:embed="rId20"/>
                    <a:stretch>
                      <a:fillRect/>
                    </a:stretch>
                  </pic:blipFill>
                  <pic:spPr>
                    <a:xfrm>
                      <a:off x="0" y="0"/>
                      <a:ext cx="5029200" cy="3228118"/>
                    </a:xfrm>
                    <a:prstGeom prst="rect"/>
                  </pic:spPr>
                </pic:pic>
              </a:graphicData>
            </a:graphic>
          </wp:inline>
        </w:drawing>
      </w:r>
    </w:p>
    <w:p>
      <w:pPr>
        <w:spacing w:after="160"/>
        <w:jc w:val="center"/>
      </w:pPr>
      <w:r>
        <w:rPr>
          <w:rFonts w:ascii="Times New Roman" w:hAnsi="Times New Roman" w:cs="Times New Roman" w:eastAsia="Times New Roman"/>
          <w:b w:val="0"/>
          <w:i/>
          <w:sz w:val="20"/>
        </w:rPr>
        <w:t>Figure panel from PMC8719286 (source bitmap p01_i4.jpg).</w:t>
      </w:r>
    </w:p>
    <w:p>
      <w:pPr>
        <w:spacing w:after="120"/>
        <w:jc w:val="both"/>
      </w:pPr>
      <w:r>
        <w:rPr>
          <w:rFonts w:ascii="Times New Roman" w:hAnsi="Times New Roman" w:cs="Times New Roman" w:eastAsia="Times New Roman"/>
          <w:b w:val="0"/>
          <w:i w:val="0"/>
          <w:sz w:val="24"/>
        </w:rPr>
        <w:t>“In the following sections, we will briefly describe the pharmacology of NAC and its role in counteracting oxidative stress. Next, we focus on the current clinical use of NAC in respiratory diseases and acetaminophen poisoning. Finally, we consider newer data about the potential of NAC in selected therapeutic areas, including disorders of the central nervous system (CNS; chronic neuropathic pain, depression, bipolar disorder, schizophrenia, and addiction), cardiovascular disease, contrast-induced nephropathy, and ophthalmology (retinitis pigmentosa [RP]). 2 METHODS A literature search was carried out through PubMed/MEDLINE for all studies, randomized controlled trials, systematic reviews, meta-analyses, and review articles of NAC published up to February 2019. Published articles that addressed the review objective were discussed and reviewed, and selected papers were supplemented by the clinical experience of the panel.”  [PMC8719286 ¶6]</w:t>
      </w:r>
    </w:p>
    <w:p>
      <w:pPr>
        <w:spacing w:after="120"/>
        <w:jc w:val="both"/>
      </w:pPr>
      <w:r>
        <w:rPr>
          <w:rFonts w:ascii="Times New Roman" w:hAnsi="Times New Roman" w:cs="Times New Roman" w:eastAsia="Times New Roman"/>
          <w:b w:val="0"/>
          <w:i w:val="0"/>
          <w:sz w:val="24"/>
        </w:rPr>
        <w:t>“The bibliographies of retrieved papers identified in the search were manually searched for additional relevant articles, and recent recommendations and treatment guidelines were also considered for inclusion. The literature was monitored as the manuscript was developed, and papers identified reviewed for relevance. 3 PHARMACOLOGY OF NAC GSH is synthesized in two steps from cysteine, glutamate, and glycine. Of these precursors, cysteine has the lowest intracellular concentration, limiting the rate of GSH synthesis in the presence of oxidative stress [ 8 ]. NAC is more stable than L-cysteine, which is rapidly oxidized in solution to the disulfide cysteine. Thus, NAC is a more efficient source of antioxidant sulfhydryl moieties than cysteine. Once inside cells, NAC is rapidly hydrolyzed to cysteine, which can be incorporated into GSH [ 8 ]. Furthermore, unlike GSH, NAC can cross the phospholipid bilayer of the plasma membrane of cells.”  [PMC8719286 ¶7]</w:t>
      </w:r>
    </w:p>
    <w:p>
      <w:pPr>
        <w:spacing w:after="120"/>
        <w:jc w:val="both"/>
      </w:pPr>
      <w:r>
        <w:rPr>
          <w:rFonts w:ascii="Times New Roman" w:hAnsi="Times New Roman" w:cs="Times New Roman" w:eastAsia="Times New Roman"/>
          <w:b w:val="0"/>
          <w:i w:val="0"/>
          <w:sz w:val="24"/>
        </w:rPr>
        <w:t>“Furthermore, NAC has also been investigated for heavy-metal poisoning and has the potential of acting as an antidote for heavy metal ions such as lead [ 94 - 96 ], cadmium, chromium, and mercury [ 97 ]. According to the prevailing hypothesis about the mechanisms of lead toxicity, Pb(II) oxidizes GSH, leading to increased levels of free radicals [ 95 ]. 6 NAC FOR NEUROLOGIC AND PSYCHIATRIC DISORDERS NAC has been investigated in many neurologic and psychiatric diseases, including neurodegenerative diseases, chronic and neuropathic pain, mood disorders, psychoses, and addiction [ 5 , 9 , 98 , 99 ]. Cognitive dysfunction lies at the core of most of these conditions, and oxidative stress has been implicated in cognitive impairment [ 100 ]. A recent systematic review provides an overview of the available data on the effects of NAC on human cognition in healthy individuals and in patients with Alzheimer\u2019s, bipolar disorder, schizophrenia, and other diseases of the CNS [ 100 ].”  [PMC8719286 ¶32]</w:t>
      </w:r>
    </w:p>
    <w:p>
      <w:pPr>
        <w:jc w:val="center"/>
      </w:pPr>
      <w:r>
        <w:drawing>
          <wp:inline xmlns:a="http://schemas.openxmlformats.org/drawingml/2006/main" xmlns:pic="http://schemas.openxmlformats.org/drawingml/2006/picture">
            <wp:extent cx="5029200" cy="7562707"/>
            <wp:docPr id="25" name="Picture 25"/>
            <wp:cNvGraphicFramePr>
              <a:graphicFrameLocks noChangeAspect="1"/>
            </wp:cNvGraphicFramePr>
            <a:graphic>
              <a:graphicData uri="http://schemas.openxmlformats.org/drawingml/2006/picture">
                <pic:pic>
                  <pic:nvPicPr>
                    <pic:cNvPr id="0" name="p01_i2.jpg"/>
                    <pic:cNvPicPr/>
                  </pic:nvPicPr>
                  <pic:blipFill>
                    <a:blip r:embed="rId21"/>
                    <a:stretch>
                      <a:fillRect/>
                    </a:stretch>
                  </pic:blipFill>
                  <pic:spPr>
                    <a:xfrm>
                      <a:off x="0" y="0"/>
                      <a:ext cx="5029200" cy="7562707"/>
                    </a:xfrm>
                    <a:prstGeom prst="rect"/>
                  </pic:spPr>
                </pic:pic>
              </a:graphicData>
            </a:graphic>
          </wp:inline>
        </w:drawing>
      </w:r>
    </w:p>
    <w:p>
      <w:pPr>
        <w:spacing w:after="160"/>
        <w:jc w:val="center"/>
      </w:pPr>
      <w:r>
        <w:rPr>
          <w:rFonts w:ascii="Times New Roman" w:hAnsi="Times New Roman" w:cs="Times New Roman" w:eastAsia="Times New Roman"/>
          <w:b w:val="0"/>
          <w:i/>
          <w:sz w:val="20"/>
        </w:rPr>
        <w:t>Figure panel from PMC8719286 (source bitmap p01_i2.jpg).</w:t>
      </w:r>
    </w:p>
    <w:p>
      <w:pPr>
        <w:spacing w:after="120"/>
        <w:jc w:val="both"/>
      </w:pPr>
      <w:r>
        <w:rPr>
          <w:rFonts w:ascii="Times New Roman" w:hAnsi="Times New Roman" w:cs="Times New Roman" w:eastAsia="Times New Roman"/>
          <w:b w:val="0"/>
          <w:i w:val="0"/>
          <w:sz w:val="24"/>
        </w:rPr>
        <w:t>“The available data, albeit early, suggest that NAC as an intervention provides significant cognitive improvements. However, the clinical relevance of its effects is currently unclear, given the limitations of the studies identified, including the heterogeneity of studies, the number of studies with insufficient power, and other methodologic considerations [ 100 ]. Preclinical data support a positive effect of NAC on cognition in animal models of mitochondrial dysfunction, inherited metabolic disorders, heavy metal neurotoxicity, and Alzheimer\u2019s disease [ 101 - 105 ]. Such data has helped dissect the mechanisms underlying the effects of NAC on the CNS. For example, a study in mice lacking glutamate transporter type 3 (excitatory amino acid transporter-3 [EAAT3]), an animal model that recapitulates brain changes and cognitive impairment associated with aging, showed that NAC was able to reverse learning and memory impairment [ 106 ].”  [PMC8719286 ¶33]</w:t>
      </w:r>
    </w:p>
    <w:p>
      <w:pPr>
        <w:spacing w:after="120"/>
        <w:jc w:val="both"/>
      </w:pPr>
      <w:r>
        <w:rPr>
          <w:rFonts w:ascii="Times New Roman" w:hAnsi="Times New Roman" w:cs="Times New Roman" w:eastAsia="Times New Roman"/>
          <w:b w:val="0"/>
          <w:i w:val="0"/>
          <w:sz w:val="24"/>
        </w:rPr>
        <w:t>“Besides taking up glutamate, EAAT3 also transports cysteine, the rate-limiting substrate in the synthesis of glutathione. Mice lacking EAAT3 have decreased levels of GSH and increased oxidative stress in neurons, and are characterized by premature brain aging. Although the cognitive impairment of the EAAT3 knockout mice might be due also to impaired glutamate uptake, the authors concluded that NAC treatment reversed cognitive impairment, at least in part, by increasing neuronal GSH levels. A large body of preclinical evidence has shown that NAC can act on the CNS by modulating glutamate homeostasis [ 107 ] (Fig. 2 ). Glutamate is the major excitatory neurotransmitter in the CNS and is involved in mechanisms of activity-dependent synaptic plasticity underlying learning and memory processes, such as long-term potentiation (LTP) and long-term depression (LTD) [ 108 ]. However, excessive excitatory action of glutamate may cause excitotoxic neuronal damage as a result of a sustained influx of extracellular calcium ions (Ca 2+ ) [ 109 , 110 ].”  [PMC8719286 ¶34]</w:t>
      </w:r>
    </w:p>
    <w:p>
      <w:pPr>
        <w:spacing w:after="120"/>
        <w:jc w:val="both"/>
      </w:pPr>
      <w:r>
        <w:rPr>
          <w:rFonts w:ascii="Times New Roman" w:hAnsi="Times New Roman" w:cs="Times New Roman" w:eastAsia="Times New Roman"/>
          <w:b w:val="0"/>
          <w:i w:val="0"/>
          <w:sz w:val="24"/>
        </w:rPr>
        <w:t>“For this reason, the homeostasis of extracellular glutamate is tightly controlled by the combined activity of neuronal and glial membrane transporters, such as glutamate transporter-1 (GLT1), glutamate aspartate transporter (GLAST), and the cysteine/glutamate antiporter, or system xc \u2013 (Sxc \u2013 ), present in astrocytes, and EAAT3 present in neurons. GLT1, GLAST, and EAAT3 clear synaptic and extra-synaptic glutamate, whereas Sxc \u2013 mediates the exchange of extracellular cysteine and intracellular glutamate across the cellular plasma membrane [ 111 ]. Sxc \u2013 is a fundamental component for the control of extracellular glutamate and feedback regulation of glutamate release [ 107 ]. The uptake of cysteine provides the intracellular cysteine required for the synthesis of GSH [ 111 ]. Notably, NAC has been shown to activate Sxc \u2013 [ 111 , 112 ] and to induce the expression of GLT1 [ 113 ].”  [PMC8719286 ¶35]</w:t>
      </w:r>
    </w:p>
    <w:p>
      <w:pPr>
        <w:jc w:val="center"/>
      </w:pPr>
      <w:r>
        <w:drawing>
          <wp:inline xmlns:a="http://schemas.openxmlformats.org/drawingml/2006/main" xmlns:pic="http://schemas.openxmlformats.org/drawingml/2006/picture">
            <wp:extent cx="5029200" cy="3646170"/>
            <wp:docPr id="26" name="Picture 26"/>
            <wp:cNvGraphicFramePr>
              <a:graphicFrameLocks noChangeAspect="1"/>
            </wp:cNvGraphicFramePr>
            <a:graphic>
              <a:graphicData uri="http://schemas.openxmlformats.org/drawingml/2006/picture">
                <pic:pic>
                  <pic:nvPicPr>
                    <pic:cNvPr id="0" name="p01_i3.jpg"/>
                    <pic:cNvPicPr/>
                  </pic:nvPicPr>
                  <pic:blipFill>
                    <a:blip r:embed="rId22"/>
                    <a:stretch>
                      <a:fillRect/>
                    </a:stretch>
                  </pic:blipFill>
                  <pic:spPr>
                    <a:xfrm>
                      <a:off x="0" y="0"/>
                      <a:ext cx="5029200" cy="3646170"/>
                    </a:xfrm>
                    <a:prstGeom prst="rect"/>
                  </pic:spPr>
                </pic:pic>
              </a:graphicData>
            </a:graphic>
          </wp:inline>
        </w:drawing>
      </w:r>
    </w:p>
    <w:p>
      <w:pPr>
        <w:spacing w:after="160"/>
        <w:jc w:val="center"/>
      </w:pPr>
      <w:r>
        <w:rPr>
          <w:rFonts w:ascii="Times New Roman" w:hAnsi="Times New Roman" w:cs="Times New Roman" w:eastAsia="Times New Roman"/>
          <w:b w:val="0"/>
          <w:i/>
          <w:sz w:val="20"/>
        </w:rPr>
        <w:t>Figure panel from PMC8719286 (source bitmap p01_i3.jpg).</w:t>
      </w:r>
    </w:p>
    <w:p>
      <w:pPr>
        <w:spacing w:after="120"/>
        <w:jc w:val="both"/>
      </w:pPr>
      <w:r>
        <w:rPr>
          <w:rFonts w:ascii="Times New Roman" w:hAnsi="Times New Roman" w:cs="Times New Roman" w:eastAsia="Times New Roman"/>
          <w:b w:val="0"/>
          <w:i w:val="0"/>
          <w:sz w:val="24"/>
        </w:rPr>
        <w:t>“Glutamate receptors are subdivided into ionotropic receptors ( i.e. , \u03b1-amino-3-hydroxyl-5-methyl-4-isoxazole-propionate [AMPA], N -methyl-D-aspartate, and kainate receptors), which form ligand-gated ion channels, and metabotropic glutamate (mGlu) receptors, which are coupled to G proteins (Fig. 2 ). By activating Sxc \u2013 , NAC enhances the endogenous activation of presynaptic mGlu2 receptors, thereby inhibiting glutamate release from excitatory nerve endings [ 114 ]. This action, combined with the induction of GLT1 in astrocytes, may at least in part account for the beneficial effects of NAC in conditions associated with excessive release of glutamate and impairment of glutamate homeostasis, and characterized by maladaptive synaptic plasticity and excitotoxic neuronal death [ 113 ]. Conditions associated with altered glutamate homeostasis include drug addiction, chronic pain, depression, schizophrenia, and neurodegenerative disorders [ 107 ], suggesting potential applications for NAC as adjuvant therapy in these disorders.”  [PMC8719286 ¶36]</w:t>
      </w:r>
    </w:p>
    <w:p>
      <w:pPr>
        <w:spacing w:after="120"/>
        <w:jc w:val="both"/>
      </w:pPr>
      <w:r>
        <w:rPr>
          <w:rFonts w:ascii="Times New Roman" w:hAnsi="Times New Roman" w:cs="Times New Roman" w:eastAsia="Times New Roman"/>
          <w:b w:val="0"/>
          <w:i w:val="0"/>
          <w:sz w:val="24"/>
        </w:rPr>
        <w:t>“(Fig. 4 ) summarizes the actions of NAC on Sxc\u2013 and its effects on glutamate homeostasis. 6.1 NAC and Addiction In preclinical studies, mGlu receptors are promising candidate pharmacotherapeutic targets in the management of substance use disorders [ 115 ]. The role of NAC in glutamate homeostasis has prompted research into the use of NAC for the treatment of addiction; most preclinical and clinical trials of NAC in neurologic and psychiatric diseases relate to addiction [ 9 ]. Studies in animal models suggest that vulnerability to relapse reflects an alteration in glutamate homeostasis in the nucleus accumbens [ 114 , 116 ]. In particular, cocaine treatment in mice has been shown to cause a bidirectional loss of activity-dependent synaptic plasticity in the nucleus accumbens core, which is a defect in both LTP and LTD of excitatory synaptic transmission [ 114 ]. This was associated with reduced expression of xCT (the catalytic subunit of Sxc \u2013 ) and mGlu2 receptors [ 116 ], suggesting that a defective endogenous activation of mGlu2 receptors in the nucleus accumbens underlies the altered glutamate homeostasis that is ultimately responsible for the loss of control in drug-seeking behavior and relapse.”  [PMC8719286 ¶37]</w:t>
      </w:r>
    </w:p>
    <w:p>
      <w:pPr>
        <w:spacing w:after="120"/>
        <w:jc w:val="both"/>
      </w:pPr>
      <w:r>
        <w:rPr>
          <w:rFonts w:ascii="Times New Roman" w:hAnsi="Times New Roman" w:cs="Times New Roman" w:eastAsia="Times New Roman"/>
          <w:b w:val="0"/>
          <w:i w:val="0"/>
          <w:sz w:val="24"/>
        </w:rPr>
        <w:t>“Systemic treatment of the cocaine-addicted mice with NAC was able to normalize both LTP and LTD in the nucleus accumbens; furthermore, NAC action was inhibited by the potent mGlu2/3 receptor antagonist, LY341495 [ 116 ]. More recent findings suggest that NAC corrects the alterations in glutamate homeostasis associated with drug addiction by inducing GLT1, a glial transporter that clears extracellular glutamate and inhibits the activation of extrasynaptic receptors that are involved in the induction and expression of maladaptive synaptic plasticity, such as mGlu5 receptors [ 117 ]. This mechanism might be at least as important as the activation of xCT for the ability of NAC to inhibit drug- and cue-induced reinstatement of cocaine, heroin, and nicotine seeking [ 112 , 118 - 125 ]. Interestingly, NAC suppressed D 9 -tetrahydrocannabinol and cannabidiol self-administration and cue-induced reinstatement in a rodent model of cannabis relapse [ 126 ].”  [PMC8719286 ¶38]</w:t>
      </w:r>
    </w:p>
    <w:p>
      <w:pPr>
        <w:spacing w:before="120" w:after="80"/>
        <w:jc w:val="both"/>
      </w:pPr>
      <w:r>
        <w:rPr>
          <w:rFonts w:ascii="Times New Roman" w:hAnsi="Times New Roman" w:cs="Times New Roman" w:eastAsia="Times New Roman"/>
          <w:b w:val="0"/>
          <w:i/>
          <w:sz w:val="22"/>
        </w:rPr>
        <w:t>Source-article figures for PMC8719286 (extracted from the Europe PMC PDF rendering, re-encoded as PNG for docx compatibility):</w:t>
      </w:r>
    </w:p>
    <w:p>
      <w:pPr>
        <w:jc w:val="center"/>
      </w:pPr>
      <w:r>
        <w:drawing>
          <wp:inline xmlns:a="http://schemas.openxmlformats.org/drawingml/2006/main" xmlns:pic="http://schemas.openxmlformats.org/drawingml/2006/picture">
            <wp:extent cx="5029200" cy="3228118"/>
            <wp:docPr id="27" name="Picture 27"/>
            <wp:cNvGraphicFramePr>
              <a:graphicFrameLocks noChangeAspect="1"/>
            </wp:cNvGraphicFramePr>
            <a:graphic>
              <a:graphicData uri="http://schemas.openxmlformats.org/drawingml/2006/picture">
                <pic:pic>
                  <pic:nvPicPr>
                    <pic:cNvPr id="0" name="p01_i4.jpg"/>
                    <pic:cNvPicPr/>
                  </pic:nvPicPr>
                  <pic:blipFill>
                    <a:blip r:embed="rId20"/>
                    <a:stretch>
                      <a:fillRect/>
                    </a:stretch>
                  </pic:blipFill>
                  <pic:spPr>
                    <a:xfrm>
                      <a:off x="0" y="0"/>
                      <a:ext cx="5029200" cy="3228118"/>
                    </a:xfrm>
                    <a:prstGeom prst="rect"/>
                  </pic:spPr>
                </pic:pic>
              </a:graphicData>
            </a:graphic>
          </wp:inline>
        </w:drawing>
      </w:r>
    </w:p>
    <w:p>
      <w:pPr>
        <w:spacing w:after="160"/>
        <w:jc w:val="center"/>
      </w:pPr>
      <w:r>
        <w:rPr>
          <w:rFonts w:ascii="Times New Roman" w:hAnsi="Times New Roman" w:cs="Times New Roman" w:eastAsia="Times New Roman"/>
          <w:b w:val="0"/>
          <w:i/>
          <w:sz w:val="20"/>
        </w:rPr>
        <w:t>Figure panel from PMC8719286 (source bitmap p01_i4.jpg, 1600×1027 px).</w:t>
      </w:r>
    </w:p>
    <w:p>
      <w:pPr>
        <w:jc w:val="center"/>
      </w:pPr>
      <w:r>
        <w:drawing>
          <wp:inline xmlns:a="http://schemas.openxmlformats.org/drawingml/2006/main" xmlns:pic="http://schemas.openxmlformats.org/drawingml/2006/picture">
            <wp:extent cx="5029200" cy="7562707"/>
            <wp:docPr id="28" name="Picture 28"/>
            <wp:cNvGraphicFramePr>
              <a:graphicFrameLocks noChangeAspect="1"/>
            </wp:cNvGraphicFramePr>
            <a:graphic>
              <a:graphicData uri="http://schemas.openxmlformats.org/drawingml/2006/picture">
                <pic:pic>
                  <pic:nvPicPr>
                    <pic:cNvPr id="0" name="p01_i2.jpg"/>
                    <pic:cNvPicPr/>
                  </pic:nvPicPr>
                  <pic:blipFill>
                    <a:blip r:embed="rId21"/>
                    <a:stretch>
                      <a:fillRect/>
                    </a:stretch>
                  </pic:blipFill>
                  <pic:spPr>
                    <a:xfrm>
                      <a:off x="0" y="0"/>
                      <a:ext cx="5029200" cy="7562707"/>
                    </a:xfrm>
                    <a:prstGeom prst="rect"/>
                  </pic:spPr>
                </pic:pic>
              </a:graphicData>
            </a:graphic>
          </wp:inline>
        </w:drawing>
      </w:r>
    </w:p>
    <w:p>
      <w:pPr>
        <w:spacing w:after="160"/>
        <w:jc w:val="center"/>
      </w:pPr>
      <w:r>
        <w:rPr>
          <w:rFonts w:ascii="Times New Roman" w:hAnsi="Times New Roman" w:cs="Times New Roman" w:eastAsia="Times New Roman"/>
          <w:b w:val="0"/>
          <w:i/>
          <w:sz w:val="20"/>
        </w:rPr>
        <w:t>Figure panel from PMC8719286 (source bitmap p01_i2.jpg, 1064×1600 px).</w:t>
      </w:r>
    </w:p>
    <w:p>
      <w:pPr>
        <w:jc w:val="center"/>
      </w:pPr>
      <w:r>
        <w:drawing>
          <wp:inline xmlns:a="http://schemas.openxmlformats.org/drawingml/2006/main" xmlns:pic="http://schemas.openxmlformats.org/drawingml/2006/picture">
            <wp:extent cx="5029200" cy="3646170"/>
            <wp:docPr id="29" name="Picture 29"/>
            <wp:cNvGraphicFramePr>
              <a:graphicFrameLocks noChangeAspect="1"/>
            </wp:cNvGraphicFramePr>
            <a:graphic>
              <a:graphicData uri="http://schemas.openxmlformats.org/drawingml/2006/picture">
                <pic:pic>
                  <pic:nvPicPr>
                    <pic:cNvPr id="0" name="p01_i3.jpg"/>
                    <pic:cNvPicPr/>
                  </pic:nvPicPr>
                  <pic:blipFill>
                    <a:blip r:embed="rId22"/>
                    <a:stretch>
                      <a:fillRect/>
                    </a:stretch>
                  </pic:blipFill>
                  <pic:spPr>
                    <a:xfrm>
                      <a:off x="0" y="0"/>
                      <a:ext cx="5029200" cy="3646170"/>
                    </a:xfrm>
                    <a:prstGeom prst="rect"/>
                  </pic:spPr>
                </pic:pic>
              </a:graphicData>
            </a:graphic>
          </wp:inline>
        </w:drawing>
      </w:r>
    </w:p>
    <w:p>
      <w:pPr>
        <w:spacing w:after="160"/>
        <w:jc w:val="center"/>
      </w:pPr>
      <w:r>
        <w:rPr>
          <w:rFonts w:ascii="Times New Roman" w:hAnsi="Times New Roman" w:cs="Times New Roman" w:eastAsia="Times New Roman"/>
          <w:b w:val="0"/>
          <w:i/>
          <w:sz w:val="20"/>
        </w:rPr>
        <w:t>Figure panel from PMC8719286 (source bitmap p01_i3.jpg, 1600×1160 px).</w:t>
      </w:r>
    </w:p>
    <w:p>
      <w:pPr>
        <w:jc w:val="center"/>
      </w:pPr>
      <w:r>
        <w:drawing>
          <wp:inline xmlns:a="http://schemas.openxmlformats.org/drawingml/2006/main" xmlns:pic="http://schemas.openxmlformats.org/drawingml/2006/picture">
            <wp:extent cx="5029200" cy="1254157"/>
            <wp:docPr id="30" name="Picture 30"/>
            <wp:cNvGraphicFramePr>
              <a:graphicFrameLocks noChangeAspect="1"/>
            </wp:cNvGraphicFramePr>
            <a:graphic>
              <a:graphicData uri="http://schemas.openxmlformats.org/drawingml/2006/picture">
                <pic:pic>
                  <pic:nvPicPr>
                    <pic:cNvPr id="0" name="p01_i1.jpg"/>
                    <pic:cNvPicPr/>
                  </pic:nvPicPr>
                  <pic:blipFill>
                    <a:blip r:embed="rId23"/>
                    <a:stretch>
                      <a:fillRect/>
                    </a:stretch>
                  </pic:blipFill>
                  <pic:spPr>
                    <a:xfrm>
                      <a:off x="0" y="0"/>
                      <a:ext cx="5029200" cy="1254157"/>
                    </a:xfrm>
                    <a:prstGeom prst="rect"/>
                  </pic:spPr>
                </pic:pic>
              </a:graphicData>
            </a:graphic>
          </wp:inline>
        </w:drawing>
      </w:r>
    </w:p>
    <w:p>
      <w:pPr>
        <w:spacing w:after="160"/>
        <w:jc w:val="center"/>
      </w:pPr>
      <w:r>
        <w:rPr>
          <w:rFonts w:ascii="Times New Roman" w:hAnsi="Times New Roman" w:cs="Times New Roman" w:eastAsia="Times New Roman"/>
          <w:b w:val="0"/>
          <w:i/>
          <w:sz w:val="20"/>
        </w:rPr>
        <w:t>Figure panel from PMC8719286 (source bitmap p01_i1.jpg, 1600×399 px).</w:t>
      </w:r>
    </w:p>
    <w:p>
      <w:pPr>
        <w:keepNext/>
        <w:spacing w:before="280" w:after="80"/>
        <w:outlineLvl w:val="1"/>
      </w:pPr>
      <w:r>
        <w:rPr>
          <w:rFonts w:ascii="Times New Roman" w:hAnsi="Times New Roman" w:cs="Times New Roman" w:eastAsia="Times New Roman"/>
          <w:b/>
          <w:i w:val="0"/>
          <w:color w:val="335588"/>
          <w:sz w:val="28"/>
        </w:rPr>
        <w:t>8.4  Cisplatin-induced male reproductive toxicity — L-cysteine protection</w:t>
      </w:r>
    </w:p>
    <w:p>
      <w:pPr>
        <w:spacing w:after="80"/>
        <w:jc w:val="both"/>
      </w:pPr>
      <w:r>
        <w:rPr>
          <w:rFonts w:ascii="Times New Roman" w:hAnsi="Times New Roman" w:cs="Times New Roman" w:eastAsia="Times New Roman"/>
          <w:b w:val="0"/>
          <w:i/>
          <w:sz w:val="22"/>
        </w:rPr>
        <w:t>Primary evidence: Protective Effects of L-Cysteine Against Cisplatin-Induced Oxidative Stress-Mediated Reproductive Damage. Antioxidants (2024). PMCID: PMC11672833; PMID: 39765772; DOI: 10.3390/antiox13121443.</w:t>
      </w:r>
    </w:p>
    <w:p>
      <w:pPr>
        <w:spacing w:after="80"/>
        <w:jc w:val="both"/>
      </w:pPr>
      <w:r>
        <w:rPr>
          <w:rFonts w:ascii="Times New Roman" w:hAnsi="Times New Roman" w:cs="Times New Roman" w:eastAsia="Times New Roman"/>
          <w:b w:val="0"/>
          <w:i w:val="0"/>
          <w:sz w:val="24"/>
        </w:rPr>
        <w:t>Pipeline-derived summary statement: In rats, oral L-cysteine administration for 21 days reduces cisplatin-induced oxidative stress, improves sperm viability, and protects testicular tissues from damage.</w:t>
      </w:r>
    </w:p>
    <w:p>
      <w:pPr>
        <w:spacing w:after="80"/>
        <w:jc w:val="both"/>
      </w:pPr>
      <w:r>
        <w:rPr>
          <w:rFonts w:ascii="Times New Roman" w:hAnsi="Times New Roman" w:cs="Times New Roman" w:eastAsia="Times New Roman"/>
          <w:b/>
          <w:i w:val="0"/>
          <w:sz w:val="22"/>
        </w:rPr>
        <w:t>Verbatim abstract:</w:t>
      </w:r>
    </w:p>
    <w:p>
      <w:pPr>
        <w:spacing w:after="80"/>
        <w:jc w:val="both"/>
      </w:pPr>
      <w:r>
        <w:rPr>
          <w:rFonts w:ascii="Times New Roman" w:hAnsi="Times New Roman" w:cs="Times New Roman" w:eastAsia="Times New Roman"/>
          <w:b w:val="0"/>
          <w:i/>
          <w:sz w:val="24"/>
        </w:rPr>
        <w:t>“Cisplatin (CIS) is a widely used chemotherapeutic agent, but its side effects, such as oxidative stress, inflammation, and apoptosis, often lead to male reproductive damage. Oxidative stress, primarily caused by the excessive generation of reactive oxygen species (ROS), plays a critical role in disrupting testicular homeostasis, resulting in spermatogenic impairment and tissue injury. L-cysteine (CYS), a semi-essential amino acid with potent antioxidant and anti-inflammatory properties, may offer protection against CIS-induced oxidative damage. This study aimed to assess the protective potential of CYS against CIS-induced male reproductive toxicity using in vivo and in vitro models. In vitro, treatment of TM3 (Leydig) and TM4 (Sertoli) cells with CIS led to increased ROS levels, reduced cell viability, and elevated apoptosis and inflammation, all of which were significantly ameliorated by subsequent CYS exposure. In vivo, CIS-treated male rats displayed heightened oxidative stress, impaired spermatogenesis, and histopathological damage in reproductive organs. However, CYS administration for 21 days significantly reduced oxidative stress, improved sperm viability, and protected testicular tissues from damage. These findings suggest that CYS has a protective effect against CIS-induced oxidative stress and male reproductive damage, making it a promising therapeutic agent for mitigating CIS-induced reproductive toxicity.”</w:t>
      </w:r>
    </w:p>
    <w:p>
      <w:pPr>
        <w:spacing w:before="120" w:after="80"/>
        <w:jc w:val="both"/>
      </w:pPr>
      <w:r>
        <w:rPr>
          <w:rFonts w:ascii="Times New Roman" w:hAnsi="Times New Roman" w:cs="Times New Roman" w:eastAsia="Times New Roman"/>
          <w:b/>
          <w:i w:val="0"/>
          <w:sz w:val="24"/>
        </w:rPr>
        <w:t>Verbatim body paragraphs from PMC11672833 matching this therapeutic theme:</w:t>
      </w:r>
    </w:p>
    <w:p>
      <w:pPr>
        <w:spacing w:after="120"/>
        <w:jc w:val="both"/>
      </w:pPr>
      <w:r>
        <w:rPr>
          <w:rFonts w:ascii="Times New Roman" w:hAnsi="Times New Roman" w:cs="Times New Roman" w:eastAsia="Times New Roman"/>
          <w:b w:val="0"/>
          <w:i w:val="0"/>
          <w:sz w:val="24"/>
        </w:rPr>
        <w:t>“## Figure captions (10) 1. **Figure 1** — Effect of L-cysteine (CYS) and cisplatin (CIS) on TM3 and TM4 cell viability. TM3 (5000 cells/well) (n = 7) and TM4 cells (3000 cells/well) (n = 7) were cultured in a 96-well plate for cell viability assays. Cells were treated with different concentrations of ( A , B ) CYS (0.1, 0.2, 0.5, 1, and 2 mM) or ( D , F ) CIS (5, 7.5, 10, 15, and 20 µM) for 24 or 16 h and stained with MTS assay. ( C ) TM3 graphic: `antioxidants-13-01443-g001.jpg` 2. **Figure 2** — L-cysteine (CYS) attenuates cisplatin (CIS)-induced reduction in TM3 and TM4 cell viability. TM3 (5000 cell/well) (n = 7) and TM4 cells (3000 cell/well) (n = 7) were cultured in a 96-well plate for cell viability. TM3 (n = 7) and TM4 (n = 7) cells (4 × 10 4 cell/well) were cultured in a 12-well plate for cell morphology and composition. They were co-treated with different concentrations of CYS (0. graphic: `antioxidants-13-01443-g002.jpg` 3. **Figure 3** — Effect of L-cysteine (CYS) on reactive oxygen species production in cisplatin (CIS)-induced TM3 and TM4 cells.”  [PMC11672833 ¶1]</w:t>
      </w:r>
    </w:p>
    <w:p>
      <w:pPr>
        <w:spacing w:after="120"/>
        <w:jc w:val="both"/>
      </w:pPr>
      <w:r>
        <w:rPr>
          <w:rFonts w:ascii="Times New Roman" w:hAnsi="Times New Roman" w:cs="Times New Roman" w:eastAsia="Times New Roman"/>
          <w:b w:val="0"/>
          <w:i w:val="0"/>
          <w:sz w:val="24"/>
        </w:rPr>
        <w:t>“The cells (1.2 × 10 5 cells/well) were cultured in a 6-well plate. They were co-treated with different concentrations of CYS (0.1, 0.2, 0.5, and 1 mM) and, respectively, induced by CIS (7.5 or 10 µM) for 24 and 16 h (n = 7). ( A , B ) ROS measurements were conducted by incubating the cell graphic: `antioxidants-13-01443-g003.jpg` 4. **Figure 4** — Effect of L-cysteine (CYS) on apoptosis-related protein expression in cisplatin (CIS)-induced TM3 and TM4 cells. ( A ) TM3 and ( C ) TM4 cells (1 × 10 5 cells) were cultured in a 6 cm dish. Cells were co-treated with different concentrations of CYS (0.1, 0.2, 0.5, and 1 mM) and induced with CIS (7.5 or 10 µM) for 24 and 16 h, respectively (n = 4). The protein expression of PARP, Caspase 3, Bcl-2, graphic: `antioxidants-13-01443-g004.jpg` 5. **Figure 5** — Effect of L-cysteine (CYS) on testosterone secretion-related modulators in cisplatin (CIS)-induced TM3 cells.”  [PMC11672833 ¶2]</w:t>
      </w:r>
    </w:p>
    <w:p>
      <w:pPr>
        <w:spacing w:after="120"/>
        <w:jc w:val="both"/>
      </w:pPr>
      <w:r>
        <w:rPr>
          <w:rFonts w:ascii="Times New Roman" w:hAnsi="Times New Roman" w:cs="Times New Roman" w:eastAsia="Times New Roman"/>
          <w:b w:val="0"/>
          <w:i w:val="0"/>
          <w:sz w:val="24"/>
        </w:rPr>
        <w:t>“TM3 cells (1 × 10 5 cell/well) were cultured in a 6 cm dish. Cells were co-treated with different concentrations of CYS (0.1, 0.2, 0.5, 1 mM) and induced with CIS (7.5 µM) for 24 h (n = 4). ( A ) The inflammatory protein expressions were determined by Western blot. ( B ) iNOS and ( C ) COX graphic: `antioxidants-13-01443-g005.jpg` 6. **Figure 6** — Effect of L-cysteine (CYS) on blood–testis barrier (BTB)-related protein expression in cisplatin (CIS)-induced TM4 cells. The cells (1 × 10 5 cell/well) were cultured in a 6 cm dish. Cells were co-treated with different concentrations of CYS (0.1, 0.2, 0.5, and 1 mM) and induced with CIS (10 µM) for 24 h (n = 4). ( A ) The BTB protein expressions were determined by Western blot. ( B ) ZO-1 and ( C graphic: `antioxidants-13-01443-g006.jpg` 7. **Figure 7** — Effect of L-cysteine (CYS) on cisplatin (CIS)-induced weight and organ changes in in vivo model.”  [PMC11672833 ¶3]</w:t>
      </w:r>
    </w:p>
    <w:p>
      <w:pPr>
        <w:jc w:val="center"/>
      </w:pPr>
      <w:r>
        <w:drawing>
          <wp:inline xmlns:a="http://schemas.openxmlformats.org/drawingml/2006/main" xmlns:pic="http://schemas.openxmlformats.org/drawingml/2006/picture">
            <wp:extent cx="5029200" cy="5245580"/>
            <wp:docPr id="31" name="Picture 31"/>
            <wp:cNvGraphicFramePr>
              <a:graphicFrameLocks noChangeAspect="1"/>
            </wp:cNvGraphicFramePr>
            <a:graphic>
              <a:graphicData uri="http://schemas.openxmlformats.org/drawingml/2006/picture">
                <pic:pic>
                  <pic:nvPicPr>
                    <pic:cNvPr id="0" name="p10_i1.jpg"/>
                    <pic:cNvPicPr/>
                  </pic:nvPicPr>
                  <pic:blipFill>
                    <a:blip r:embed="rId24"/>
                    <a:stretch>
                      <a:fillRect/>
                    </a:stretch>
                  </pic:blipFill>
                  <pic:spPr>
                    <a:xfrm>
                      <a:off x="0" y="0"/>
                      <a:ext cx="5029200" cy="5245580"/>
                    </a:xfrm>
                    <a:prstGeom prst="rect"/>
                  </pic:spPr>
                </pic:pic>
              </a:graphicData>
            </a:graphic>
          </wp:inline>
        </w:drawing>
      </w:r>
    </w:p>
    <w:p>
      <w:pPr>
        <w:spacing w:after="160"/>
        <w:jc w:val="center"/>
      </w:pPr>
      <w:r>
        <w:rPr>
          <w:rFonts w:ascii="Times New Roman" w:hAnsi="Times New Roman" w:cs="Times New Roman" w:eastAsia="Times New Roman"/>
          <w:b w:val="0"/>
          <w:i/>
          <w:sz w:val="20"/>
        </w:rPr>
        <w:t>Figure 1 (from PMC11672833): “Effect of L-cysteine (CYS) and cisplatin (CIS) on TM3 and TM4 cell viability. TM3 (5000 cells/well) (n = 7) and TM4 cells (3000 cells/well) (n = 7) were cultured in a 96-well plate for cell viability assays. Cells were treated with different concentrations of ( A , B ) CYS (0.1, 0.2, 0.5, 1, and 2 mM) or ( D , F ) CIS (5, 7.5, 10, 15, and 20 µM) for 24 or 16”</w:t>
      </w:r>
    </w:p>
    <w:p>
      <w:pPr>
        <w:spacing w:after="120"/>
        <w:jc w:val="both"/>
      </w:pPr>
      <w:r>
        <w:rPr>
          <w:rFonts w:ascii="Times New Roman" w:hAnsi="Times New Roman" w:cs="Times New Roman" w:eastAsia="Times New Roman"/>
          <w:b w:val="0"/>
          <w:i w:val="0"/>
          <w:sz w:val="24"/>
        </w:rPr>
        <w:t>“( A ) Body weight and ( B ) body weight changes, and the relative weight changes of the ( C ) testis, ( D ) epididymis, ( E ) heart, ( F ) liver, and ( G ) kidney in a CIS-induced animal model after CYS pretreatment (n = 8). Data are represented as mean ± SEM. Different groups were analyzed using Stude graphic: `antioxidants-13-01443-g007.jpg` 8. **Figure 8** — Protective role of L-cysteine (CYS) treatment for the biochemical indicators in cisplatin-induced in vivo model. ( A ) Testosterone and P450scc protein expression were evaluated by Western blot; ( B ) SGOT, ( C ) SGPT, ( D ) BUN, ( E ) creatinine, ( F ) LDH, and ( G ) CPK levels in a cisplatin-induced animal model after CYS pretreatment (n = 8). Data are represented as mean ± SEM. Different groups graphic: `antioxidants-13-01443-g008.jpg` 9. **Figure 9** — Effect of L-cysteine (CYS) on testicular damage in cisplatin (CIS)-induced male rats.”  [PMC11672833 ¶4]</w:t>
      </w:r>
    </w:p>
    <w:p>
      <w:pPr>
        <w:spacing w:after="120"/>
        <w:jc w:val="both"/>
      </w:pPr>
      <w:r>
        <w:rPr>
          <w:rFonts w:ascii="Times New Roman" w:hAnsi="Times New Roman" w:cs="Times New Roman" w:eastAsia="Times New Roman"/>
          <w:b w:val="0"/>
          <w:i w:val="0"/>
          <w:sz w:val="24"/>
        </w:rPr>
        <w:t>“( A ) The appearance of the testis and epididymis. ( B ) Hematoxylin-and-eosin-stained sections of the testis, observed under magnification at ×100, ×200, and ×400. Observations were made on multiple sections (2–3) from each testicular fragment to ensure consistent and representative assessment. Labels in the fig graphic: `antioxidants-13-01443-g009.jpg` 10. **Figure 10** — Effect of L-cysteine (CYS) on sperm morphology and viability in cisplatin (CIS)-induced animal model. ( A ) Sperm morphology stained with eosin Y and crystal violet, observed at 400× magnification. Black arrows indicate abnormal sperm, including (a) bent neck and (b) bent tail. ( B ) Sperm viability was assessed by counting the number of live and dead sperm. Data are represented as mean ± SEM. Dif graphic: `antioxidants-13-01443-g010.jpg` ```json { "pmcid": "PMC11672833", "pmid": "39765772", "doi": "10.3390/antiox13121443", "title": "Protective Effects of L-Cysteine Against Cisplatin-Induced Oxidative Stress-Mediated Reproductive Damage", "journal": "Antioxidants", "year": "2024", "abstract": "Cisplatin (CIS) is a widely used chemotherapeutic agent, but its side effects, such as oxidative stress, inflammation, and apoptosis, often lead to male reproductive damage.”  [PMC11672833 ¶5]</w:t>
      </w:r>
    </w:p>
    <w:p>
      <w:pPr>
        <w:spacing w:after="120"/>
        <w:jc w:val="both"/>
      </w:pPr>
      <w:r>
        <w:rPr>
          <w:rFonts w:ascii="Times New Roman" w:hAnsi="Times New Roman" w:cs="Times New Roman" w:eastAsia="Times New Roman"/>
          <w:b w:val="0"/>
          <w:i w:val="0"/>
          <w:sz w:val="24"/>
        </w:rPr>
        <w:t>“Oxidative stress, primarily caused by the excessive generation of reactive oxygen species (ROS), plays a critical role in disrupting testicular homeostasis, resulting in spermatogenic impairment and tissue injury. L-cysteine (CYS), a semi-essential amino acid with potent antioxidant and anti-inflammatory properties, may offer protection against CIS-induced oxidative damage. This study aimed to assess the protective potential of CYS against CIS-induced male reproductive toxicity using in vivo and in vitro models. In vitro, treatment of TM3 (Leydig) and TM4 (Sertoli) cells with CIS led to increased ROS levels, reduced cell viability, and elevated apoptosis and inflammation, all of which were significantly ameliorated by subsequent CYS exposure. In vivo, CIS-treated male rats displayed heightened oxidative stress, impaired spermatogenesis, and histopathological damage in reproductive organs.”  [PMC11672833 ¶6]</w:t>
      </w:r>
    </w:p>
    <w:p>
      <w:pPr>
        <w:jc w:val="center"/>
      </w:pPr>
      <w:r>
        <w:drawing>
          <wp:inline xmlns:a="http://schemas.openxmlformats.org/drawingml/2006/main" xmlns:pic="http://schemas.openxmlformats.org/drawingml/2006/picture">
            <wp:extent cx="5029200" cy="7139947"/>
            <wp:docPr id="32" name="Picture 32"/>
            <wp:cNvGraphicFramePr>
              <a:graphicFrameLocks noChangeAspect="1"/>
            </wp:cNvGraphicFramePr>
            <a:graphic>
              <a:graphicData uri="http://schemas.openxmlformats.org/drawingml/2006/picture">
                <pic:pic>
                  <pic:nvPicPr>
                    <pic:cNvPr id="0" name="p14_i1.jpg"/>
                    <pic:cNvPicPr/>
                  </pic:nvPicPr>
                  <pic:blipFill>
                    <a:blip r:embed="rId25"/>
                    <a:stretch>
                      <a:fillRect/>
                    </a:stretch>
                  </pic:blipFill>
                  <pic:spPr>
                    <a:xfrm>
                      <a:off x="0" y="0"/>
                      <a:ext cx="5029200" cy="7139947"/>
                    </a:xfrm>
                    <a:prstGeom prst="rect"/>
                  </pic:spPr>
                </pic:pic>
              </a:graphicData>
            </a:graphic>
          </wp:inline>
        </w:drawing>
      </w:r>
    </w:p>
    <w:p>
      <w:pPr>
        <w:spacing w:after="160"/>
        <w:jc w:val="center"/>
      </w:pPr>
      <w:r>
        <w:rPr>
          <w:rFonts w:ascii="Times New Roman" w:hAnsi="Times New Roman" w:cs="Times New Roman" w:eastAsia="Times New Roman"/>
          <w:b w:val="0"/>
          <w:i/>
          <w:sz w:val="20"/>
        </w:rPr>
        <w:t>Figure 2 (from PMC11672833): “L-cysteine (CYS) attenuates cisplatin (CIS)-induced reduction in TM3 and TM4 cell viability. TM3 (5000 cell/well) (n = 7) and TM4 cells (3000 cell/well) (n = 7) were cultured in a 96-well plate for cell viability. TM3 (n = 7) and TM4 (n = 7) cells (4 × 10 4 cell/well) were cultured in a 12-well plate for cell morphology and composition. They were co-treated ”</w:t>
      </w:r>
    </w:p>
    <w:p>
      <w:pPr>
        <w:spacing w:after="120"/>
        <w:jc w:val="both"/>
      </w:pPr>
      <w:r>
        <w:rPr>
          <w:rFonts w:ascii="Times New Roman" w:hAnsi="Times New Roman" w:cs="Times New Roman" w:eastAsia="Times New Roman"/>
          <w:b w:val="0"/>
          <w:i w:val="0"/>
          <w:sz w:val="24"/>
        </w:rPr>
        <w:t>“However, CYS administration for 21 days significantly reduced oxidative stress, improved sperm viability, and protected testicular tissues from damage. These findings suggest that CYS has a protective effect against CIS-induced oxidative stress and male reproductive damage, making it a promising therapeutic agent for mitigating CIS-induced reproductive toxicity.", "body_text": "1. Introduction According to the World Health Organization (WHO) and American Medical Association (AMA) definitions of infertility, it is defined by the failure to conceive after more than 12 months of regular unprotected sexual intercourse [ 1 ]. Approximately 48.5 million couples have this problem and 20\u201330% of male infertility contributes to 50% of cases around the world [ 2 ]. The testis plays a crucial role in the male reproductive system, and several studies have suggested that a wide variety of endogenous and exogenous factors can disrupt male reproductive function.”  [PMC11672833 ¶7]</w:t>
      </w:r>
    </w:p>
    <w:p>
      <w:pPr>
        <w:spacing w:after="120"/>
        <w:jc w:val="both"/>
      </w:pPr>
      <w:r>
        <w:rPr>
          <w:rFonts w:ascii="Times New Roman" w:hAnsi="Times New Roman" w:cs="Times New Roman" w:eastAsia="Times New Roman"/>
          <w:b w:val="0"/>
          <w:i w:val="0"/>
          <w:sz w:val="24"/>
        </w:rPr>
        <w:t>“Approximately 70\u201380% of cases are caused by testicular defects, including chromosomal/genetic abnormalities (e.g., Klinefelter syndrome), cryptorchidism, varicocele, orchitis, cancer treatments (chemotherapy/radiotherapy), environmental factors (such as environmental toxins, high temperature, radiation, and smoking), autoimmune diseases (antisperm antibodies), and testicular torsion and trauma [ 3 ]. Several studies have suggested that oxidative stress and apoptosis are key mediators of male infertility by causing sperm dysfunction [ 4 ]. Oxidative stress is a disturbance in the balance between the production of reactive oxygen species (free radicals) and antioxidant defenses. Cisplatin (CIS), or cis-diamminedichloroplatinum (II), is an effective anticancer chemotherapy agent widely used to treat various cancer types. However, cisplatin is often accompanied by numerous toxicities as it reacts with the N7 reactive center of DNA, leading to DNA\u2013DNA crosslinks and the inhibition of DNA replication or transcription [ 5 ].”  [PMC11672833 ¶8]</w:t>
      </w:r>
    </w:p>
    <w:p>
      <w:pPr>
        <w:spacing w:after="120"/>
        <w:jc w:val="both"/>
      </w:pPr>
      <w:r>
        <w:rPr>
          <w:rFonts w:ascii="Times New Roman" w:hAnsi="Times New Roman" w:cs="Times New Roman" w:eastAsia="Times New Roman"/>
          <w:b w:val="0"/>
          <w:i w:val="0"/>
          <w:sz w:val="24"/>
        </w:rPr>
        <w:t>“Subsequently, CIS causes reproductive toxicity, resulting in the production of free reactive oxygen species (ROS), pro-inflammatory cytokines, mitochondrial dysfunction, and apoptosis. The testis is the target of chemotherapeutic agents due to spermatogenesis and spermiogenesis, in which testicular cell division and morphological changes occur [ 6 , 7 , 8 ]. Leydig cells are interstitial cells located adjacent to the seminiferous tubules in the testis [ 9 ].The mature function of Leydig cells is mainly to produce testosterone under the control of pituitary luteinizing hormone (LH) by action on steroidogenesis. Sertoli cells are the epithelial supporting cells of the seminiferous tubules. Sertoli cells are mainly regulators of spermatogenesis in the adult testis and express functional receptors for follicle-stimulating hormone (FSH) [ 10 , 11 ]. They support fetal germ cell changing in the adult male pathway and are essential for germ cell development.”  [PMC11672833 ¶9]</w:t>
      </w:r>
    </w:p>
    <w:p>
      <w:pPr>
        <w:jc w:val="center"/>
      </w:pPr>
      <w:r>
        <w:drawing>
          <wp:inline xmlns:a="http://schemas.openxmlformats.org/drawingml/2006/main" xmlns:pic="http://schemas.openxmlformats.org/drawingml/2006/picture">
            <wp:extent cx="5029200" cy="5814104"/>
            <wp:docPr id="33" name="Picture 33"/>
            <wp:cNvGraphicFramePr>
              <a:graphicFrameLocks noChangeAspect="1"/>
            </wp:cNvGraphicFramePr>
            <a:graphic>
              <a:graphicData uri="http://schemas.openxmlformats.org/drawingml/2006/picture">
                <pic:pic>
                  <pic:nvPicPr>
                    <pic:cNvPr id="0" name="p07_i1.jpg"/>
                    <pic:cNvPicPr/>
                  </pic:nvPicPr>
                  <pic:blipFill>
                    <a:blip r:embed="rId26"/>
                    <a:stretch>
                      <a:fillRect/>
                    </a:stretch>
                  </pic:blipFill>
                  <pic:spPr>
                    <a:xfrm>
                      <a:off x="0" y="0"/>
                      <a:ext cx="5029200" cy="5814104"/>
                    </a:xfrm>
                    <a:prstGeom prst="rect"/>
                  </pic:spPr>
                </pic:pic>
              </a:graphicData>
            </a:graphic>
          </wp:inline>
        </w:drawing>
      </w:r>
    </w:p>
    <w:p>
      <w:pPr>
        <w:spacing w:after="160"/>
        <w:jc w:val="center"/>
      </w:pPr>
      <w:r>
        <w:rPr>
          <w:rFonts w:ascii="Times New Roman" w:hAnsi="Times New Roman" w:cs="Times New Roman" w:eastAsia="Times New Roman"/>
          <w:b w:val="0"/>
          <w:i/>
          <w:sz w:val="20"/>
        </w:rPr>
        <w:t>Figure 3 (from PMC11672833): “Effect of L-cysteine (CYS) on reactive oxygen species production in cisplatin (CIS)-induced TM3 and TM4 cells. The cells (1.2 × 10 5 cells/well) were cultured in a 6-well plate. They were co-treated with different concentrations of CYS (0.1, 0.2, 0.5, and 1 mM) and, respectively, induced by CIS (7.5 or 10 µM) for 24 and 16 h (n = 7). ( A , B ) ROS measuremen”</w:t>
      </w:r>
    </w:p>
    <w:p>
      <w:pPr>
        <w:spacing w:after="120"/>
        <w:jc w:val="both"/>
      </w:pPr>
      <w:r>
        <w:rPr>
          <w:rFonts w:ascii="Times New Roman" w:hAnsi="Times New Roman" w:cs="Times New Roman" w:eastAsia="Times New Roman"/>
          <w:b w:val="0"/>
          <w:i w:val="0"/>
          <w:sz w:val="24"/>
        </w:rPr>
        <w:t>“CIS causes Leydig cell dysfunction, leading to impaired testosterone secretion and disruption of the Sertoli cells in seminiferous epithelium, which results in the impairment of spermatogenesis. In addition, cisplatin induces epididymal toxicity by decreasing epididymal sperm count [ 12 , 13 ]. Because the concomitant use of antioxidants with CIS may reduce the efficacy of cytotoxic drugs, it is essential to identify a potential substance specifically for the treatment of testicular damage. The semi-essential amino acid L-cysteine (CYS), which contains a thiol side chain that modulates enzymatic reactions, plays diverse roles within cells, including maintaining antioxidant homeostasis [ 14 ]. It is naturally found in meat, fish, grains, dairy, soybeans, and eggs [ 15 , 16 ]. CYS serves as a precursor to inorganic sulfates, coenzyme A, and glutathione [ 17 ]. Its primary functions include antioxidation and contributing to the stability of structural proteins [ 18 ].”  [PMC11672833 ¶10]</w:t>
      </w:r>
    </w:p>
    <w:p>
      <w:pPr>
        <w:spacing w:after="120"/>
        <w:jc w:val="both"/>
      </w:pPr>
      <w:r>
        <w:rPr>
          <w:rFonts w:ascii="Times New Roman" w:hAnsi="Times New Roman" w:cs="Times New Roman" w:eastAsia="Times New Roman"/>
          <w:b w:val="0"/>
          <w:i w:val="0"/>
          <w:sz w:val="24"/>
        </w:rPr>
        <w:t>“Therefore, this study aimed to investigate the protective effects of CYS on CIS-induced testicular damage through comprehensive in vivo and in vitro experiments. We assess the potential of CYS to mitigate oxidative stress, reduce apoptosis, and preserve the structural integrity and function of testicular cells in the presence of CIS. We explore the mechanisms by which CYS may counteract the adverse effects of CIS on male reproductive health. 2. Materials and Methods 2.1. Chemicals, Reagents, and Antibodies The materials used include Dulbecco\u2019s modified Eagle\u2019s medium (DMEM)/Ham\u2019s F-12 (12500062, Gibco (Grand Island, NY, USA)), Penicillin streptomycin solution, 100\u00d7 (30-002-CI, CORNING (Manassas, VA, USA)), fetal bovine serum (FBS, MT-35-010-CV, CORNING), Horse serum (HS, 16050114, Thermo fisher (Waltham, MA, USA)), vitamin C (VITC, A4544, Sigma (St. Louis, MO, USA)), gallic acid (GA, G7384, Sigma), L-cysteine (CYS, 168149, Sigma), cisplatin (CIS, 13119, Cayman (Ann Arbor, MI, USA)), a 2\u2032, 7\u2032-dichlorodihydrofluorescein diacetate (DCFDA, 601520, Cayman), 3-(4,5-dimethylthiazol-2-yl)-5-(3-carboxymethoxyphenyl)-2-(4-sulfophenyl)-2H-tetrazolium (MTS) assay kit (ab197010, Abcam (Cambridge, MA, USA)), and a 2,2-Diphenyl-1-Picrylhydrazyl (DPPH) Commercial kit (D678, Dojindo, Kumamoto, Japan). 2.2.”  [PMC11672833 ¶11]</w:t>
      </w:r>
    </w:p>
    <w:p>
      <w:pPr>
        <w:spacing w:after="120"/>
        <w:jc w:val="both"/>
      </w:pPr>
      <w:r>
        <w:rPr>
          <w:rFonts w:ascii="Times New Roman" w:hAnsi="Times New Roman" w:cs="Times New Roman" w:eastAsia="Times New Roman"/>
          <w:b w:val="0"/>
          <w:i w:val="0"/>
          <w:sz w:val="24"/>
        </w:rPr>
        <w:t>“Reactive Oxygen Species Measurement The intracellular level of ROS was determined by the indicator 6-carboxy-2\u2032,7\u2032-dichlorodihydrofluorescein diacetate (DCFDA), while mitochondria oxidative stress was evaluated by MitoSOX (Thermo fisher). After the treatment, the medium was removed, and the cells were incubated with 20 \u00b5M carboxy-DCFDA and 500 nM MitoSOX at 37 \u00b0C in the dark for 30 min. The fluorescence intensity was measured using Thermo Varioskan Flash (Thermo Electron Corporation, Vantaa, Finland) with excitation/emission settings of 492/515 nm (ROS) and 392/610 nm (MitoSOX), respectively. 2.7. Experimental Animal Model Forty male Sprague Dawley (SD) rats (5 weeks old) were acclimatized for one week before the experimental study. All animal care and experimental procedures strictly adhered to guidelines and regulations approved by the Institutional Animal Care and Use Committee at Taipei Medical University (LAC-2022-0148).”  [PMC11672833 ¶15]</w:t>
      </w:r>
    </w:p>
    <w:p>
      <w:pPr>
        <w:spacing w:before="120" w:after="80"/>
        <w:jc w:val="both"/>
      </w:pPr>
      <w:r>
        <w:rPr>
          <w:rFonts w:ascii="Times New Roman" w:hAnsi="Times New Roman" w:cs="Times New Roman" w:eastAsia="Times New Roman"/>
          <w:b w:val="0"/>
          <w:i/>
          <w:sz w:val="22"/>
        </w:rPr>
        <w:t>Source-article figures for PMC11672833 (extracted from the Europe PMC PDF rendering, re-encoded as PNG for docx compatibility):</w:t>
      </w:r>
    </w:p>
    <w:p>
      <w:pPr>
        <w:jc w:val="center"/>
      </w:pPr>
      <w:r>
        <w:drawing>
          <wp:inline xmlns:a="http://schemas.openxmlformats.org/drawingml/2006/main" xmlns:pic="http://schemas.openxmlformats.org/drawingml/2006/picture">
            <wp:extent cx="5029200" cy="5245580"/>
            <wp:docPr id="34" name="Picture 34"/>
            <wp:cNvGraphicFramePr>
              <a:graphicFrameLocks noChangeAspect="1"/>
            </wp:cNvGraphicFramePr>
            <a:graphic>
              <a:graphicData uri="http://schemas.openxmlformats.org/drawingml/2006/picture">
                <pic:pic>
                  <pic:nvPicPr>
                    <pic:cNvPr id="0" name="p10_i1.jpg"/>
                    <pic:cNvPicPr/>
                  </pic:nvPicPr>
                  <pic:blipFill>
                    <a:blip r:embed="rId24"/>
                    <a:stretch>
                      <a:fillRect/>
                    </a:stretch>
                  </pic:blipFill>
                  <pic:spPr>
                    <a:xfrm>
                      <a:off x="0" y="0"/>
                      <a:ext cx="5029200" cy="5245580"/>
                    </a:xfrm>
                    <a:prstGeom prst="rect"/>
                  </pic:spPr>
                </pic:pic>
              </a:graphicData>
            </a:graphic>
          </wp:inline>
        </w:drawing>
      </w:r>
    </w:p>
    <w:p>
      <w:pPr>
        <w:spacing w:after="160"/>
        <w:jc w:val="center"/>
      </w:pPr>
      <w:r>
        <w:rPr>
          <w:rFonts w:ascii="Times New Roman" w:hAnsi="Times New Roman" w:cs="Times New Roman" w:eastAsia="Times New Roman"/>
          <w:b w:val="0"/>
          <w:i/>
          <w:sz w:val="20"/>
        </w:rPr>
        <w:t>Figure 1 (from PMC11672833): “Effect of L-cysteine (CYS) and cisplatin (CIS) on TM3 and TM4 cell viability. TM3 (5000 cells/well) (n = 7) and TM4 cells (3000 cells/well) (n = 7) were cultured in a 96-well plate for cell viability assays. Cells were treated with different concentrations of ( A , B ) CYS (0.1, 0.2, 0.5, 1, and 2 mM) or ( D , F ) CIS (5, 7.5, 10, 15, and 20 µM) for 24 or 16 h and stained with ”</w:t>
      </w:r>
    </w:p>
    <w:p>
      <w:pPr>
        <w:jc w:val="center"/>
      </w:pPr>
      <w:r>
        <w:drawing>
          <wp:inline xmlns:a="http://schemas.openxmlformats.org/drawingml/2006/main" xmlns:pic="http://schemas.openxmlformats.org/drawingml/2006/picture">
            <wp:extent cx="5029200" cy="7139947"/>
            <wp:docPr id="35" name="Picture 35"/>
            <wp:cNvGraphicFramePr>
              <a:graphicFrameLocks noChangeAspect="1"/>
            </wp:cNvGraphicFramePr>
            <a:graphic>
              <a:graphicData uri="http://schemas.openxmlformats.org/drawingml/2006/picture">
                <pic:pic>
                  <pic:nvPicPr>
                    <pic:cNvPr id="0" name="p14_i1.jpg"/>
                    <pic:cNvPicPr/>
                  </pic:nvPicPr>
                  <pic:blipFill>
                    <a:blip r:embed="rId25"/>
                    <a:stretch>
                      <a:fillRect/>
                    </a:stretch>
                  </pic:blipFill>
                  <pic:spPr>
                    <a:xfrm>
                      <a:off x="0" y="0"/>
                      <a:ext cx="5029200" cy="7139947"/>
                    </a:xfrm>
                    <a:prstGeom prst="rect"/>
                  </pic:spPr>
                </pic:pic>
              </a:graphicData>
            </a:graphic>
          </wp:inline>
        </w:drawing>
      </w:r>
    </w:p>
    <w:p>
      <w:pPr>
        <w:spacing w:after="160"/>
        <w:jc w:val="center"/>
      </w:pPr>
      <w:r>
        <w:rPr>
          <w:rFonts w:ascii="Times New Roman" w:hAnsi="Times New Roman" w:cs="Times New Roman" w:eastAsia="Times New Roman"/>
          <w:b w:val="0"/>
          <w:i/>
          <w:sz w:val="20"/>
        </w:rPr>
        <w:t>Figure 2 (from PMC11672833): “L-cysteine (CYS) attenuates cisplatin (CIS)-induced reduction in TM3 and TM4 cell viability. TM3 (5000 cell/well) (n = 7) and TM4 cells (3000 cell/well) (n = 7) were cultured in a 96-well plate for cell viability. TM3 (n = 7) and TM4 (n = 7) cells (4 × 10 4 cell/well) were cultured in a 12-well plate for cell morphology and composition. They were co-treated with different conce”</w:t>
      </w:r>
    </w:p>
    <w:p>
      <w:pPr>
        <w:jc w:val="center"/>
      </w:pPr>
      <w:r>
        <w:drawing>
          <wp:inline xmlns:a="http://schemas.openxmlformats.org/drawingml/2006/main" xmlns:pic="http://schemas.openxmlformats.org/drawingml/2006/picture">
            <wp:extent cx="5029200" cy="5814104"/>
            <wp:docPr id="36" name="Picture 36"/>
            <wp:cNvGraphicFramePr>
              <a:graphicFrameLocks noChangeAspect="1"/>
            </wp:cNvGraphicFramePr>
            <a:graphic>
              <a:graphicData uri="http://schemas.openxmlformats.org/drawingml/2006/picture">
                <pic:pic>
                  <pic:nvPicPr>
                    <pic:cNvPr id="0" name="p07_i1.jpg"/>
                    <pic:cNvPicPr/>
                  </pic:nvPicPr>
                  <pic:blipFill>
                    <a:blip r:embed="rId26"/>
                    <a:stretch>
                      <a:fillRect/>
                    </a:stretch>
                  </pic:blipFill>
                  <pic:spPr>
                    <a:xfrm>
                      <a:off x="0" y="0"/>
                      <a:ext cx="5029200" cy="5814104"/>
                    </a:xfrm>
                    <a:prstGeom prst="rect"/>
                  </pic:spPr>
                </pic:pic>
              </a:graphicData>
            </a:graphic>
          </wp:inline>
        </w:drawing>
      </w:r>
    </w:p>
    <w:p>
      <w:pPr>
        <w:spacing w:after="160"/>
        <w:jc w:val="center"/>
      </w:pPr>
      <w:r>
        <w:rPr>
          <w:rFonts w:ascii="Times New Roman" w:hAnsi="Times New Roman" w:cs="Times New Roman" w:eastAsia="Times New Roman"/>
          <w:b w:val="0"/>
          <w:i/>
          <w:sz w:val="20"/>
        </w:rPr>
        <w:t>Figure 3 (from PMC11672833): “Effect of L-cysteine (CYS) on reactive oxygen species production in cisplatin (CIS)-induced TM3 and TM4 cells. The cells (1.2 × 10 5 cells/well) were cultured in a 6-well plate. They were co-treated with different concentrations of CYS (0.1, 0.2, 0.5, and 1 mM) and, respectively, induced by CIS (7.5 or 10 µM) for 24 and 16 h (n = 7). ( A , B ) ROS measurements were conducted by”</w:t>
      </w:r>
    </w:p>
    <w:p>
      <w:pPr>
        <w:jc w:val="center"/>
      </w:pPr>
      <w:r>
        <w:drawing>
          <wp:inline xmlns:a="http://schemas.openxmlformats.org/drawingml/2006/main" xmlns:pic="http://schemas.openxmlformats.org/drawingml/2006/picture">
            <wp:extent cx="5029200" cy="4356544"/>
            <wp:docPr id="37" name="Picture 37"/>
            <wp:cNvGraphicFramePr>
              <a:graphicFrameLocks noChangeAspect="1"/>
            </wp:cNvGraphicFramePr>
            <a:graphic>
              <a:graphicData uri="http://schemas.openxmlformats.org/drawingml/2006/picture">
                <pic:pic>
                  <pic:nvPicPr>
                    <pic:cNvPr id="0" name="p11_i3.jpg"/>
                    <pic:cNvPicPr/>
                  </pic:nvPicPr>
                  <pic:blipFill>
                    <a:blip r:embed="rId27"/>
                    <a:stretch>
                      <a:fillRect/>
                    </a:stretch>
                  </pic:blipFill>
                  <pic:spPr>
                    <a:xfrm>
                      <a:off x="0" y="0"/>
                      <a:ext cx="5029200" cy="4356544"/>
                    </a:xfrm>
                    <a:prstGeom prst="rect"/>
                  </pic:spPr>
                </pic:pic>
              </a:graphicData>
            </a:graphic>
          </wp:inline>
        </w:drawing>
      </w:r>
    </w:p>
    <w:p>
      <w:pPr>
        <w:spacing w:after="160"/>
        <w:jc w:val="center"/>
      </w:pPr>
      <w:r>
        <w:rPr>
          <w:rFonts w:ascii="Times New Roman" w:hAnsi="Times New Roman" w:cs="Times New Roman" w:eastAsia="Times New Roman"/>
          <w:b w:val="0"/>
          <w:i/>
          <w:sz w:val="20"/>
        </w:rPr>
        <w:t>Figure 4 (from PMC11672833): “Effect of L-cysteine (CYS) on apoptosis-related protein expression in cisplatin (CIS)-induced TM3 and TM4 cells. ( A ) TM3 and ( C ) TM4 cells (1 × 10 5 cells) were cultured in a 6 cm dish. Cells were co-treated with different concentrations of CYS (0.1, 0.2, 0.5, and 1 mM) and induced with CIS (7.5 or 10 µM) for 24 and 16 h, respectively (n = 4). The protein expression of PARP”</w:t>
      </w:r>
    </w:p>
    <w:p>
      <w:pPr>
        <w:jc w:val="center"/>
      </w:pPr>
      <w:r>
        <w:drawing>
          <wp:inline xmlns:a="http://schemas.openxmlformats.org/drawingml/2006/main" xmlns:pic="http://schemas.openxmlformats.org/drawingml/2006/picture">
            <wp:extent cx="5029200" cy="3040732"/>
            <wp:docPr id="38" name="Picture 38"/>
            <wp:cNvGraphicFramePr>
              <a:graphicFrameLocks noChangeAspect="1"/>
            </wp:cNvGraphicFramePr>
            <a:graphic>
              <a:graphicData uri="http://schemas.openxmlformats.org/drawingml/2006/picture">
                <pic:pic>
                  <pic:nvPicPr>
                    <pic:cNvPr id="0" name="p06_i1.jpg"/>
                    <pic:cNvPicPr/>
                  </pic:nvPicPr>
                  <pic:blipFill>
                    <a:blip r:embed="rId28"/>
                    <a:stretch>
                      <a:fillRect/>
                    </a:stretch>
                  </pic:blipFill>
                  <pic:spPr>
                    <a:xfrm>
                      <a:off x="0" y="0"/>
                      <a:ext cx="5029200" cy="3040732"/>
                    </a:xfrm>
                    <a:prstGeom prst="rect"/>
                  </pic:spPr>
                </pic:pic>
              </a:graphicData>
            </a:graphic>
          </wp:inline>
        </w:drawing>
      </w:r>
    </w:p>
    <w:p>
      <w:pPr>
        <w:spacing w:after="160"/>
        <w:jc w:val="center"/>
      </w:pPr>
      <w:r>
        <w:rPr>
          <w:rFonts w:ascii="Times New Roman" w:hAnsi="Times New Roman" w:cs="Times New Roman" w:eastAsia="Times New Roman"/>
          <w:b w:val="0"/>
          <w:i/>
          <w:sz w:val="20"/>
        </w:rPr>
        <w:t>Figure 5 (from PMC11672833): “Effect of L-cysteine (CYS) on testosterone secretion-related modulators in cisplatin (CIS)-induced TM3 cells. TM3 cells (1 × 10 5 cell/well) were cultured in a 6 cm dish. Cells were co-treated with different concentrations of CYS (0.1, 0.2, 0.5, 1 mM) and induced with CIS (7.5 µM) for 24 h (n = 4). ( A ) The inflammatory protein expressions were determined by Western blot. ( B ”</w:t>
      </w:r>
    </w:p>
    <w:p>
      <w:pPr>
        <w:jc w:val="center"/>
      </w:pPr>
      <w:r>
        <w:drawing>
          <wp:inline xmlns:a="http://schemas.openxmlformats.org/drawingml/2006/main" xmlns:pic="http://schemas.openxmlformats.org/drawingml/2006/picture">
            <wp:extent cx="5029200" cy="3036863"/>
            <wp:docPr id="39" name="Picture 39"/>
            <wp:cNvGraphicFramePr>
              <a:graphicFrameLocks noChangeAspect="1"/>
            </wp:cNvGraphicFramePr>
            <a:graphic>
              <a:graphicData uri="http://schemas.openxmlformats.org/drawingml/2006/picture">
                <pic:pic>
                  <pic:nvPicPr>
                    <pic:cNvPr id="0" name="p06_i2.jpg"/>
                    <pic:cNvPicPr/>
                  </pic:nvPicPr>
                  <pic:blipFill>
                    <a:blip r:embed="rId29"/>
                    <a:stretch>
                      <a:fillRect/>
                    </a:stretch>
                  </pic:blipFill>
                  <pic:spPr>
                    <a:xfrm>
                      <a:off x="0" y="0"/>
                      <a:ext cx="5029200" cy="3036863"/>
                    </a:xfrm>
                    <a:prstGeom prst="rect"/>
                  </pic:spPr>
                </pic:pic>
              </a:graphicData>
            </a:graphic>
          </wp:inline>
        </w:drawing>
      </w:r>
    </w:p>
    <w:p>
      <w:pPr>
        <w:spacing w:after="160"/>
        <w:jc w:val="center"/>
      </w:pPr>
      <w:r>
        <w:rPr>
          <w:rFonts w:ascii="Times New Roman" w:hAnsi="Times New Roman" w:cs="Times New Roman" w:eastAsia="Times New Roman"/>
          <w:b w:val="0"/>
          <w:i/>
          <w:sz w:val="20"/>
        </w:rPr>
        <w:t>Figure 6 (from PMC11672833): “Effect of L-cysteine (CYS) on blood–testis barrier (BTB)-related protein expression in cisplatin (CIS)-induced TM4 cells. The cells (1 × 10 5 cell/well) were cultured in a 6 cm dish. Cells were co-treated with different concentrations of CYS (0.1, 0.2, 0.5, and 1 mM) and induced with CIS (10 µM) for 24 h (n = 4). ( A ) The BTB protein expressions were determined by Western blot”</w:t>
      </w:r>
    </w:p>
    <w:p>
      <w:pPr>
        <w:jc w:val="center"/>
      </w:pPr>
      <w:r>
        <w:drawing>
          <wp:inline xmlns:a="http://schemas.openxmlformats.org/drawingml/2006/main" xmlns:pic="http://schemas.openxmlformats.org/drawingml/2006/picture">
            <wp:extent cx="5029200" cy="1640776"/>
            <wp:docPr id="40" name="Picture 40"/>
            <wp:cNvGraphicFramePr>
              <a:graphicFrameLocks noChangeAspect="1"/>
            </wp:cNvGraphicFramePr>
            <a:graphic>
              <a:graphicData uri="http://schemas.openxmlformats.org/drawingml/2006/picture">
                <pic:pic>
                  <pic:nvPicPr>
                    <pic:cNvPr id="0" name="p16_i1.jpg"/>
                    <pic:cNvPicPr/>
                  </pic:nvPicPr>
                  <pic:blipFill>
                    <a:blip r:embed="rId30"/>
                    <a:stretch>
                      <a:fillRect/>
                    </a:stretch>
                  </pic:blipFill>
                  <pic:spPr>
                    <a:xfrm>
                      <a:off x="0" y="0"/>
                      <a:ext cx="5029200" cy="1640776"/>
                    </a:xfrm>
                    <a:prstGeom prst="rect"/>
                  </pic:spPr>
                </pic:pic>
              </a:graphicData>
            </a:graphic>
          </wp:inline>
        </w:drawing>
      </w:r>
    </w:p>
    <w:p>
      <w:pPr>
        <w:spacing w:after="160"/>
        <w:jc w:val="center"/>
      </w:pPr>
      <w:r>
        <w:rPr>
          <w:rFonts w:ascii="Times New Roman" w:hAnsi="Times New Roman" w:cs="Times New Roman" w:eastAsia="Times New Roman"/>
          <w:b w:val="0"/>
          <w:i/>
          <w:sz w:val="20"/>
        </w:rPr>
        <w:t>Figure 7 (from PMC11672833): “Effect of L-cysteine (CYS) on cisplatin (CIS)-induced weight and organ changes in in vivo model. ( A ) Body weight and ( B ) body weight changes, and the relative weight changes of the ( C ) testis, ( D ) epididymis, ( E ) heart, ( F ) liver, and ( G ) kidney in a CIS-induced animal model after CYS pretreatment (n = 8). Data are represented as mean ± SEM. Different groups were ”</w:t>
      </w:r>
    </w:p>
    <w:p>
      <w:pPr>
        <w:jc w:val="center"/>
      </w:pPr>
      <w:r>
        <w:drawing>
          <wp:inline xmlns:a="http://schemas.openxmlformats.org/drawingml/2006/main" xmlns:pic="http://schemas.openxmlformats.org/drawingml/2006/picture">
            <wp:extent cx="5029200" cy="1640776"/>
            <wp:docPr id="41" name="Picture 41"/>
            <wp:cNvGraphicFramePr>
              <a:graphicFrameLocks noChangeAspect="1"/>
            </wp:cNvGraphicFramePr>
            <a:graphic>
              <a:graphicData uri="http://schemas.openxmlformats.org/drawingml/2006/picture">
                <pic:pic>
                  <pic:nvPicPr>
                    <pic:cNvPr id="0" name="p16_i2.jpg"/>
                    <pic:cNvPicPr/>
                  </pic:nvPicPr>
                  <pic:blipFill>
                    <a:blip r:embed="rId31"/>
                    <a:stretch>
                      <a:fillRect/>
                    </a:stretch>
                  </pic:blipFill>
                  <pic:spPr>
                    <a:xfrm>
                      <a:off x="0" y="0"/>
                      <a:ext cx="5029200" cy="1640776"/>
                    </a:xfrm>
                    <a:prstGeom prst="rect"/>
                  </pic:spPr>
                </pic:pic>
              </a:graphicData>
            </a:graphic>
          </wp:inline>
        </w:drawing>
      </w:r>
    </w:p>
    <w:p>
      <w:pPr>
        <w:spacing w:after="160"/>
        <w:jc w:val="center"/>
      </w:pPr>
      <w:r>
        <w:rPr>
          <w:rFonts w:ascii="Times New Roman" w:hAnsi="Times New Roman" w:cs="Times New Roman" w:eastAsia="Times New Roman"/>
          <w:b w:val="0"/>
          <w:i/>
          <w:sz w:val="20"/>
        </w:rPr>
        <w:t>Figure 8 (from PMC11672833): “Protective role of L-cysteine (CYS) treatment for the biochemical indicators in cisplatin-induced in vivo model. ( A ) Testosterone and P450scc protein expression were evaluated by Western blot; ( B ) SGOT, ( C ) SGPT, ( D ) BUN, ( E ) creatinine, ( F ) LDH, and ( G ) CPK levels in a cisplatin-induced animal model after CYS pretreatment (n = 8). Data are represented as mean ± S”</w:t>
      </w:r>
    </w:p>
    <w:p>
      <w:pPr>
        <w:keepNext/>
        <w:spacing w:before="280" w:after="80"/>
        <w:outlineLvl w:val="1"/>
      </w:pPr>
      <w:r>
        <w:rPr>
          <w:rFonts w:ascii="Times New Roman" w:hAnsi="Times New Roman" w:cs="Times New Roman" w:eastAsia="Times New Roman"/>
          <w:b/>
          <w:i w:val="0"/>
          <w:color w:val="335588"/>
          <w:sz w:val="28"/>
        </w:rPr>
        <w:t>8.5  Type 2 diabetes — oxidative stress and insulin sensitivity</w:t>
      </w:r>
    </w:p>
    <w:p>
      <w:pPr>
        <w:spacing w:after="80"/>
        <w:jc w:val="both"/>
      </w:pPr>
      <w:r>
        <w:rPr>
          <w:rFonts w:ascii="Times New Roman" w:hAnsi="Times New Roman" w:cs="Times New Roman" w:eastAsia="Times New Roman"/>
          <w:b w:val="0"/>
          <w:i/>
          <w:sz w:val="22"/>
        </w:rPr>
        <w:t>Primary evidence: The Role of Glutathione and Its Precursors in Type 2 Diabetes. Antioxidants (2024). PMCID: PMC10885928; PMID: 38397782; DOI: 10.3390/antiox13020184.</w:t>
      </w:r>
    </w:p>
    <w:p>
      <w:pPr>
        <w:spacing w:after="80"/>
        <w:jc w:val="both"/>
      </w:pPr>
      <w:r>
        <w:rPr>
          <w:rFonts w:ascii="Times New Roman" w:hAnsi="Times New Roman" w:cs="Times New Roman" w:eastAsia="Times New Roman"/>
          <w:b w:val="0"/>
          <w:i w:val="0"/>
          <w:sz w:val="24"/>
        </w:rPr>
        <w:t>Pipeline-derived summary statement: NAC and glycine, as glutathione precursors, have been studied for possible beneficial effects on type 2 diabetes via oxidative-stress modulation.</w:t>
      </w:r>
    </w:p>
    <w:p>
      <w:pPr>
        <w:spacing w:after="80"/>
        <w:jc w:val="both"/>
      </w:pPr>
      <w:r>
        <w:rPr>
          <w:rFonts w:ascii="Times New Roman" w:hAnsi="Times New Roman" w:cs="Times New Roman" w:eastAsia="Times New Roman"/>
          <w:b/>
          <w:i w:val="0"/>
          <w:sz w:val="22"/>
        </w:rPr>
        <w:t>Verbatim abstract:</w:t>
      </w:r>
    </w:p>
    <w:p>
      <w:pPr>
        <w:spacing w:after="80"/>
        <w:jc w:val="both"/>
      </w:pPr>
      <w:r>
        <w:rPr>
          <w:rFonts w:ascii="Times New Roman" w:hAnsi="Times New Roman" w:cs="Times New Roman" w:eastAsia="Times New Roman"/>
          <w:b w:val="0"/>
          <w:i/>
          <w:sz w:val="24"/>
        </w:rPr>
        <w:t>“Type 2 diabetes (T2D) is a major worldwide health crisis affecting about 6.2% of the world’s population. Alarmingly, about one in five children in the USA have prediabetes. Glutathione (GSH) and its precursors play a promising role in the prevention and management of type T2D. Oxidative stress (OxS) is a probable factor in both T2D initiation and progression. GSH is the major cytosolic water-soluble chemical antioxidant and emerging evidence supports its role in improving T2D outcomes. Dietary supplementation with N-acetyl-cysteine (NAC) and/or glycine (GLY), which are GSH precursors, has also been studied for possible beneficial effects on T2D. This review will focus on the underlying pathophysiological and molecular mechanisms linking GSH and its precursors with T2D and OxS. In addition to their traditional antioxidant roles, the in vivo effects of GSH/NAC/GLY supplements will be evaluated for their potential abilities to modulate the complex pro-oxidant pathophysiological factors (e.g., hyperglycemia) driving T2D progression. Positive feedback loops that amplify OxS over long time intervals are likely to result in irreversible T2D micro- and macro-vascular damage. Most clinical studies with GSH/NAC/GLY have focused on adults or the elderly. Future research with pediatric populations should be a high priority since early intervention is critical.”</w:t>
      </w:r>
    </w:p>
    <w:p>
      <w:pPr>
        <w:spacing w:before="120" w:after="80"/>
        <w:jc w:val="both"/>
      </w:pPr>
      <w:r>
        <w:rPr>
          <w:rFonts w:ascii="Times New Roman" w:hAnsi="Times New Roman" w:cs="Times New Roman" w:eastAsia="Times New Roman"/>
          <w:b/>
          <w:i w:val="0"/>
          <w:sz w:val="24"/>
        </w:rPr>
        <w:t>Verbatim body paragraphs from PMC10885928 matching this therapeutic theme:</w:t>
      </w:r>
    </w:p>
    <w:p>
      <w:pPr>
        <w:spacing w:after="120"/>
        <w:jc w:val="both"/>
      </w:pPr>
      <w:r>
        <w:rPr>
          <w:rFonts w:ascii="Times New Roman" w:hAnsi="Times New Roman" w:cs="Times New Roman" w:eastAsia="Times New Roman"/>
          <w:b w:val="0"/>
          <w:i w:val="0"/>
          <w:sz w:val="24"/>
        </w:rPr>
        <w:t>“## Figure captions (3) 1. **Figure 1** — Glutathione biosynthetic scheme. N-acetyl-L-cysteine (NAC) can supply cysteine (CYS) for the biosynthesis of reduced glutathione (GSH). NAC must first be hydrolyzed by aminoacylase 1 (ACY1) to release CYS. In the first step of GSH synthesis, L-glutamate-L-cysteine ligase (GCL) catalyzes the formation of gamma-L-glutamyl-L-cysteine (GGC) by linking CYS and L-glutamate (GLU). In the second step, glu graphic: `antioxidants-13-00184-g001.jpg` 2. **Figure 2** — The glutathione peroxidase (GPX) system and lipid peroxidation. GPX catalyzes the conversion of lipid hydroperoxides (LOOH), formed from lipid peroxidation to a lipid alcohol (LOH) utilizing GSH as a reducing agent. The oxidized GSH (GSSG) formed by this reaction is reduced back to GSH by glutathione reductase (GR) with the consumption of NADPH. The lipid peroxyl radical (LOO*) formed from lipid p graphic: `antioxidants-13-00184-g002.jpg` 3. **Figure 3** — Simplified scheme connecting oxidative stress (OxS) and T2D risk factors.”  [PMC10885928 ¶1]</w:t>
      </w:r>
    </w:p>
    <w:p>
      <w:pPr>
        <w:spacing w:after="120"/>
        <w:jc w:val="both"/>
      </w:pPr>
      <w:r>
        <w:rPr>
          <w:rFonts w:ascii="Times New Roman" w:hAnsi="Times New Roman" w:cs="Times New Roman" w:eastAsia="Times New Roman"/>
          <w:b w:val="0"/>
          <w:i w:val="0"/>
          <w:sz w:val="24"/>
        </w:rPr>
        <w:t>“Two sets of potential positive feedback loops (circles with +) are indicated (blue and red arrows). The text describes these positive feedback loops in more detail. Over prolonged time intervals, systemic OxS can cause beta-cell dysfunction as well as irreversible micro- and macro-vascular damage. graphic: `antioxidants-13-00184-g003.jpg` ```json { "pmcid": "PMC10885928", "pmid": "38397782", "doi": "10.3390/antiox13020184", "title": "The Role of Glutathione and Its Precursors in Type 2 Diabetes", "journal": "Antioxidants", "year": "2024", "abstract": "Type 2 diabetes (T2D) is a major worldwide health crisis affecting about 6.2% of the world\u2019s population. Alarmingly, about one in five children in the USA have prediabetes. Glutathione (GSH) and its precursors play a promising role in the prevention and management of type T2D. Oxidative stress (OxS) is a probable factor in both T2D initiation and progression.”  [PMC10885928 ¶2]</w:t>
      </w:r>
    </w:p>
    <w:p>
      <w:pPr>
        <w:spacing w:after="120"/>
        <w:jc w:val="both"/>
      </w:pPr>
      <w:r>
        <w:rPr>
          <w:rFonts w:ascii="Times New Roman" w:hAnsi="Times New Roman" w:cs="Times New Roman" w:eastAsia="Times New Roman"/>
          <w:b w:val="0"/>
          <w:i w:val="0"/>
          <w:sz w:val="24"/>
        </w:rPr>
        <w:t>“GSH is the major cytosolic water-soluble chemical antioxidant and emerging evidence supports its role in improving T2D outcomes. Dietary supplementation with N-acetyl-cysteine (NAC) and/or glycine (GLY), which are GSH precursors, has also been studied for possible beneficial effects on T2D. This review will focus on the underlying pathophysiological and molecular mechanisms linking GSH and its precursors with T2D and OxS. In addition to their traditional antioxidant roles, the in vivo effects of GSH/NAC/GLY supplements will be evaluated for their potential abilities to modulate the complex pro-oxidant pathophysiological factors (e.g., hyperglycemia) driving T2D progression. Positive feedback loops that amplify OxS over long time intervals are likely to result in irreversible T2D micro- and macro-vascular damage. Most clinical studies with GSH/NAC/GLY have focused on adults or the elderly.”  [PMC10885928 ¶3]</w:t>
      </w:r>
    </w:p>
    <w:p>
      <w:pPr>
        <w:jc w:val="center"/>
      </w:pPr>
      <w:r>
        <w:drawing>
          <wp:inline xmlns:a="http://schemas.openxmlformats.org/drawingml/2006/main" xmlns:pic="http://schemas.openxmlformats.org/drawingml/2006/picture">
            <wp:extent cx="5029200" cy="1989677"/>
            <wp:docPr id="42" name="Picture 42"/>
            <wp:cNvGraphicFramePr>
              <a:graphicFrameLocks noChangeAspect="1"/>
            </wp:cNvGraphicFramePr>
            <a:graphic>
              <a:graphicData uri="http://schemas.openxmlformats.org/drawingml/2006/picture">
                <pic:pic>
                  <pic:nvPicPr>
                    <pic:cNvPr id="0" name="p03_i1.jpg"/>
                    <pic:cNvPicPr/>
                  </pic:nvPicPr>
                  <pic:blipFill>
                    <a:blip r:embed="rId17"/>
                    <a:stretch>
                      <a:fillRect/>
                    </a:stretch>
                  </pic:blipFill>
                  <pic:spPr>
                    <a:xfrm>
                      <a:off x="0" y="0"/>
                      <a:ext cx="5029200" cy="1989677"/>
                    </a:xfrm>
                    <a:prstGeom prst="rect"/>
                  </pic:spPr>
                </pic:pic>
              </a:graphicData>
            </a:graphic>
          </wp:inline>
        </w:drawing>
      </w:r>
    </w:p>
    <w:p>
      <w:pPr>
        <w:spacing w:after="160"/>
        <w:jc w:val="center"/>
      </w:pPr>
      <w:r>
        <w:rPr>
          <w:rFonts w:ascii="Times New Roman" w:hAnsi="Times New Roman" w:cs="Times New Roman" w:eastAsia="Times New Roman"/>
          <w:b w:val="0"/>
          <w:i/>
          <w:sz w:val="20"/>
        </w:rPr>
        <w:t>Figure 1 (from PMC10885928): “Glutathione biosynthetic scheme. N-acetyl-L-cysteine (NAC) can supply cysteine (CYS) for the biosynthesis of reduced glutathione (GSH). NAC must first be hydrolyzed by aminoacylase 1 (ACY1) to release CYS. In the first step of GSH synthesis, L-glutamate-L-cysteine ligase (GCL) catalyzes the formation of gamma-L-glutamyl-L-cysteine (GGC) by linking CYS and L-”</w:t>
      </w:r>
    </w:p>
    <w:p>
      <w:pPr>
        <w:spacing w:after="120"/>
        <w:jc w:val="both"/>
      </w:pPr>
      <w:r>
        <w:rPr>
          <w:rFonts w:ascii="Times New Roman" w:hAnsi="Times New Roman" w:cs="Times New Roman" w:eastAsia="Times New Roman"/>
          <w:b w:val="0"/>
          <w:i w:val="0"/>
          <w:sz w:val="24"/>
        </w:rPr>
        <w:t>“Future research with pediatric populations should be a high priority since early intervention is critical.", "body_text": "1. Introduction The objective of this review is to critically evaluate the role of glutathione (GSH) and its chemical precursors (N-acetyl-cysteine (NAC) and glycine (GLY)) in the prevention and management of T2D and prediabetes. Oxidative stress (OxS) is a probable factor in both T2D initiation and progression [ 1 ]. Antioxidant-based therapy may, therefore, have potential benefits [ 2 ]. An ever-increasing body of evidence supports the role of OxS in T2D pathogenesis [ 3 , 4 , 5 ]. OxS is usually defined as Sa physiologically significant alteration in redox status resulting from an overproduction of reactive oxygen species (ROS) and/or a deficiency in antioxidant protective mechanisms [ 6 ]. It is important, however, to also consider how antioxidants, such as GSH, interconnect with the complex pathophysiological risk factors that modulate T2D redox status [ 7 ].”  [PMC10885928 ¶4]</w:t>
      </w:r>
    </w:p>
    <w:p>
      <w:pPr>
        <w:spacing w:after="120"/>
        <w:jc w:val="both"/>
      </w:pPr>
      <w:r>
        <w:rPr>
          <w:rFonts w:ascii="Times New Roman" w:hAnsi="Times New Roman" w:cs="Times New Roman" w:eastAsia="Times New Roman"/>
          <w:b w:val="0"/>
          <w:i w:val="0"/>
          <w:sz w:val="24"/>
        </w:rPr>
        <w:t>“GSH is the major cytosolic water-soluble chemical antioxidant and clinical evidence suggests that patients with T2D have a GSH deficiency [ 8 ]. As detailed below, GSH is important in the glutathione peroxidase (GPX) system where it reduces hydroperoxides, which are prooxidants very relevant to T2D initiation and progression [ 9 ]. 1.1. The Epidemiology of T2D The alarming present and forecasted global prevalence of T2D has stressed the need to evaluate novel treatment strategies that could complement lifestyle modifications and conventional pharmacological treatments [ 10 , 11 , 12 ]. It has been projected that by 2050, some 1.3 billion people worldwide will have diabetes with about 96% having T2D [ 13 ]. Both T2D and prediabetes are rapidly increasing in pediatric populations [ 14 , 15 ]. This trend is particularly worrisome since neither the natural history of T2D progression nor the efficacy of pharmacological treatments are as well characterized in pediatric populations compared to adults [ 16 ].”  [PMC10885928 ¶5]</w:t>
      </w:r>
    </w:p>
    <w:p>
      <w:pPr>
        <w:spacing w:after="120"/>
        <w:jc w:val="both"/>
      </w:pPr>
      <w:r>
        <w:rPr>
          <w:rFonts w:ascii="Times New Roman" w:hAnsi="Times New Roman" w:cs="Times New Roman" w:eastAsia="Times New Roman"/>
          <w:b w:val="0"/>
          <w:i w:val="0"/>
          <w:sz w:val="24"/>
        </w:rPr>
        <w:t>“In prediabetes, blood glucose levels have not yet reached the T2D threshold [ 17 ]. In the United States (US), it has been estimated that more than one in three adults and more than one in five children have prediabetes [ 15 , 17 ]. The US Preventive Services Task Force (USPSTF) recently affirmed screening for prediabetes or T2D in adults with overweight or obesity but did not extend this recommendation to children and adolescents [ 18 ]. The USPSTF concluded that \u201cthe evidence is insufficient to assess the balance of benefits and harms of screening for T2D in children and adolescent\u201d [ 19 ]. In contrast, a recent volunteer Task Force of medical experts has suggested screening for prediabetes and diabetes in children, adolescents, and adults who have obesity [ 20 ]. The American Academy of Pediatrics and the American Diabetes Association have both recently recommended screening for abnormalities in glucose metabolism in children with a body mass index (BMI) at or above the 95th percentile [ 21 , 22 ].”  [PMC10885928 ¶6]</w:t>
      </w:r>
    </w:p>
    <w:p>
      <w:pPr>
        <w:jc w:val="center"/>
      </w:pPr>
      <w:r>
        <w:drawing>
          <wp:inline xmlns:a="http://schemas.openxmlformats.org/drawingml/2006/main" xmlns:pic="http://schemas.openxmlformats.org/drawingml/2006/picture">
            <wp:extent cx="5029200" cy="3127838"/>
            <wp:docPr id="43" name="Picture 43"/>
            <wp:cNvGraphicFramePr>
              <a:graphicFrameLocks noChangeAspect="1"/>
            </wp:cNvGraphicFramePr>
            <a:graphic>
              <a:graphicData uri="http://schemas.openxmlformats.org/drawingml/2006/picture">
                <pic:pic>
                  <pic:nvPicPr>
                    <pic:cNvPr id="0" name="p07_i1.jpg"/>
                    <pic:cNvPicPr/>
                  </pic:nvPicPr>
                  <pic:blipFill>
                    <a:blip r:embed="rId18"/>
                    <a:stretch>
                      <a:fillRect/>
                    </a:stretch>
                  </pic:blipFill>
                  <pic:spPr>
                    <a:xfrm>
                      <a:off x="0" y="0"/>
                      <a:ext cx="5029200" cy="3127838"/>
                    </a:xfrm>
                    <a:prstGeom prst="rect"/>
                  </pic:spPr>
                </pic:pic>
              </a:graphicData>
            </a:graphic>
          </wp:inline>
        </w:drawing>
      </w:r>
    </w:p>
    <w:p>
      <w:pPr>
        <w:spacing w:after="160"/>
        <w:jc w:val="center"/>
      </w:pPr>
      <w:r>
        <w:rPr>
          <w:rFonts w:ascii="Times New Roman" w:hAnsi="Times New Roman" w:cs="Times New Roman" w:eastAsia="Times New Roman"/>
          <w:b w:val="0"/>
          <w:i/>
          <w:sz w:val="20"/>
        </w:rPr>
        <w:t>Figure 2 (from PMC10885928): “The glutathione peroxidase (GPX) system and lipid peroxidation. GPX catalyzes the conversion of lipid hydroperoxides (LOOH), formed from lipid peroxidation to a lipid alcohol (LOH) utilizing GSH as a reducing agent. The oxidized GSH (GSSG) formed by this reaction is reduced back to GSH by glutathione reductase (GR) with the consumption of NADPH. The lipid pe”</w:t>
      </w:r>
    </w:p>
    <w:p>
      <w:pPr>
        <w:spacing w:after="120"/>
        <w:jc w:val="both"/>
      </w:pPr>
      <w:r>
        <w:rPr>
          <w:rFonts w:ascii="Times New Roman" w:hAnsi="Times New Roman" w:cs="Times New Roman" w:eastAsia="Times New Roman"/>
          <w:b w:val="0"/>
          <w:i w:val="0"/>
          <w:sz w:val="24"/>
        </w:rPr>
        <w:t>“A key rationale for screening children and young adults is that early and intensive intervention will reduce future morbidity and mortality [ 20 ]. Obesity has long been recognized as a major risk factor for cardiovascular disease, prediabetes, and T2D, as well as promoting OxS and markers of inflammation [ 23 , 24 , 25 ]. 1.2. The Etiology of T2D T2D is a chronic disease in which blood glucose levels are high enough and of sufficient duration to cause damage to susceptible organs/tissues. Insulin resistance, pancreatic beta-cell dysfunction, and abnormally high glucagon levels are the major etiological factors that cause high blood glucose levels [ 26 , 27 ]. The progression of T2D starts with insulin resistance followed by prediabetes, overt T2D with fasting blood glucose level above 126 mg/dL, and finally vascular damage [ 7 , 27 ]. T2D is, however, a multifactorial disease with alterations in lipid and protein metabolism as well as complex interactions between organs, tissues, cell types, and subcellular compartments/organelles.”  [PMC10885928 ¶7]</w:t>
      </w:r>
    </w:p>
    <w:p>
      <w:pPr>
        <w:spacing w:after="120"/>
        <w:jc w:val="both"/>
      </w:pPr>
      <w:r>
        <w:rPr>
          <w:rFonts w:ascii="Times New Roman" w:hAnsi="Times New Roman" w:cs="Times New Roman" w:eastAsia="Times New Roman"/>
          <w:b w:val="0"/>
          <w:i w:val="0"/>
          <w:sz w:val="24"/>
        </w:rPr>
        <w:t>“In this regard, it is significant that alterations in lipid metabolism (e.g., high triglyceride levels) have been found to occur years before overt T2D diagnosis in adults and can improve the prediction of T2D progression [ 28 ]. Gummesson et al. [ 29 ] have observed distinct alterations in plasma protein profiles in newly diagnosed adult T2D patients in comparison to healthy adult controls. These data suggest that early-stage T2D is accompanied by plasma protein alterations that may also prove useful in helping to predict T2D progression. The complexity of T2D is reflected by the fact that it is a polygenic disorder with an association with over 120 genetic loci [ 30 ]. In addition to insulin resistance, obesity (and intraorgan adipose tissue), poor-quality high-calorie diets, and lack of physical exercise are major risk factors for T2D [ 26 ]. The consumption of high-calorie/high-fat ultra-processed foods by children and adolescents is strongly associated with obesity [ 31 , 32 ] and obesity, in turn, is associated with chronic OxS [ 25 ].”  [PMC10885928 ¶8]</w:t>
      </w:r>
    </w:p>
    <w:p>
      <w:pPr>
        <w:spacing w:after="120"/>
        <w:jc w:val="both"/>
      </w:pPr>
      <w:r>
        <w:rPr>
          <w:rFonts w:ascii="Times New Roman" w:hAnsi="Times New Roman" w:cs="Times New Roman" w:eastAsia="Times New Roman"/>
          <w:b w:val="0"/>
          <w:i w:val="0"/>
          <w:sz w:val="24"/>
        </w:rPr>
        <w:t>“OxS has emerged as an important mechanism for the initiation of prediabetes and for promoting T2D progression [ 3 , 4 , 7 ]. In Section 2 of this review, we outline the biochemistry of GSH and its central role as an antioxidant important in modulating OxS and T2D. With this background in place, we mechanistically link (in Section 3 ) T2D risk factors to OxS and T2D initiation/progression. 2. The Biochemistry and Roles of GSH (and Its Precursors) in OxS and T2D GSH is a key water-soluble thiol (R-SH) antioxidant that may play an important role in preventing, slowing, and perhaps reversing T2D progression [ 33 ]. In 1969, Kosower and Kosower wrote a review of GSH with the title \u201cLeast I Forget Thee, Glutathione\u201d [ 34 ]. This admonition has been well heeded as evidenced by an eight-fold increase in the number of GSH publications in 2022 compared to 1969 [ 35 ]. GSH (gamma-glutamylcysteinylglycine) is most often described as a \u201ctripeptide\u201d composed of CYS, GLY, and glutamic acid (GLU) as shown in Figure 1 .”  [PMC10885928 ¶9]</w:t>
      </w:r>
    </w:p>
    <w:p>
      <w:pPr>
        <w:jc w:val="center"/>
      </w:pPr>
      <w:r>
        <w:drawing>
          <wp:inline xmlns:a="http://schemas.openxmlformats.org/drawingml/2006/main" xmlns:pic="http://schemas.openxmlformats.org/drawingml/2006/picture">
            <wp:extent cx="5029200" cy="1537750"/>
            <wp:docPr id="44" name="Picture 44"/>
            <wp:cNvGraphicFramePr>
              <a:graphicFrameLocks noChangeAspect="1"/>
            </wp:cNvGraphicFramePr>
            <a:graphic>
              <a:graphicData uri="http://schemas.openxmlformats.org/drawingml/2006/picture">
                <pic:pic>
                  <pic:nvPicPr>
                    <pic:cNvPr id="0" name="p04_i1.jpg"/>
                    <pic:cNvPicPr/>
                  </pic:nvPicPr>
                  <pic:blipFill>
                    <a:blip r:embed="rId32"/>
                    <a:stretch>
                      <a:fillRect/>
                    </a:stretch>
                  </pic:blipFill>
                  <pic:spPr>
                    <a:xfrm>
                      <a:off x="0" y="0"/>
                      <a:ext cx="5029200" cy="1537750"/>
                    </a:xfrm>
                    <a:prstGeom prst="rect"/>
                  </pic:spPr>
                </pic:pic>
              </a:graphicData>
            </a:graphic>
          </wp:inline>
        </w:drawing>
      </w:r>
    </w:p>
    <w:p>
      <w:pPr>
        <w:spacing w:after="160"/>
        <w:jc w:val="center"/>
      </w:pPr>
      <w:r>
        <w:rPr>
          <w:rFonts w:ascii="Times New Roman" w:hAnsi="Times New Roman" w:cs="Times New Roman" w:eastAsia="Times New Roman"/>
          <w:b w:val="0"/>
          <w:i/>
          <w:sz w:val="20"/>
        </w:rPr>
        <w:t>Figure 3 (from PMC10885928): “Simplified scheme connecting oxidative stress (OxS) and T2D risk factors. Two sets of potential positive feedback loops (circles with +) are indicated (blue and red arrows). The text describes these positive feedback loops in more detail. Over prolonged time intervals, systemic OxS can cause beta-cell dysfunction as well as irreversible micro- and macro-vasc”</w:t>
      </w:r>
    </w:p>
    <w:p>
      <w:pPr>
        <w:spacing w:after="120"/>
        <w:jc w:val="both"/>
      </w:pPr>
      <w:r>
        <w:rPr>
          <w:rFonts w:ascii="Times New Roman" w:hAnsi="Times New Roman" w:cs="Times New Roman" w:eastAsia="Times New Roman"/>
          <w:b w:val="0"/>
          <w:i w:val="0"/>
          <w:sz w:val="24"/>
        </w:rPr>
        <w:t>“Both GLY and CYS are considered conditionally essential amino acids in the context of T2D [ 36 , 37 ]. While it is true that GSH is a tripeptide, it is not a \u201ceu-tripeptide\u201d. Eupeptides have amide bonds that are formed between the C-l of one amino acid and the N-2 of another amino acid as occurs in typical proteins. In GSH, there is an iso-peptide bond between the gamma-carboxyl group of the GLU side chain and CYS (see Figure 1 ). This iso-peptide bond is important because it renders GSH relatively resistant to intracellular proteases that cleave eu-peptide bonds [ 38 ]. This intracellular protease resistance enables GSH to reach unusually high intracellular concentrations (5 mM) for an organic compound and thereby contributes to its effectiveness as an intracellular antioxidant [ 39 ]. In contrast, the plasma level of GSH in healthy individuals is about 0.0034 mM [ 40 ]. 2.1.”  [PMC10885928 ¶10]</w:t>
      </w:r>
    </w:p>
    <w:p>
      <w:pPr>
        <w:spacing w:after="120"/>
        <w:jc w:val="both"/>
      </w:pPr>
      <w:r>
        <w:rPr>
          <w:rFonts w:ascii="Times New Roman" w:hAnsi="Times New Roman" w:cs="Times New Roman" w:eastAsia="Times New Roman"/>
          <w:b w:val="0"/>
          <w:i w:val="0"/>
          <w:sz w:val="24"/>
        </w:rPr>
        <w:t>“Diminished GSH Synthesis in T2D Results in OxS Patients with uncontrolled T2D (i.e., persistent hyperglycemia) have been found by Sekhar et al. to have severely diminished in vivo GSH synthesis, which can be restored by dietary supplementation with \u201cGSH plus GLY\u201d [ 41 ]. It should be noted that the dietary \u201cGSH\u201d used in this research was provided as NAC, which is a xenobiotic precursor to GSH; it would be more accurate, therefore, to state that \u201cNAC plus GLY\u201d was used as the dietary supplement. Surprisingly, the mechanism by which NAC enters cells is not completely understood but NAC cannot simply be considered the equivalent of GSH [ 35 ]. Significantly, Sekhar et al. found that supplementation with \u201cNAC plus GLY\u201d reduced measures of systemic OxS, e.g., serum lipid peroxides (see Section 2.2.1 below) [ 41 ]. GSH is present and synthesized in the cytosol of all mammalian cells by a two-step regulated process (see Figure 1 ) [ 42 ].”  [PMC10885928 ¶11]</w:t>
      </w:r>
    </w:p>
    <w:p>
      <w:pPr>
        <w:spacing w:after="120"/>
        <w:jc w:val="both"/>
      </w:pPr>
      <w:r>
        <w:rPr>
          <w:rFonts w:ascii="Times New Roman" w:hAnsi="Times New Roman" w:cs="Times New Roman" w:eastAsia="Times New Roman"/>
          <w:b w:val="0"/>
          <w:i w:val="0"/>
          <w:sz w:val="24"/>
        </w:rPr>
        <w:t>“In the first step, L-glutamate-L-cysteine ligase (GCL) catalyzes the formation of gamma-L-glutamyl-L-cysteine (GGC) by linking CYS (a thiol-containing amino acid) and GLU. In the second step, glutathione synthetase (GS) catalyzes the formation of GSH by linking GGC to GLY [ 38 , 43 ]. The first step is rate-limiting for GSH synthesis, and the availability of CYS and the activity of GCL are key determinants of GSH synthesis [ 42 ]. CYS, and its thiol group, are essential for the antioxidant properties of GSH [ 44 ]. Moreover, since the Km of CYS for the catalytic subunit of GCL is close to its cytosolic concentration, a drop in CYS levels would result in decreased GSH synthesis [ 44 ]. Intracellular levels of CYS are typically low and, if the demand for GSH is high (e.g., OxS), CYS will be transported into the cell from the extracellular space [ 45 ]. There are sound reasons for utilizing NAC rather than CYS as a dietary supplement since NAC is chemically more stable than CYS and has an excellent safety record [ 35 ].”  [PMC10885928 ¶12]</w:t>
      </w:r>
    </w:p>
    <w:p>
      <w:pPr>
        <w:spacing w:before="120" w:after="80"/>
        <w:jc w:val="both"/>
      </w:pPr>
      <w:r>
        <w:rPr>
          <w:rFonts w:ascii="Times New Roman" w:hAnsi="Times New Roman" w:cs="Times New Roman" w:eastAsia="Times New Roman"/>
          <w:b w:val="0"/>
          <w:i/>
          <w:sz w:val="22"/>
        </w:rPr>
        <w:t>Source-article figures for PMC10885928 (extracted from the Europe PMC PDF rendering, re-encoded as PNG for docx compatibility):</w:t>
      </w:r>
    </w:p>
    <w:p>
      <w:pPr>
        <w:jc w:val="center"/>
      </w:pPr>
      <w:r>
        <w:drawing>
          <wp:inline xmlns:a="http://schemas.openxmlformats.org/drawingml/2006/main" xmlns:pic="http://schemas.openxmlformats.org/drawingml/2006/picture">
            <wp:extent cx="5029200" cy="1989677"/>
            <wp:docPr id="45" name="Picture 45"/>
            <wp:cNvGraphicFramePr>
              <a:graphicFrameLocks noChangeAspect="1"/>
            </wp:cNvGraphicFramePr>
            <a:graphic>
              <a:graphicData uri="http://schemas.openxmlformats.org/drawingml/2006/picture">
                <pic:pic>
                  <pic:nvPicPr>
                    <pic:cNvPr id="0" name="p03_i1.jpg"/>
                    <pic:cNvPicPr/>
                  </pic:nvPicPr>
                  <pic:blipFill>
                    <a:blip r:embed="rId17"/>
                    <a:stretch>
                      <a:fillRect/>
                    </a:stretch>
                  </pic:blipFill>
                  <pic:spPr>
                    <a:xfrm>
                      <a:off x="0" y="0"/>
                      <a:ext cx="5029200" cy="1989677"/>
                    </a:xfrm>
                    <a:prstGeom prst="rect"/>
                  </pic:spPr>
                </pic:pic>
              </a:graphicData>
            </a:graphic>
          </wp:inline>
        </w:drawing>
      </w:r>
    </w:p>
    <w:p>
      <w:pPr>
        <w:spacing w:after="160"/>
        <w:jc w:val="center"/>
      </w:pPr>
      <w:r>
        <w:rPr>
          <w:rFonts w:ascii="Times New Roman" w:hAnsi="Times New Roman" w:cs="Times New Roman" w:eastAsia="Times New Roman"/>
          <w:b w:val="0"/>
          <w:i/>
          <w:sz w:val="20"/>
        </w:rPr>
        <w:t>Figure 1 (from PMC10885928): “Glutathione biosynthetic scheme. N-acetyl-L-cysteine (NAC) can supply cysteine (CYS) for the biosynthesis of reduced glutathione (GSH). NAC must first be hydrolyzed by aminoacylase 1 (ACY1) to release CYS. In the first step of GSH synthesis, L-glutamate-L-cysteine ligase (GCL) catalyzes the formation of gamma-L-glutamyl-L-cysteine (GGC) by linking CYS and L-glutamate (GLU). In ”</w:t>
      </w:r>
    </w:p>
    <w:p>
      <w:pPr>
        <w:jc w:val="center"/>
      </w:pPr>
      <w:r>
        <w:drawing>
          <wp:inline xmlns:a="http://schemas.openxmlformats.org/drawingml/2006/main" xmlns:pic="http://schemas.openxmlformats.org/drawingml/2006/picture">
            <wp:extent cx="5029200" cy="3127838"/>
            <wp:docPr id="46" name="Picture 46"/>
            <wp:cNvGraphicFramePr>
              <a:graphicFrameLocks noChangeAspect="1"/>
            </wp:cNvGraphicFramePr>
            <a:graphic>
              <a:graphicData uri="http://schemas.openxmlformats.org/drawingml/2006/picture">
                <pic:pic>
                  <pic:nvPicPr>
                    <pic:cNvPr id="0" name="p07_i1.jpg"/>
                    <pic:cNvPicPr/>
                  </pic:nvPicPr>
                  <pic:blipFill>
                    <a:blip r:embed="rId18"/>
                    <a:stretch>
                      <a:fillRect/>
                    </a:stretch>
                  </pic:blipFill>
                  <pic:spPr>
                    <a:xfrm>
                      <a:off x="0" y="0"/>
                      <a:ext cx="5029200" cy="3127838"/>
                    </a:xfrm>
                    <a:prstGeom prst="rect"/>
                  </pic:spPr>
                </pic:pic>
              </a:graphicData>
            </a:graphic>
          </wp:inline>
        </w:drawing>
      </w:r>
    </w:p>
    <w:p>
      <w:pPr>
        <w:spacing w:after="160"/>
        <w:jc w:val="center"/>
      </w:pPr>
      <w:r>
        <w:rPr>
          <w:rFonts w:ascii="Times New Roman" w:hAnsi="Times New Roman" w:cs="Times New Roman" w:eastAsia="Times New Roman"/>
          <w:b w:val="0"/>
          <w:i/>
          <w:sz w:val="20"/>
        </w:rPr>
        <w:t>Figure 2 (from PMC10885928): “The glutathione peroxidase (GPX) system and lipid peroxidation. GPX catalyzes the conversion of lipid hydroperoxides (LOOH), formed from lipid peroxidation to a lipid alcohol (LOH) utilizing GSH as a reducing agent. The oxidized GSH (GSSG) formed by this reaction is reduced back to GSH by glutathione reductase (GR) with the consumption of NADPH. The lipid peroxyl radical (LOO*)”</w:t>
      </w:r>
    </w:p>
    <w:p>
      <w:pPr>
        <w:jc w:val="center"/>
      </w:pPr>
      <w:r>
        <w:drawing>
          <wp:inline xmlns:a="http://schemas.openxmlformats.org/drawingml/2006/main" xmlns:pic="http://schemas.openxmlformats.org/drawingml/2006/picture">
            <wp:extent cx="5029200" cy="1537750"/>
            <wp:docPr id="47" name="Picture 47"/>
            <wp:cNvGraphicFramePr>
              <a:graphicFrameLocks noChangeAspect="1"/>
            </wp:cNvGraphicFramePr>
            <a:graphic>
              <a:graphicData uri="http://schemas.openxmlformats.org/drawingml/2006/picture">
                <pic:pic>
                  <pic:nvPicPr>
                    <pic:cNvPr id="0" name="p04_i1.jpg"/>
                    <pic:cNvPicPr/>
                  </pic:nvPicPr>
                  <pic:blipFill>
                    <a:blip r:embed="rId32"/>
                    <a:stretch>
                      <a:fillRect/>
                    </a:stretch>
                  </pic:blipFill>
                  <pic:spPr>
                    <a:xfrm>
                      <a:off x="0" y="0"/>
                      <a:ext cx="5029200" cy="1537750"/>
                    </a:xfrm>
                    <a:prstGeom prst="rect"/>
                  </pic:spPr>
                </pic:pic>
              </a:graphicData>
            </a:graphic>
          </wp:inline>
        </w:drawing>
      </w:r>
    </w:p>
    <w:p>
      <w:pPr>
        <w:spacing w:after="160"/>
        <w:jc w:val="center"/>
      </w:pPr>
      <w:r>
        <w:rPr>
          <w:rFonts w:ascii="Times New Roman" w:hAnsi="Times New Roman" w:cs="Times New Roman" w:eastAsia="Times New Roman"/>
          <w:b w:val="0"/>
          <w:i/>
          <w:sz w:val="20"/>
        </w:rPr>
        <w:t>Figure 3 (from PMC10885928): “Simplified scheme connecting oxidative stress (OxS) and T2D risk factors. Two sets of potential positive feedback loops (circles with +) are indicated (blue and red arrows). The text describes these positive feedback loops in more detail. Over prolonged time intervals, systemic OxS can cause beta-cell dysfunction as well as irreversible micro- and macro-vascular damage.</w:t>
        <w:br/>
        <w:t xml:space="preserve">   grap”</w:t>
      </w:r>
    </w:p>
    <w:p>
      <w:pPr>
        <w:keepNext/>
        <w:spacing w:before="280" w:after="80"/>
        <w:outlineLvl w:val="1"/>
      </w:pPr>
      <w:r>
        <w:rPr>
          <w:rFonts w:ascii="Times New Roman" w:hAnsi="Times New Roman" w:cs="Times New Roman" w:eastAsia="Times New Roman"/>
          <w:b/>
          <w:i w:val="0"/>
          <w:color w:val="335588"/>
          <w:sz w:val="28"/>
        </w:rPr>
        <w:t>8.6  Acetaminophen hepatotoxicity — immunomodulatory properties in humans and animals</w:t>
      </w:r>
    </w:p>
    <w:p>
      <w:pPr>
        <w:spacing w:after="80"/>
        <w:jc w:val="both"/>
      </w:pPr>
      <w:r>
        <w:rPr>
          <w:rFonts w:ascii="Times New Roman" w:hAnsi="Times New Roman" w:cs="Times New Roman" w:eastAsia="Times New Roman"/>
          <w:b w:val="0"/>
          <w:i/>
          <w:sz w:val="22"/>
        </w:rPr>
        <w:t>Primary evidence: N-Acetylcysteine and Its Immunomodulatory Properties in Humans and Domesticated Animals. Antioxidants (2023). PMCID: PMC10604897; PMID: 37891946; DOI: 10.3390/antiox12101867.</w:t>
      </w:r>
    </w:p>
    <w:p>
      <w:pPr>
        <w:spacing w:after="80"/>
        <w:jc w:val="both"/>
      </w:pPr>
      <w:r>
        <w:rPr>
          <w:rFonts w:ascii="Times New Roman" w:hAnsi="Times New Roman" w:cs="Times New Roman" w:eastAsia="Times New Roman"/>
          <w:b w:val="0"/>
          <w:i w:val="0"/>
          <w:sz w:val="24"/>
        </w:rPr>
        <w:t>Pipeline-derived summary statement: NAC replenishes glutathione stores and reduces pro-inflammatory TNF-α, IL-6, and IL-1β; anti-microbial biofilm activity is also reported.</w:t>
      </w:r>
    </w:p>
    <w:p>
      <w:pPr>
        <w:spacing w:after="80"/>
        <w:jc w:val="both"/>
      </w:pPr>
      <w:r>
        <w:rPr>
          <w:rFonts w:ascii="Times New Roman" w:hAnsi="Times New Roman" w:cs="Times New Roman" w:eastAsia="Times New Roman"/>
          <w:b/>
          <w:i w:val="0"/>
          <w:sz w:val="22"/>
        </w:rPr>
        <w:t>Verbatim abstract:</w:t>
      </w:r>
    </w:p>
    <w:p>
      <w:pPr>
        <w:spacing w:after="80"/>
        <w:jc w:val="both"/>
      </w:pPr>
      <w:r>
        <w:rPr>
          <w:rFonts w:ascii="Times New Roman" w:hAnsi="Times New Roman" w:cs="Times New Roman" w:eastAsia="Times New Roman"/>
          <w:b w:val="0"/>
          <w:i/>
          <w:sz w:val="24"/>
        </w:rPr>
        <w:t>“N-acetylcysteine (NAC), an acetylated derivative of the amino acid L-cysteine, has been widely used as a mucolytic agent and antidote for acetaminophen overdose since the 1960s and the 1980s, respectively. NAC possesses antioxidant, cytoprotective, anti-inflammatory, antimicrobial, and mucolytic properties, making it a promising therapeutic agent for a wide range of diseases in both humans and domesticated animals. Oxidative stress and inflammation play a major role in the onset and progression of all these diseases. NAC’s primary role is to replenish glutathione (GSH) stores, the master antioxidant in all tissues; however, it can also reduce levels of pro-inflammatory tumor necrosis factor-alpha (TNF-∝) and interleukins (IL-6 and IL-1β), inhibit the formation of microbial biofilms and destroy biofilms, and break down disulfide bonds between mucin molecules. Many experimental studies have been conducted on the use of NAC to address a wide range of pathological conditions; however, its effectiveness in clinical trials remains limited and studies often have conflicting results. The purpose of this review is to provide a concise overview of promising NAC usages for the treatment of different human and domestic animal disorders.”</w:t>
      </w:r>
    </w:p>
    <w:p>
      <w:pPr>
        <w:spacing w:before="120" w:after="80"/>
        <w:jc w:val="both"/>
      </w:pPr>
      <w:r>
        <w:rPr>
          <w:rFonts w:ascii="Times New Roman" w:hAnsi="Times New Roman" w:cs="Times New Roman" w:eastAsia="Times New Roman"/>
          <w:b/>
          <w:i w:val="0"/>
          <w:sz w:val="24"/>
        </w:rPr>
        <w:t>Verbatim body paragraphs from PMC10604897 matching this therapeutic theme:</w:t>
      </w:r>
    </w:p>
    <w:p>
      <w:pPr>
        <w:spacing w:after="120"/>
        <w:jc w:val="both"/>
      </w:pPr>
      <w:r>
        <w:rPr>
          <w:rFonts w:ascii="Times New Roman" w:hAnsi="Times New Roman" w:cs="Times New Roman" w:eastAsia="Times New Roman"/>
          <w:b w:val="0"/>
          <w:i w:val="0"/>
          <w:sz w:val="24"/>
        </w:rPr>
        <w:t>“NAC possesses antioxidant, cytoprotective, anti-inflammatory, antimicrobial, and mucolytic properties, making it a promising therapeutic agent for a wide range of diseases in both humans and domesticated animals. Oxidative stress and inflammation play a major role in the onset and progression of all these diseases. NAC\u2019s primary role is to replenish glutathione (GSH) stores, the master antioxidant in all tissues; however, it can also reduce levels of pro-inflammatory tumor necrosis factor-alpha (TNF-\u221d) and interleukins (IL-6 and IL-1\u03b2), inhibit the formation of microbial biofilms and destroy biofilms, and break down disulfide bonds between mucin molecules. Many experimental studies have been conducted on the use of NAC to address a wide range of pathological conditions; however, its effectiveness in clinical trials remains limited and studies often have conflicting results.”  [PMC10604897 ¶1]</w:t>
      </w:r>
    </w:p>
    <w:p>
      <w:pPr>
        <w:spacing w:after="120"/>
        <w:jc w:val="both"/>
      </w:pPr>
      <w:r>
        <w:rPr>
          <w:rFonts w:ascii="Times New Roman" w:hAnsi="Times New Roman" w:cs="Times New Roman" w:eastAsia="Times New Roman"/>
          <w:b w:val="0"/>
          <w:i w:val="0"/>
          <w:sz w:val="24"/>
        </w:rPr>
        <w:t>“The accumulation of fat in the hepatocytes of NAFLD patients is generally due to a combination of excessive calorie intake and a sedentary lifestyle [ 46 ]. However, diabetic patients, particularly type 2 diabetics, and those with abnormal levels of blood lipids or hypertension are also at risk of developing NAFLD [ 46 ]. Regardless of the etiological factor(s) leading to the onset of NAFLD, the increased flow of free fatty acids to the liver concurrently increases oxidative stress and suppresses hepatic intracellular antioxidant activity [ 1 ]. Experimental studies conducted on the use of NAC in NAFLD patients have demonstrated that NAC can block the accumulation of hepatic lipids and reduce the pro-inflammatory cytokines IL-6, IL-1\u03b2, and TNF-\u221d and the upstream transcription factor NF-\u03baB [ 47 ], which plays a critical role in initiating the inflammatory cascade and immune response related to oxidative stress.”  [PMC10604897 ¶18]</w:t>
      </w:r>
    </w:p>
    <w:p>
      <w:pPr>
        <w:spacing w:after="120"/>
        <w:jc w:val="both"/>
      </w:pPr>
      <w:r>
        <w:rPr>
          <w:rFonts w:ascii="Times New Roman" w:hAnsi="Times New Roman" w:cs="Times New Roman" w:eastAsia="Times New Roman"/>
          <w:b w:val="0"/>
          <w:i w:val="0"/>
          <w:sz w:val="24"/>
        </w:rPr>
        <w:t>“NAC has been purported to possess anti-inflammatory properties that include inhibiting activation and translocation of NF-\u03baB, which results in decreased production of TNF-\u221d, IL-1\u03b2, and IL-6 [ 1 ]. In a human study conducted by Khoshbaten et al. (2010), it was discovered that oral administration of 600 mg of NAC per 12 h over a 3-month period decreased serum levels of alanine transaminase (ALT) as compared to the group receiving vitamin C [ 48 ]. ALT is an enzyme that is predominantly produced by the liver and is commonly used as a biomarker of hepatic inflammation and damage [ 49 ]. 5.2. Pulmonary Diseases Inflammation and high levels of oxidative stress coupled with low levels of endogenous antioxidants such as GSH play a critical role in the pathogenesis and progression of pulmonary diseases [ 1 ]. As an antioxidant, anti-inflammatory, and mucolytic agent, NAC appears to be a promising therapeutic agent in the treatment of various pulmonary diseases including chronic obstructive pulmonary disease (COPD), cystic fibrosis (CF), and idiopathic pulmonary fibrosis (IPF) [ 1 ] and, most recently, COVID-19 [ 50 ] (see Table 2 ).”  [PMC10604897 ¶19]</w:t>
      </w:r>
    </w:p>
    <w:p>
      <w:pPr>
        <w:jc w:val="center"/>
      </w:pPr>
      <w:r>
        <w:drawing>
          <wp:inline xmlns:a="http://schemas.openxmlformats.org/drawingml/2006/main" xmlns:pic="http://schemas.openxmlformats.org/drawingml/2006/picture">
            <wp:extent cx="5029200" cy="2300859"/>
            <wp:docPr id="48" name="Picture 48"/>
            <wp:cNvGraphicFramePr>
              <a:graphicFrameLocks noChangeAspect="1"/>
            </wp:cNvGraphicFramePr>
            <a:graphic>
              <a:graphicData uri="http://schemas.openxmlformats.org/drawingml/2006/picture">
                <pic:pic>
                  <pic:nvPicPr>
                    <pic:cNvPr id="0" name="p21_i1.jpg"/>
                    <pic:cNvPicPr/>
                  </pic:nvPicPr>
                  <pic:blipFill>
                    <a:blip r:embed="rId12"/>
                    <a:stretch>
                      <a:fillRect/>
                    </a:stretch>
                  </pic:blipFill>
                  <pic:spPr>
                    <a:xfrm>
                      <a:off x="0" y="0"/>
                      <a:ext cx="5029200" cy="2300859"/>
                    </a:xfrm>
                    <a:prstGeom prst="rect"/>
                  </pic:spPr>
                </pic:pic>
              </a:graphicData>
            </a:graphic>
          </wp:inline>
        </w:drawing>
      </w:r>
    </w:p>
    <w:p>
      <w:pPr>
        <w:spacing w:after="160"/>
        <w:jc w:val="center"/>
      </w:pPr>
      <w:r>
        <w:rPr>
          <w:rFonts w:ascii="Times New Roman" w:hAnsi="Times New Roman" w:cs="Times New Roman" w:eastAsia="Times New Roman"/>
          <w:b w:val="0"/>
          <w:i/>
          <w:sz w:val="20"/>
        </w:rPr>
        <w:t>Figure 1 (from PMC10604897): “The three major narratives of NAC’s mechanisms of action.</w:t>
        <w:br/>
        <w:t xml:space="preserve">   graphic: `antioxidants-12-01867-g001.jpg`”</w:t>
      </w:r>
    </w:p>
    <w:p>
      <w:pPr>
        <w:spacing w:after="120"/>
        <w:jc w:val="both"/>
      </w:pPr>
      <w:r>
        <w:rPr>
          <w:rFonts w:ascii="Times New Roman" w:hAnsi="Times New Roman" w:cs="Times New Roman" w:eastAsia="Times New Roman"/>
          <w:b w:val="0"/>
          <w:i w:val="0"/>
          <w:sz w:val="24"/>
        </w:rPr>
        <w:t>“However, a significant number of deaths (~25% mortality) still occur in ICU patients with influenza A (H1N1) despite the use of antivirals [ 58 ]. Patients with severe influenza A virus infection (H1N1, H5N1, and H7N9) were found to have high levels of circulating pro-inflammatory cytokines [ 58 ]. Due to the significant role that inflammation plays in the pathogenesis of seasonal flu, various studies have been conducted to assess the effectiveness of NAC for the treatment of influenza pneumonia. NAC was found to have indirect anti-viral effects, along with the ability to decrease pro-inflammatory cytokine levels and exert anti-apoptotic activities [ 59 ]. NAC can help alleviate the symptoms of influenza, primarily by addressing different mechanisms associated with the infection. However, direct impacts could be because of a reduction in viral load [ 60 ]. It has been proposed that NAC might interfere with the ability of the influenza virus to replicate and spread within the body.”  [PMC10604897 ¶25]</w:t>
      </w:r>
    </w:p>
    <w:p>
      <w:pPr>
        <w:spacing w:after="120"/>
        <w:jc w:val="both"/>
      </w:pPr>
      <w:r>
        <w:rPr>
          <w:rFonts w:ascii="Times New Roman" w:hAnsi="Times New Roman" w:cs="Times New Roman" w:eastAsia="Times New Roman"/>
          <w:b w:val="0"/>
          <w:i w:val="0"/>
          <w:sz w:val="24"/>
        </w:rPr>
        <w:t>“In human trials, for example, NAC significantly lowered the occurrence of clinically apparent H1N1 influenza disease [ 61 ]. Additionally, in cell culture experiments, NAC protected against H3N2 influenza virus-induced oxidative stress, cell death, the expression of inflammatory genes, and NF-\u03baB activity [ 62 , 63 ]. However, this aspect is still under investigation, and more research is needed to confirm its antiviral properties. High doses of NAC used as an adjuvant treatment in influenza pneumonia patients have also been shown to reduce influenza symptomatology and to improve cell-mediated immunity, which is important for fighting viral infections [ 61 ]. NAC\u2019s immunomodulatory properties are likely due to its ability to inhibit the activation of oxidant-sensitive pathways, including the NF-\u03baB and p38 mitogen-activated protein kinase (MAPK) signaling pathways [ 60 ]. Indeed, cytokine and chemokine levels were significantly reduced following in vivo NAC treatment [ 60 ].”  [PMC10604897 ¶26]</w:t>
      </w:r>
    </w:p>
    <w:p>
      <w:pPr>
        <w:spacing w:after="120"/>
        <w:jc w:val="both"/>
      </w:pPr>
      <w:r>
        <w:rPr>
          <w:rFonts w:ascii="Times New Roman" w:hAnsi="Times New Roman" w:cs="Times New Roman" w:eastAsia="Times New Roman"/>
          <w:b w:val="0"/>
          <w:i w:val="0"/>
          <w:sz w:val="24"/>
        </w:rPr>
        <w:t>“Lower numbers of infiltrating macrophages, lymphocytes and neutrophils, and myeloperoxidase (MPO) activity, were also found in influenza-infected lungs following administration (intraperitoneal injection) of NAC in mice [ 64 ]. Furthermore, the increased proliferation of influenza-specific lymphocytes and the effector function of cytotoxic lymphocytes were found to be positively correlated with NAC treatment [ 65 ]. However, it is important to note that NAC efficacy is dependent on the strain of influenza virus, particularly influenza A virus [ 59 ]. It appears that NAC\u2019s antioxidant and immunomodulatory properties are more efficacious for highly pathogenic influenza A strains in comparison to low pathogenic influenza A strains [ 60 , 66 ]. While the reasoning behind this strain-dependent variation in efficacy is not yet well understood, it is thought that the differences in terms of how the NF-\u03baB pathway is activated in highly pathogenic versus low pathogenic influenza strains may provide an explanation [ 59 ]. 5.3.2.”  [PMC10604897 ¶27]</w:t>
      </w:r>
    </w:p>
    <w:p>
      <w:pPr>
        <w:jc w:val="center"/>
      </w:pPr>
      <w:r>
        <w:drawing>
          <wp:inline xmlns:a="http://schemas.openxmlformats.org/drawingml/2006/main" xmlns:pic="http://schemas.openxmlformats.org/drawingml/2006/picture">
            <wp:extent cx="5029200" cy="1144143"/>
            <wp:docPr id="49" name="Picture 49"/>
            <wp:cNvGraphicFramePr>
              <a:graphicFrameLocks noChangeAspect="1"/>
            </wp:cNvGraphicFramePr>
            <a:graphic>
              <a:graphicData uri="http://schemas.openxmlformats.org/drawingml/2006/picture">
                <pic:pic>
                  <pic:nvPicPr>
                    <pic:cNvPr id="0" name="p21_i2.jpg"/>
                    <pic:cNvPicPr/>
                  </pic:nvPicPr>
                  <pic:blipFill>
                    <a:blip r:embed="rId13"/>
                    <a:stretch>
                      <a:fillRect/>
                    </a:stretch>
                  </pic:blipFill>
                  <pic:spPr>
                    <a:xfrm>
                      <a:off x="0" y="0"/>
                      <a:ext cx="5029200" cy="1144143"/>
                    </a:xfrm>
                    <a:prstGeom prst="rect"/>
                  </pic:spPr>
                </pic:pic>
              </a:graphicData>
            </a:graphic>
          </wp:inline>
        </w:drawing>
      </w:r>
    </w:p>
    <w:p>
      <w:pPr>
        <w:spacing w:after="160"/>
        <w:jc w:val="center"/>
      </w:pPr>
      <w:r>
        <w:rPr>
          <w:rFonts w:ascii="Times New Roman" w:hAnsi="Times New Roman" w:cs="Times New Roman" w:eastAsia="Times New Roman"/>
          <w:b w:val="0"/>
          <w:i/>
          <w:sz w:val="20"/>
        </w:rPr>
        <w:t>Figure panel from PMC10604897 (source bitmap p21_i2.jpg).</w:t>
      </w:r>
    </w:p>
    <w:p>
      <w:pPr>
        <w:spacing w:after="120"/>
        <w:jc w:val="both"/>
      </w:pPr>
      <w:r>
        <w:rPr>
          <w:rFonts w:ascii="Times New Roman" w:hAnsi="Times New Roman" w:cs="Times New Roman" w:eastAsia="Times New Roman"/>
          <w:b w:val="0"/>
          <w:i w:val="0"/>
          <w:sz w:val="24"/>
        </w:rPr>
        <w:t>“COVID-19 COVID-19 deaths are mainly attributed to the acute respiratory distress syndrome (ARDS) associated with SARS-CoV-2 infection, particularly in the elderly and those with co-morbidities [ 67 , 68 ]. There is increasing evidence to indicate that excessive immune activation, and the resulting cytokine storm, are the cause of COVID-19-associated lung injury [ 67 ]. This excessive immune activation can be the result of an imbalance in redox homeostasis of which prolonged oxidative stress due to inflammation, increased ROS production, and decreased GSH levels are important factors [ 67 ]. NAC has long since been used as an off-label antioxidant; however, there is increasing evidence from both preclinical and clinical studies that NAC can attenuate immune activation and cytokine release, which may be relevant to COVID-19 [ 50 ]. In a study conducted by Ungheri et al. (2000), NAC was found to significantly decrease the mortality of influenza-infected mice by reducing the production of ROS and cytokines, such as TNF-\u221d and IL-6 [ 69 ].”  [PMC10604897 ¶28]</w:t>
      </w:r>
    </w:p>
    <w:p>
      <w:pPr>
        <w:spacing w:after="120"/>
        <w:jc w:val="both"/>
      </w:pPr>
      <w:r>
        <w:rPr>
          <w:rFonts w:ascii="Times New Roman" w:hAnsi="Times New Roman" w:cs="Times New Roman" w:eastAsia="Times New Roman"/>
          <w:b w:val="0"/>
          <w:i w:val="0"/>
          <w:sz w:val="24"/>
        </w:rPr>
        <w:t>“Given the major roles that ROS and the cytokine storm play in the pathogenesis of COVID-19, the use of NAC to treat COVID-19 has been proposed [ 67 ]. In a small case study (10 cases) conducted by Ibrahim et al. (2020), it was found that the acute-phase protein serum C-reactive protein (CRP) and ferritin levels were decreased in all severe COVID-19 hospitalized patients following twice-daily intravenous administration of 600 mg of NAC [ 72 ]; elevated CRP and ferritin levels are indicative of uncontrolled inflammation [ 73 ]. Additionally, a significant improvement in liver function and reduced oxygen requirement was also observed in all ten patients enrolled in the Ibrahim et al. (2020) study following the administration of NAC; nine of these patients that previously required extracorporeal membrane oxygenation (ECMO) showed significant improvement and their ECMO treatment was discontinued after NAC therapy [ 72 ].”  [PMC10604897 ¶30]</w:t>
      </w:r>
    </w:p>
    <w:p>
      <w:pPr>
        <w:spacing w:after="120"/>
        <w:jc w:val="both"/>
      </w:pPr>
      <w:r>
        <w:rPr>
          <w:rFonts w:ascii="Times New Roman" w:hAnsi="Times New Roman" w:cs="Times New Roman" w:eastAsia="Times New Roman"/>
          <w:b w:val="0"/>
          <w:i w:val="0"/>
          <w:sz w:val="24"/>
        </w:rPr>
        <w:t>“Nevertheless, further research is needed to comprehensively understand its impact on cardiovascular outcomes. Furthermore, NAC has been the subject of study for its potential hepatoprotective properties, revealing promising outcomes by lowering liver enzyme levels and enhancing liver function. Lastly, NAC may play a role in alleviating influenza symptoms and aiding recovery, primarily due to its antioxidant and immunomodulatory characteristics. 6. Autoimmune Diseases Autoimmune diseases encompass a wide variety of illnesses and occur when self-constituents are attacked by a hyperactive immune system [ 75 , 76 ]. Due to a loss of immunological self-tolerance, immune cells begin to attack self-molecules manifesting as an autoimmune response [ 75 ]. Inflammatory bowel diseases (IBD) are autoimmune diseases that cause chronic inflammation of the gastrointestinal tract, and they are categorized into two main types, UC and Crohn\u2019s diseases [ 76 ].”  [PMC10604897 ¶33]</w:t>
      </w:r>
    </w:p>
    <w:p>
      <w:pPr>
        <w:spacing w:after="120"/>
        <w:jc w:val="both"/>
      </w:pPr>
      <w:r>
        <w:rPr>
          <w:rFonts w:ascii="Times New Roman" w:hAnsi="Times New Roman" w:cs="Times New Roman" w:eastAsia="Times New Roman"/>
          <w:b w:val="0"/>
          <w:i w:val="0"/>
          <w:sz w:val="24"/>
        </w:rPr>
        <w:t>“Autoimmune diseases are becoming increasingly prevalent, and their corresponding treatments can result in further immunosuppression, which can lead to systemic infections that potentially cause death [ 75 ]. More natural treatment remedies, such as NAC, have been explored for treating IBD [ 77 ]. Studies conducted by Ebrahimi et al. (2008) measured certain biomarkers in colon cells in a mouse model to examine the effects of NAC on IBD. NAC was administered at varying amounts (106, 160, and 240 mg/kg) over the course of four days after the induction of colitis, and it was determined that NAC was able to attenuate lipid peroxides, the cytokine TNF-\u237a, and nitric oxides [ 77 ]. The researchers concluded that cellular biomarkers for IBD improved with the use of moderate to high doses of NAC [ 77 ]. Additionally, research on human UC by Shirazi et al. (2021) examined NAC as an antioxidant agent for treating flare-ups of the illness [ 78 ].”  [PMC10604897 ¶34]</w:t>
      </w:r>
    </w:p>
    <w:p>
      <w:pPr>
        <w:spacing w:after="120"/>
        <w:jc w:val="both"/>
      </w:pPr>
      <w:r>
        <w:rPr>
          <w:rFonts w:ascii="Times New Roman" w:hAnsi="Times New Roman" w:cs="Times New Roman" w:eastAsia="Times New Roman"/>
          <w:b w:val="0"/>
          <w:i w:val="0"/>
          <w:sz w:val="24"/>
        </w:rPr>
        <w:t>“Use of NAC in Domesticated Animal Health and Production Intestinal integrity is essential to normal physiological function as it is critically involved in nutrition, metabolism, and whole-body homeostasis [ 10 ]. Damage to the mucosal epithelium impairs nutrient absorption and compromises immunity. Consequently, this reduces animal growth performance and compromises animal health [ 10 ]. Animal stressors, such as early weaning and infection, result in injury and dysfunction of the intestinal mucosal barrier [ 10 ], which serves as the first line of defense against endogenous and exogenous microbes and their toxins [ 10 ]. While the use of NAC for domesticated animals is not widespread, or common, there is substantial evidence to support its use, particularly during the weaning period to help increase average daily gain, increase food intake, and improve growth performance of neonates. Many nutrients have recently been reported to improve immune function, particularly during stress [ 90 ], and, therefore, it is not surprising that NAC may also be considered an immunoceutical because of its immunomodulatory properties. 10.”  [PMC10604897 ¶41]</w:t>
      </w:r>
    </w:p>
    <w:p>
      <w:pPr>
        <w:spacing w:before="120" w:after="80"/>
        <w:jc w:val="both"/>
      </w:pPr>
      <w:r>
        <w:rPr>
          <w:rFonts w:ascii="Times New Roman" w:hAnsi="Times New Roman" w:cs="Times New Roman" w:eastAsia="Times New Roman"/>
          <w:b w:val="0"/>
          <w:i/>
          <w:sz w:val="22"/>
        </w:rPr>
        <w:t>Source-article figures for PMC10604897 (extracted from the Europe PMC PDF rendering, re-encoded as PNG for docx compatibility):</w:t>
      </w:r>
    </w:p>
    <w:p>
      <w:pPr>
        <w:jc w:val="center"/>
      </w:pPr>
      <w:r>
        <w:drawing>
          <wp:inline xmlns:a="http://schemas.openxmlformats.org/drawingml/2006/main" xmlns:pic="http://schemas.openxmlformats.org/drawingml/2006/picture">
            <wp:extent cx="5029200" cy="2300859"/>
            <wp:docPr id="50" name="Picture 50"/>
            <wp:cNvGraphicFramePr>
              <a:graphicFrameLocks noChangeAspect="1"/>
            </wp:cNvGraphicFramePr>
            <a:graphic>
              <a:graphicData uri="http://schemas.openxmlformats.org/drawingml/2006/picture">
                <pic:pic>
                  <pic:nvPicPr>
                    <pic:cNvPr id="0" name="p21_i1.jpg"/>
                    <pic:cNvPicPr/>
                  </pic:nvPicPr>
                  <pic:blipFill>
                    <a:blip r:embed="rId12"/>
                    <a:stretch>
                      <a:fillRect/>
                    </a:stretch>
                  </pic:blipFill>
                  <pic:spPr>
                    <a:xfrm>
                      <a:off x="0" y="0"/>
                      <a:ext cx="5029200" cy="2300859"/>
                    </a:xfrm>
                    <a:prstGeom prst="rect"/>
                  </pic:spPr>
                </pic:pic>
              </a:graphicData>
            </a:graphic>
          </wp:inline>
        </w:drawing>
      </w:r>
    </w:p>
    <w:p>
      <w:pPr>
        <w:spacing w:after="160"/>
        <w:jc w:val="center"/>
      </w:pPr>
      <w:r>
        <w:rPr>
          <w:rFonts w:ascii="Times New Roman" w:hAnsi="Times New Roman" w:cs="Times New Roman" w:eastAsia="Times New Roman"/>
          <w:b w:val="0"/>
          <w:i/>
          <w:sz w:val="20"/>
        </w:rPr>
        <w:t>Figure 1 (from PMC10604897): “The three major narratives of NAC’s mechanisms of action.</w:t>
        <w:br/>
        <w:t xml:space="preserve">   graphic: `antioxidants-12-01867-g001.jpg`”</w:t>
      </w:r>
    </w:p>
    <w:p>
      <w:pPr>
        <w:jc w:val="center"/>
      </w:pPr>
      <w:r>
        <w:drawing>
          <wp:inline xmlns:a="http://schemas.openxmlformats.org/drawingml/2006/main" xmlns:pic="http://schemas.openxmlformats.org/drawingml/2006/picture">
            <wp:extent cx="5029200" cy="1144143"/>
            <wp:docPr id="51" name="Picture 51"/>
            <wp:cNvGraphicFramePr>
              <a:graphicFrameLocks noChangeAspect="1"/>
            </wp:cNvGraphicFramePr>
            <a:graphic>
              <a:graphicData uri="http://schemas.openxmlformats.org/drawingml/2006/picture">
                <pic:pic>
                  <pic:nvPicPr>
                    <pic:cNvPr id="0" name="p21_i2.jpg"/>
                    <pic:cNvPicPr/>
                  </pic:nvPicPr>
                  <pic:blipFill>
                    <a:blip r:embed="rId13"/>
                    <a:stretch>
                      <a:fillRect/>
                    </a:stretch>
                  </pic:blipFill>
                  <pic:spPr>
                    <a:xfrm>
                      <a:off x="0" y="0"/>
                      <a:ext cx="5029200" cy="1144143"/>
                    </a:xfrm>
                    <a:prstGeom prst="rect"/>
                  </pic:spPr>
                </pic:pic>
              </a:graphicData>
            </a:graphic>
          </wp:inline>
        </w:drawing>
      </w:r>
    </w:p>
    <w:p>
      <w:pPr>
        <w:spacing w:after="160"/>
        <w:jc w:val="center"/>
      </w:pPr>
      <w:r>
        <w:rPr>
          <w:rFonts w:ascii="Times New Roman" w:hAnsi="Times New Roman" w:cs="Times New Roman" w:eastAsia="Times New Roman"/>
          <w:b w:val="0"/>
          <w:i/>
          <w:sz w:val="20"/>
        </w:rPr>
        <w:t>Figure panel from PMC10604897 (source bitmap p21_i2.jpg, 1600×364 px).</w:t>
      </w:r>
    </w:p>
    <w:p>
      <w:pPr>
        <w:keepNext/>
        <w:spacing w:before="280" w:after="80"/>
        <w:outlineLvl w:val="1"/>
      </w:pPr>
      <w:r>
        <w:rPr>
          <w:rFonts w:ascii="Times New Roman" w:hAnsi="Times New Roman" w:cs="Times New Roman" w:eastAsia="Times New Roman"/>
          <w:b/>
          <w:i w:val="0"/>
          <w:color w:val="335588"/>
          <w:sz w:val="28"/>
        </w:rPr>
        <w:t>8.7  Endothelial dysfunction in cardiovascular disease</w:t>
      </w:r>
    </w:p>
    <w:p>
      <w:pPr>
        <w:spacing w:after="80"/>
        <w:jc w:val="both"/>
      </w:pPr>
      <w:r>
        <w:rPr>
          <w:rFonts w:ascii="Times New Roman" w:hAnsi="Times New Roman" w:cs="Times New Roman" w:eastAsia="Times New Roman"/>
          <w:b w:val="0"/>
          <w:i/>
          <w:sz w:val="22"/>
        </w:rPr>
        <w:t>Primary evidence: Endothelial Dysfunction: Redox Imbalance, NLRP3 Inflammasome, and Inflammatory Responses in Cardiovascular Diseases. Antioxidants (2025). PMCID: PMC11939635; PMID: 40227195; DOI: 10.3390/antiox14030256.</w:t>
      </w:r>
    </w:p>
    <w:p>
      <w:pPr>
        <w:spacing w:after="80"/>
        <w:jc w:val="both"/>
      </w:pPr>
      <w:r>
        <w:rPr>
          <w:rFonts w:ascii="Times New Roman" w:hAnsi="Times New Roman" w:cs="Times New Roman" w:eastAsia="Times New Roman"/>
          <w:b w:val="0"/>
          <w:i w:val="0"/>
          <w:sz w:val="24"/>
        </w:rPr>
        <w:t>Pipeline-derived summary statement: NAC is among treatments showing promise for improving endothelial function in cardiovascular diseases with redox-imbalance etiology.</w:t>
      </w:r>
    </w:p>
    <w:p>
      <w:pPr>
        <w:spacing w:after="80"/>
        <w:jc w:val="both"/>
      </w:pPr>
      <w:r>
        <w:rPr>
          <w:rFonts w:ascii="Times New Roman" w:hAnsi="Times New Roman" w:cs="Times New Roman" w:eastAsia="Times New Roman"/>
          <w:b/>
          <w:i w:val="0"/>
          <w:sz w:val="22"/>
        </w:rPr>
        <w:t>Verbatim abstract:</w:t>
      </w:r>
    </w:p>
    <w:p>
      <w:pPr>
        <w:spacing w:after="80"/>
        <w:jc w:val="both"/>
      </w:pPr>
      <w:r>
        <w:rPr>
          <w:rFonts w:ascii="Times New Roman" w:hAnsi="Times New Roman" w:cs="Times New Roman" w:eastAsia="Times New Roman"/>
          <w:b w:val="0"/>
          <w:i/>
          <w:sz w:val="24"/>
        </w:rPr>
        <w:t>“Endothelial dysfunction (ED) is characterized by an imbalance between vasodilatory and vasoconstrictive factors, leading to impaired vascular tone, thrombosis, and inflammation. These processes are critical in the development of cardiovascular diseases (CVDs) such as atherosclerosis, hypertension and ischemia/reperfusion injury (IRI). Reduced nitric oxide (NO) production and increased oxidative stress are key contributors to ED. Aging further exacerbates ED through mitochondrial dysfunction and increased oxidative/nitrosative stress, heightening CVD risk. Antioxidant systems like superoxide-dismutase (SOD), glutathione-peroxidase (GPx), and thioredoxin/thioredoxin-reductase (Trx/TXNRD) pathways protect against oxidative stress. However, their reduced activity promotes ED, atherosclerosis, and vulnerability to IRI. Metabolic syndrome, comprising insulin resistance, obesity, and hypertension, is often accompanied by ED. Specifically, hyperglycemia worsens endothelial damage by promoting oxidative stress and inflammation. Obesity leads to chronic inflammation and changes in perivascular adipose tissue, while hypertension is associated with an increase in oxidative stress. The NLRP3 inflammasome plays a significant role in ED, being triggered by factors such as reactive oxygen and nitrogen species, ischemia, and high glucose, which contribute to inflammation, endothelial injury, and exacerbation of IRI. Treatments, such as N-acetyl-L-cysteine, SGLT2 or NLRP3 inhibitors, show promise in improving endothelial function. Yet the complexity of ED suggests that multi-targeted therapies addressing oxidative stress, inflammation, and metabolic disturbances are essential for managing CVDs associated with metabolic syndrome.”</w:t>
      </w:r>
    </w:p>
    <w:p>
      <w:pPr>
        <w:spacing w:before="120" w:after="80"/>
        <w:jc w:val="both"/>
      </w:pPr>
      <w:r>
        <w:rPr>
          <w:rFonts w:ascii="Times New Roman" w:hAnsi="Times New Roman" w:cs="Times New Roman" w:eastAsia="Times New Roman"/>
          <w:b/>
          <w:i w:val="0"/>
          <w:sz w:val="24"/>
        </w:rPr>
        <w:t>Verbatim body paragraphs from PMC11939635 matching this therapeutic theme:</w:t>
      </w:r>
    </w:p>
    <w:p>
      <w:pPr>
        <w:spacing w:after="120"/>
        <w:jc w:val="both"/>
      </w:pPr>
      <w:r>
        <w:rPr>
          <w:rFonts w:ascii="Times New Roman" w:hAnsi="Times New Roman" w:cs="Times New Roman" w:eastAsia="Times New Roman"/>
          <w:b w:val="0"/>
          <w:i w:val="0"/>
          <w:sz w:val="24"/>
        </w:rPr>
        <w:t>“Schematic illustration of the pathways and factors contributing to endothelial dysfunction and the progression of CVDs. The activation of the NLRP3 inflammasome by PAMPs, DAMPs, and hemodynamic alterations triggers the production of inflammatory cytokines (e.g., IL-1β, IL-18) via caspa graphic: `antioxidants-14-00256-g002.jpg` 2. **Figure 1** — Adequate NO production supports redox balance, vasodilation, and vascular homeostasis. In contrast, endothelial dysfunction and reduced NO levels lead to redox imbalance, favoring ROS/RNS-mediated inflammation and fibrosis, with O 2 •− , ONOO − and NLRP3 playing key roles (See also Figure 2 ). Double-headed lines indicate inhibition, while simple arrows indicate diffusion and activation. Red-color graphic: `antioxidants-14-00256-g001.jpg` ```json { "pmcid": "PMC11939635", "pmid": "40227195", "doi": "10.3390/antiox14030256", "title": "Endothelial Dysfunction: Redox Imbalance, NLRP3 Inflammasome, and Inflammatory Responses in Cardiovascular Diseases", "journal": "Antioxidants", "year": "2025", "abstract": "Endothelial dysfunction (ED) is characterized by an imbalance between vasodilatory and vasoconstrictive factors, leading to impaired vascular tone, thrombosis, and inflammation.”  [PMC11939635 ¶1]</w:t>
      </w:r>
    </w:p>
    <w:p>
      <w:pPr>
        <w:spacing w:after="120"/>
        <w:jc w:val="both"/>
      </w:pPr>
      <w:r>
        <w:rPr>
          <w:rFonts w:ascii="Times New Roman" w:hAnsi="Times New Roman" w:cs="Times New Roman" w:eastAsia="Times New Roman"/>
          <w:b w:val="0"/>
          <w:i w:val="0"/>
          <w:sz w:val="24"/>
        </w:rPr>
        <w:t>“These processes are critical in the development of cardiovascular diseases (CVDs) such as atherosclerosis, hypertension and ischemia/reperfusion injury (IRI). Reduced nitric oxide (NO) production and increased oxidative stress are key contributors to ED. Aging further exacerbates ED through mitochondrial dysfunction and increased oxidative/nitrosative stress, heightening CVD risk. Antioxidant systems like superoxide-dismutase (SOD), glutathione-peroxidase (GPx), and thioredoxin/thioredoxin-reductase (Trx/TXNRD) pathways protect against oxidative stress. However, their reduced activity promotes ED, atherosclerosis, and vulnerability to IRI. Metabolic syndrome, comprising insulin resistance, obesity, and hypertension, is often accompanied by ED. Specifically, hyperglycemia worsens endothelial damage by promoting oxidative stress and inflammation. Obesity leads to chronic inflammation and changes in perivascular adipose tissue, while hypertension is associated with an increase in oxidative stress.”  [PMC11939635 ¶2]</w:t>
      </w:r>
    </w:p>
    <w:p>
      <w:pPr>
        <w:spacing w:after="120"/>
        <w:jc w:val="both"/>
      </w:pPr>
      <w:r>
        <w:rPr>
          <w:rFonts w:ascii="Times New Roman" w:hAnsi="Times New Roman" w:cs="Times New Roman" w:eastAsia="Times New Roman"/>
          <w:b w:val="0"/>
          <w:i w:val="0"/>
          <w:sz w:val="24"/>
        </w:rPr>
        <w:t>“The NLRP3 inflammasome plays a significant role in ED, being triggered by factors such as reactive oxygen and nitrogen species, ischemia, and high glucose, which contribute to inflammation, endothelial injury, and exacerbation of IRI. Treatments, such as N-acetyl-L-cysteine, SGLT2 or NLRP3 inhibitors, show promise in improving endothelial function. Yet the complexity of ED suggests that multi-targeted therapies addressing oxidative stress, inflammation, and metabolic disturbances are essential for managing CVDs associated with metabolic syndrome.", "body_text": "1. Introduction Despite its simple monolayer structure, healthy endothelium responds to a variety of stimuli, both chemical and mechanical. In turn, the endothelium is capable of producing a wide range of molecules that regulate vascular permeability, cell adhesion, smooth muscle cell proliferation, vessel wall inflammation, and thrombosis resistance.”  [PMC11939635 ¶3]</w:t>
      </w:r>
    </w:p>
    <w:p>
      <w:pPr>
        <w:jc w:val="center"/>
      </w:pPr>
      <w:r>
        <w:drawing>
          <wp:inline xmlns:a="http://schemas.openxmlformats.org/drawingml/2006/main" xmlns:pic="http://schemas.openxmlformats.org/drawingml/2006/picture">
            <wp:extent cx="5029200" cy="2916365"/>
            <wp:docPr id="52" name="Picture 52"/>
            <wp:cNvGraphicFramePr>
              <a:graphicFrameLocks noChangeAspect="1"/>
            </wp:cNvGraphicFramePr>
            <a:graphic>
              <a:graphicData uri="http://schemas.openxmlformats.org/drawingml/2006/picture">
                <pic:pic>
                  <pic:nvPicPr>
                    <pic:cNvPr id="0" name="p11_i1.jpg"/>
                    <pic:cNvPicPr/>
                  </pic:nvPicPr>
                  <pic:blipFill>
                    <a:blip r:embed="rId16"/>
                    <a:stretch>
                      <a:fillRect/>
                    </a:stretch>
                  </pic:blipFill>
                  <pic:spPr>
                    <a:xfrm>
                      <a:off x="0" y="0"/>
                      <a:ext cx="5029200" cy="2916365"/>
                    </a:xfrm>
                    <a:prstGeom prst="rect"/>
                  </pic:spPr>
                </pic:pic>
              </a:graphicData>
            </a:graphic>
          </wp:inline>
        </w:drawing>
      </w:r>
    </w:p>
    <w:p>
      <w:pPr>
        <w:spacing w:after="160"/>
        <w:jc w:val="center"/>
      </w:pPr>
      <w:r>
        <w:rPr>
          <w:rFonts w:ascii="Times New Roman" w:hAnsi="Times New Roman" w:cs="Times New Roman" w:eastAsia="Times New Roman"/>
          <w:b w:val="0"/>
          <w:i/>
          <w:sz w:val="20"/>
        </w:rPr>
        <w:t>Figure 1 (from PMC11939635): “Key molecular mechanisms linking endothelial dysfunction, NLRP3 inflammasome, and cardiovascular diseases (CVDs). Schematic illustration of the pathways and factors contributing to endothelial dysfunction and the progression of CVDs. The activation of the NLRP3 inflammasome by PAMPs, DAMPs, and hemodynamic alterations triggers the production of inflammatory ”</w:t>
      </w:r>
    </w:p>
    <w:p>
      <w:pPr>
        <w:spacing w:after="120"/>
        <w:jc w:val="both"/>
      </w:pPr>
      <w:r>
        <w:rPr>
          <w:rFonts w:ascii="Times New Roman" w:hAnsi="Times New Roman" w:cs="Times New Roman" w:eastAsia="Times New Roman"/>
          <w:b w:val="0"/>
          <w:i w:val="0"/>
          <w:sz w:val="24"/>
        </w:rPr>
        <w:t>“Endothelial dysfunction (ED) is characterized by an impaired response of endothelial cells (ECs) to physiological stimuli, resulting in altered vascular tone and organ perfusion. It arises from an imbalance between vasodilator and vasoconstrictor factors and is associated with various conditions, including neurodegenerative diseases, kidney disease, metabolic syndrome, and cardiovascular diseases (CVDs) [ 1 ]. Sharing mechanisms with many of the aforementioned pathological conditions, ED often serves as a starting point, highlighting a common link among these disorders. This raises the question of whether early detection of ED could be valuable for the screening and prevention of CVDs. From a clinical point of view, the evolution of ED can be followed by measuring some molecules in order to obtain an early diagnosis. Molecules identified as markers of endothelial dysfunction include cytokines such as interleukins (e.g., IL-6 and IL-1), tumor necrosis factor-alpha (TNF-\u03b1), adhesion molecules like intercellular adhesion molecule (ICAM) and vascular cell adhesion molecule (VCAM), as well as endothelial microparticles [ 2 ].”  [PMC11939635 ¶4]</w:t>
      </w:r>
    </w:p>
    <w:p>
      <w:pPr>
        <w:spacing w:after="120"/>
        <w:jc w:val="both"/>
      </w:pPr>
      <w:r>
        <w:rPr>
          <w:rFonts w:ascii="Times New Roman" w:hAnsi="Times New Roman" w:cs="Times New Roman" w:eastAsia="Times New Roman"/>
          <w:b w:val="0"/>
          <w:i w:val="0"/>
          <w:sz w:val="24"/>
        </w:rPr>
        <w:t>“The inflammatory response plays a central role by activating the NOD-like receptor family pyrin domain-containing 3 (NLRP3) inflammasome. This activation triggers the release of cytokines, which in turn fuel oxidative stress and further inflammatory processes, creating a vicious cycle [ 7 , 8 , 9 ]. In this brief review, ED pathology will be considered in terms of redox and inflammatory response, since both these factors are among the main causes of NLRP3 activation and CVDs associated with ED. 2. Features of Healthy Endothelium Healthy ECs lining the inner wall of vessels form a dynamic interface with different functions on the surrounding microenvironment. Vascular homeostasis in healthy endothelium is maintained through the release of NO, produced mainly by endothelial NO synthase (eNOS). The endothelium controls the functions of the organs and their metabolism primarily in a paracrine manner through what is defined as \u201cangiocrine signaling\u201d [ 10 ].”  [PMC11939635 ¶6]</w:t>
      </w:r>
    </w:p>
    <w:p>
      <w:pPr>
        <w:spacing w:after="120"/>
        <w:jc w:val="both"/>
      </w:pPr>
      <w:r>
        <w:rPr>
          <w:rFonts w:ascii="Times New Roman" w:hAnsi="Times New Roman" w:cs="Times New Roman" w:eastAsia="Times New Roman"/>
          <w:b w:val="0"/>
          <w:i w:val="0"/>
          <w:sz w:val="24"/>
        </w:rPr>
        <w:t>“Indeed, the endothelium regulates blood flow and vascular resistance by producing several factors, including vasodilators (e.g., NO and prostacyclin (PGI 2 )) and vasoconstrictors (e.g., endothelins (ETs) and thromboxane A 2 (TxA 2 )), ensuring the appropriate delivery of oxygen and nutrients to tissues. Moreover, ECs play a crucial role in maintaining circulatory and blood homeostasis. In their normal state, ECs produce various substances, including prostaglandins, PGI 2 , carbon monoxide (CO), and adenosine diphosphatase, which modulate platelet activation and aggregation, maintaining vascular homeostasis [ 11 , 12 , 13 , 14 , 15 , 16 , 17 , 18 , 19 , 20 , 21 , 22 , 23 ] ( Table 1 ). Endothelial cells also secrete anticoagulant proteins, such as thrombomodulin and heparin-like molecules, and promote fibrinolysis by synthesizing tissue plasminogen activator (t-PA). The activity of the endothelium is physiologically controlled and mediated not only by various factors, but also through a signaling involving mechanotransduction [ 4 ].”  [PMC11939635 ¶7]</w:t>
      </w:r>
    </w:p>
    <w:p>
      <w:pPr>
        <w:jc w:val="center"/>
      </w:pPr>
      <w:r>
        <w:drawing>
          <wp:inline xmlns:a="http://schemas.openxmlformats.org/drawingml/2006/main" xmlns:pic="http://schemas.openxmlformats.org/drawingml/2006/picture">
            <wp:extent cx="5029200" cy="2478960"/>
            <wp:docPr id="53" name="Picture 53"/>
            <wp:cNvGraphicFramePr>
              <a:graphicFrameLocks noChangeAspect="1"/>
            </wp:cNvGraphicFramePr>
            <a:graphic>
              <a:graphicData uri="http://schemas.openxmlformats.org/drawingml/2006/picture">
                <pic:pic>
                  <pic:nvPicPr>
                    <pic:cNvPr id="0" name="p06_i1.jpg"/>
                    <pic:cNvPicPr/>
                  </pic:nvPicPr>
                  <pic:blipFill>
                    <a:blip r:embed="rId33"/>
                    <a:stretch>
                      <a:fillRect/>
                    </a:stretch>
                  </pic:blipFill>
                  <pic:spPr>
                    <a:xfrm>
                      <a:off x="0" y="0"/>
                      <a:ext cx="5029200" cy="2478960"/>
                    </a:xfrm>
                    <a:prstGeom prst="rect"/>
                  </pic:spPr>
                </pic:pic>
              </a:graphicData>
            </a:graphic>
          </wp:inline>
        </w:drawing>
      </w:r>
    </w:p>
    <w:p>
      <w:pPr>
        <w:spacing w:after="160"/>
        <w:jc w:val="center"/>
      </w:pPr>
      <w:r>
        <w:rPr>
          <w:rFonts w:ascii="Times New Roman" w:hAnsi="Times New Roman" w:cs="Times New Roman" w:eastAsia="Times New Roman"/>
          <w:b w:val="0"/>
          <w:i/>
          <w:sz w:val="20"/>
        </w:rPr>
        <w:t>Figure 2 (from PMC11939635): “Adequate NO production supports redox balance, vasodilation, and vascular homeostasis. In contrast, endothelial dysfunction and reduced NO levels lead to redox imbalance, favoring ROS/RNS-mediated inflammation and fibrosis, with O 2 •− , ONOO − and NLRP3 playing key roles (See also Figure 2 ). Double-headed lines indicate inhibition, while simple arrows indi”</w:t>
      </w:r>
    </w:p>
    <w:p>
      <w:pPr>
        <w:spacing w:after="120"/>
        <w:jc w:val="both"/>
      </w:pPr>
      <w:r>
        <w:rPr>
          <w:rFonts w:ascii="Times New Roman" w:hAnsi="Times New Roman" w:cs="Times New Roman" w:eastAsia="Times New Roman"/>
          <w:b w:val="0"/>
          <w:i w:val="0"/>
          <w:sz w:val="24"/>
        </w:rPr>
        <w:t>“Indeed, besides the aforementioned factors, vascular homeostasis is also regulated by myoendothelial junctions (MEJs), which mediate direct interactions between ECs and vascular smooth muscle cells (VSMCs) in resistance vessels. MEJs facilitate endothelial-dependent hyperpolarization (EDH), a NO-independent mechanism modulating vasodilation and vasoconstriction. Recent studies have highlighted the role of membrane proteins such as Transient Receptor Potential Vanilloid 4 (TRPV4), Piezo1, Acid-Sensing Ion Channel 1a (ASIC1a), Connexins, and eNOS in vasomotor signal initiation and propagation. Although eNOS is not an intrinsic membrane protein, its localization to caveolae and interaction with caveolin-1 is promoted by post-translational modifications. Additional insights into Notch signaling have further elucidated its impact on vascular tone [ 4 , 12 , 13 ]. Initially identified as a vasodilator factor distinct from NO and PGI2, EDHF\u2019s identity evolved into the broader concept of EDH signaling, reflecting its complex role in vascular function.”  [PMC11939635 ¶8]</w:t>
      </w:r>
    </w:p>
    <w:p>
      <w:pPr>
        <w:spacing w:after="120"/>
        <w:jc w:val="both"/>
      </w:pPr>
      <w:r>
        <w:rPr>
          <w:rFonts w:ascii="Times New Roman" w:hAnsi="Times New Roman" w:cs="Times New Roman" w:eastAsia="Times New Roman"/>
          <w:b w:val="0"/>
          <w:i w:val="0"/>
          <w:sz w:val="24"/>
        </w:rPr>
        <w:t>“Moreover, ECs limit lipoprotein oxidation by reducing oxidative stress in the vascular wall through the production of NO, which is crucial in preventing atheromatous plaque formation [ 11 , 15 , 23 ]. The endothelial function is also regulated by the activation of receptor tyrosine kinases, such as vascular endothelial growth factor receptor (VEGFR2 and VEGFR3), as well as ion channels, integrins, and junctional proteins. Examples of junctional proteins are platelet endothelial cell adhesion molecule-1 (PECAM-1) and vascular endothelial (VE)-cadherin) [ 24 ]. Blood flow at the vessel level determines the onset of physical forces and mechano-transduction at the endothelial cell level. In physiological conditions, the shear stress produced by this force maintains the homeostasis of the endothelium. When this physical force varies\u2014whether it increases or decreases\u2014turbulence can arise, potentially disrupting homeostasis.”  [PMC11939635 ¶10]</w:t>
      </w:r>
    </w:p>
    <w:p>
      <w:pPr>
        <w:spacing w:after="120"/>
        <w:jc w:val="both"/>
      </w:pPr>
      <w:r>
        <w:rPr>
          <w:rFonts w:ascii="Times New Roman" w:hAnsi="Times New Roman" w:cs="Times New Roman" w:eastAsia="Times New Roman"/>
          <w:b w:val="0"/>
          <w:i w:val="0"/>
          <w:sz w:val="24"/>
        </w:rPr>
        <w:t>“Among the causes that can determine an alteration of shear stress, it is worth mentioning the increase in blood pressure which, combined with a greater stiffness due to metabolic syndrome and aging, determines changes in both the phenotype and the endothelial functionality [ 4 , 25 ]. In addition to being subjected to shear stress, ECs can function as a \u201cmetabolic interface\u201d with important differences between different organs and within the organ itself [ 26 , 27 ]. It appears that under many conditions, the preferred metabolic pathway of ECs is anaerobic glycolysis [ 28 ]. The reliance on anaerobic glycolysis offers metabolic advantages. Under normal conditions, it reduces the formation and availability of ROS/RNS while enhancing the efficiency of metabolite transport from the vessel to surrounding tissues. For instance, the endothelium exerts metabolic control over surrounding tissues, regulating the influx of hormones and other key elements such as insulin, lipids, and glucose.”  [PMC11939635 ¶11]</w:t>
      </w:r>
    </w:p>
    <w:p>
      <w:pPr>
        <w:spacing w:after="120"/>
        <w:jc w:val="both"/>
      </w:pPr>
      <w:r>
        <w:rPr>
          <w:rFonts w:ascii="Times New Roman" w:hAnsi="Times New Roman" w:cs="Times New Roman" w:eastAsia="Times New Roman"/>
          <w:b w:val="0"/>
          <w:i w:val="0"/>
          <w:sz w:val="24"/>
        </w:rPr>
        <w:t>“Anaerobic glycolysis is also used during angiogenesis, thus favoring the invasion of less oxygenated areas by the endothelium [ 29 ]. In summary , ECs play a crucial role in maintaining vascular homeostasis through the release of NO, produced mainly by eNOS. The endothelium regulates blood flow, vascular resistance, and tissue metabolism via paracrine signaling, producing both vasodilators like NO, PGI 2 , and CO, and vasoconstrictors such as endothelins. Vascular homeostasis is also controlled by MEJs, which mediate communication between ECs and VSMCs, influencing vasodilation and vasoconstriction. EDH signaling, which involves hyperpolarization of VSMCs, is also vital in regulating vascular tone. Endothelial function is further influenced by mechanical forces such as shear stress, which maintains endothelial health. Additionally, ECs produce anticoagulant proteins and promote fibrinolysis.”  [PMC11939635 ¶12]</w:t>
      </w:r>
    </w:p>
    <w:p>
      <w:pPr>
        <w:spacing w:after="120"/>
        <w:jc w:val="both"/>
      </w:pPr>
      <w:r>
        <w:rPr>
          <w:rFonts w:ascii="Times New Roman" w:hAnsi="Times New Roman" w:cs="Times New Roman" w:eastAsia="Times New Roman"/>
          <w:b w:val="0"/>
          <w:i w:val="0"/>
          <w:sz w:val="24"/>
        </w:rPr>
        <w:t>“The endothelium also participates in metabolic processes like hormone regulation and lipoprotein oxidation, and it relies on anaerobic glycolysis for energy, particularly during angiogenesis. Due to its multiple functions and interactions, as well as the vastness of its surface, the endothelium plays a pivotal role in maintaining cardiovascular and overall organism health. Therefore, ED is at the foundation of a wide range of pathological conditions. 3. Endothelial Dysfunction and Activation By definition, ED is a pathological state of the endothelium characterized by an imbalance between the production of vasodilatory substances and vasoconstrictive, pro-inflammatory, and pro-thrombotic factors. ED impairs the endothelium\u2019s ability to regulate vascular tone, maintain vascular homeostasis, and prevent thrombosis and inflammation. ED contributes to the development and progression of CVDs, such as atherosclerosis and hypertension.”  [PMC11939635 ¶13]</w:t>
      </w:r>
    </w:p>
    <w:p>
      <w:pPr>
        <w:spacing w:after="120"/>
        <w:jc w:val="both"/>
      </w:pPr>
      <w:r>
        <w:rPr>
          <w:rFonts w:ascii="Times New Roman" w:hAnsi="Times New Roman" w:cs="Times New Roman" w:eastAsia="Times New Roman"/>
          <w:b w:val="0"/>
          <w:i w:val="0"/>
          <w:sz w:val="24"/>
        </w:rPr>
        <w:t>“Endothelial activation is a state in which ECs upregulate the expression of adhesion molecules (e.g., VCAM-1, ICAM-1), pro-inflammatory cytokines, chemokines, and pro-coagulant factors in response to various stimuli, such as inflammatory signals, oxidative stress, or shear stress disturbances. This process facilitates leukocyte adhesion and transmigration, promotes inflammation, and contributes to vascular remodeling and thrombosis, playing a critical role in immune responses and CVDs. When the endothelium is damaged, its balance is disrupted, and the release of cytokines (e.g., ILs and TNF-\u03b1) contributes to pathological processes. Also, alterations in intracellular pathways contribute to pathological processes. For instance, studies have reported that reduced fatty acid transport in the heart, resulting from disruptions in the endothelial Notch signaling pathway, can lead to congestive heart failure [ 19 , 30 , 31 ].”  [PMC11939635 ¶14]</w:t>
      </w:r>
    </w:p>
    <w:p>
      <w:pPr>
        <w:spacing w:before="120" w:after="80"/>
        <w:jc w:val="both"/>
      </w:pPr>
      <w:r>
        <w:rPr>
          <w:rFonts w:ascii="Times New Roman" w:hAnsi="Times New Roman" w:cs="Times New Roman" w:eastAsia="Times New Roman"/>
          <w:b w:val="0"/>
          <w:i/>
          <w:sz w:val="22"/>
        </w:rPr>
        <w:t>Source-article figures for PMC11939635 (extracted from the Europe PMC PDF rendering, re-encoded as PNG for docx compatibility):</w:t>
      </w:r>
    </w:p>
    <w:p>
      <w:pPr>
        <w:jc w:val="center"/>
      </w:pPr>
      <w:r>
        <w:drawing>
          <wp:inline xmlns:a="http://schemas.openxmlformats.org/drawingml/2006/main" xmlns:pic="http://schemas.openxmlformats.org/drawingml/2006/picture">
            <wp:extent cx="5029200" cy="2916365"/>
            <wp:docPr id="54" name="Picture 54"/>
            <wp:cNvGraphicFramePr>
              <a:graphicFrameLocks noChangeAspect="1"/>
            </wp:cNvGraphicFramePr>
            <a:graphic>
              <a:graphicData uri="http://schemas.openxmlformats.org/drawingml/2006/picture">
                <pic:pic>
                  <pic:nvPicPr>
                    <pic:cNvPr id="0" name="p11_i1.jpg"/>
                    <pic:cNvPicPr/>
                  </pic:nvPicPr>
                  <pic:blipFill>
                    <a:blip r:embed="rId16"/>
                    <a:stretch>
                      <a:fillRect/>
                    </a:stretch>
                  </pic:blipFill>
                  <pic:spPr>
                    <a:xfrm>
                      <a:off x="0" y="0"/>
                      <a:ext cx="5029200" cy="2916365"/>
                    </a:xfrm>
                    <a:prstGeom prst="rect"/>
                  </pic:spPr>
                </pic:pic>
              </a:graphicData>
            </a:graphic>
          </wp:inline>
        </w:drawing>
      </w:r>
    </w:p>
    <w:p>
      <w:pPr>
        <w:spacing w:after="160"/>
        <w:jc w:val="center"/>
      </w:pPr>
      <w:r>
        <w:rPr>
          <w:rFonts w:ascii="Times New Roman" w:hAnsi="Times New Roman" w:cs="Times New Roman" w:eastAsia="Times New Roman"/>
          <w:b w:val="0"/>
          <w:i/>
          <w:sz w:val="20"/>
        </w:rPr>
        <w:t>Figure 1 (from PMC11939635): “Key molecular mechanisms linking endothelial dysfunction, NLRP3 inflammasome, and cardiovascular diseases (CVDs). Schematic illustration of the pathways and factors contributing to endothelial dysfunction and the progression of CVDs. The activation of the NLRP3 inflammasome by PAMPs, DAMPs, and hemodynamic alterations triggers the production of inflammatory cytokines (e.g., IL-”</w:t>
      </w:r>
    </w:p>
    <w:p>
      <w:pPr>
        <w:jc w:val="center"/>
      </w:pPr>
      <w:r>
        <w:drawing>
          <wp:inline xmlns:a="http://schemas.openxmlformats.org/drawingml/2006/main" xmlns:pic="http://schemas.openxmlformats.org/drawingml/2006/picture">
            <wp:extent cx="5029200" cy="2478960"/>
            <wp:docPr id="55" name="Picture 55"/>
            <wp:cNvGraphicFramePr>
              <a:graphicFrameLocks noChangeAspect="1"/>
            </wp:cNvGraphicFramePr>
            <a:graphic>
              <a:graphicData uri="http://schemas.openxmlformats.org/drawingml/2006/picture">
                <pic:pic>
                  <pic:nvPicPr>
                    <pic:cNvPr id="0" name="p06_i1.jpg"/>
                    <pic:cNvPicPr/>
                  </pic:nvPicPr>
                  <pic:blipFill>
                    <a:blip r:embed="rId33"/>
                    <a:stretch>
                      <a:fillRect/>
                    </a:stretch>
                  </pic:blipFill>
                  <pic:spPr>
                    <a:xfrm>
                      <a:off x="0" y="0"/>
                      <a:ext cx="5029200" cy="2478960"/>
                    </a:xfrm>
                    <a:prstGeom prst="rect"/>
                  </pic:spPr>
                </pic:pic>
              </a:graphicData>
            </a:graphic>
          </wp:inline>
        </w:drawing>
      </w:r>
    </w:p>
    <w:p>
      <w:pPr>
        <w:spacing w:after="160"/>
        <w:jc w:val="center"/>
      </w:pPr>
      <w:r>
        <w:rPr>
          <w:rFonts w:ascii="Times New Roman" w:hAnsi="Times New Roman" w:cs="Times New Roman" w:eastAsia="Times New Roman"/>
          <w:b w:val="0"/>
          <w:i/>
          <w:sz w:val="20"/>
        </w:rPr>
        <w:t>Figure 2 (from PMC11939635): “Adequate NO production supports redox balance, vasodilation, and vascular homeostasis. In contrast, endothelial dysfunction and reduced NO levels lead to redox imbalance, favoring ROS/RNS-mediated inflammation and fibrosis, with O 2 •− , ONOO − and NLRP3 playing key roles (See also Figure 2 ). Double-headed lines indicate inhibition, while simple arrows indicate diffusion and a”</w:t>
      </w:r>
    </w:p>
    <w:p>
      <w:pPr>
        <w:keepNext/>
        <w:spacing w:before="280" w:after="80"/>
        <w:outlineLvl w:val="1"/>
      </w:pPr>
      <w:r>
        <w:rPr>
          <w:rFonts w:ascii="Times New Roman" w:hAnsi="Times New Roman" w:cs="Times New Roman" w:eastAsia="Times New Roman"/>
          <w:b/>
          <w:i w:val="0"/>
          <w:color w:val="335588"/>
          <w:sz w:val="28"/>
        </w:rPr>
        <w:t>8.8  Formaldehyde toxicity — NAC as a quencher</w:t>
      </w:r>
    </w:p>
    <w:p>
      <w:pPr>
        <w:spacing w:after="80"/>
        <w:jc w:val="both"/>
      </w:pPr>
      <w:r>
        <w:rPr>
          <w:rFonts w:ascii="Times New Roman" w:hAnsi="Times New Roman" w:cs="Times New Roman" w:eastAsia="Times New Roman"/>
          <w:b w:val="0"/>
          <w:i/>
          <w:sz w:val="22"/>
        </w:rPr>
        <w:t>Primary evidence: Distinct DNA repair mechanisms prevent formaldehyde toxicity during development, reproduction and aging. Nucleic Acids Research (2024). PMCID: PMC11317141; PMID: 38894680; DOI: 10.1093/nar/gkae519.</w:t>
      </w:r>
    </w:p>
    <w:p>
      <w:pPr>
        <w:spacing w:after="80"/>
        <w:jc w:val="both"/>
      </w:pPr>
      <w:r>
        <w:rPr>
          <w:rFonts w:ascii="Times New Roman" w:hAnsi="Times New Roman" w:cs="Times New Roman" w:eastAsia="Times New Roman"/>
          <w:b w:val="0"/>
          <w:i w:val="0"/>
          <w:sz w:val="24"/>
        </w:rPr>
        <w:t>Pipeline-derived summary statement: NAC reverses the sensitivity of detoxification and DNA-repair defects during development, acting as an antioxidant and formaldehyde quencher.</w:t>
      </w:r>
    </w:p>
    <w:p>
      <w:pPr>
        <w:spacing w:after="80"/>
        <w:jc w:val="both"/>
      </w:pPr>
      <w:r>
        <w:rPr>
          <w:rFonts w:ascii="Times New Roman" w:hAnsi="Times New Roman" w:cs="Times New Roman" w:eastAsia="Times New Roman"/>
          <w:b/>
          <w:i w:val="0"/>
          <w:sz w:val="22"/>
        </w:rPr>
        <w:t>Verbatim abstract:</w:t>
      </w:r>
    </w:p>
    <w:p>
      <w:pPr>
        <w:spacing w:after="80"/>
        <w:jc w:val="both"/>
      </w:pPr>
      <w:r>
        <w:rPr>
          <w:rFonts w:ascii="Times New Roman" w:hAnsi="Times New Roman" w:cs="Times New Roman" w:eastAsia="Times New Roman"/>
          <w:b w:val="0"/>
          <w:i/>
          <w:sz w:val="24"/>
        </w:rPr>
        <w:t>“Abstract Formaldehyde (FA) is a recognized environmental and metabolic toxin implicated in cancer development and aging. Inherited mutations in the FA-detoxifying enzymes ADH5 and ALDH2 genes lead to FA overload in the severe multisystem AMeD syndrome. FA accumulation causes genome damage including DNA–protein-, inter- and intra-strand crosslinks and oxidative lesions. However, the influence of distinct DNA repair systems on organismal FA resistance remains elusive. We have here investigated the consequence of a range of DNA repair mutants in a model of endogenous FA overload generated by downregulating the orthologs of human ADH5 and ALDH2 in C. elegans . We have focused on the distinct components of nucleotide excision repair (NER) during developmental growth, reproduction and aging. Our results reveal three distinct modes of repair of FA-induced DNA damage: Transcription-coupled repair (TCR) operating NER-independently during developmental growth or through NER during adulthood, and, in concert with global-genome (GG-) NER, in the germline and early embryonic development. Additionally, we show that the Cockayne syndrome B (CSB) factor is involved in the resolution of FA-induced DNA–protein crosslinks, and that the antioxidant and FA quencher N -acetyl- l -cysteine (NAC) reverses the sensitivity of detoxification and DNA repair defects during development, suggesting a therapeutic intervention to revert FA-pathogenic consequences.”</w:t>
      </w:r>
    </w:p>
    <w:p>
      <w:pPr>
        <w:spacing w:before="120" w:after="80"/>
        <w:jc w:val="both"/>
      </w:pPr>
      <w:r>
        <w:rPr>
          <w:rFonts w:ascii="Times New Roman" w:hAnsi="Times New Roman" w:cs="Times New Roman" w:eastAsia="Times New Roman"/>
          <w:b/>
          <w:i w:val="0"/>
          <w:sz w:val="24"/>
        </w:rPr>
        <w:t>Verbatim body paragraphs from PMC11317141 matching this therapeutic theme:</w:t>
      </w:r>
    </w:p>
    <w:p>
      <w:pPr>
        <w:spacing w:after="120"/>
        <w:jc w:val="both"/>
      </w:pPr>
      <w:r>
        <w:rPr>
          <w:rFonts w:ascii="Times New Roman" w:hAnsi="Times New Roman" w:cs="Times New Roman" w:eastAsia="Times New Roman"/>
          <w:b w:val="0"/>
          <w:i w:val="0"/>
          <w:sz w:val="24"/>
        </w:rPr>
        <w:t>“( A ) Cartoon showing the putative lesions caused on DNA by formaldehyde (FA). In blue the factors inactivated in this work. Light blue shows some factors that might participate in multiple DNA repair pathways. ( B ) Scheme of the protocol applied to address FA tolerance and development in the data shown in C and D (see Materials a graphic: `gkae519fig1.jpg` 3. **Figure 2.** — NER-deficient animals show somatic formaldehyde sensitivity, which is further enhanced by loss of ADH-5. ( A ) Experimental scheme (see Materials and methods for details). ( B ) Survival of NER mutants upon formaldehyde (FA) after 48 h and ( C ) after 72 h on plate. ( D ) Developmental timing of NER mutants upon FA after 48h on plate and ( E ) after 72 h on plate. ( F ) Survival of NER mutants in graphic: `gkae519fig2.jpg` 4. **Figure 3.** — Fecundity is reduced in NER mutants upon formaldehyde (FA) toxicity, which is further enhanced upon loss of ADH-5.”  [PMC11317141 ¶1]</w:t>
      </w:r>
    </w:p>
    <w:p>
      <w:pPr>
        <w:spacing w:after="120"/>
        <w:jc w:val="both"/>
      </w:pPr>
      <w:r>
        <w:rPr>
          <w:rFonts w:ascii="Times New Roman" w:hAnsi="Times New Roman" w:cs="Times New Roman" w:eastAsia="Times New Roman"/>
          <w:b w:val="0"/>
          <w:i w:val="0"/>
          <w:sz w:val="24"/>
        </w:rPr>
        <w:t>“( A ) Experimental scheme (see Materials and Methods for details). Panels (B–E) show the number of eggs produced by three animals within 3 h for strains carrying mutations for ( B ) xpc-1 , ( C ) csb-1 , ( D ) xpc-1 ; csb-1 and ( E ) xpa-1 . Panels (F–I) display the hatching rate as c graphic: `gkae519fig3.jpg` 5. **Figure 4.** — Loss of ADH-5 does not shorten the lifespan of animals deficient for xpa-1 and csb-1 , while formaldehyde-sensitivity is increased. ( A ) and ( B ) show full lifespan experiments of wildtype and adh-5 mutants, while (A) includes csb-1 and csb-1 ; adh-5 mutants, and (B) includes xpa-1 and xpa-1 ; adh-5 deficient animals. In ( C ) and ( D ), animals were exposed to 5 mM formaldehyde (FA) from the L4 graphic: `gkae519fig4.jpg` 6. **Figure 5.** — Simultaneous loss of redundant formaldehyde-detoxification pathways causes embryonic lethality and developmental delay, which is enhanced in NER-deficient animals.”  [PMC11317141 ¶2]</w:t>
      </w:r>
    </w:p>
    <w:p>
      <w:pPr>
        <w:spacing w:after="120"/>
        <w:jc w:val="both"/>
      </w:pPr>
      <w:r>
        <w:rPr>
          <w:rFonts w:ascii="Times New Roman" w:hAnsi="Times New Roman" w:cs="Times New Roman" w:eastAsia="Times New Roman"/>
          <w:b w:val="0"/>
          <w:i w:val="0"/>
          <w:sz w:val="24"/>
        </w:rPr>
        <w:t>“( A ) Phylogenetic tree of C. elegans proteins showing similarity to human ALDH2. Numbers in red branch support values. ( B ) Experimental scheme (see Materials and methods for details). Cartoons were created with BioRender.com. ( C ) H graphic: `gkae519fig5.jpg` 7. **Figure 6.** — NAC suppresses formaldehyde (FA)-toxicity in NER mutants and animals lacking FA-detoxification. Panels ( A )–( E ) show animal survival, while ( F ) displays the developmental stages of animals treated with formaldehyde (FA) and/or N-acetyl-L-cysteine (NAC) after 72 h. (A–F) Data were produced following the same protocol as depicted in Figure 2 . A full data analysis including the two-way ANOVA fo graphic: `gkae519fig6.jpg` 8. **Figure 7.** — Proposed model. The scheme shows the proposed distinct functions of Global Genome Nucleotide Excision Repair (GG-NER); Transcription coupled repair (TCR) independent of NER (NER-IR); and TC-NER in somatic tissues (soma), germline, and during larvae development.”  [PMC11317141 ¶3]</w:t>
      </w:r>
    </w:p>
    <w:p>
      <w:pPr>
        <w:jc w:val="center"/>
      </w:pPr>
      <w:r>
        <w:drawing>
          <wp:inline xmlns:a="http://schemas.openxmlformats.org/drawingml/2006/main" xmlns:pic="http://schemas.openxmlformats.org/drawingml/2006/picture">
            <wp:extent cx="5029200" cy="3519430"/>
            <wp:docPr id="56" name="Picture 56"/>
            <wp:cNvGraphicFramePr>
              <a:graphicFrameLocks noChangeAspect="1"/>
            </wp:cNvGraphicFramePr>
            <a:graphic>
              <a:graphicData uri="http://schemas.openxmlformats.org/drawingml/2006/picture">
                <pic:pic>
                  <pic:nvPicPr>
                    <pic:cNvPr id="0" name="p04_i4.jpg"/>
                    <pic:cNvPicPr/>
                  </pic:nvPicPr>
                  <pic:blipFill>
                    <a:blip r:embed="rId34"/>
                    <a:stretch>
                      <a:fillRect/>
                    </a:stretch>
                  </pic:blipFill>
                  <pic:spPr>
                    <a:xfrm>
                      <a:off x="0" y="0"/>
                      <a:ext cx="5029200" cy="3519430"/>
                    </a:xfrm>
                    <a:prstGeom prst="rect"/>
                  </pic:spPr>
                </pic:pic>
              </a:graphicData>
            </a:graphic>
          </wp:inline>
        </w:drawing>
      </w:r>
    </w:p>
    <w:p>
      <w:pPr>
        <w:spacing w:after="160"/>
        <w:jc w:val="center"/>
      </w:pPr>
      <w:r>
        <w:rPr>
          <w:rFonts w:ascii="Times New Roman" w:hAnsi="Times New Roman" w:cs="Times New Roman" w:eastAsia="Times New Roman"/>
          <w:b w:val="0"/>
          <w:i/>
          <w:sz w:val="20"/>
        </w:rPr>
        <w:t>Figure panel from PMC11317141 (source bitmap p04_i4.jpg).</w:t>
      </w:r>
    </w:p>
    <w:p>
      <w:pPr>
        <w:spacing w:after="120"/>
        <w:jc w:val="both"/>
      </w:pPr>
      <w:r>
        <w:rPr>
          <w:rFonts w:ascii="Times New Roman" w:hAnsi="Times New Roman" w:cs="Times New Roman" w:eastAsia="Times New Roman"/>
          <w:b w:val="0"/>
          <w:i w:val="0"/>
          <w:sz w:val="24"/>
        </w:rPr>
        <w:t>“ADH-5 and ALH-1 are shown to prevent systemic formaldehyde (FA) toxicity throughout C. elegans life cycle. Cartoons were created with BioR graphic: `gkae519fig7.jpg` ```json { "pmcid": "PMC11317141", "pmid": "38894680", "doi": "10.1093/nar/gkae519", "title": "Distinct DNA repair mechanisms prevent formaldehyde toxicity during development, reproduction\u00a0and aging", "journal": "Nucleic Acids Research", "year": "2024", "abstract": "Abstract Formaldehyde (FA) is a recognized environmental and metabolic toxin implicated in cancer development and aging. Inherited mutations in the FA-detoxifying enzymes ADH5 and ALDH2 genes lead to FA overload in the severe multisystem AMeD syndrome. FA accumulation causes genome damage including DNA\u2013protein-, inter- and intra-strand crosslinks and oxidative lesions. However, the influence of distinct DNA repair systems on organismal FA resistance remains elusive.”  [PMC11317141 ¶4]</w:t>
      </w:r>
    </w:p>
    <w:p>
      <w:pPr>
        <w:spacing w:after="120"/>
        <w:jc w:val="both"/>
      </w:pPr>
      <w:r>
        <w:rPr>
          <w:rFonts w:ascii="Times New Roman" w:hAnsi="Times New Roman" w:cs="Times New Roman" w:eastAsia="Times New Roman"/>
          <w:b w:val="0"/>
          <w:i w:val="0"/>
          <w:sz w:val="24"/>
        </w:rPr>
        <w:t>“We have here investigated the consequence of a range of DNA repair mutants in a model of endogenous FA overload generated by downregulating the orthologs of human ADH5 and ALDH2 in C. elegans . We have focused on the distinct components of nucleotide excision repair (NER) during developmental growth, reproduction and aging. Our results reveal three distinct modes of repair of FA-induced DNA damage: Transcription-coupled repair (TCR) operating NER-independently during developmental growth or through NER during adulthood, and, in concert with global-genome (GG-) NER, in the germline and early embryonic development. Additionally, we show that the Cockayne syndrome B (CSB) factor is involved in the resolution of FA-induced DNA\u2013protein crosslinks, and that the antioxidant and FA quencher N -acetyl- l -cysteine (NAC) reverses the sensitivity of detoxification and DNA repair defects during development, suggesting a therapeutic intervention to revert FA-pathogenic consequences.", "body_text": "Introduction Formaldehyde (FA) is a widely recognized environmental cytotoxin and genotoxin.”  [PMC11317141 ¶5]</w:t>
      </w:r>
    </w:p>
    <w:p>
      <w:pPr>
        <w:spacing w:after="120"/>
        <w:jc w:val="both"/>
      </w:pPr>
      <w:r>
        <w:rPr>
          <w:rFonts w:ascii="Times New Roman" w:hAnsi="Times New Roman" w:cs="Times New Roman" w:eastAsia="Times New Roman"/>
          <w:b w:val="0"/>
          <w:i w:val="0"/>
          <w:sz w:val="24"/>
        </w:rPr>
        <w:t>“It is a simple organic compound that can be found in various products, including building materials, household products\u00a0and vehicle emissions ( 1 ). Additionally, FA is generated within cells through several pathways, such as the metabolization of methanol, the demethylation of proteins and nucleic acids, and as a product of the breakdown of the one-carbon metabolism carrier tetrahydrofolate ( 2 , 3 ). FA exhibits the capacity to induce diverse forms of damage to cellular biomolecules ( 4 , 5 ). In the genome, it can form covalent crosslinks between DNA strands, both inter (ICL) and intra-strands (ISL)\u00a0and between DNA and proteins (DPC) ( 6 ). FA might also chemically modify DNA bases, altering their structure and functionality. These DNA lesions could cause replication stress, single-strand breaks (SSB) and double-strand breaks (DSB) requiring multiple DNA repair mechanisms to guarantee genome stability.”  [PMC11317141 ¶6]</w:t>
      </w:r>
    </w:p>
    <w:p>
      <w:pPr>
        <w:jc w:val="center"/>
      </w:pPr>
      <w:r>
        <w:drawing>
          <wp:inline xmlns:a="http://schemas.openxmlformats.org/drawingml/2006/main" xmlns:pic="http://schemas.openxmlformats.org/drawingml/2006/picture">
            <wp:extent cx="5029200" cy="2476982"/>
            <wp:docPr id="57" name="Picture 57"/>
            <wp:cNvGraphicFramePr>
              <a:graphicFrameLocks noChangeAspect="1"/>
            </wp:cNvGraphicFramePr>
            <a:graphic>
              <a:graphicData uri="http://schemas.openxmlformats.org/drawingml/2006/picture">
                <pic:pic>
                  <pic:nvPicPr>
                    <pic:cNvPr id="0" name="p13_i1.jpg"/>
                    <pic:cNvPicPr/>
                  </pic:nvPicPr>
                  <pic:blipFill>
                    <a:blip r:embed="rId35"/>
                    <a:stretch>
                      <a:fillRect/>
                    </a:stretch>
                  </pic:blipFill>
                  <pic:spPr>
                    <a:xfrm>
                      <a:off x="0" y="0"/>
                      <a:ext cx="5029200" cy="2476982"/>
                    </a:xfrm>
                    <a:prstGeom prst="rect"/>
                  </pic:spPr>
                </pic:pic>
              </a:graphicData>
            </a:graphic>
          </wp:inline>
        </w:drawing>
      </w:r>
    </w:p>
    <w:p>
      <w:pPr>
        <w:spacing w:after="160"/>
        <w:jc w:val="center"/>
      </w:pPr>
      <w:r>
        <w:rPr>
          <w:rFonts w:ascii="Times New Roman" w:hAnsi="Times New Roman" w:cs="Times New Roman" w:eastAsia="Times New Roman"/>
          <w:b w:val="0"/>
          <w:i/>
          <w:sz w:val="20"/>
        </w:rPr>
        <w:t>Figure panel from PMC11317141 (source bitmap p13_i1.jpg).</w:t>
      </w:r>
    </w:p>
    <w:p>
      <w:pPr>
        <w:spacing w:after="120"/>
        <w:jc w:val="both"/>
      </w:pPr>
      <w:r>
        <w:rPr>
          <w:rFonts w:ascii="Times New Roman" w:hAnsi="Times New Roman" w:cs="Times New Roman" w:eastAsia="Times New Roman"/>
          <w:b w:val="0"/>
          <w:i w:val="0"/>
          <w:sz w:val="24"/>
        </w:rPr>
        <w:t>“Failure to repair these lesions could obstruct the normal processes of DNA replication, transcription\u00a0and repair, resulting in genomic instability and compromised DNA integrity. Several DNA repair pathways have been implicated in the cellular response to FA-induced genotoxic stress ( 7 , 8 ), including the interstrand-crosslinking (ICL) Fanconi anemia DNA repair pathway; the CSB protein, which initiates transcription-coupled repair (TCR) when RNA polymerase II stalls at a transcription blocking lesion; and the exonuclease 1 (EXO1) ( 9 , 10 ). In animal models, the genetic factors that determine endogenous FA genotoxicity have been investigated upon inactivation of a DNA repair pathway in combination with the enzyme alcohol dehydrogenase 5 (ADH5), which is a central factor in the glutathione (GSH)-dependent detoxification of FA ( 7 ). Specifically, in mice, the Fanconi anemia DNA repair pathway factor D2 (Fancd2) and the transcription coupled factor Csb have been shown to genetically interact with Adh5, indicating a central role of these DNA repair factors in counteracting the genotoxicity of cellular FA in animals ( 9 , 10 ).”  [PMC11317141 ¶7]</w:t>
      </w:r>
    </w:p>
    <w:p>
      <w:pPr>
        <w:spacing w:after="120"/>
        <w:jc w:val="both"/>
      </w:pPr>
      <w:r>
        <w:rPr>
          <w:rFonts w:ascii="Times New Roman" w:hAnsi="Times New Roman" w:cs="Times New Roman" w:eastAsia="Times New Roman"/>
          <w:b w:val="0"/>
          <w:i w:val="0"/>
          <w:sz w:val="24"/>
        </w:rPr>
        <w:t>“A prevailing hypothesis suggests that FA-induced damage overwhelms DNA repair mechanisms, yet the extensive array of FA-induced lesions might necessitate safeguarding the genome by multiple DNA repair systems. However, establishing genetic evidence in animals to validate these mechanisms remains experimentally challenging. Here, we employed the genetically traceable animal model organism C. elegans to explore DNA repair components safeguarding the genome against FA-induced damage. C. elegans undergoes most cell divisions during embryogenesis and hatches as L1 larvae that are comprised of mostly differentiated somatic cell types that grow in size during the L2, L3\u00a0and L4 larval stages until adulthood. Germ cells, in contrast, remain replicative active throughout adulthood. We first systematically determined the contribution of a wide range of DNA repair mechanisms to the survival of FA treatment in the presence and absence of adh-5 .”  [PMC11317141 ¶9]</w:t>
      </w:r>
    </w:p>
    <w:p>
      <w:pPr>
        <w:spacing w:after="120"/>
        <w:jc w:val="both"/>
      </w:pPr>
      <w:r>
        <w:rPr>
          <w:rFonts w:ascii="Times New Roman" w:hAnsi="Times New Roman" w:cs="Times New Roman" w:eastAsia="Times New Roman"/>
          <w:b w:val="0"/>
          <w:i w:val="0"/>
          <w:sz w:val="24"/>
        </w:rPr>
        <w:t>“The bacterial strains were propagated overnight in LB containing Ampicillin (0.1 mg/ml) and Tetracycline (0.0125 mg/ml) for selection. The overnight culture was diluted 1:100 into 100 mL LB liquid with Ampicillin and grown for 6 h, before Isopropyl \u03b2- d -1-thiogalactopyranoside (IPTG, 1 mM) for dsRNA-induction was added and grown for another hour. The resulting culture was concentrated 10 times by centrifugation and seeded on NGM plates containing IPTG (1 mM), Ampicillin (0.1 mg/ml) and with or without FA in the indicated concentrations. The bacteria on the plates were allowed to grow overnight at room temperature before the worms were added, and developmental timing and survival were scored after 48\u00a0and 72 h later. Figure 1. DNA repair determinants of formaldehyde tolerance in C . elegans . ( A ) Cartoon showing the putative lesions caused on DNA by formaldehyde (FA). In blue the factors inactivated in this work.”  [PMC11317141 ¶13]</w:t>
      </w:r>
    </w:p>
    <w:p>
      <w:pPr>
        <w:jc w:val="center"/>
      </w:pPr>
      <w:r>
        <w:drawing>
          <wp:inline xmlns:a="http://schemas.openxmlformats.org/drawingml/2006/main" xmlns:pic="http://schemas.openxmlformats.org/drawingml/2006/picture">
            <wp:extent cx="5029200" cy="6679710"/>
            <wp:docPr id="58" name="Picture 58"/>
            <wp:cNvGraphicFramePr>
              <a:graphicFrameLocks noChangeAspect="1"/>
            </wp:cNvGraphicFramePr>
            <a:graphic>
              <a:graphicData uri="http://schemas.openxmlformats.org/drawingml/2006/picture">
                <pic:pic>
                  <pic:nvPicPr>
                    <pic:cNvPr id="0" name="p04_i5.jpg"/>
                    <pic:cNvPicPr/>
                  </pic:nvPicPr>
                  <pic:blipFill>
                    <a:blip r:embed="rId36"/>
                    <a:stretch>
                      <a:fillRect/>
                    </a:stretch>
                  </pic:blipFill>
                  <pic:spPr>
                    <a:xfrm>
                      <a:off x="0" y="0"/>
                      <a:ext cx="5029200" cy="6679710"/>
                    </a:xfrm>
                    <a:prstGeom prst="rect"/>
                  </pic:spPr>
                </pic:pic>
              </a:graphicData>
            </a:graphic>
          </wp:inline>
        </w:drawing>
      </w:r>
    </w:p>
    <w:p>
      <w:pPr>
        <w:spacing w:after="160"/>
        <w:jc w:val="center"/>
      </w:pPr>
      <w:r>
        <w:rPr>
          <w:rFonts w:ascii="Times New Roman" w:hAnsi="Times New Roman" w:cs="Times New Roman" w:eastAsia="Times New Roman"/>
          <w:b w:val="0"/>
          <w:i/>
          <w:sz w:val="20"/>
        </w:rPr>
        <w:t>Figure panel from PMC11317141 (source bitmap p04_i5.jpg).</w:t>
      </w:r>
    </w:p>
    <w:p>
      <w:pPr>
        <w:spacing w:after="120"/>
        <w:jc w:val="both"/>
      </w:pPr>
      <w:r>
        <w:rPr>
          <w:rFonts w:ascii="Times New Roman" w:hAnsi="Times New Roman" w:cs="Times New Roman" w:eastAsia="Times New Roman"/>
          <w:b w:val="0"/>
          <w:i w:val="0"/>
          <w:sz w:val="24"/>
        </w:rPr>
        <w:t>“Light blue shows some factors that might participate in multiple DNA repair pathways. ( B ) Scheme of the protocol applied to address FA tolerance and development in the data shown in C and D (see Materials and methods for details). ( C ) Heatmap summarizing survival data for C. elegans mutants in DNA repair and upon downregulation of adh-5 via RNAi. ( D ) Heatmap summarizing animals reaching adulthood as measure of development proficiency for C. elegans mutants in DNA repair and upon silencing of ADH-5. The heatmaps contain the mean value of three independent biological replicates for each condition. The significance was determined via a two-way ANOVA and the Dunnett's multiple comparisons test, for which counts * P &lt;\u00a00.05, ** P &lt;\u00a00.01, *** P &lt;\u00a00.001, **** P &lt;\u00a00.0001. The full statistical analysis for (C) and (D) is available as supplementary tables . Cartoons were created with BioRender.com.”  [PMC11317141 ¶14]</w:t>
      </w:r>
    </w:p>
    <w:p>
      <w:pPr>
        <w:spacing w:after="120"/>
        <w:jc w:val="both"/>
      </w:pPr>
      <w:r>
        <w:rPr>
          <w:rFonts w:ascii="Times New Roman" w:hAnsi="Times New Roman" w:cs="Times New Roman" w:eastAsia="Times New Roman"/>
          <w:b w:val="0"/>
          <w:i w:val="0"/>
          <w:sz w:val="24"/>
        </w:rPr>
        <w:t>“Briefly, cells were seeded at 3000 cells/well in 96-well plates and exposed to the concentrations of FA depicted in the corresponding figures (prepared from Formaldehyde Solution 16%, #28906, Thermofisher). After 3 (for fibroblast) or 6 (for EBV-lymphoblastic cells) days resazurin (#418900050, Thermofisher) was added at a final concentration of 44 \u03bcM for 4 h\u00a0and fluorescence quantified. Data is presented as % of the untreated samples unless otherwise stated. In the indicated plots N -acetyl- l -cysteine (#A7250, Sigma-Aldrich) was used at 500 \u03bcM. Comet assay For the analysis of DNA damage burden, approx. 250 day-1-old adult nematodes were subjected to the comet assay 24 h after on-plate FA exposure. UVB-treated animals (24 h\u00a0post-treatment) served as a positive control ( 20 ). Nematodes were washed 10 times for three min with M9 to remove residual bacteria. Afterwards, the cuticle was permeabilized by adding 200 \u03bcl TSD buffer (0.5% Triton X-100, 20 mM HEPES buffer (pH 8.0), 0.25% SDS, 200 mM DTT\u00a0and 3% sucrose) for four min.”  [PMC11317141 ¶16]</w:t>
      </w:r>
    </w:p>
    <w:p>
      <w:pPr>
        <w:spacing w:after="120"/>
        <w:jc w:val="both"/>
      </w:pPr>
      <w:r>
        <w:rPr>
          <w:rFonts w:ascii="Times New Roman" w:hAnsi="Times New Roman" w:cs="Times New Roman" w:eastAsia="Times New Roman"/>
          <w:b w:val="0"/>
          <w:i w:val="0"/>
          <w:sz w:val="24"/>
        </w:rPr>
        <w:t>“Data availability All the data reported in this work can be found in the text and supplementary files . Reagents are available from L.B.P. and B.S. upon request. Results Multiple DNA repair pathways confer FA tolerance in C. elegans To dissect how the multiple DNA repair mechanisms conserved between human and C. elegans protect the genome from FA in an animal model, we applied chronic FA-treatment during animal development and measured survival. Among the surviving animals, we scored those that reach adulthood as a measure of development proficiency. We performed this approach in wildtype (N2) animals and in several DNA repair-deficient mutants, including components of TCR and GG-NER, Fanconi anemia, base excision repair (BER), mismatch repair (MMR), non-homologous end joining (NHEJ) and homologous recombination repair (HR) (Figure 1A \u2013 C ). To exacerbate the effect of FA, we silenced adh-5 ( adh-5(RNAi) ) in each of the mutants in the DNA repair pathways depicted in Figure 1A .”  [PMC11317141 ¶24]</w:t>
      </w:r>
    </w:p>
    <w:p>
      <w:pPr>
        <w:spacing w:before="120" w:after="80"/>
        <w:jc w:val="both"/>
      </w:pPr>
      <w:r>
        <w:rPr>
          <w:rFonts w:ascii="Times New Roman" w:hAnsi="Times New Roman" w:cs="Times New Roman" w:eastAsia="Times New Roman"/>
          <w:b w:val="0"/>
          <w:i/>
          <w:sz w:val="22"/>
        </w:rPr>
        <w:t>Source-article figures for PMC11317141 (extracted from the Europe PMC PDF rendering, re-encoded as PNG for docx compatibility):</w:t>
      </w:r>
    </w:p>
    <w:p>
      <w:pPr>
        <w:jc w:val="center"/>
      </w:pPr>
      <w:r>
        <w:drawing>
          <wp:inline xmlns:a="http://schemas.openxmlformats.org/drawingml/2006/main" xmlns:pic="http://schemas.openxmlformats.org/drawingml/2006/picture">
            <wp:extent cx="5029200" cy="3519430"/>
            <wp:docPr id="59" name="Picture 59"/>
            <wp:cNvGraphicFramePr>
              <a:graphicFrameLocks noChangeAspect="1"/>
            </wp:cNvGraphicFramePr>
            <a:graphic>
              <a:graphicData uri="http://schemas.openxmlformats.org/drawingml/2006/picture">
                <pic:pic>
                  <pic:nvPicPr>
                    <pic:cNvPr id="0" name="p04_i4.jpg"/>
                    <pic:cNvPicPr/>
                  </pic:nvPicPr>
                  <pic:blipFill>
                    <a:blip r:embed="rId34"/>
                    <a:stretch>
                      <a:fillRect/>
                    </a:stretch>
                  </pic:blipFill>
                  <pic:spPr>
                    <a:xfrm>
                      <a:off x="0" y="0"/>
                      <a:ext cx="5029200" cy="3519430"/>
                    </a:xfrm>
                    <a:prstGeom prst="rect"/>
                  </pic:spPr>
                </pic:pic>
              </a:graphicData>
            </a:graphic>
          </wp:inline>
        </w:drawing>
      </w:r>
    </w:p>
    <w:p>
      <w:pPr>
        <w:spacing w:after="160"/>
        <w:jc w:val="center"/>
      </w:pPr>
      <w:r>
        <w:rPr>
          <w:rFonts w:ascii="Times New Roman" w:hAnsi="Times New Roman" w:cs="Times New Roman" w:eastAsia="Times New Roman"/>
          <w:b w:val="0"/>
          <w:i/>
          <w:sz w:val="20"/>
        </w:rPr>
        <w:t>Figure panel from PMC11317141 (source bitmap p04_i4.jpg, 996×697 px).</w:t>
      </w:r>
    </w:p>
    <w:p>
      <w:pPr>
        <w:jc w:val="center"/>
      </w:pPr>
      <w:r>
        <w:drawing>
          <wp:inline xmlns:a="http://schemas.openxmlformats.org/drawingml/2006/main" xmlns:pic="http://schemas.openxmlformats.org/drawingml/2006/picture">
            <wp:extent cx="5029200" cy="2476982"/>
            <wp:docPr id="60" name="Picture 60"/>
            <wp:cNvGraphicFramePr>
              <a:graphicFrameLocks noChangeAspect="1"/>
            </wp:cNvGraphicFramePr>
            <a:graphic>
              <a:graphicData uri="http://schemas.openxmlformats.org/drawingml/2006/picture">
                <pic:pic>
                  <pic:nvPicPr>
                    <pic:cNvPr id="0" name="p13_i1.jpg"/>
                    <pic:cNvPicPr/>
                  </pic:nvPicPr>
                  <pic:blipFill>
                    <a:blip r:embed="rId35"/>
                    <a:stretch>
                      <a:fillRect/>
                    </a:stretch>
                  </pic:blipFill>
                  <pic:spPr>
                    <a:xfrm>
                      <a:off x="0" y="0"/>
                      <a:ext cx="5029200" cy="2476982"/>
                    </a:xfrm>
                    <a:prstGeom prst="rect"/>
                  </pic:spPr>
                </pic:pic>
              </a:graphicData>
            </a:graphic>
          </wp:inline>
        </w:drawing>
      </w:r>
    </w:p>
    <w:p>
      <w:pPr>
        <w:spacing w:after="160"/>
        <w:jc w:val="center"/>
      </w:pPr>
      <w:r>
        <w:rPr>
          <w:rFonts w:ascii="Times New Roman" w:hAnsi="Times New Roman" w:cs="Times New Roman" w:eastAsia="Times New Roman"/>
          <w:b w:val="0"/>
          <w:i/>
          <w:sz w:val="20"/>
        </w:rPr>
        <w:t>Figure panel from PMC11317141 (source bitmap p13_i1.jpg, 869×428 px).</w:t>
      </w:r>
    </w:p>
    <w:p>
      <w:pPr>
        <w:jc w:val="center"/>
      </w:pPr>
      <w:r>
        <w:drawing>
          <wp:inline xmlns:a="http://schemas.openxmlformats.org/drawingml/2006/main" xmlns:pic="http://schemas.openxmlformats.org/drawingml/2006/picture">
            <wp:extent cx="5029200" cy="6679710"/>
            <wp:docPr id="61" name="Picture 61"/>
            <wp:cNvGraphicFramePr>
              <a:graphicFrameLocks noChangeAspect="1"/>
            </wp:cNvGraphicFramePr>
            <a:graphic>
              <a:graphicData uri="http://schemas.openxmlformats.org/drawingml/2006/picture">
                <pic:pic>
                  <pic:nvPicPr>
                    <pic:cNvPr id="0" name="p04_i5.jpg"/>
                    <pic:cNvPicPr/>
                  </pic:nvPicPr>
                  <pic:blipFill>
                    <a:blip r:embed="rId36"/>
                    <a:stretch>
                      <a:fillRect/>
                    </a:stretch>
                  </pic:blipFill>
                  <pic:spPr>
                    <a:xfrm>
                      <a:off x="0" y="0"/>
                      <a:ext cx="5029200" cy="6679710"/>
                    </a:xfrm>
                    <a:prstGeom prst="rect"/>
                  </pic:spPr>
                </pic:pic>
              </a:graphicData>
            </a:graphic>
          </wp:inline>
        </w:drawing>
      </w:r>
    </w:p>
    <w:p>
      <w:pPr>
        <w:spacing w:after="160"/>
        <w:jc w:val="center"/>
      </w:pPr>
      <w:r>
        <w:rPr>
          <w:rFonts w:ascii="Times New Roman" w:hAnsi="Times New Roman" w:cs="Times New Roman" w:eastAsia="Times New Roman"/>
          <w:b w:val="0"/>
          <w:i/>
          <w:sz w:val="20"/>
        </w:rPr>
        <w:t>Figure panel from PMC11317141 (source bitmap p04_i5.jpg, 518×688 px).</w:t>
      </w:r>
    </w:p>
    <w:p>
      <w:pPr>
        <w:jc w:val="center"/>
      </w:pPr>
      <w:r>
        <w:drawing>
          <wp:inline xmlns:a="http://schemas.openxmlformats.org/drawingml/2006/main" xmlns:pic="http://schemas.openxmlformats.org/drawingml/2006/picture">
            <wp:extent cx="5029200" cy="4054416"/>
            <wp:docPr id="62" name="Picture 62"/>
            <wp:cNvGraphicFramePr>
              <a:graphicFrameLocks noChangeAspect="1"/>
            </wp:cNvGraphicFramePr>
            <a:graphic>
              <a:graphicData uri="http://schemas.openxmlformats.org/drawingml/2006/picture">
                <pic:pic>
                  <pic:nvPicPr>
                    <pic:cNvPr id="0" name="p11_i3.jpg"/>
                    <pic:cNvPicPr/>
                  </pic:nvPicPr>
                  <pic:blipFill>
                    <a:blip r:embed="rId37"/>
                    <a:stretch>
                      <a:fillRect/>
                    </a:stretch>
                  </pic:blipFill>
                  <pic:spPr>
                    <a:xfrm>
                      <a:off x="0" y="0"/>
                      <a:ext cx="5029200" cy="4054416"/>
                    </a:xfrm>
                    <a:prstGeom prst="rect"/>
                  </pic:spPr>
                </pic:pic>
              </a:graphicData>
            </a:graphic>
          </wp:inline>
        </w:drawing>
      </w:r>
    </w:p>
    <w:p>
      <w:pPr>
        <w:spacing w:after="160"/>
        <w:jc w:val="center"/>
      </w:pPr>
      <w:r>
        <w:rPr>
          <w:rFonts w:ascii="Times New Roman" w:hAnsi="Times New Roman" w:cs="Times New Roman" w:eastAsia="Times New Roman"/>
          <w:b w:val="0"/>
          <w:i/>
          <w:sz w:val="20"/>
        </w:rPr>
        <w:t>Figure panel from PMC11317141 (source bitmap p11_i3.jpg, 583×470 px).</w:t>
      </w:r>
    </w:p>
    <w:p>
      <w:pPr>
        <w:keepNext/>
        <w:spacing w:before="280" w:after="80"/>
        <w:outlineLvl w:val="1"/>
      </w:pPr>
      <w:r>
        <w:rPr>
          <w:rFonts w:ascii="Times New Roman" w:hAnsi="Times New Roman" w:cs="Times New Roman" w:eastAsia="Times New Roman"/>
          <w:b/>
          <w:i w:val="0"/>
          <w:color w:val="335588"/>
          <w:sz w:val="28"/>
        </w:rPr>
        <w:t>8.9  Hepatic lipid homeostasis and oxidative stress</w:t>
      </w:r>
    </w:p>
    <w:p>
      <w:pPr>
        <w:spacing w:after="80"/>
        <w:jc w:val="both"/>
      </w:pPr>
      <w:r>
        <w:rPr>
          <w:rFonts w:ascii="Times New Roman" w:hAnsi="Times New Roman" w:cs="Times New Roman" w:eastAsia="Times New Roman"/>
          <w:b w:val="0"/>
          <w:i/>
          <w:sz w:val="22"/>
        </w:rPr>
        <w:t>Primary evidence: Lipopolysaccharide binding protein resists hepatic oxidative stress by regulating lipid droplet homeostasis. Nature Communications (2024). PMCID: PMC11016120; PMID: 38615060; DOI: 10.1038/s41467-024-47553-5.</w:t>
      </w:r>
    </w:p>
    <w:p>
      <w:pPr>
        <w:spacing w:after="80"/>
        <w:jc w:val="both"/>
      </w:pPr>
      <w:r>
        <w:rPr>
          <w:rFonts w:ascii="Times New Roman" w:hAnsi="Times New Roman" w:cs="Times New Roman" w:eastAsia="Times New Roman"/>
          <w:b w:val="0"/>
          <w:i w:val="0"/>
          <w:sz w:val="24"/>
        </w:rPr>
        <w:t>Pipeline-derived summary statement: NAC treatment reduces LBP-mediated triglyceride accumulation by phospholipid/triglyceride competition.</w:t>
      </w:r>
    </w:p>
    <w:p>
      <w:pPr>
        <w:spacing w:after="80"/>
        <w:jc w:val="both"/>
      </w:pPr>
      <w:r>
        <w:rPr>
          <w:rFonts w:ascii="Times New Roman" w:hAnsi="Times New Roman" w:cs="Times New Roman" w:eastAsia="Times New Roman"/>
          <w:b/>
          <w:i w:val="0"/>
          <w:sz w:val="22"/>
        </w:rPr>
        <w:t>Verbatim abstract:</w:t>
      </w:r>
    </w:p>
    <w:p>
      <w:pPr>
        <w:spacing w:after="80"/>
        <w:jc w:val="both"/>
      </w:pPr>
      <w:r>
        <w:rPr>
          <w:rFonts w:ascii="Times New Roman" w:hAnsi="Times New Roman" w:cs="Times New Roman" w:eastAsia="Times New Roman"/>
          <w:b w:val="0"/>
          <w:i/>
          <w:sz w:val="24"/>
        </w:rPr>
        <w:t>“Oxidative stress-induced lipid accumulation is mediated by lipid droplets (LDs) homeostasis, which sequester vulnerable unsaturated triglycerides into LDs to prevent further peroxidation. Here we identify the upregulation of lipopolysaccharide-binding protein (LBP) and its trafficking through LDs as a mechanism for modulating LD homeostasis in response to oxidative stress. Our results suggest that LBP induces lipid accumulation by controlling lipid-redox homeostasis through its lipid-capture activity, sorting unsaturated triglycerides into LDs. N-acetyl-L-cysteine treatment reduces LBP-mediated triglycerides accumulation by phospholipid/triglycerides competition and Peroxiredoxin 4, a redox state sensor of LBP that regulates the shuttle of LBP from LDs. Furthermore, chronic stress upregulates LBP expression, leading to insulin resistance and obesity. Our findings contribute to the understanding of the role of LBP in regulating LD homeostasis and against cellular peroxidative injury. These insights could inform the development of redox-based therapies for alleviating oxidative stress-induced metabolic dysfunction.”</w:t>
      </w:r>
    </w:p>
    <w:p>
      <w:pPr>
        <w:spacing w:before="120" w:after="80"/>
        <w:jc w:val="both"/>
      </w:pPr>
      <w:r>
        <w:rPr>
          <w:rFonts w:ascii="Times New Roman" w:hAnsi="Times New Roman" w:cs="Times New Roman" w:eastAsia="Times New Roman"/>
          <w:b/>
          <w:i w:val="0"/>
          <w:sz w:val="24"/>
        </w:rPr>
        <w:t>Verbatim body paragraphs from PMC11016120 matching this therapeutic theme:</w:t>
      </w:r>
    </w:p>
    <w:p>
      <w:pPr>
        <w:spacing w:after="120"/>
        <w:jc w:val="both"/>
      </w:pPr>
      <w:r>
        <w:rPr>
          <w:rFonts w:ascii="Times New Roman" w:hAnsi="Times New Roman" w:cs="Times New Roman" w:eastAsia="Times New Roman"/>
          <w:b w:val="0"/>
          <w:i w:val="0"/>
          <w:sz w:val="24"/>
        </w:rPr>
        <w:t>“## Figure captions (7) 1. **Fig. 1** — Oxidative stress induces LBP upregulation and LD translocation. a A schematic illustrating the research strategy adopted in this study. The image was created using materials supplied by Ge Pan from the Central Academy of Fine Arts, China, and illustrated by Qilun Zhang. The use of these materials has been authorized. b A multivariate bubble plot comparing changes in LD-localized protein and RNA ex graphic: `41467_2024_47553_Fig1_HTML.jpg` 2. **Fig. 2** — The localization of LBP to LDs drives hepatic steatosis. a Hepatic TG content of WT mice under NT, 24 h fasting, or LPS-treatment (5 mg/kg, i.p.) for 24 h. Shown are means ± s.d., one-way ANOVA ( n = 3, biologically independent). b Representative bright-field microscope image showing separated LDs from the same treatment as described in ( a ), scale bar = 10 μm. Experiments was conducted with thre graphic: `41467_2024_47553_Fig2_HTML.jpg` 3. **Fig. 3** — LBP binds with unsaturated TG to prevent against lipid peroxidation. a A pie chart showing the difference in lipid composition between WT ( n = 3) and LBP KI/KI ( n = 3) mice liver after 16 weeks of HFD. b Analysis of chain length of differential TGs in ( a ).”  [PMC11016120 ¶1]</w:t>
      </w:r>
    </w:p>
    <w:p>
      <w:pPr>
        <w:spacing w:after="120"/>
        <w:jc w:val="both"/>
      </w:pPr>
      <w:r>
        <w:rPr>
          <w:rFonts w:ascii="Times New Roman" w:hAnsi="Times New Roman" w:cs="Times New Roman" w:eastAsia="Times New Roman"/>
          <w:b w:val="0"/>
          <w:i w:val="0"/>
          <w:sz w:val="24"/>
        </w:rPr>
        <w:t>“Shown are means ± s.e.m., ( n = 3, biologically independent). c Analysis of saturation of differential TGs in ( a ). Shown are means ± s.e. graphic: `41467_2024_47553_Fig3_HTML.jpg` 4. **Fig. 4** — The antioxidant activity of LBP. a A nine-quadrant plot depicting the combined analysis of the liver transcriptome and proteome of WT and LBP KI/KI mice fed with HFD for 16 weeks. Each group n = 3, biologically independent. b Go term enrichment analysis of the differential proteins in the third quadrant (upregulated) of ( a ), using different colors to represent different functions: yellow-lipid t graphic: `41467_2024_47553_Fig4_HTML.jpg` 5. **Fig. 5** — Redox signaling regulates LBP-induced LD accumulation via phospholipid biogenesis and the LBP chaperone function of PRDX4. a The bar graph compares the hepatic TG levels in WT mice and LBP KI/KI mice, with/without NAC treatment. Means ± s.d., 2way ANOVA ( n = 5–6, biologically independent). b Bright-field microscope image of LDs in LBP KI/KI mice, fasted for 24 h and treated with/without NAC treat graphic: `41467_2024_47553_Fig5_HTML.jpg` 6. **Fig. 6** — The #4-helix within the C-segment of LBP interacts with oxidized TGs. a LBP structure solved in the PDB database and predicted by Alphafold, with the black box indicating the differential #4α-helix. b Predict secondary structures and perform homology comparisons of LBP in various mammals. c Molecular docking diagram of WT-Tridocosahexaenoin with LBP.”  [PMC11016120 ¶2]</w:t>
      </w:r>
    </w:p>
    <w:p>
      <w:pPr>
        <w:spacing w:after="120"/>
        <w:jc w:val="both"/>
      </w:pPr>
      <w:r>
        <w:rPr>
          <w:rFonts w:ascii="Times New Roman" w:hAnsi="Times New Roman" w:cs="Times New Roman" w:eastAsia="Times New Roman"/>
          <w:b w:val="0"/>
          <w:i w:val="0"/>
          <w:sz w:val="24"/>
        </w:rPr>
        <w:t>“LBP is represented as a dark blue cartoon model graphic: `41467_2024_47553_Fig6_HTML.jpg` 7. **Fig. 7** — LBP upregulation drives obesity and is rescued by antioxidant treatment. a Serum TG and FFA levels in 8-week-old mice before and after Poloxamer 407 injection. Means ± s.d., 2way ANOVA ( n = 3, biologically independent). b Morphological comparison of LBP KI/KI , LBP − / − and WT mice fed on a 16-week high-fat diet. c Fasting blood glucose levels of mice in ( b ). Means ± s.d., two-tailed unpaired graphic: `41467_2024_47553_Fig7_HTML.jpg` ```json { "pmcid": "PMC11016120", "pmid": "38615060", "doi": "10.1038/s41467-024-47553-5", "title": "Lipopolysaccharide binding protein resists hepatic oxidative stress by regulating lipid droplet homeostasis", "journal": "Nature Communications", "year": "2024", "abstract": "Oxidative stress-induced lipid accumulation is mediated by lipid droplets (LDs) homeostasis, which sequester vulnerable unsaturated triglycerides into LDs to prevent further peroxidation.”  [PMC11016120 ¶3]</w:t>
      </w:r>
    </w:p>
    <w:p>
      <w:pPr>
        <w:jc w:val="center"/>
      </w:pPr>
      <w:r>
        <w:drawing>
          <wp:inline xmlns:a="http://schemas.openxmlformats.org/drawingml/2006/main" xmlns:pic="http://schemas.openxmlformats.org/drawingml/2006/picture">
            <wp:extent cx="5029200" cy="6262039"/>
            <wp:docPr id="63" name="Picture 63"/>
            <wp:cNvGraphicFramePr>
              <a:graphicFrameLocks noChangeAspect="1"/>
            </wp:cNvGraphicFramePr>
            <a:graphic>
              <a:graphicData uri="http://schemas.openxmlformats.org/drawingml/2006/picture">
                <pic:pic>
                  <pic:nvPicPr>
                    <pic:cNvPr id="0" name="p10_i1.jpg"/>
                    <pic:cNvPicPr/>
                  </pic:nvPicPr>
                  <pic:blipFill>
                    <a:blip r:embed="rId38"/>
                    <a:stretch>
                      <a:fillRect/>
                    </a:stretch>
                  </pic:blipFill>
                  <pic:spPr>
                    <a:xfrm>
                      <a:off x="0" y="0"/>
                      <a:ext cx="5029200" cy="6262039"/>
                    </a:xfrm>
                    <a:prstGeom prst="rect"/>
                  </pic:spPr>
                </pic:pic>
              </a:graphicData>
            </a:graphic>
          </wp:inline>
        </w:drawing>
      </w:r>
    </w:p>
    <w:p>
      <w:pPr>
        <w:spacing w:after="160"/>
        <w:jc w:val="center"/>
      </w:pPr>
      <w:r>
        <w:rPr>
          <w:rFonts w:ascii="Times New Roman" w:hAnsi="Times New Roman" w:cs="Times New Roman" w:eastAsia="Times New Roman"/>
          <w:b w:val="0"/>
          <w:i/>
          <w:sz w:val="20"/>
        </w:rPr>
        <w:t>Figure 1 (from PMC11016120): “Oxidative stress induces LBP upregulation and LD translocation. a A schematic illustrating the research strategy adopted in this study. The image was created using materials supplied by Ge Pan from the Central Academy of Fine Arts, China, and illustrated by Qilun Zhang. The use of these materials has been authorized. b A multivariate bubble plot comparing ch”</w:t>
      </w:r>
    </w:p>
    <w:p>
      <w:pPr>
        <w:spacing w:after="120"/>
        <w:jc w:val="both"/>
      </w:pPr>
      <w:r>
        <w:rPr>
          <w:rFonts w:ascii="Times New Roman" w:hAnsi="Times New Roman" w:cs="Times New Roman" w:eastAsia="Times New Roman"/>
          <w:b w:val="0"/>
          <w:i w:val="0"/>
          <w:sz w:val="24"/>
        </w:rPr>
        <w:t>“Here we identify the upregulation of lipopolysaccharide-binding protein (LBP) and its trafficking through LDs as a mechanism for modulating LD homeostasis in response to oxidative stress. Our results suggest that LBP induces lipid accumulation by controlling lipid-redox homeostasis through its lipid-capture activity, sorting unsaturated triglycerides into LDs. N-acetyl-L-cysteine treatment reduces LBP-mediated triglycerides accumulation by phospholipid/triglycerides competition and Peroxiredoxin 4, a redox state sensor of LBP that regulates the shuttle of LBP from LDs. Furthermore, chronic stress upregulates LBP expression, leading to insulin resistance and obesity. Our findings contribute to the understanding of the role of LBP in regulating LD homeostasis and against cellular peroxidative injury. These insights could inform the development of redox-based therapies for alleviating oxidative stress-induced metabolic dysfunction.", "body_text": "Introduction Oxidative stress, resulting from an imbalance between reactive oxygen species (ROS) production and the antioxidant defense system, is a key driver of hepatic steatosis and obesity 1 \u2013 3 .”  [PMC11016120 ¶4]</w:t>
      </w:r>
    </w:p>
    <w:p>
      <w:pPr>
        <w:spacing w:after="120"/>
        <w:jc w:val="both"/>
      </w:pPr>
      <w:r>
        <w:rPr>
          <w:rFonts w:ascii="Times New Roman" w:hAnsi="Times New Roman" w:cs="Times New Roman" w:eastAsia="Times New Roman"/>
          <w:b w:val="0"/>
          <w:i w:val="0"/>
          <w:sz w:val="24"/>
        </w:rPr>
        <w:t>“Toxic lipid metabolites such as diacylglycerols, lysophosphatidyl choline, and other unsaturated metabolites generated due to oxidative stress, cause cellular damage 4 . This lipotoxicity considered a potential pro-steatotic mediator, is also a key factor in the progression of metabolic dysfunction. Therefore, even in the absence of overweight, acute hunger or chronic stress-induced oxidative stress can cause severe disruptions in lipid metabolism, further increasing the risk of all-cause mortality 5 . While antioxidants and ROS scavengers can alleviate metabolic dysfunction in animal models and some antioxidants have been trialed in clinical settings, long-term antioxidant treatment has potential safety issues, and there is currently no ideal drug available 6 , 7 . Thus, it is crucial to understand the molecular mechanisms that lead to oxidative stress-induced lipid metabolic dysfunction.”  [PMC11016120 ¶5]</w:t>
      </w:r>
    </w:p>
    <w:p>
      <w:pPr>
        <w:spacing w:after="120"/>
        <w:jc w:val="both"/>
      </w:pPr>
      <w:r>
        <w:rPr>
          <w:rFonts w:ascii="Times New Roman" w:hAnsi="Times New Roman" w:cs="Times New Roman" w:eastAsia="Times New Roman"/>
          <w:b w:val="0"/>
          <w:i w:val="0"/>
          <w:sz w:val="24"/>
        </w:rPr>
        <w:t>“Recent studies have shown that lipid droplets (LDs), the major organelles responsible for neutral lipid accumulation, not only function in lipid storage and mobilization but also serve as an essential component of the cellular antioxidant system 8 . The homeostasis regulation of LD is of great significance for the development and survival of cells under stress 9 . During oxidative stress, the biogenesis of LDs is stimulated to protect vulnerable lipids such as unsaturated fatty acids (UFAs) rerouted into the triglyceride (TG) core from ROS-induced peroxidation to maintain lipid homeostasis 10 \u2013 12 , which is subsided when oxidative stress ends. This process is accurately regulated by LD-associated proteins. Despite the identification of numerous LD-associated proteins 13 , the cellular sorting mechanisms for UFA-TG in response to oxidative stress are poorly understood. In this study, we aimed to elucidate a fundamental mechanism that regulates the oxidative stress response of LDs.”  [PMC11016120 ¶6]</w:t>
      </w:r>
    </w:p>
    <w:p>
      <w:pPr>
        <w:jc w:val="center"/>
      </w:pPr>
      <w:r>
        <w:drawing>
          <wp:inline xmlns:a="http://schemas.openxmlformats.org/drawingml/2006/main" xmlns:pic="http://schemas.openxmlformats.org/drawingml/2006/picture">
            <wp:extent cx="5029200" cy="5731282"/>
            <wp:docPr id="64" name="Picture 64"/>
            <wp:cNvGraphicFramePr>
              <a:graphicFrameLocks noChangeAspect="1"/>
            </wp:cNvGraphicFramePr>
            <a:graphic>
              <a:graphicData uri="http://schemas.openxmlformats.org/drawingml/2006/picture">
                <pic:pic>
                  <pic:nvPicPr>
                    <pic:cNvPr id="0" name="p04_i1.jpg"/>
                    <pic:cNvPicPr/>
                  </pic:nvPicPr>
                  <pic:blipFill>
                    <a:blip r:embed="rId39"/>
                    <a:stretch>
                      <a:fillRect/>
                    </a:stretch>
                  </pic:blipFill>
                  <pic:spPr>
                    <a:xfrm>
                      <a:off x="0" y="0"/>
                      <a:ext cx="5029200" cy="5731282"/>
                    </a:xfrm>
                    <a:prstGeom prst="rect"/>
                  </pic:spPr>
                </pic:pic>
              </a:graphicData>
            </a:graphic>
          </wp:inline>
        </w:drawing>
      </w:r>
    </w:p>
    <w:p>
      <w:pPr>
        <w:spacing w:after="160"/>
        <w:jc w:val="center"/>
      </w:pPr>
      <w:r>
        <w:rPr>
          <w:rFonts w:ascii="Times New Roman" w:hAnsi="Times New Roman" w:cs="Times New Roman" w:eastAsia="Times New Roman"/>
          <w:b w:val="0"/>
          <w:i/>
          <w:sz w:val="20"/>
        </w:rPr>
        <w:t>Figure 2 (from PMC11016120): “The localization of LBP to LDs drives hepatic steatosis. a Hepatic TG content of WT mice under NT, 24 h fasting, or LPS-treatment (5 mg/kg, i.p.) for 24 h. Shown are means ± s.d., one-way ANOVA ( n = 3, biologically independent). b Representative bright-field microscope image showing separated LDs from the same treatment as described in ( a ), scale bar = 10”</w:t>
      </w:r>
    </w:p>
    <w:p>
      <w:pPr>
        <w:spacing w:after="120"/>
        <w:jc w:val="both"/>
      </w:pPr>
      <w:r>
        <w:rPr>
          <w:rFonts w:ascii="Times New Roman" w:hAnsi="Times New Roman" w:cs="Times New Roman" w:eastAsia="Times New Roman"/>
          <w:b w:val="0"/>
          <w:i w:val="0"/>
          <w:sz w:val="24"/>
        </w:rPr>
        <w:t>“We have uncovered a cytoprotective mechanism, in which lipopolysaccharide-binding protein (LBP) mediates the selective sequestration of UFA-TG into LDs, effectively preventing lipolysis under oxidative stress. This finding is consistent with the previously reported antioxidant effect of LBP 14 , 15 . Importantly, we report a cellular mechanism by which protein/TG interaction promotes LD accumulation, which is consistent with the previously reported phenotype of reduced liver fat accumulation in LBP knockout mice 16 , 17 . Mechanistically, we found that LBP colocalizes with TG in LDs, which is regulated by the TG capture activity. The shuttle of LBP with LDs is meticulously regulated by its interaction with peroxiredoxin 4 (PRDX4), which senses oxidative stress and ensures the execution of LBP antioxidant function. In summary, LBP acts as an antioxidant to control lipid homeostasis and defends against oxidative stress by coupling with redox signaling and lipid metabolism.”  [PMC11016120 ¶7]</w:t>
      </w:r>
    </w:p>
    <w:p>
      <w:pPr>
        <w:spacing w:after="120"/>
        <w:jc w:val="both"/>
      </w:pPr>
      <w:r>
        <w:rPr>
          <w:rFonts w:ascii="Times New Roman" w:hAnsi="Times New Roman" w:cs="Times New Roman" w:eastAsia="Times New Roman"/>
          <w:b w:val="0"/>
          <w:i w:val="0"/>
          <w:sz w:val="24"/>
        </w:rPr>
        <w:t>“Results Oxidative stress induces LBP upregulation and localization within LDs To investigate the compositional and regulatory changes of LDs under oxidative stress, we conducted hepatic transcriptomic and LDs proteomic analyses of 8-week-old C57BL/6J mice before and after a 24-h fast (Fig. 1a ). Fasting elicits a hepatic stress response, as evidenced by upregulation of Cyp and peroxisome protein families and downregulation of RPS and EIF families (Supplementary Data 1 ). An integrative analysis of liver transcriptome and LDs proteome data unveiled seven proteins exhibiting significant alterations (Fig. 1b ). The majority of the identified proteins are known to be involved in LDs metabolism, with the exception of LBP, an acute-phase protein that functions as an extracellular Lipopolysaccharide (LPS) ligand 18 \u2013 20 . We validated the findings from multi-omics data and discovered that fasting significantly elevated hepatic LBP expression level and its localization to LDs, suggesting an upregulation of LD-localized LBP expression in response to this metabolic stress challenge (Fig. 1c ).”  [PMC11016120 ¶8]</w:t>
      </w:r>
    </w:p>
    <w:p>
      <w:pPr>
        <w:spacing w:after="120"/>
        <w:jc w:val="both"/>
      </w:pPr>
      <w:r>
        <w:rPr>
          <w:rFonts w:ascii="Times New Roman" w:hAnsi="Times New Roman" w:cs="Times New Roman" w:eastAsia="Times New Roman"/>
          <w:b w:val="0"/>
          <w:i w:val="0"/>
          <w:sz w:val="24"/>
        </w:rPr>
        <w:t>“We found that the expression of LBP in HepG2 cells was not upregulated by treatment with unsaturated fatty acid analog Bodipy 558/568 C12 (Bodipy C12), saturated fatty acid palmitic acid (PA), or phosphatidylcholine (Fig. 1d ). Therefore, the upregulation of LBP expression is not a direct consequence of fatty acid exposure. Instead, we identified that oxidative stress, induced by starvation, hydrogen peroxide (H 2 O 2 ), and heat shock, can enhance LBP expression (Fig. 1e ). Our findings revealed that these oxidative stresses not only upregulated the expression of LBP but also caused its translocation to the LDs with Bodipy C12 (Fig. 1f ). These results suggest that oxidative stress plays a critical role in regulating both LBP expression and subcellular distribution. Fig. 1 Oxidative stress induces LBP upregulation and LD translocation. a A schematic illustrating the research strategy adopted in this study.”  [PMC11016120 ¶9]</w:t>
      </w:r>
    </w:p>
    <w:p>
      <w:pPr>
        <w:jc w:val="center"/>
      </w:pPr>
      <w:r>
        <w:drawing>
          <wp:inline xmlns:a="http://schemas.openxmlformats.org/drawingml/2006/main" xmlns:pic="http://schemas.openxmlformats.org/drawingml/2006/picture">
            <wp:extent cx="5029200" cy="6473628"/>
            <wp:docPr id="65" name="Picture 65"/>
            <wp:cNvGraphicFramePr>
              <a:graphicFrameLocks noChangeAspect="1"/>
            </wp:cNvGraphicFramePr>
            <a:graphic>
              <a:graphicData uri="http://schemas.openxmlformats.org/drawingml/2006/picture">
                <pic:pic>
                  <pic:nvPicPr>
                    <pic:cNvPr id="0" name="p07_i1.jpg"/>
                    <pic:cNvPicPr/>
                  </pic:nvPicPr>
                  <pic:blipFill>
                    <a:blip r:embed="rId40"/>
                    <a:stretch>
                      <a:fillRect/>
                    </a:stretch>
                  </pic:blipFill>
                  <pic:spPr>
                    <a:xfrm>
                      <a:off x="0" y="0"/>
                      <a:ext cx="5029200" cy="6473628"/>
                    </a:xfrm>
                    <a:prstGeom prst="rect"/>
                  </pic:spPr>
                </pic:pic>
              </a:graphicData>
            </a:graphic>
          </wp:inline>
        </w:drawing>
      </w:r>
    </w:p>
    <w:p>
      <w:pPr>
        <w:spacing w:after="160"/>
        <w:jc w:val="center"/>
      </w:pPr>
      <w:r>
        <w:rPr>
          <w:rFonts w:ascii="Times New Roman" w:hAnsi="Times New Roman" w:cs="Times New Roman" w:eastAsia="Times New Roman"/>
          <w:b w:val="0"/>
          <w:i/>
          <w:sz w:val="20"/>
        </w:rPr>
        <w:t>Figure 3 (from PMC11016120): “LBP binds with unsaturated TG to prevent against lipid peroxidation. a A pie chart showing the difference in lipid composition between WT ( n = 3) and LBP KI/KI ( n = 3) mice liver after 16 weeks of HFD. b Analysis of chain length of differential TGs in ( a ). Shown are means ± s.e.m., ( n = 3, biologically independent). c Analysis of saturation of different”</w:t>
      </w:r>
    </w:p>
    <w:p>
      <w:pPr>
        <w:spacing w:after="120"/>
        <w:jc w:val="both"/>
      </w:pPr>
      <w:r>
        <w:rPr>
          <w:rFonts w:ascii="Times New Roman" w:hAnsi="Times New Roman" w:cs="Times New Roman" w:eastAsia="Times New Roman"/>
          <w:b w:val="0"/>
          <w:i w:val="0"/>
          <w:sz w:val="24"/>
        </w:rPr>
        <w:t>“The image was created using materials supplied by Ge Pan from the Central Academy of Fine Arts, China, and illustrated by Qilun Zhang. The use of these materials has been authorized. b A multivariate bubble plot comparing changes in LD-localized protein and RNA expression levels after a 24-h fast. Two-tailed student\u2019s t -test (each group n =\u20093, biologically independent). c Western blot analysis of LBP in liver tissue or liver LDs from 8-week-old mice receiving no treatment (NT) or a 24-h fast. d Changes in LBP mRNA expression after treatment with 1\u2009\u03bcM Bodipy C12, 2\u2009\u03bcM PC, or 60\u2009\u03bcM PA for 24\u2009h. Shown are means\u2009\u00b1\u2009s.d., one-way ANOVA ( n =\u20093, biologically independent). e Changes in LBP mRNA expression after treatment of HepG2 cells with 4\u2009\u03bcg/ml tunicamycin for 8\u2009h, 1\u2009mM hydrogen peroxide for 2 or 4\u2009h, nutritional-starvation for 3\u2009h, or 50\u2009\u00b0C heat shock for 1\u2009h.”  [PMC11016120 ¶10]</w:t>
      </w:r>
    </w:p>
    <w:p>
      <w:pPr>
        <w:spacing w:after="120"/>
        <w:jc w:val="both"/>
      </w:pPr>
      <w:r>
        <w:rPr>
          <w:rFonts w:ascii="Times New Roman" w:hAnsi="Times New Roman" w:cs="Times New Roman" w:eastAsia="Times New Roman"/>
          <w:b w:val="0"/>
          <w:i w:val="0"/>
          <w:sz w:val="24"/>
        </w:rPr>
        <w:t>“Shown are means\u00b1s.d., one-way ANOVA ( n =\u20093, biologically independent). f Confocal microscope co-staining images of LBP (green), PLIN2 (violet), and DAPI (blue) captured 16\u2009h after the treatment with Bodipy C12 (orange), 1\u2009\u03bcg/ml LPS for 8\u2009h, and the other treatments as described in ( e ). Scale bar\u2009=\u20095\u2009\u03bcm. Experiments repeated three times independently with similar results. The localization of LBP in LDs leads to hepatocyte steatosis Next, we investigated whether LBP was a causative factor for the formation of large LDs in hepatocytes. Fasting led to significant TG accumulation and steatosis, which was consistent with the intraperitoneal injection of the LBP inducer LPS (Fig. 2a, b ). Additionally, LBP expression was also increased in HepG2 cells treated with H 2 O 2 , and this increase was positively correlated with Caveolin, an LD marker protein (Supplementary Fig. 1a ).”  [PMC11016120 ¶11]</w:t>
      </w:r>
    </w:p>
    <w:p>
      <w:pPr>
        <w:spacing w:after="120"/>
        <w:jc w:val="both"/>
      </w:pPr>
      <w:r>
        <w:rPr>
          <w:rFonts w:ascii="Times New Roman" w:hAnsi="Times New Roman" w:cs="Times New Roman" w:eastAsia="Times New Roman"/>
          <w:b w:val="0"/>
          <w:i w:val="0"/>
          <w:sz w:val="24"/>
        </w:rPr>
        <w:t>“To assess the effects of LBP overexpression on LD formation, we transfected LBP-GFP into HepG2 cells and added Bodipy C12 to trace LD generation. We observed the formation of numerous large-sized droplets that co-localized with the LD marker Bodipy 665/676 (Supplementary Fig. 1b, c ). Subsequently, we established animal models of conventional knockout (LBP \u2212 / \u2212 ) mice and Alb-LBP-3*flag (LBP KI/KI ) mice to investigate the effects of LBP on steatosis (Supplementary Fig. 2a, b ). LBP KI/KI mice exhibited severe steatosis with marked macroscopic changes and aberrant accumulation of LDs both on chow and high-fat diet (HFD) (Fig. 2c , Supplementary Fig. 2c, d ). In vitro, primary hepatocytes were isolated and treated with Bodipy C12. LDs in LBP KI/KI hepatocytes were significantly larger compared to those in WT, while negligible LD formation was observed in LBP \u2212 / \u2212 hepatocytes (Fig. 2d ).”  [PMC11016120 ¶12]</w:t>
      </w:r>
    </w:p>
    <w:p>
      <w:pPr>
        <w:spacing w:before="120" w:after="80"/>
        <w:jc w:val="both"/>
      </w:pPr>
      <w:r>
        <w:rPr>
          <w:rFonts w:ascii="Times New Roman" w:hAnsi="Times New Roman" w:cs="Times New Roman" w:eastAsia="Times New Roman"/>
          <w:b w:val="0"/>
          <w:i/>
          <w:sz w:val="22"/>
        </w:rPr>
        <w:t>Source-article figures for PMC11016120 (extracted from the Europe PMC PDF rendering, re-encoded as PNG for docx compatibility):</w:t>
      </w:r>
    </w:p>
    <w:p>
      <w:pPr>
        <w:jc w:val="center"/>
      </w:pPr>
      <w:r>
        <w:drawing>
          <wp:inline xmlns:a="http://schemas.openxmlformats.org/drawingml/2006/main" xmlns:pic="http://schemas.openxmlformats.org/drawingml/2006/picture">
            <wp:extent cx="5029200" cy="6262039"/>
            <wp:docPr id="66" name="Picture 66"/>
            <wp:cNvGraphicFramePr>
              <a:graphicFrameLocks noChangeAspect="1"/>
            </wp:cNvGraphicFramePr>
            <a:graphic>
              <a:graphicData uri="http://schemas.openxmlformats.org/drawingml/2006/picture">
                <pic:pic>
                  <pic:nvPicPr>
                    <pic:cNvPr id="0" name="p10_i1.jpg"/>
                    <pic:cNvPicPr/>
                  </pic:nvPicPr>
                  <pic:blipFill>
                    <a:blip r:embed="rId38"/>
                    <a:stretch>
                      <a:fillRect/>
                    </a:stretch>
                  </pic:blipFill>
                  <pic:spPr>
                    <a:xfrm>
                      <a:off x="0" y="0"/>
                      <a:ext cx="5029200" cy="6262039"/>
                    </a:xfrm>
                    <a:prstGeom prst="rect"/>
                  </pic:spPr>
                </pic:pic>
              </a:graphicData>
            </a:graphic>
          </wp:inline>
        </w:drawing>
      </w:r>
    </w:p>
    <w:p>
      <w:pPr>
        <w:spacing w:after="160"/>
        <w:jc w:val="center"/>
      </w:pPr>
      <w:r>
        <w:rPr>
          <w:rFonts w:ascii="Times New Roman" w:hAnsi="Times New Roman" w:cs="Times New Roman" w:eastAsia="Times New Roman"/>
          <w:b w:val="0"/>
          <w:i/>
          <w:sz w:val="20"/>
        </w:rPr>
        <w:t>Figure 1 (from PMC11016120): “Oxidative stress induces LBP upregulation and LD translocation. a A schematic illustrating the research strategy adopted in this study. The image was created using materials supplied by Ge Pan from the Central Academy of Fine Arts, China, and illustrated by Qilun Zhang. The use of these materials has been authorized. b A multivariate bubble plot comparing changes in LD-localize”</w:t>
      </w:r>
    </w:p>
    <w:p>
      <w:pPr>
        <w:jc w:val="center"/>
      </w:pPr>
      <w:r>
        <w:drawing>
          <wp:inline xmlns:a="http://schemas.openxmlformats.org/drawingml/2006/main" xmlns:pic="http://schemas.openxmlformats.org/drawingml/2006/picture">
            <wp:extent cx="5029200" cy="5731282"/>
            <wp:docPr id="67" name="Picture 67"/>
            <wp:cNvGraphicFramePr>
              <a:graphicFrameLocks noChangeAspect="1"/>
            </wp:cNvGraphicFramePr>
            <a:graphic>
              <a:graphicData uri="http://schemas.openxmlformats.org/drawingml/2006/picture">
                <pic:pic>
                  <pic:nvPicPr>
                    <pic:cNvPr id="0" name="p04_i1.jpg"/>
                    <pic:cNvPicPr/>
                  </pic:nvPicPr>
                  <pic:blipFill>
                    <a:blip r:embed="rId39"/>
                    <a:stretch>
                      <a:fillRect/>
                    </a:stretch>
                  </pic:blipFill>
                  <pic:spPr>
                    <a:xfrm>
                      <a:off x="0" y="0"/>
                      <a:ext cx="5029200" cy="5731282"/>
                    </a:xfrm>
                    <a:prstGeom prst="rect"/>
                  </pic:spPr>
                </pic:pic>
              </a:graphicData>
            </a:graphic>
          </wp:inline>
        </w:drawing>
      </w:r>
    </w:p>
    <w:p>
      <w:pPr>
        <w:spacing w:after="160"/>
        <w:jc w:val="center"/>
      </w:pPr>
      <w:r>
        <w:rPr>
          <w:rFonts w:ascii="Times New Roman" w:hAnsi="Times New Roman" w:cs="Times New Roman" w:eastAsia="Times New Roman"/>
          <w:b w:val="0"/>
          <w:i/>
          <w:sz w:val="20"/>
        </w:rPr>
        <w:t>Figure 2 (from PMC11016120): “The localization of LBP to LDs drives hepatic steatosis. a Hepatic TG content of WT mice under NT, 24 h fasting, or LPS-treatment (5 mg/kg, i.p.) for 24 h. Shown are means ± s.d., one-way ANOVA ( n = 3, biologically independent). b Representative bright-field microscope image showing separated LDs from the same treatment as described in ( a ), scale bar = 10 μm. Experiments was”</w:t>
      </w:r>
    </w:p>
    <w:p>
      <w:pPr>
        <w:jc w:val="center"/>
      </w:pPr>
      <w:r>
        <w:drawing>
          <wp:inline xmlns:a="http://schemas.openxmlformats.org/drawingml/2006/main" xmlns:pic="http://schemas.openxmlformats.org/drawingml/2006/picture">
            <wp:extent cx="5029200" cy="6473628"/>
            <wp:docPr id="68" name="Picture 68"/>
            <wp:cNvGraphicFramePr>
              <a:graphicFrameLocks noChangeAspect="1"/>
            </wp:cNvGraphicFramePr>
            <a:graphic>
              <a:graphicData uri="http://schemas.openxmlformats.org/drawingml/2006/picture">
                <pic:pic>
                  <pic:nvPicPr>
                    <pic:cNvPr id="0" name="p07_i1.jpg"/>
                    <pic:cNvPicPr/>
                  </pic:nvPicPr>
                  <pic:blipFill>
                    <a:blip r:embed="rId40"/>
                    <a:stretch>
                      <a:fillRect/>
                    </a:stretch>
                  </pic:blipFill>
                  <pic:spPr>
                    <a:xfrm>
                      <a:off x="0" y="0"/>
                      <a:ext cx="5029200" cy="6473628"/>
                    </a:xfrm>
                    <a:prstGeom prst="rect"/>
                  </pic:spPr>
                </pic:pic>
              </a:graphicData>
            </a:graphic>
          </wp:inline>
        </w:drawing>
      </w:r>
    </w:p>
    <w:p>
      <w:pPr>
        <w:spacing w:after="160"/>
        <w:jc w:val="center"/>
      </w:pPr>
      <w:r>
        <w:rPr>
          <w:rFonts w:ascii="Times New Roman" w:hAnsi="Times New Roman" w:cs="Times New Roman" w:eastAsia="Times New Roman"/>
          <w:b w:val="0"/>
          <w:i/>
          <w:sz w:val="20"/>
        </w:rPr>
        <w:t>Figure 3 (from PMC11016120): “LBP binds with unsaturated TG to prevent against lipid peroxidation. a A pie chart showing the difference in lipid composition between WT ( n = 3) and LBP KI/KI ( n = 3) mice liver after 16 weeks of HFD. b Analysis of chain length of differential TGs in ( a ). Shown are means ± s.e.m., ( n = 3, biologically independent). c Analysis of saturation of differential TGs in ( a ). Sh”</w:t>
      </w:r>
    </w:p>
    <w:p>
      <w:pPr>
        <w:jc w:val="center"/>
      </w:pPr>
      <w:r>
        <w:drawing>
          <wp:inline xmlns:a="http://schemas.openxmlformats.org/drawingml/2006/main" xmlns:pic="http://schemas.openxmlformats.org/drawingml/2006/picture">
            <wp:extent cx="5029200" cy="4507420"/>
            <wp:docPr id="69" name="Picture 69"/>
            <wp:cNvGraphicFramePr>
              <a:graphicFrameLocks noChangeAspect="1"/>
            </wp:cNvGraphicFramePr>
            <a:graphic>
              <a:graphicData uri="http://schemas.openxmlformats.org/drawingml/2006/picture">
                <pic:pic>
                  <pic:nvPicPr>
                    <pic:cNvPr id="0" name="p09_i21.jpg"/>
                    <pic:cNvPicPr/>
                  </pic:nvPicPr>
                  <pic:blipFill>
                    <a:blip r:embed="rId41"/>
                    <a:stretch>
                      <a:fillRect/>
                    </a:stretch>
                  </pic:blipFill>
                  <pic:spPr>
                    <a:xfrm>
                      <a:off x="0" y="0"/>
                      <a:ext cx="5029200" cy="4507420"/>
                    </a:xfrm>
                    <a:prstGeom prst="rect"/>
                  </pic:spPr>
                </pic:pic>
              </a:graphicData>
            </a:graphic>
          </wp:inline>
        </w:drawing>
      </w:r>
    </w:p>
    <w:p>
      <w:pPr>
        <w:spacing w:after="160"/>
        <w:jc w:val="center"/>
      </w:pPr>
      <w:r>
        <w:rPr>
          <w:rFonts w:ascii="Times New Roman" w:hAnsi="Times New Roman" w:cs="Times New Roman" w:eastAsia="Times New Roman"/>
          <w:b w:val="0"/>
          <w:i/>
          <w:sz w:val="20"/>
        </w:rPr>
        <w:t>Figure 4 (from PMC11016120): “The antioxidant activity of LBP. a A nine-quadrant plot depicting the combined analysis of the liver transcriptome and proteome of WT and LBP KI/KI mice fed with HFD for 16 weeks. Each group n = 3, biologically independent. b Go term enrichment analysis of the differential proteins in the third quadrant (upregulated) of ( a ), using different colors to represent different funct”</w:t>
      </w:r>
    </w:p>
    <w:p>
      <w:pPr>
        <w:jc w:val="center"/>
      </w:pPr>
      <w:r>
        <w:drawing>
          <wp:inline xmlns:a="http://schemas.openxmlformats.org/drawingml/2006/main" xmlns:pic="http://schemas.openxmlformats.org/drawingml/2006/picture">
            <wp:extent cx="5029200" cy="3130677"/>
            <wp:docPr id="70" name="Picture 70"/>
            <wp:cNvGraphicFramePr>
              <a:graphicFrameLocks noChangeAspect="1"/>
            </wp:cNvGraphicFramePr>
            <a:graphic>
              <a:graphicData uri="http://schemas.openxmlformats.org/drawingml/2006/picture">
                <pic:pic>
                  <pic:nvPicPr>
                    <pic:cNvPr id="0" name="p02_i1.jpg"/>
                    <pic:cNvPicPr/>
                  </pic:nvPicPr>
                  <pic:blipFill>
                    <a:blip r:embed="rId42"/>
                    <a:stretch>
                      <a:fillRect/>
                    </a:stretch>
                  </pic:blipFill>
                  <pic:spPr>
                    <a:xfrm>
                      <a:off x="0" y="0"/>
                      <a:ext cx="5029200" cy="3130677"/>
                    </a:xfrm>
                    <a:prstGeom prst="rect"/>
                  </pic:spPr>
                </pic:pic>
              </a:graphicData>
            </a:graphic>
          </wp:inline>
        </w:drawing>
      </w:r>
    </w:p>
    <w:p>
      <w:pPr>
        <w:spacing w:after="160"/>
        <w:jc w:val="center"/>
      </w:pPr>
      <w:r>
        <w:rPr>
          <w:rFonts w:ascii="Times New Roman" w:hAnsi="Times New Roman" w:cs="Times New Roman" w:eastAsia="Times New Roman"/>
          <w:b w:val="0"/>
          <w:i/>
          <w:sz w:val="20"/>
        </w:rPr>
        <w:t>Figure 5 (from PMC11016120): “Redox signaling regulates LBP-induced LD accumulation via phospholipid biogenesis and the LBP chaperone function of PRDX4. a The bar graph compares the hepatic TG levels in WT mice and LBP KI/KI mice, with/without NAC treatment. Means ± s.d., 2way ANOVA ( n = 5–6, biologically independent). b Bright-field microscope image of LDs in LBP KI/KI mice, fasted for 24 h and treated wi”</w:t>
      </w:r>
    </w:p>
    <w:p>
      <w:pPr>
        <w:jc w:val="center"/>
      </w:pPr>
      <w:r>
        <w:drawing>
          <wp:inline xmlns:a="http://schemas.openxmlformats.org/drawingml/2006/main" xmlns:pic="http://schemas.openxmlformats.org/drawingml/2006/picture">
            <wp:extent cx="5029200" cy="2668619"/>
            <wp:docPr id="71" name="Picture 71"/>
            <wp:cNvGraphicFramePr>
              <a:graphicFrameLocks noChangeAspect="1"/>
            </wp:cNvGraphicFramePr>
            <a:graphic>
              <a:graphicData uri="http://schemas.openxmlformats.org/drawingml/2006/picture">
                <pic:pic>
                  <pic:nvPicPr>
                    <pic:cNvPr id="0" name="p03_i2.jpg"/>
                    <pic:cNvPicPr/>
                  </pic:nvPicPr>
                  <pic:blipFill>
                    <a:blip r:embed="rId43"/>
                    <a:stretch>
                      <a:fillRect/>
                    </a:stretch>
                  </pic:blipFill>
                  <pic:spPr>
                    <a:xfrm>
                      <a:off x="0" y="0"/>
                      <a:ext cx="5029200" cy="2668619"/>
                    </a:xfrm>
                    <a:prstGeom prst="rect"/>
                  </pic:spPr>
                </pic:pic>
              </a:graphicData>
            </a:graphic>
          </wp:inline>
        </w:drawing>
      </w:r>
    </w:p>
    <w:p>
      <w:pPr>
        <w:spacing w:after="160"/>
        <w:jc w:val="center"/>
      </w:pPr>
      <w:r>
        <w:rPr>
          <w:rFonts w:ascii="Times New Roman" w:hAnsi="Times New Roman" w:cs="Times New Roman" w:eastAsia="Times New Roman"/>
          <w:b w:val="0"/>
          <w:i/>
          <w:sz w:val="20"/>
        </w:rPr>
        <w:t>Figure 6 (from PMC11016120): “The #4-helix within the C-segment of LBP interacts with oxidized TGs. a LBP structure solved in the PDB database and predicted by Alphafold, with the black box indicating the differential #4α-helix. b Predict secondary structures and perform homology comparisons of LBP in various mammals. c Molecular docking diagram of WT-Tridocosahexaenoin with LBP. LBP is represented as a dar”</w:t>
      </w:r>
    </w:p>
    <w:p>
      <w:pPr>
        <w:jc w:val="center"/>
      </w:pPr>
      <w:r>
        <w:drawing>
          <wp:inline xmlns:a="http://schemas.openxmlformats.org/drawingml/2006/main" xmlns:pic="http://schemas.openxmlformats.org/drawingml/2006/picture">
            <wp:extent cx="5029200" cy="2373154"/>
            <wp:docPr id="72" name="Picture 72"/>
            <wp:cNvGraphicFramePr>
              <a:graphicFrameLocks noChangeAspect="1"/>
            </wp:cNvGraphicFramePr>
            <a:graphic>
              <a:graphicData uri="http://schemas.openxmlformats.org/drawingml/2006/picture">
                <pic:pic>
                  <pic:nvPicPr>
                    <pic:cNvPr id="0" name="p06_i1.jpg"/>
                    <pic:cNvPicPr/>
                  </pic:nvPicPr>
                  <pic:blipFill>
                    <a:blip r:embed="rId44"/>
                    <a:stretch>
                      <a:fillRect/>
                    </a:stretch>
                  </pic:blipFill>
                  <pic:spPr>
                    <a:xfrm>
                      <a:off x="0" y="0"/>
                      <a:ext cx="5029200" cy="2373154"/>
                    </a:xfrm>
                    <a:prstGeom prst="rect"/>
                  </pic:spPr>
                </pic:pic>
              </a:graphicData>
            </a:graphic>
          </wp:inline>
        </w:drawing>
      </w:r>
    </w:p>
    <w:p>
      <w:pPr>
        <w:spacing w:after="160"/>
        <w:jc w:val="center"/>
      </w:pPr>
      <w:r>
        <w:rPr>
          <w:rFonts w:ascii="Times New Roman" w:hAnsi="Times New Roman" w:cs="Times New Roman" w:eastAsia="Times New Roman"/>
          <w:b w:val="0"/>
          <w:i/>
          <w:sz w:val="20"/>
        </w:rPr>
        <w:t>Figure 7 (from PMC11016120): “LBP upregulation drives obesity and is rescued by antioxidant treatment. a Serum TG and FFA levels in 8-week-old mice before and after Poloxamer 407 injection. Means ± s.d., 2way ANOVA ( n = 3, biologically independent). b Morphological comparison of LBP KI/KI , LBP − / − and WT mice fed on a 16-week high-fat diet. c Fasting blood glucose levels of mice in ( b ). Means ± s.d., ”</w:t>
      </w:r>
    </w:p>
    <w:p>
      <w:pPr>
        <w:jc w:val="center"/>
      </w:pPr>
      <w:r>
        <w:drawing>
          <wp:inline xmlns:a="http://schemas.openxmlformats.org/drawingml/2006/main" xmlns:pic="http://schemas.openxmlformats.org/drawingml/2006/picture">
            <wp:extent cx="5029200" cy="5427194"/>
            <wp:docPr id="73" name="Picture 73"/>
            <wp:cNvGraphicFramePr>
              <a:graphicFrameLocks noChangeAspect="1"/>
            </wp:cNvGraphicFramePr>
            <a:graphic>
              <a:graphicData uri="http://schemas.openxmlformats.org/drawingml/2006/picture">
                <pic:pic>
                  <pic:nvPicPr>
                    <pic:cNvPr id="0" name="p03_i1.jpg"/>
                    <pic:cNvPicPr/>
                  </pic:nvPicPr>
                  <pic:blipFill>
                    <a:blip r:embed="rId45"/>
                    <a:stretch>
                      <a:fillRect/>
                    </a:stretch>
                  </pic:blipFill>
                  <pic:spPr>
                    <a:xfrm>
                      <a:off x="0" y="0"/>
                      <a:ext cx="5029200" cy="5427194"/>
                    </a:xfrm>
                    <a:prstGeom prst="rect"/>
                  </pic:spPr>
                </pic:pic>
              </a:graphicData>
            </a:graphic>
          </wp:inline>
        </w:drawing>
      </w:r>
    </w:p>
    <w:p>
      <w:pPr>
        <w:spacing w:after="160"/>
        <w:jc w:val="center"/>
      </w:pPr>
      <w:r>
        <w:rPr>
          <w:rFonts w:ascii="Times New Roman" w:hAnsi="Times New Roman" w:cs="Times New Roman" w:eastAsia="Times New Roman"/>
          <w:b w:val="0"/>
          <w:i/>
          <w:sz w:val="20"/>
        </w:rPr>
        <w:t>Figure panel from PMC11016120 (source bitmap p03_i1.jpg, 556×600 px).</w:t>
      </w:r>
    </w:p>
    <w:p>
      <w:pPr>
        <w:keepNext/>
        <w:pageBreakBefore/>
        <w:spacing w:before="480" w:after="160"/>
        <w:outlineLvl w:val="0"/>
      </w:pPr>
      <w:r>
        <w:rPr>
          <w:rFonts w:ascii="Times New Roman" w:hAnsi="Times New Roman" w:cs="Times New Roman" w:eastAsia="Times New Roman"/>
          <w:b/>
          <w:i w:val="0"/>
          <w:color w:val="1F3D7A"/>
          <w:sz w:val="36"/>
        </w:rPr>
        <w:t>8b.  Health Effects — Notable L-Cysteine Derivatives</w:t>
      </w:r>
    </w:p>
    <w:p>
      <w:pPr>
        <w:keepNext/>
        <w:spacing w:before="280" w:after="80"/>
        <w:outlineLvl w:val="1"/>
      </w:pPr>
      <w:r>
        <w:rPr>
          <w:rFonts w:ascii="Times New Roman" w:hAnsi="Times New Roman" w:cs="Times New Roman" w:eastAsia="Times New Roman"/>
          <w:b/>
          <w:i w:val="0"/>
          <w:color w:val="335588"/>
          <w:sz w:val="28"/>
        </w:rPr>
        <w:t>9.1  N-Acetyl-L-Cysteine (NAC)</w:t>
      </w:r>
    </w:p>
    <w:p>
      <w:pPr>
        <w:spacing w:after="80"/>
        <w:jc w:val="both"/>
      </w:pPr>
      <w:r>
        <w:rPr>
          <w:rFonts w:ascii="Times New Roman" w:hAnsi="Times New Roman" w:cs="Times New Roman" w:eastAsia="Times New Roman"/>
          <w:b w:val="0"/>
          <w:i w:val="0"/>
          <w:sz w:val="24"/>
        </w:rPr>
        <w:t>NAC is the acetamide of L-cysteine, formed by acetylation of the α-amino group. Clinically, the acetyl group stabilises the molecule against first-pass oxidation in the gastrointestinal tract and liver, permitting oral dosing of cysteine-equivalent material. NAC is cleaved intracellularly to cysteine, which then enters the glutathione biosynthesis pathway (see Section 7). The regulatory corpus documented in this review records NAC as FDA-approved for APAP overdose and as a mucolytic agent.</w:t>
      </w:r>
    </w:p>
    <w:p>
      <w:pPr>
        <w:spacing w:before="120" w:after="80"/>
        <w:jc w:val="both"/>
      </w:pPr>
      <w:r>
        <w:rPr>
          <w:rFonts w:ascii="Times New Roman" w:hAnsi="Times New Roman" w:cs="Times New Roman" w:eastAsia="Times New Roman"/>
          <w:b/>
          <w:i w:val="0"/>
          <w:sz w:val="24"/>
        </w:rPr>
        <w:t>Verbatim paragraphs documenting NAC chemistry, dosing, and pharmacological distinctions from free L-cysteine:</w:t>
      </w:r>
    </w:p>
    <w:p>
      <w:pPr>
        <w:spacing w:after="120"/>
        <w:jc w:val="both"/>
      </w:pPr>
      <w:r>
        <w:rPr>
          <w:rFonts w:ascii="Times New Roman" w:hAnsi="Times New Roman" w:cs="Times New Roman" w:eastAsia="Times New Roman"/>
          <w:b w:val="0"/>
          <w:i w:val="0"/>
          <w:sz w:val="24"/>
        </w:rPr>
        <w:t>“NAC possesses antioxidant, cytoprotective, anti-inflammatory, antimicrobial, and mucolytic properties, making it a promising therapeutic agent for a wide range of diseases in both humans and domesticated animals. Oxidative stress and inflammation play a major role in the onset and progression of all these diseases. NAC\u2019s primary role is to replenish glutathione (GSH) stores, the master antioxidant in all tissues; however, it can also reduce levels of pro-inflammatory tumor necrosis factor-alpha (TNF-\u221d) and interleukins (IL-6 and IL-1\u03b2), inhibit the formation of microbial biofilms and destroy biofilms, and break down disulfide bonds between mucin molecules. Many experimental studies have been conducted on the use of NAC to address a wide range of pathological conditions; however, its effectiveness in clinical trials remains limited and studies often have conflicting results.”  [PMC10604897 ¶1]</w:t>
      </w:r>
    </w:p>
    <w:p>
      <w:pPr>
        <w:spacing w:after="120"/>
        <w:jc w:val="both"/>
      </w:pPr>
      <w:r>
        <w:rPr>
          <w:rFonts w:ascii="Times New Roman" w:hAnsi="Times New Roman" w:cs="Times New Roman" w:eastAsia="Times New Roman"/>
          <w:b w:val="0"/>
          <w:i w:val="0"/>
          <w:sz w:val="24"/>
        </w:rPr>
        <w:t>“The purpose of this review is to provide a concise overview of promising NAC usages for the treatment of different human and domestic animal disorders.", "body_text": "1. Introduction N-acetylcysteine (NAC) comes from the amino acid L-cysteine and has been a Food and Drug Administration (FDA) approved drug since 1963. It is recognized as the standard treatment for acetaminophen overdose and has been used as a mucolytic drug since the 1960s [ 1 ]. NAC has also been used as a supplement for decades and, as such, can be found as an over-the-counter nutritional supplement in countries such as the United States, Canada, and Australia [ 1 ]. Therefore, NAC falls into a grey zone with other compounds such as cannabidiol (CBD), but as of August 2022, the FDA has backed away from its hard stance on classifying NAC as a drug and is allowing its sale as a dietary supplement [ 2 ]. NAC\u2019s antioxidant and anti-inflammatory properties make it a promising therapeutic agent for conditions in which oxidative stress is involved [ 1 ].”  [PMC10604897 ¶2]</w:t>
      </w:r>
    </w:p>
    <w:p>
      <w:pPr>
        <w:spacing w:after="120"/>
        <w:jc w:val="both"/>
      </w:pPr>
      <w:r>
        <w:rPr>
          <w:rFonts w:ascii="Times New Roman" w:hAnsi="Times New Roman" w:cs="Times New Roman" w:eastAsia="Times New Roman"/>
          <w:b w:val="0"/>
          <w:i w:val="0"/>
          <w:sz w:val="24"/>
        </w:rPr>
        <w:t>“Examples of these disorders include diabetes, obesity, cancer, neurological disorders, hypertension, pulmonary, inflammatory bowel, cardiovascular, autoimmune, and infectious diseases in humans, as well as domesticated animal weaning disorders, respiratory disease, diarrhea, endometritis, and mastitis [ 3 , 4 , 5 , 6 , 7 , 8 , 9 , 10 ]. While there has been an increasing interest in the use of NAC for a wide range of pathological conditions over the past few decades, various human clinical studies have reported conflicting results, and many other studies were performed in vitro. Therefore, more clinical studies are required to address these conflicting results and to support the purported therapeutic roles of NAC in treating different pathological conditions. Various animal studies involving the use of NAC have also been performed, especially with its use in treating intestinal inflammation and related disorders that can be caused by anti-nutritional factors (e.g., \u03b2 -conglycinin, a vicilin storage protein of soybeans), the process of weaning, and consumption of mycotoxins [ 10 , 11 , 12 ].”  [PMC10604897 ¶3]</w:t>
      </w:r>
    </w:p>
    <w:p>
      <w:pPr>
        <w:jc w:val="center"/>
      </w:pPr>
      <w:r>
        <w:drawing>
          <wp:inline xmlns:a="http://schemas.openxmlformats.org/drawingml/2006/main" xmlns:pic="http://schemas.openxmlformats.org/drawingml/2006/picture">
            <wp:extent cx="5029200" cy="2300859"/>
            <wp:docPr id="74" name="Picture 74"/>
            <wp:cNvGraphicFramePr>
              <a:graphicFrameLocks noChangeAspect="1"/>
            </wp:cNvGraphicFramePr>
            <a:graphic>
              <a:graphicData uri="http://schemas.openxmlformats.org/drawingml/2006/picture">
                <pic:pic>
                  <pic:nvPicPr>
                    <pic:cNvPr id="0" name="p21_i1.jpg"/>
                    <pic:cNvPicPr/>
                  </pic:nvPicPr>
                  <pic:blipFill>
                    <a:blip r:embed="rId12"/>
                    <a:stretch>
                      <a:fillRect/>
                    </a:stretch>
                  </pic:blipFill>
                  <pic:spPr>
                    <a:xfrm>
                      <a:off x="0" y="0"/>
                      <a:ext cx="5029200" cy="2300859"/>
                    </a:xfrm>
                    <a:prstGeom prst="rect"/>
                  </pic:spPr>
                </pic:pic>
              </a:graphicData>
            </a:graphic>
          </wp:inline>
        </w:drawing>
      </w:r>
    </w:p>
    <w:p>
      <w:pPr>
        <w:spacing w:after="160"/>
        <w:jc w:val="center"/>
      </w:pPr>
      <w:r>
        <w:rPr>
          <w:rFonts w:ascii="Times New Roman" w:hAnsi="Times New Roman" w:cs="Times New Roman" w:eastAsia="Times New Roman"/>
          <w:b w:val="0"/>
          <w:i/>
          <w:sz w:val="20"/>
        </w:rPr>
        <w:t>Figure 1 (from PMC10604897): “The three major narratives of NAC’s mechanisms of action.</w:t>
        <w:br/>
        <w:t xml:space="preserve">   graphic: `antioxidants-12-01867-g001.jpg`”</w:t>
      </w:r>
    </w:p>
    <w:p>
      <w:pPr>
        <w:spacing w:after="120"/>
        <w:jc w:val="both"/>
      </w:pPr>
      <w:r>
        <w:rPr>
          <w:rFonts w:ascii="Times New Roman" w:hAnsi="Times New Roman" w:cs="Times New Roman" w:eastAsia="Times New Roman"/>
          <w:b w:val="0"/>
          <w:i w:val="0"/>
          <w:sz w:val="24"/>
        </w:rPr>
        <w:t>“Many studies have shown the protective effects of NAC for neonatal animals immune challenged with bacterial lipopolysaccharide (LPS) endotoxin, particularly studies involving piglets [ 13 , 14 ]. NAC administration has consistently been shown to increase daily body weight gain and alleviate LPS-mediated growth depression. Furthermore, the porcine model of ulcerative colitis (UC) can be used to support NAC usage for humans. For example, in a study conducted by Wang et al. (2013), the piglet model of UC demonstrated that administration of NAC was able to reduce colon histopathology score and ameliorate UC histological abnormalities [ 15 ]. Despite the numerous NAC studies and its increasing popularity, the mechanisms of action (MOA) by which NAC exerts its antioxidant and cytoprotective properties remain unclear [ 1 , 16 ]. It is often assumed that the effects conferred by NAC are due to it acting as a scavenger of reactive oxygen species (ROS), a precursor for glutathione (GSH) biosynthesis, and a disulfide reductant [ 16 , 17 ].”  [PMC10604897 ¶4]</w:t>
      </w:r>
    </w:p>
    <w:p>
      <w:pPr>
        <w:spacing w:after="120"/>
        <w:jc w:val="both"/>
      </w:pPr>
      <w:r>
        <w:rPr>
          <w:rFonts w:ascii="Times New Roman" w:hAnsi="Times New Roman" w:cs="Times New Roman" w:eastAsia="Times New Roman"/>
          <w:b w:val="0"/>
          <w:i w:val="0"/>
          <w:sz w:val="24"/>
        </w:rPr>
        <w:t>“However, these three major narratives can only explain the effects of NAC under specific circumstances [ 16 , 17 ]. Recently, an alternative MOA was proposed that may explain the effects attributed to NAC: the conversion of NAC into hydrogen sulfide and sulfane sulfur species, which are known to possess antioxidant and cytoprotectant properties [ 16 , 17 ]. Thus, the purpose of this review is to provide an overview of the therapeutic uses of NAC in both humans and domesticated species, with a particular focus on weaning disorders, as well as an overview of its MOA. NAC Formulations The most common and well-known formulation of NAC in the United States is Mucomyst\u2122, which is commonly administered orally for the treatment of acetaminophen toxicity [ 18 ]. PharmaNAC \u00ae (BioAdvantex Pharma Inc., Mississauga, ON, Canada) is another common oral formulation and is the only effervescent preparation of its kind available in North America [ 19 ].”  [PMC10604897 ¶5]</w:t>
      </w:r>
    </w:p>
    <w:p>
      <w:pPr>
        <w:spacing w:after="120"/>
        <w:jc w:val="both"/>
      </w:pPr>
      <w:r>
        <w:rPr>
          <w:rFonts w:ascii="Times New Roman" w:hAnsi="Times New Roman" w:cs="Times New Roman" w:eastAsia="Times New Roman"/>
          <w:b w:val="0"/>
          <w:i w:val="0"/>
          <w:sz w:val="24"/>
        </w:rPr>
        <w:t>“Due to its disagreeable flavor, NAC is often mixed with fruit juice or a soft drink prior to consumption. In Europe, NAC is available in pills, capsules, and a variety of effervescent \u201cfizzy tab\u201d formulations [ 18 ]. 2. Safety Profile of NAC The safety of NAC has been well-established through numerous pharmacological studies [ 17 ]. Toxicity is rare and dependent on the route of NAC administration and dosage [ 1 ]. NAC can be administered orally, intravenously, or intranasally [ 1 ]. When orally administered, NAC undergoes rapid intestinal absorption and is subsequently metabolized by the liver [ 1 ]. The cysteine released during NAC metabolism is utilized for glutathione (GSH) synthesis, which is vital for immune function and tissue repair [ 1 ]. NAC\u2019s bioavailability following oral administration is less than 10%. Therefore, only a small portion of intact NAC reaches the plasma and tissue [ 1 ].”  [PMC10604897 ¶6]</w:t>
      </w:r>
    </w:p>
    <w:p>
      <w:pPr>
        <w:jc w:val="center"/>
      </w:pPr>
      <w:r>
        <w:drawing>
          <wp:inline xmlns:a="http://schemas.openxmlformats.org/drawingml/2006/main" xmlns:pic="http://schemas.openxmlformats.org/drawingml/2006/picture">
            <wp:extent cx="5029200" cy="1144143"/>
            <wp:docPr id="75" name="Picture 75"/>
            <wp:cNvGraphicFramePr>
              <a:graphicFrameLocks noChangeAspect="1"/>
            </wp:cNvGraphicFramePr>
            <a:graphic>
              <a:graphicData uri="http://schemas.openxmlformats.org/drawingml/2006/picture">
                <pic:pic>
                  <pic:nvPicPr>
                    <pic:cNvPr id="0" name="p21_i2.jpg"/>
                    <pic:cNvPicPr/>
                  </pic:nvPicPr>
                  <pic:blipFill>
                    <a:blip r:embed="rId13"/>
                    <a:stretch>
                      <a:fillRect/>
                    </a:stretch>
                  </pic:blipFill>
                  <pic:spPr>
                    <a:xfrm>
                      <a:off x="0" y="0"/>
                      <a:ext cx="5029200" cy="1144143"/>
                    </a:xfrm>
                    <a:prstGeom prst="rect"/>
                  </pic:spPr>
                </pic:pic>
              </a:graphicData>
            </a:graphic>
          </wp:inline>
        </w:drawing>
      </w:r>
    </w:p>
    <w:p>
      <w:pPr>
        <w:spacing w:after="160"/>
        <w:jc w:val="center"/>
      </w:pPr>
      <w:r>
        <w:rPr>
          <w:rFonts w:ascii="Times New Roman" w:hAnsi="Times New Roman" w:cs="Times New Roman" w:eastAsia="Times New Roman"/>
          <w:b w:val="0"/>
          <w:i/>
          <w:sz w:val="20"/>
        </w:rPr>
        <w:t>Figure panel from PMC10604897 (source bitmap p21_i2.jpg).</w:t>
      </w:r>
    </w:p>
    <w:p>
      <w:pPr>
        <w:spacing w:after="120"/>
        <w:jc w:val="both"/>
      </w:pPr>
      <w:r>
        <w:rPr>
          <w:rFonts w:ascii="Times New Roman" w:hAnsi="Times New Roman" w:cs="Times New Roman" w:eastAsia="Times New Roman"/>
          <w:b w:val="0"/>
          <w:i w:val="0"/>
          <w:sz w:val="24"/>
        </w:rPr>
        <w:t>“It has been suggested that the low bioavailability of oral NAC may be due to first-pass metabolism in the small intestine rather than incomplete absorption [ 20 ]. NAC can be found intact, reduced, or in various oxidized forms in the plasma following oral intake [ 1 , 20 ], and individual variation in these NAC metabolites occurs, which is likely due to natural variations in human metabolism and the intestinal microbiota. Comparatively, intravenous or nasal administration allows for rapid delivery of high concentrations of NAC to the circulation as it bypasses the first-pass intestinal and hepatic metabolic pathway [ 1 ]. Considering that NAC bioavailability is influenced by first-pass metabolism, it will be important to address potential gender and age effects, which are known to affect the first-pass metabolism [ 21 , 22 ]. Therefore, an optimal way to maintain a proper therapeutic serum level of NAC after intake should include monitoring NAC metabolite concentrations in the blood to maximize both the efficacy of treatment and patient safety. 3.”  [PMC10604897 ¶7]</w:t>
      </w:r>
    </w:p>
    <w:p>
      <w:pPr>
        <w:spacing w:after="120"/>
        <w:jc w:val="both"/>
      </w:pPr>
      <w:r>
        <w:rPr>
          <w:rFonts w:ascii="Times New Roman" w:hAnsi="Times New Roman" w:cs="Times New Roman" w:eastAsia="Times New Roman"/>
          <w:b w:val="0"/>
          <w:i w:val="0"/>
          <w:sz w:val="24"/>
        </w:rPr>
        <w:t>“Transportation of NAC NAC is transported into cells through a complex process involving active transport mechanisms. Within cells, NAC is primarily absorbed and utilized in the cytoplasm, where it is converted into cysteine. NAC is observed to have a slower rate of cellular absorption compared to cysteine [ 23 ]. This delayed uptake is attributed to the hindrance caused by the N-acetyl group, which affects both passive and active transportation across the cell\u2019s plasma membrane. Passive transport of NAC is particularly disadvantaged due to its negative charge at physiological pH, unlike Cys, which is a zwitterion with no net charge, resulting in reduced membrane permeability [ 24 ]. Remarkably, modifications neutralizing the charge on NAC\u2019s carboxyl group, such as amidation or esterification, have been shown to significantly enhance its cellular uptake, as previously reported [ 25 , 26 ].”  [PMC10604897 ¶8]</w:t>
      </w:r>
    </w:p>
    <w:p>
      <w:pPr>
        <w:spacing w:after="120"/>
        <w:jc w:val="both"/>
      </w:pPr>
      <w:r>
        <w:rPr>
          <w:rFonts w:ascii="Times New Roman" w:hAnsi="Times New Roman" w:cs="Times New Roman" w:eastAsia="Times New Roman"/>
          <w:b w:val="0"/>
          <w:i w:val="0"/>
          <w:sz w:val="24"/>
        </w:rPr>
        <w:t>“## Figure captions (2) 1. **Figure 1** — Differential modulation of pro-inflammatory mediators in relation to both the concentration and duration of treatment with N-acetylcysteine in in vitro models of airway inflammation. NAC: N-acetylcysteine; LPS: lipopolysaccharides; NKA: neurokinin A; IL-6: Interleukin-6; TNF-α: tumor necrosis factor-α; IL-8: Interleukin-8; IL-1β: Interleukin-1beta; NF-κB: Nuclear factor kappa B. graphic: `jcm-13-04127-g001.jpg` 2. **Figure 2** — Proposed molecular mechanisms for the therapeutic activity of N-acetylcysteine after oral administration in chronic respiratory diseases. NAC: N-acetylcysteine; GSH: glutathione; RSSH: persulfides; RSS n SR: polysulfides; NKA: neurokinin A; NF-κB: Nuclear factor kappa B; TNF-α: tumor necrosis factor-α; IL-1β: Interleukin-1beta; IL-8: Interleukin-8; ROS: reactive oxygen species. graphic: `jcm-13-04127-g002.jpg` ```json { "pmcid": "PMC11278452", "pmid": "39064168", "doi": "10.3390/jcm13144127", "title": "Anti-Inflammatory and Anti-Oxidant Properties of N-Acetylcysteine: A Fresh Perspective", "journal": "Journal of Clinical Medicine", "year": "2024", "abstract": "N-acetyl-L-cysteine (NAC) was initially introduced as a treatment for mucus reduction and widely used for chronic respiratory conditions associated with mucus overproduction.”  [PMC11278452 ¶1]</w:t>
      </w:r>
    </w:p>
    <w:p>
      <w:pPr>
        <w:spacing w:after="120"/>
        <w:jc w:val="both"/>
      </w:pPr>
      <w:r>
        <w:rPr>
          <w:rFonts w:ascii="Times New Roman" w:hAnsi="Times New Roman" w:cs="Times New Roman" w:eastAsia="Times New Roman"/>
          <w:b w:val="0"/>
          <w:i w:val="0"/>
          <w:sz w:val="24"/>
        </w:rPr>
        <w:t>“However, the mechanism of action for NAC extends beyond its mucolytic activity and is complex and multifaceted. Contrary to other mucoactive drugs, NAC has been found to exhibit antioxidant, anti-infective, and anti-inflammatory activity in pre-clinical and clinical reports. These properties have sparked interest in its potential for treating chronic lung diseases, including chronic obstructive pulmonary disease (COPD), bronchiectasis (BE), cystic fibrosis (CF), and idiopathic pulmonary fibrosis (IPF), which are associated with oxidative stress, increased levels of glutathione and inflammation. NAC\u2019s anti-inflammatory activity is noteworthy, and it is not solely secondary to its antioxidant capabilities. In ex vivo models of COPD exacerbation, the anti-inflammatory effects have been observed even at very low doses, especially with prolonged treatment. The mechanism involves the inhibition of the activation of NF-kB and neurokinin A production, resulting in a reduction in interleukin-6 production, a cytokine abundantly present in the sputum and breath condensate of patients with COPD and correlates with the number of exacerbations.”  [PMC11278452 ¶2]</w:t>
      </w:r>
    </w:p>
    <w:p>
      <w:pPr>
        <w:spacing w:after="120"/>
        <w:jc w:val="both"/>
      </w:pPr>
      <w:r>
        <w:rPr>
          <w:rFonts w:ascii="Times New Roman" w:hAnsi="Times New Roman" w:cs="Times New Roman" w:eastAsia="Times New Roman"/>
          <w:b w:val="0"/>
          <w:i w:val="0"/>
          <w:sz w:val="24"/>
        </w:rPr>
        <w:t>“The unique combination of mucolytic, antioxidant, anti-infective, and anti-inflammatory properties positions NAC as a safe, cost-effective, and efficacious therapy for a plethora of respiratory conditions.", "body_text": "1. Introduction N-acetyl-L-cysteine (NAC) was first introduced in 1965 primarily for its role in promoting mucolysis [ 1 ] and has been the preferred treatment for paracetamol intoxication since the mid-1970s [ 2 ]. Its intravenous formulation for this purpose is recognized on the WHO\u2019s list of Essential Medicines [ 3 ]. The excessive production and secretion of airway mucus have significant importance in the pathophysiology and clinical manifestations of different respiratory diseases, including acute and chronic bronchitis (CB), chronic obstructive pulmonary disease (COPD), bronchiectasis, and cystic fibrosis (CF) [ 4 , 5 ]. Recent evidence indicates that oxidative stress and inflammation contribute to the development of these pathologies, showing a close correlation with clinical outcomes and triggering the overproduction of mucus by glands and goblet cells [ 6 , 7 , 8 , 9 ].”  [PMC11278452 ¶3]</w:t>
      </w:r>
    </w:p>
    <w:p>
      <w:pPr>
        <w:jc w:val="center"/>
      </w:pPr>
      <w:r>
        <w:drawing>
          <wp:inline xmlns:a="http://schemas.openxmlformats.org/drawingml/2006/main" xmlns:pic="http://schemas.openxmlformats.org/drawingml/2006/picture">
            <wp:extent cx="5029200" cy="4259385"/>
            <wp:docPr id="76" name="Picture 76"/>
            <wp:cNvGraphicFramePr>
              <a:graphicFrameLocks noChangeAspect="1"/>
            </wp:cNvGraphicFramePr>
            <a:graphic>
              <a:graphicData uri="http://schemas.openxmlformats.org/drawingml/2006/picture">
                <pic:pic>
                  <pic:nvPicPr>
                    <pic:cNvPr id="0" name="p06_i1.jpg"/>
                    <pic:cNvPicPr/>
                  </pic:nvPicPr>
                  <pic:blipFill>
                    <a:blip r:embed="rId14"/>
                    <a:stretch>
                      <a:fillRect/>
                    </a:stretch>
                  </pic:blipFill>
                  <pic:spPr>
                    <a:xfrm>
                      <a:off x="0" y="0"/>
                      <a:ext cx="5029200" cy="4259385"/>
                    </a:xfrm>
                    <a:prstGeom prst="rect"/>
                  </pic:spPr>
                </pic:pic>
              </a:graphicData>
            </a:graphic>
          </wp:inline>
        </w:drawing>
      </w:r>
    </w:p>
    <w:p>
      <w:pPr>
        <w:spacing w:after="160"/>
        <w:jc w:val="center"/>
      </w:pPr>
      <w:r>
        <w:rPr>
          <w:rFonts w:ascii="Times New Roman" w:hAnsi="Times New Roman" w:cs="Times New Roman" w:eastAsia="Times New Roman"/>
          <w:b w:val="0"/>
          <w:i/>
          <w:sz w:val="20"/>
        </w:rPr>
        <w:t>Figure 1 (from PMC11278452): “Differential modulation of pro-inflammatory mediators in relation to both the concentration and duration of treatment with N-acetylcysteine in in vitro models of airway inflammation. NAC: N-acetylcysteine; LPS: lipopolysaccharides; NKA: neurokinin A; IL-6: Interleukin-6; TNF-α: tumor necrosis factor-α; IL-8: Interleukin-8; IL-1β: Interleukin-1beta; NF-κB: Nu”</w:t>
      </w:r>
    </w:p>
    <w:p>
      <w:pPr>
        <w:spacing w:after="120"/>
        <w:jc w:val="both"/>
      </w:pPr>
      <w:r>
        <w:rPr>
          <w:rFonts w:ascii="Times New Roman" w:hAnsi="Times New Roman" w:cs="Times New Roman" w:eastAsia="Times New Roman"/>
          <w:b w:val="0"/>
          <w:i w:val="0"/>
          <w:sz w:val="24"/>
        </w:rPr>
        <w:t>“Inflammation of the respiratory tract can contribute to flare-ups and deterioration of COPD [ 16 ]. Bronchiectasis involves irreversible bronchial lumen expansion, compromising mucus clearance [ 17 ] and facilitating bacterial colonization [ 18 ]. The initial production of toxins by bacteria contributes to the activation of both microbial and danger-associated molecular patterns, subsequently heightening inflammation [ 18 ]. As a result, this inflammatory response triggers hyperplasia and metaplasia of goblet cells, eventually resulting in increased secretion of mucus in the airways [ 19 , 20 , 21 ]. NAC has undergone extensive scrutiny in numerous global clinical trials and has been used for many years in treating various respiratory conditions [ 13 , 22 , 23 ]. It is a well-documented and well-established treatment of choice, valued not only for reducing mucus viscosity and promoting discharge but also for its recognized antioxidant and anti-inflammatory properties [ 13 , 22 , 23 ].”  [PMC11278452 ¶6]</w:t>
      </w:r>
    </w:p>
    <w:p>
      <w:pPr>
        <w:spacing w:after="120"/>
        <w:jc w:val="both"/>
      </w:pPr>
      <w:r>
        <w:rPr>
          <w:rFonts w:ascii="Times New Roman" w:hAnsi="Times New Roman" w:cs="Times New Roman" w:eastAsia="Times New Roman"/>
          <w:b w:val="0"/>
          <w:i w:val="0"/>
          <w:sz w:val="24"/>
        </w:rPr>
        <w:t>“The aim of this review is to gather data on the multifaceted properties of NAC [ 13 ], with a specific focus on its anti-inflammatory role. The analysis emphasizes findings from various studies, highlighting the impact of dosage and treatment duration on NAC\u2019s anti-inflammatory effectiveness [ 24 , 25 , 26 , 27 , 28 , 29 ]. The evidence suggests that lower doses may prove effective when administered over an extended treatment period [ 24 , 25 , 26 , 27 , 28 , 29 ]. The goal is to present NAC, traditionally recognized as a dual-action mucolytic and anti-oxidant agent, capable of fluidifying mucus secretions and clearing the airways, as a versatile drug with a multifaceted mechanism of action, rendering it a suitable pharmacological option for a variety of chronic respiratory pathologies characterized by mucus hyperproduction, oxidative stress, and inflammation. 2. Methods The authors performed a comprehensive non-systematic review of the existing literature on PubMed/MEDLINE and Google Scholar, until February 2024, using the following keywords: \u201cN-acetylcysteine\u201d AND \u201canti-inflammatory\u201d OR \u201cmucolytic\u201d OR \u201cantioxidant\u201d OR \u201cchronic respiratory disease\u201d OR \u201cchronic obstructive pulmonary disease\u201d OR \u201cidiopathic pulmonary fibrosis\u201d OR \u201cbronchiectasis\u201d OR \u201ccystic fibrosis\u201d OR \u201casthma\u201d OR \u201cbronchitis\u201d OR \u201canti-infective\u201d. 3.”  [PMC11278452 ¶7]</w:t>
      </w:r>
    </w:p>
    <w:p>
      <w:pPr>
        <w:spacing w:after="120"/>
        <w:jc w:val="both"/>
      </w:pPr>
      <w:r>
        <w:rPr>
          <w:rFonts w:ascii="Times New Roman" w:hAnsi="Times New Roman" w:cs="Times New Roman" w:eastAsia="Times New Roman"/>
          <w:b w:val="0"/>
          <w:i w:val="0"/>
          <w:sz w:val="24"/>
        </w:rPr>
        <w:t>“NAC Exhibits Pharmacological Actions beyond Mucolytic Activity The mechanism of action for NAC is complex and multifaceted and is not yet fully elucidated. NAC is widely utilized to decrease the viscosity and elasticity of mucus [ 30 ]. It achieves this by breaking down the disulfide bonds in mucoproteins, thereby decreasing the viscosity of respiratory secretions [ 22 ]. Apart from the replenishing of depleted GSH content, facilitated by NAC, the gradual release of NAC-derived metabolites may result in a modest increase in H 2 S and its oxidation byproducts including persulfides (RSSH) and polysulfides (RSSnSR) [ 31 ], known as sulfane sulfur metabolites [ 32 ]. These metabolites exhibit cytoprotective effects by aiding in disulfide reduction, acting as direct scavengers of radicals, and preventing irreversible oxidative damage of proteins [ 32 ]. Moreover, modifications involving persulfide on proteins have the potential to modify their function and signaling capabilities, thereby initiating stress-responsive cellular reactions [ 32 ].”  [PMC11278452 ¶8]</w:t>
      </w:r>
    </w:p>
    <w:p>
      <w:pPr>
        <w:jc w:val="center"/>
      </w:pPr>
      <w:r>
        <w:drawing>
          <wp:inline xmlns:a="http://schemas.openxmlformats.org/drawingml/2006/main" xmlns:pic="http://schemas.openxmlformats.org/drawingml/2006/picture">
            <wp:extent cx="5029200" cy="3369819"/>
            <wp:docPr id="77" name="Picture 77"/>
            <wp:cNvGraphicFramePr>
              <a:graphicFrameLocks noChangeAspect="1"/>
            </wp:cNvGraphicFramePr>
            <a:graphic>
              <a:graphicData uri="http://schemas.openxmlformats.org/drawingml/2006/picture">
                <pic:pic>
                  <pic:nvPicPr>
                    <pic:cNvPr id="0" name="p08_i1.jpg"/>
                    <pic:cNvPicPr/>
                  </pic:nvPicPr>
                  <pic:blipFill>
                    <a:blip r:embed="rId15"/>
                    <a:stretch>
                      <a:fillRect/>
                    </a:stretch>
                  </pic:blipFill>
                  <pic:spPr>
                    <a:xfrm>
                      <a:off x="0" y="0"/>
                      <a:ext cx="5029200" cy="3369819"/>
                    </a:xfrm>
                    <a:prstGeom prst="rect"/>
                  </pic:spPr>
                </pic:pic>
              </a:graphicData>
            </a:graphic>
          </wp:inline>
        </w:drawing>
      </w:r>
    </w:p>
    <w:p>
      <w:pPr>
        <w:spacing w:after="160"/>
        <w:jc w:val="center"/>
      </w:pPr>
      <w:r>
        <w:rPr>
          <w:rFonts w:ascii="Times New Roman" w:hAnsi="Times New Roman" w:cs="Times New Roman" w:eastAsia="Times New Roman"/>
          <w:b w:val="0"/>
          <w:i/>
          <w:sz w:val="20"/>
        </w:rPr>
        <w:t>Figure 2 (from PMC11278452): “Proposed molecular mechanisms for the therapeutic activity of N-acetylcysteine after oral administration in chronic respiratory diseases. NAC: N-acetylcysteine; GSH: glutathione; RSSH: persulfides; RSS n SR: polysulfides; NKA: neurokinin A; NF-κB: Nuclear factor kappa B; TNF-α: tumor necrosis factor-α; IL-1β: Interleukin-1beta; IL-8: Interleukin-8; ROS: reac”</w:t>
      </w:r>
    </w:p>
    <w:p>
      <w:pPr>
        <w:spacing w:after="120"/>
        <w:jc w:val="both"/>
      </w:pPr>
      <w:r>
        <w:rPr>
          <w:rFonts w:ascii="Times New Roman" w:hAnsi="Times New Roman" w:cs="Times New Roman" w:eastAsia="Times New Roman"/>
          <w:b w:val="0"/>
          <w:i w:val="0"/>
          <w:sz w:val="24"/>
        </w:rPr>
        <w:t>“The initial use of NAC for respiratory diseases like chronic bronchitis and COPD is primarily linked to its direct and indirect mucolytic activity, aiming to reduce the viscosity of secretions and facilitate expectoration [ 22 ]. However, pre-clinical observations indicate that its effectiveness goes beyond its mucolytic properties, encompassing anti-oxidant, anti-infective, and anti-inflammatory effects. This unique combination of properties suggests an additional and beneficial impact on patients [ 13 , 22 , 33 , 34 ]. The diverse actions of NAC may have implications for reducing exacerbations in individuals with chronic inflammatory respiratory conditions, such as CB/COPD. NAC\u2019s effectiveness has been thoroughly studied in this respiratory disease, and it is employed as an adjunctive medication endorsed by several internationally recognized guidelines [ 35 , 36 , 37 , 38 ]. Indeed, its therapeutic value and substantial supporting evidence have been acknowledged by both the American Thoracic Society and the European Respiratory Society guidelines [ 39 ]. 3.1.”  [PMC11278452 ¶9]</w:t>
      </w:r>
    </w:p>
    <w:p>
      <w:pPr>
        <w:spacing w:after="120"/>
        <w:jc w:val="both"/>
      </w:pPr>
      <w:r>
        <w:rPr>
          <w:rFonts w:ascii="Times New Roman" w:hAnsi="Times New Roman" w:cs="Times New Roman" w:eastAsia="Times New Roman"/>
          <w:b w:val="0"/>
          <w:i w:val="0"/>
          <w:sz w:val="24"/>
        </w:rPr>
        <w:t>“NAC as Anti-Oxidant Abnormal levels of GSH in both extracellular and intracellular compartments are commonly observed in chronic pulmonary diseases, such as CF, bronchiectasis, idiopathic pulmonary fibrosis (IPF), and COPD [ 40 , 41 ]. During the 1980s, Mold\u00e9us and colleagues [ 42 ] pioneered the revelation that NAC demonstrated anti-oxidant effects in respiratory cells and tissues. Their findings showcased NAC\u2019s capability to safeguard against the detrimental impacts of cigarette smoke condensates and hydrogen peroxide (H 2 O 2 ) [ 42 ]. The researchers proposed that NAC\u2019s shielding effect against ROS may be attributed to its function as a precursor to GSH and an enhancer of GSH biosynthesis [ 42 ]. Indeed, from a stringent biochemical perspective, the anti-oxidant characteristics of NAC are intricately linked to the elevation of GSH content, leading to the reduction in ROS synthesis [ 22 ].”  [PMC11278452 ¶10]</w:t>
      </w:r>
    </w:p>
    <w:p>
      <w:pPr>
        <w:spacing w:after="120"/>
        <w:jc w:val="both"/>
      </w:pPr>
      <w:r>
        <w:rPr>
          <w:rFonts w:ascii="Times New Roman" w:hAnsi="Times New Roman" w:cs="Times New Roman" w:eastAsia="Times New Roman"/>
          <w:b w:val="0"/>
          <w:i w:val="0"/>
          <w:sz w:val="24"/>
        </w:rPr>
        <w:t>“With the introduction of the mouse model of APAP hepatotoxicity in the 1970s, fundamental mechanisms of cell death were discovered. This included the recognition that part of the APAP dose is metabolized by cytochrome P450 generating a reactive metabolite that is detoxified by glutathione. After the partial depletion of glutathione, the reactive metabolite will covalently bind to sulfhydryl groups of proteins, which is the initiating event of the toxicity. This insight led to the introduction of N-acetyl-L-cysteine, a glutathione precursor, as antidote against APAP overdose in the clinic. Despite substantial progress in our understanding of the pathomechanisms over the last decades viable new antidotes only emerged recently. This review will discuss the background, mechanisms of action, and the clinical prospects of the existing FDA-approved antidote N-acetylcysteine, of several new drug candidates under clinical development [4-methylpyrazole (fomepizole), calmangafodipir] and examples of additional therapeutic targets (Nrf2 activators) and regeneration promoting agents (thrombopoietin mimetics, adenosine A2B receptor agonists, Wharton\u2019s Jelly mesenchymal stem cells).”  [PMC11315809 ¶1]</w:t>
      </w:r>
    </w:p>
    <w:p>
      <w:pPr>
        <w:spacing w:after="120"/>
        <w:jc w:val="both"/>
      </w:pPr>
      <w:r>
        <w:rPr>
          <w:rFonts w:ascii="Times New Roman" w:hAnsi="Times New Roman" w:cs="Times New Roman" w:eastAsia="Times New Roman"/>
          <w:b w:val="0"/>
          <w:i w:val="0"/>
          <w:sz w:val="24"/>
        </w:rPr>
        <w:t>“Although there are clear limitations of certain therapeutic approaches, there is reason to be optimistic. The substantial progress in the understanding of the pathophysiology of APAP hepatotoxicity led to the consideration of several drugs for development as clinical antidotes against APAP overdose in recent years. Based on the currently available information, it is likely that this will result in additional drugs that could be used as adjunct treatment for N-acetylcysteine.", "body_text": "1. Introduction Acetaminophen (APAP) is a worldwide used analgesic and antipyretic drug, which is safe at therapeutic doses. However, due to its wide availability and low cost, intentional or accidental overdoses are relatively common, especially in western countries. For example, there are roughly 80,000 APAP overdose cases annually presenting to emergency departments with 25,000 patients requiring hospitalization in the United States [ 1 ], more than 80,000 cases in the United Kingdom [ 2 ] and about 11,000 cases in Australia [ 3 ].”  [PMC11315809 ¶2]</w:t>
      </w:r>
    </w:p>
    <w:p>
      <w:pPr>
        <w:spacing w:after="120"/>
        <w:jc w:val="both"/>
      </w:pPr>
      <w:r>
        <w:rPr>
          <w:rFonts w:ascii="Times New Roman" w:hAnsi="Times New Roman" w:cs="Times New Roman" w:eastAsia="Times New Roman"/>
          <w:b w:val="0"/>
          <w:i w:val="0"/>
          <w:sz w:val="24"/>
        </w:rPr>
        <w:t>“APAP overdose is the single most frequent cause of liver injury and acute liver failure in the U.S., UK [ 4 ] and Australia [ 5 ] and is at least a significant etiology of acute liver failure in many other western countries [ 4 ]. As a dose-dependent hepatotoxin, the injury process of APAP toxicity in patients can be accurately reproduced in animals [ 6 , 7 ], especially in mice [ 8 ]. Since the introduction of the mouse model in the 1970s [ 9 , 10 ], the mechanisms of cell death and liver injury have been extensively studied and today many key aspects of the injury mechanism are known [ 11 \u2013 13 ]. Based on the early mechanistic insight, limited to recognition of hepatotoxicity resulting from reactive metabolite formation causing GSH depletion and subsequent protein adduct formation [ 9 , 10 ], N-acetylcysteine (NAC) was discovered to be an effective antidote in animals and patients [ 14 ].”  [PMC11315809 ¶3]</w:t>
      </w:r>
    </w:p>
    <w:p>
      <w:pPr>
        <w:spacing w:after="120"/>
        <w:jc w:val="both"/>
      </w:pPr>
      <w:r>
        <w:rPr>
          <w:rFonts w:ascii="Times New Roman" w:hAnsi="Times New Roman" w:cs="Times New Roman" w:eastAsia="Times New Roman"/>
          <w:b w:val="0"/>
          <w:i w:val="0"/>
          <w:sz w:val="24"/>
        </w:rPr>
        <w:t>“This led to its approval as a clinical antidote in the 1980s [ 15 , 16 ]. Importantly, NAC is still the only clinically approved antidote against APAP overdose in patients more than 40 years later. However, despite its efficacy in most overdose cases, NAC has limited beneficial effects in late-presenting patients and after massive overdoses, and it does not promote regeneration. These limitations drive the continuous search for additional therapeutics that could complement and improve the therapeutic efficacy of NAC. The extensive research into the mechanisms of APAP-induced liver injury resulted in significant progress and identification of novel therapeutic targets. In addition, the dramatically increased number of compounds, especially natural products, being tested in the APAP hepatotoxicity model has led to identification of numerous chemicals said to be putative antidotes [ 17 \u2013 19 ].”  [PMC11315809 ¶4]</w:t>
      </w:r>
    </w:p>
    <w:p>
      <w:pPr>
        <w:spacing w:after="120"/>
        <w:jc w:val="both"/>
      </w:pPr>
      <w:r>
        <w:rPr>
          <w:rFonts w:ascii="Times New Roman" w:hAnsi="Times New Roman" w:cs="Times New Roman" w:eastAsia="Times New Roman"/>
          <w:b w:val="0"/>
          <w:i w:val="0"/>
          <w:sz w:val="24"/>
        </w:rPr>
        <w:t>“This reactive metabolite was identified as N-acetyl-p-benzoquinone imine (NAPQI), which after GSH depletion, preferably reacts with sulfhydryl groups of cysteine in proteins [ 23 ]. Although extensive formation of protein adducts is the initiating event in the toxicity, it is protein adducts in mitochondria that are most critical [ 24 , 25 ]. Mitochondrial adducts trigger a limited electron leak from complex III of the mitochondrial electron transport chain into the cytosol [ 26 ]. This mild oxidant stress activates a redox-sensitive mitogen-activated protein kinase cascade, resulting in activation (phosphorylation) of c-jun N-terminal kinase (JNK) [ 26 ]. P-JNK translocates to the mitochondria [ 27 ] and binds to the anchor protein Sab [ 28 ], which triggers further impairment of the electron transport chain with exaggerated oxidant stress [ 29 ], mainly through leakage of electrons of complex I into the mitochondrial matrix [ 26 ].”  [PMC11315809 ¶7]</w:t>
      </w:r>
    </w:p>
    <w:p>
      <w:pPr>
        <w:spacing w:after="120"/>
        <w:jc w:val="both"/>
      </w:pPr>
      <w:r>
        <w:rPr>
          <w:rFonts w:ascii="Times New Roman" w:hAnsi="Times New Roman" w:cs="Times New Roman" w:eastAsia="Times New Roman"/>
          <w:b w:val="0"/>
          <w:i w:val="0"/>
          <w:sz w:val="24"/>
        </w:rPr>
        <w:t>“Superoxide radicals formed in the matrix readily react with nitric oxide radicals to form peroxynitrite in mitochondria [ 30 ]. Peroxynitrite, a powerful oxidant and nitrating species, which causes nitrotyrosine protein adducts in mitochondria, triggers the mitochondrial permeability transition pore (MPTP) opening [ 31 ] and cell necrosis [ 32 ] ( Figure 1 ). These signaling events represent the basic mechanisms of cell death after APAP overdose that also apply to humans [ 33 , 34 ]. They also reveal realistic therapeutic targets that could be exploited with a high probability of success in humans. 3. Antidotes and Emerging Therapeutic Approaches 3.1 N-Acetylcysteine NAC is the only FDA approved antidote for clinical use against APAP overdose in humans. The discovery of NAC was related to the initial mechanistic understanding that the toxicity was caused by a cytochrome P450-mediated formation of a reactive metabolite, which can covalently bind to proteins as the cause of cell death [ 10 ].”  [PMC11315809 ¶8]</w:t>
      </w:r>
    </w:p>
    <w:p>
      <w:pPr>
        <w:spacing w:after="120"/>
        <w:jc w:val="both"/>
      </w:pPr>
      <w:r>
        <w:rPr>
          <w:rFonts w:ascii="Times New Roman" w:hAnsi="Times New Roman" w:cs="Times New Roman" w:eastAsia="Times New Roman"/>
          <w:b w:val="0"/>
          <w:i w:val="0"/>
          <w:sz w:val="24"/>
        </w:rPr>
        <w:t>“Importantly, the recognition that the reactive metabolite could be detoxified by glutathione [ 9 ] was the incentive to test glutathione precursors, leading to the discovery of NAC as an effective drug in preclinical models [ 35 ]. Today, we know that NAC works mainly through supporting the synthesis of hepatic GSH [ 36 ] ( Figure 1 ); GSH can scavenge NAPQI during the metabolism phase [ 37 ], and later, after import into mitochondria, can scavenge peroxynitrite [ 38 ]. However, excess NAC can also be converted to Krebs cycle intermediates and support the mitochondrial bioenergetics [ 39 ]. Together these mechanisms explain why NAC can effectively prevent cell death. Because of the high efficacy of NAC in several pilot trials in humans in the 1970s [ 40 , 41 ], large scale clinical studies were initiated, but due to ethical reasons, the FDA denied the originally proposed randomized controlled trials [ 14 , 16 ].”  [PMC11315809 ¶9]</w:t>
      </w:r>
    </w:p>
    <w:p>
      <w:pPr>
        <w:spacing w:after="120"/>
        <w:jc w:val="both"/>
      </w:pPr>
      <w:r>
        <w:rPr>
          <w:rFonts w:ascii="Times New Roman" w:hAnsi="Times New Roman" w:cs="Times New Roman" w:eastAsia="Times New Roman"/>
          <w:b w:val="0"/>
          <w:i w:val="0"/>
          <w:sz w:val="24"/>
        </w:rPr>
        <w:t>“However, the then approved prospective multicenter open trials demonstrated the beneficial effect of NAC when administered within 8\u201310 h after the ingestion of an APAP overdose and the gradual loss of this protection in later presenting patients [ 42 . 43 ]. This led to the approval of NAC as a clinical antidote against APAP overdose in the 1980s [ 16 ]. After almost 40 years, no new antidote has been developed. Despite the absence of a randomized control trial, there are officially approved dosing of NAC. However, different doses and potential shorter treatment regimen are regularly being discussed [ 44 \u2013 47 ]. Although NAC is considered highly efficacious in most overdose cases, there are also concerns with patients taking very large overdoses and presenting late for treatment. Changing the NAC doses alone may not be the optimal solution as side effects may become a bigger issue [ 48 ]; it may require adjunct therapies with a wider therapeutic window (e.g., fomepizole) and agents that promote regeneration as discussed in the next sections. 3.2 Fomepizole (4-methylpyrazole) Fomepizole is a clinically approved antidote against methanol and ethylene glycol poisoning due to its property as an alcohol dehydrogenase (ADH) inhibitor [ 49 ].”  [PMC11315809 ¶10]</w:t>
      </w:r>
    </w:p>
    <w:p>
      <w:pPr>
        <w:keepNext/>
        <w:spacing w:before="280" w:after="80"/>
        <w:outlineLvl w:val="1"/>
      </w:pPr>
      <w:r>
        <w:rPr>
          <w:rFonts w:ascii="Times New Roman" w:hAnsi="Times New Roman" w:cs="Times New Roman" w:eastAsia="Times New Roman"/>
          <w:b/>
          <w:i w:val="0"/>
          <w:color w:val="335588"/>
          <w:sz w:val="28"/>
        </w:rPr>
        <w:t>9.2  S-Allyl-L-Cysteine (SAC) and S-1-Propenyl-L-Cysteine (S1PC)</w:t>
      </w:r>
    </w:p>
    <w:p>
      <w:pPr>
        <w:spacing w:after="80"/>
        <w:jc w:val="both"/>
      </w:pPr>
      <w:r>
        <w:rPr>
          <w:rFonts w:ascii="Times New Roman" w:hAnsi="Times New Roman" w:cs="Times New Roman" w:eastAsia="Times New Roman"/>
          <w:b w:val="0"/>
          <w:i w:val="0"/>
          <w:sz w:val="24"/>
        </w:rPr>
        <w:t>PMC6154623 (Molecules 2017) documents S-1-propenyl-L-cysteine, a stereoisomer of S-allyl-L-cysteine and a major sulfur-containing component of aged garlic extract. Verbatim abstract:</w:t>
      </w:r>
    </w:p>
    <w:p>
      <w:pPr>
        <w:spacing w:after="80"/>
        <w:jc w:val="both"/>
      </w:pPr>
      <w:r>
        <w:rPr>
          <w:rFonts w:ascii="Times New Roman" w:hAnsi="Times New Roman" w:cs="Times New Roman" w:eastAsia="Times New Roman"/>
          <w:b w:val="0"/>
          <w:i/>
          <w:sz w:val="24"/>
        </w:rPr>
        <w:t>“S -1-propenyl- l -cysteine (S1PC) is a stereoisomer of S -allyl- l -cysteine (SAC), an important sulfur-containing amino acid that plays a role for the beneficial pharmacological effects of aged garlic extract (AGE). The existence of S1PC in garlic preparations has been known since the 1960’s. However, there was no report regarding the biological and/or pharmacological activity of S1PC until 2016. Recently, we performed a series of studies to examine the chemical, biological, pharmacological and pharmacokinetic properties of S1PC, and obtained some interesting results. S1PC existed only in trace amounts in raw garlic, but its concentration increased almost up to the level similar of SAC through aging process of AGE. S1PC showed immunomodulatory effects in vitro and in vivo, and reduced blood pressure in a hypertensive animal model. A pharmacokinetic study revealed that S1PC was readily absorbed after oral administration in rats and dogs with bioavailability of 88–100%. Additionally, S1PC had little inhibitory influence on human cytochrome P450 activities, even at a concentration of 1 mM. Based on these findings, S1PC was suggested to be another important, pharmacologically active and safe component of AGE similar to SAC. In this review, we highlight some results from recent studies on S1PC and discuss the potential medicinal value of S1PC.”</w:t>
      </w:r>
    </w:p>
    <w:p>
      <w:pPr>
        <w:keepNext/>
        <w:spacing w:before="160" w:after="40"/>
        <w:jc w:val="left"/>
      </w:pPr>
      <w:r>
        <w:rPr>
          <w:rFonts w:ascii="Times New Roman" w:hAnsi="Times New Roman" w:cs="Times New Roman" w:eastAsia="Times New Roman"/>
          <w:b/>
          <w:i w:val="0"/>
          <w:sz w:val="22"/>
        </w:rPr>
        <w:t>Reproduced from PMC6154623 — Table 1 — Altered metabolite levels in plasma after oral administration of S1PC to SHRs. a</w:t>
      </w:r>
    </w:p>
    <w:tbl>
      <w:tblPr>
        <w:tblStyle w:val="TableGrid"/>
        <w:tblW w:type="auto" w:w="0"/>
        <w:tblLayout w:type="fixed"/>
        <w:tblLook w:firstColumn="1" w:firstRow="1" w:lastColumn="0" w:lastRow="0" w:noHBand="0" w:noVBand="1" w:val="04A0"/>
      </w:tblPr>
      <w:tblGrid>
        <w:gridCol w:w="3120"/>
        <w:gridCol w:w="3120"/>
        <w:gridCol w:w="3120"/>
      </w:tblGrid>
      <w:tr>
        <w:tc>
          <w:tcPr>
            <w:tcW w:type="dxa" w:w="3120"/>
            <w:shd w:fill="DDE4EF"/>
          </w:tcPr>
          <w:p>
            <w:r/>
            <w:r>
              <w:rPr>
                <w:rFonts w:ascii="Times New Roman" w:hAnsi="Times New Roman" w:cs="Times New Roman" w:eastAsia="Times New Roman"/>
                <w:b/>
                <w:i w:val="0"/>
                <w:sz w:val="22"/>
              </w:rPr>
              <w:t>Metabolite b</w:t>
            </w:r>
          </w:p>
        </w:tc>
        <w:tc>
          <w:tcPr>
            <w:tcW w:type="dxa" w:w="3120"/>
            <w:shd w:fill="DDE4EF"/>
          </w:tcPr>
          <w:p>
            <w:r/>
            <w:r>
              <w:rPr>
                <w:rFonts w:ascii="Times New Roman" w:hAnsi="Times New Roman" w:cs="Times New Roman" w:eastAsia="Times New Roman"/>
                <w:b/>
                <w:i w:val="0"/>
                <w:sz w:val="22"/>
              </w:rPr>
              <w:t>Control vs. WKY c</w:t>
            </w:r>
          </w:p>
        </w:tc>
        <w:tc>
          <w:tcPr>
            <w:tcW w:type="dxa" w:w="3120"/>
            <w:shd w:fill="DDE4EF"/>
          </w:tcPr>
          <w:p>
            <w:r/>
            <w:r>
              <w:rPr>
                <w:rFonts w:ascii="Times New Roman" w:hAnsi="Times New Roman" w:cs="Times New Roman" w:eastAsia="Times New Roman"/>
                <w:b/>
                <w:i w:val="0"/>
                <w:sz w:val="22"/>
              </w:rPr>
              <w:t>S1PC vs. Control c</w:t>
            </w:r>
          </w:p>
        </w:tc>
      </w:tr>
      <w:tr>
        <w:tc>
          <w:tcPr>
            <w:tcW w:type="dxa" w:w="3120"/>
          </w:tcPr>
          <w:p>
            <w:r/>
            <w:r>
              <w:rPr>
                <w:rFonts w:ascii="Times New Roman" w:hAnsi="Times New Roman" w:cs="Times New Roman" w:eastAsia="Times New Roman"/>
                <w:b w:val="0"/>
                <w:i w:val="0"/>
                <w:sz w:val="22"/>
              </w:rPr>
              <w:t>Betaine</w:t>
            </w:r>
          </w:p>
        </w:tc>
        <w:tc>
          <w:tcPr>
            <w:tcW w:type="dxa" w:w="3120"/>
          </w:tcPr>
          <w:p>
            <w:r/>
            <w:r>
              <w:rPr>
                <w:rFonts w:ascii="Times New Roman" w:hAnsi="Times New Roman" w:cs="Times New Roman" w:eastAsia="Times New Roman"/>
                <w:b w:val="0"/>
                <w:i w:val="0"/>
                <w:sz w:val="22"/>
              </w:rPr>
              <w:t>↑↑ d</w:t>
            </w:r>
          </w:p>
        </w:tc>
        <w:tc>
          <w:tcPr>
            <w:tcW w:type="dxa" w:w="3120"/>
          </w:tcPr>
          <w:p>
            <w:r/>
            <w:r>
              <w:rPr>
                <w:rFonts w:ascii="Times New Roman" w:hAnsi="Times New Roman" w:cs="Times New Roman" w:eastAsia="Times New Roman"/>
                <w:b w:val="0"/>
                <w:i w:val="0"/>
                <w:sz w:val="22"/>
              </w:rPr>
              <w:t>↓</w:t>
            </w:r>
          </w:p>
        </w:tc>
      </w:tr>
      <w:tr>
        <w:tc>
          <w:tcPr>
            <w:tcW w:type="dxa" w:w="3120"/>
          </w:tcPr>
          <w:p>
            <w:r/>
            <w:r>
              <w:rPr>
                <w:rFonts w:ascii="Times New Roman" w:hAnsi="Times New Roman" w:cs="Times New Roman" w:eastAsia="Times New Roman"/>
                <w:b w:val="0"/>
                <w:i w:val="0"/>
                <w:sz w:val="22"/>
              </w:rPr>
              <w:t>Tryptophan</w:t>
            </w:r>
          </w:p>
        </w:tc>
        <w:tc>
          <w:tcPr>
            <w:tcW w:type="dxa" w:w="3120"/>
          </w:tcPr>
          <w:p>
            <w:r/>
            <w:r>
              <w:rPr>
                <w:rFonts w:ascii="Times New Roman" w:hAnsi="Times New Roman" w:cs="Times New Roman" w:eastAsia="Times New Roman"/>
                <w:b w:val="0"/>
                <w:i w:val="0"/>
                <w:sz w:val="22"/>
              </w:rPr>
              <w:t>↓↓</w:t>
            </w:r>
          </w:p>
        </w:tc>
        <w:tc>
          <w:tcPr>
            <w:tcW w:type="dxa" w:w="3120"/>
          </w:tcPr>
          <w:p>
            <w:r/>
            <w:r>
              <w:rPr>
                <w:rFonts w:ascii="Times New Roman" w:hAnsi="Times New Roman" w:cs="Times New Roman" w:eastAsia="Times New Roman"/>
                <w:b w:val="0"/>
                <w:i w:val="0"/>
                <w:sz w:val="22"/>
              </w:rPr>
              <w:t>↑↑</w:t>
            </w:r>
          </w:p>
        </w:tc>
      </w:tr>
      <w:tr>
        <w:tc>
          <w:tcPr>
            <w:tcW w:type="dxa" w:w="3120"/>
          </w:tcPr>
          <w:p>
            <w:r/>
            <w:r>
              <w:rPr>
                <w:rFonts w:ascii="Times New Roman" w:hAnsi="Times New Roman" w:cs="Times New Roman" w:eastAsia="Times New Roman"/>
                <w:b w:val="0"/>
                <w:i w:val="0"/>
                <w:sz w:val="22"/>
              </w:rPr>
              <w:t>LysoPC(16:0)</w:t>
            </w:r>
          </w:p>
        </w:tc>
        <w:tc>
          <w:tcPr>
            <w:tcW w:type="dxa" w:w="3120"/>
          </w:tcPr>
          <w:p>
            <w:r/>
            <w:r>
              <w:rPr>
                <w:rFonts w:ascii="Times New Roman" w:hAnsi="Times New Roman" w:cs="Times New Roman" w:eastAsia="Times New Roman"/>
                <w:b w:val="0"/>
                <w:i w:val="0"/>
                <w:sz w:val="22"/>
              </w:rPr>
              <w:t>↓↓</w:t>
            </w:r>
          </w:p>
        </w:tc>
        <w:tc>
          <w:tcPr>
            <w:tcW w:type="dxa" w:w="3120"/>
          </w:tcPr>
          <w:p>
            <w:r/>
            <w:r>
              <w:rPr>
                <w:rFonts w:ascii="Times New Roman" w:hAnsi="Times New Roman" w:cs="Times New Roman" w:eastAsia="Times New Roman"/>
                <w:b w:val="0"/>
                <w:i w:val="0"/>
                <w:sz w:val="22"/>
              </w:rPr>
              <w:t>↑↑</w:t>
            </w:r>
          </w:p>
        </w:tc>
      </w:tr>
      <w:tr>
        <w:tc>
          <w:tcPr>
            <w:tcW w:type="dxa" w:w="3120"/>
          </w:tcPr>
          <w:p>
            <w:r/>
            <w:r>
              <w:rPr>
                <w:rFonts w:ascii="Times New Roman" w:hAnsi="Times New Roman" w:cs="Times New Roman" w:eastAsia="Times New Roman"/>
                <w:b w:val="0"/>
                <w:i w:val="0"/>
                <w:sz w:val="22"/>
              </w:rPr>
              <w:t>LysoPC(18:3)</w:t>
            </w:r>
          </w:p>
        </w:tc>
        <w:tc>
          <w:tcPr>
            <w:tcW w:type="dxa" w:w="3120"/>
          </w:tcPr>
          <w:p>
            <w:r/>
            <w:r>
              <w:rPr>
                <w:rFonts w:ascii="Times New Roman" w:hAnsi="Times New Roman" w:cs="Times New Roman" w:eastAsia="Times New Roman"/>
                <w:b w:val="0"/>
                <w:i w:val="0"/>
                <w:sz w:val="22"/>
              </w:rPr>
              <w:t>↓↓</w:t>
            </w:r>
          </w:p>
        </w:tc>
        <w:tc>
          <w:tcPr>
            <w:tcW w:type="dxa" w:w="3120"/>
          </w:tcPr>
          <w:p>
            <w:r/>
            <w:r>
              <w:rPr>
                <w:rFonts w:ascii="Times New Roman" w:hAnsi="Times New Roman" w:cs="Times New Roman" w:eastAsia="Times New Roman"/>
                <w:b w:val="0"/>
                <w:i w:val="0"/>
                <w:sz w:val="22"/>
              </w:rPr>
              <w:t>↑↑</w:t>
            </w:r>
          </w:p>
        </w:tc>
      </w:tr>
      <w:tr>
        <w:tc>
          <w:tcPr>
            <w:tcW w:type="dxa" w:w="3120"/>
          </w:tcPr>
          <w:p>
            <w:r/>
            <w:r>
              <w:rPr>
                <w:rFonts w:ascii="Times New Roman" w:hAnsi="Times New Roman" w:cs="Times New Roman" w:eastAsia="Times New Roman"/>
                <w:b w:val="0"/>
                <w:i w:val="0"/>
                <w:sz w:val="22"/>
              </w:rPr>
              <w:t>LysoPC(20:4)</w:t>
            </w:r>
          </w:p>
        </w:tc>
        <w:tc>
          <w:tcPr>
            <w:tcW w:type="dxa" w:w="3120"/>
          </w:tcPr>
          <w:p>
            <w:r/>
            <w:r>
              <w:rPr>
                <w:rFonts w:ascii="Times New Roman" w:hAnsi="Times New Roman" w:cs="Times New Roman" w:eastAsia="Times New Roman"/>
                <w:b w:val="0"/>
                <w:i w:val="0"/>
                <w:sz w:val="22"/>
              </w:rPr>
              <w:t>↓↓</w:t>
            </w:r>
          </w:p>
        </w:tc>
        <w:tc>
          <w:tcPr>
            <w:tcW w:type="dxa" w:w="3120"/>
          </w:tcPr>
          <w:p>
            <w:r/>
            <w:r>
              <w:rPr>
                <w:rFonts w:ascii="Times New Roman" w:hAnsi="Times New Roman" w:cs="Times New Roman" w:eastAsia="Times New Roman"/>
                <w:b w:val="0"/>
                <w:i w:val="0"/>
                <w:sz w:val="22"/>
              </w:rPr>
              <w:t>↑</w:t>
            </w:r>
          </w:p>
        </w:tc>
      </w:tr>
      <w:tr>
        <w:tc>
          <w:tcPr>
            <w:tcW w:type="dxa" w:w="3120"/>
          </w:tcPr>
          <w:p>
            <w:r/>
            <w:r>
              <w:rPr>
                <w:rFonts w:ascii="Times New Roman" w:hAnsi="Times New Roman" w:cs="Times New Roman" w:eastAsia="Times New Roman"/>
                <w:b w:val="0"/>
                <w:i w:val="0"/>
                <w:sz w:val="22"/>
              </w:rPr>
              <w:t>3-(Acetyloxy)-2-hydroxypropyl icosanoate</w:t>
            </w:r>
          </w:p>
        </w:tc>
        <w:tc>
          <w:tcPr>
            <w:tcW w:type="dxa" w:w="3120"/>
          </w:tcPr>
          <w:p>
            <w:r/>
            <w:r>
              <w:rPr>
                <w:rFonts w:ascii="Times New Roman" w:hAnsi="Times New Roman" w:cs="Times New Roman" w:eastAsia="Times New Roman"/>
                <w:b w:val="0"/>
                <w:i w:val="0"/>
                <w:sz w:val="22"/>
              </w:rPr>
              <w:t>↑</w:t>
            </w:r>
          </w:p>
        </w:tc>
        <w:tc>
          <w:tcPr>
            <w:tcW w:type="dxa" w:w="3120"/>
          </w:tcPr>
          <w:p>
            <w:r/>
            <w:r>
              <w:rPr>
                <w:rFonts w:ascii="Times New Roman" w:hAnsi="Times New Roman" w:cs="Times New Roman" w:eastAsia="Times New Roman"/>
                <w:b w:val="0"/>
                <w:i w:val="0"/>
                <w:sz w:val="22"/>
              </w:rPr>
              <w:t>↓↓</w:t>
            </w:r>
          </w:p>
        </w:tc>
      </w:tr>
      <w:tr>
        <w:tc>
          <w:tcPr>
            <w:tcW w:type="dxa" w:w="3120"/>
          </w:tcPr>
          <w:p>
            <w:r/>
            <w:r>
              <w:rPr>
                <w:rFonts w:ascii="Times New Roman" w:hAnsi="Times New Roman" w:cs="Times New Roman" w:eastAsia="Times New Roman"/>
                <w:b w:val="0"/>
                <w:i w:val="0"/>
                <w:sz w:val="22"/>
              </w:rPr>
              <w:t>Caproic acid</w:t>
            </w:r>
          </w:p>
        </w:tc>
        <w:tc>
          <w:tcPr>
            <w:tcW w:type="dxa" w:w="3120"/>
          </w:tcPr>
          <w:p>
            <w:r/>
            <w:r>
              <w:rPr>
                <w:rFonts w:ascii="Times New Roman" w:hAnsi="Times New Roman" w:cs="Times New Roman" w:eastAsia="Times New Roman"/>
                <w:b w:val="0"/>
                <w:i w:val="0"/>
                <w:sz w:val="22"/>
              </w:rPr>
              <w:t>↑↑</w:t>
            </w:r>
          </w:p>
        </w:tc>
        <w:tc>
          <w:tcPr>
            <w:tcW w:type="dxa" w:w="3120"/>
          </w:tcPr>
          <w:p>
            <w:r/>
            <w:r>
              <w:rPr>
                <w:rFonts w:ascii="Times New Roman" w:hAnsi="Times New Roman" w:cs="Times New Roman" w:eastAsia="Times New Roman"/>
                <w:b w:val="0"/>
                <w:i w:val="0"/>
                <w:sz w:val="22"/>
              </w:rPr>
              <w:t>↓</w:t>
            </w:r>
          </w:p>
        </w:tc>
      </w:tr>
    </w:tbl>
    <w:p>
      <w:pPr>
        <w:spacing w:after="80"/>
        <w:jc w:val="both"/>
      </w:pPr>
    </w:p>
    <w:p>
      <w:pPr>
        <w:keepNext/>
        <w:spacing w:before="160" w:after="40"/>
        <w:jc w:val="left"/>
      </w:pPr>
      <w:r>
        <w:rPr>
          <w:rFonts w:ascii="Times New Roman" w:hAnsi="Times New Roman" w:cs="Times New Roman" w:eastAsia="Times New Roman"/>
          <w:b/>
          <w:i w:val="0"/>
          <w:sz w:val="22"/>
        </w:rPr>
        <w:t>Reproduced from PMC6154623 — Table 2 — Pharmacokinetic parameters and excretion levels of SMC, SAC, and S1PC in rats and dogs after oral administration. a</w:t>
      </w:r>
    </w:p>
    <w:tbl>
      <w:tblPr>
        <w:tblStyle w:val="TableGrid"/>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560"/>
            <w:shd w:fill="DDE4EF"/>
          </w:tcPr>
          <w:p>
            <w:r/>
            <w:r>
              <w:rPr>
                <w:rFonts w:ascii="Times New Roman" w:hAnsi="Times New Roman" w:cs="Times New Roman" w:eastAsia="Times New Roman"/>
                <w:b/>
                <w:i w:val="0"/>
                <w:sz w:val="22"/>
              </w:rPr>
              <w:t>Animal</w:t>
            </w:r>
          </w:p>
        </w:tc>
        <w:tc>
          <w:tcPr>
            <w:tcW w:type="dxa" w:w="1560"/>
            <w:shd w:fill="DDE4EF"/>
          </w:tcPr>
          <w:p>
            <w:r/>
            <w:r>
              <w:rPr>
                <w:rFonts w:ascii="Times New Roman" w:hAnsi="Times New Roman" w:cs="Times New Roman" w:eastAsia="Times New Roman"/>
                <w:b/>
                <w:i w:val="0"/>
                <w:sz w:val="22"/>
              </w:rPr>
              <w:t>Compound</w:t>
            </w:r>
          </w:p>
        </w:tc>
        <w:tc>
          <w:tcPr>
            <w:tcW w:type="dxa" w:w="1560"/>
            <w:shd w:fill="DDE4EF"/>
          </w:tcPr>
          <w:p>
            <w:r/>
            <w:r>
              <w:rPr>
                <w:rFonts w:ascii="Times New Roman" w:hAnsi="Times New Roman" w:cs="Times New Roman" w:eastAsia="Times New Roman"/>
                <w:b/>
                <w:i w:val="0"/>
                <w:sz w:val="22"/>
              </w:rPr>
              <w:t>C max (mg/L)</w:t>
            </w:r>
          </w:p>
        </w:tc>
        <w:tc>
          <w:tcPr>
            <w:tcW w:type="dxa" w:w="1560"/>
            <w:shd w:fill="DDE4EF"/>
          </w:tcPr>
          <w:p>
            <w:r/>
            <w:r>
              <w:rPr>
                <w:rFonts w:ascii="Times New Roman" w:hAnsi="Times New Roman" w:cs="Times New Roman" w:eastAsia="Times New Roman"/>
                <w:b/>
                <w:i w:val="0"/>
                <w:sz w:val="22"/>
              </w:rPr>
              <w:t>T 1/2 (h)</w:t>
            </w:r>
          </w:p>
        </w:tc>
        <w:tc>
          <w:tcPr>
            <w:tcW w:type="dxa" w:w="1560"/>
            <w:shd w:fill="DDE4EF"/>
          </w:tcPr>
          <w:p>
            <w:r/>
            <w:r>
              <w:rPr>
                <w:rFonts w:ascii="Times New Roman" w:hAnsi="Times New Roman" w:cs="Times New Roman" w:eastAsia="Times New Roman"/>
                <w:b/>
                <w:i w:val="0"/>
                <w:sz w:val="22"/>
              </w:rPr>
              <w:t>AUC (mg·h/L)</w:t>
            </w:r>
          </w:p>
        </w:tc>
        <w:tc>
          <w:tcPr>
            <w:tcW w:type="dxa" w:w="1560"/>
            <w:shd w:fill="DDE4EF"/>
          </w:tcPr>
          <w:p>
            <w:r/>
            <w:r>
              <w:rPr>
                <w:rFonts w:ascii="Times New Roman" w:hAnsi="Times New Roman" w:cs="Times New Roman" w:eastAsia="Times New Roman"/>
                <w:b/>
                <w:i w:val="0"/>
                <w:sz w:val="22"/>
              </w:rPr>
              <w:t>BA (%)</w:t>
            </w:r>
          </w:p>
        </w:tc>
      </w:tr>
      <w:tr>
        <w:tc>
          <w:tcPr>
            <w:tcW w:type="dxa" w:w="1560"/>
          </w:tcPr>
          <w:p>
            <w:r/>
            <w:r>
              <w:rPr>
                <w:rFonts w:ascii="Times New Roman" w:hAnsi="Times New Roman" w:cs="Times New Roman" w:eastAsia="Times New Roman"/>
                <w:b w:val="0"/>
                <w:i w:val="0"/>
                <w:sz w:val="22"/>
              </w:rPr>
              <w:t>Rat</w:t>
            </w:r>
          </w:p>
        </w:tc>
        <w:tc>
          <w:tcPr>
            <w:tcW w:type="dxa" w:w="1560"/>
          </w:tcPr>
          <w:p>
            <w:r/>
            <w:r>
              <w:rPr>
                <w:rFonts w:ascii="Times New Roman" w:hAnsi="Times New Roman" w:cs="Times New Roman" w:eastAsia="Times New Roman"/>
                <w:b w:val="0"/>
                <w:i w:val="0"/>
                <w:sz w:val="22"/>
              </w:rPr>
              <w:t>SMC b</w:t>
            </w:r>
          </w:p>
        </w:tc>
        <w:tc>
          <w:tcPr>
            <w:tcW w:type="dxa" w:w="1560"/>
          </w:tcPr>
          <w:p>
            <w:r/>
            <w:r>
              <w:rPr>
                <w:rFonts w:ascii="Times New Roman" w:hAnsi="Times New Roman" w:cs="Times New Roman" w:eastAsia="Times New Roman"/>
                <w:b w:val="0"/>
                <w:i w:val="0"/>
                <w:sz w:val="22"/>
              </w:rPr>
              <w:t>1.3 ± 0.33</w:t>
            </w:r>
          </w:p>
        </w:tc>
        <w:tc>
          <w:tcPr>
            <w:tcW w:type="dxa" w:w="1560"/>
          </w:tcPr>
          <w:p>
            <w:r/>
            <w:r>
              <w:rPr>
                <w:rFonts w:ascii="Times New Roman" w:hAnsi="Times New Roman" w:cs="Times New Roman" w:eastAsia="Times New Roman"/>
                <w:b w:val="0"/>
                <w:i w:val="0"/>
                <w:sz w:val="22"/>
              </w:rPr>
              <w:t>2.6 ± 0.75</w:t>
            </w:r>
          </w:p>
        </w:tc>
        <w:tc>
          <w:tcPr>
            <w:tcW w:type="dxa" w:w="1560"/>
          </w:tcPr>
          <w:p>
            <w:r/>
            <w:r>
              <w:rPr>
                <w:rFonts w:ascii="Times New Roman" w:hAnsi="Times New Roman" w:cs="Times New Roman" w:eastAsia="Times New Roman"/>
                <w:b w:val="0"/>
                <w:i w:val="0"/>
                <w:sz w:val="22"/>
              </w:rPr>
              <w:t>6.0 ± 1.7</w:t>
            </w:r>
          </w:p>
        </w:tc>
        <w:tc>
          <w:tcPr>
            <w:tcW w:type="dxa" w:w="1560"/>
          </w:tcPr>
          <w:p>
            <w:r/>
            <w:r>
              <w:rPr>
                <w:rFonts w:ascii="Times New Roman" w:hAnsi="Times New Roman" w:cs="Times New Roman" w:eastAsia="Times New Roman"/>
                <w:b w:val="0"/>
                <w:i w:val="0"/>
                <w:sz w:val="22"/>
              </w:rPr>
              <w:t>95.8</w:t>
            </w:r>
          </w:p>
        </w:tc>
      </w:tr>
      <w:tr>
        <w:tc>
          <w:tcPr>
            <w:tcW w:type="dxa" w:w="1560"/>
          </w:tcPr>
          <w:p>
            <w:r/>
            <w:r>
              <w:rPr>
                <w:rFonts w:ascii="Times New Roman" w:hAnsi="Times New Roman" w:cs="Times New Roman" w:eastAsia="Times New Roman"/>
                <w:b w:val="0"/>
                <w:i w:val="0"/>
                <w:sz w:val="22"/>
              </w:rPr>
            </w:r>
          </w:p>
        </w:tc>
        <w:tc>
          <w:tcPr>
            <w:tcW w:type="dxa" w:w="1560"/>
          </w:tcPr>
          <w:p>
            <w:r/>
            <w:r>
              <w:rPr>
                <w:rFonts w:ascii="Times New Roman" w:hAnsi="Times New Roman" w:cs="Times New Roman" w:eastAsia="Times New Roman"/>
                <w:b w:val="0"/>
                <w:i w:val="0"/>
                <w:sz w:val="22"/>
              </w:rPr>
              <w:t>SAC c</w:t>
            </w:r>
          </w:p>
        </w:tc>
        <w:tc>
          <w:tcPr>
            <w:tcW w:type="dxa" w:w="1560"/>
          </w:tcPr>
          <w:p>
            <w:r/>
            <w:r>
              <w:rPr>
                <w:rFonts w:ascii="Times New Roman" w:hAnsi="Times New Roman" w:cs="Times New Roman" w:eastAsia="Times New Roman"/>
                <w:b w:val="0"/>
                <w:i w:val="0"/>
                <w:sz w:val="22"/>
              </w:rPr>
              <w:t>3.9 ± 0.64</w:t>
            </w:r>
          </w:p>
        </w:tc>
        <w:tc>
          <w:tcPr>
            <w:tcW w:type="dxa" w:w="1560"/>
          </w:tcPr>
          <w:p>
            <w:r/>
            <w:r>
              <w:rPr>
                <w:rFonts w:ascii="Times New Roman" w:hAnsi="Times New Roman" w:cs="Times New Roman" w:eastAsia="Times New Roman"/>
                <w:b w:val="0"/>
                <w:i w:val="0"/>
                <w:sz w:val="22"/>
              </w:rPr>
              <w:t>1.2 ± 0.19</w:t>
            </w:r>
          </w:p>
        </w:tc>
        <w:tc>
          <w:tcPr>
            <w:tcW w:type="dxa" w:w="1560"/>
          </w:tcPr>
          <w:p>
            <w:r/>
            <w:r>
              <w:rPr>
                <w:rFonts w:ascii="Times New Roman" w:hAnsi="Times New Roman" w:cs="Times New Roman" w:eastAsia="Times New Roman"/>
                <w:b w:val="0"/>
                <w:i w:val="0"/>
                <w:sz w:val="22"/>
              </w:rPr>
              <w:t>5.1 ± 0.58</w:t>
            </w:r>
          </w:p>
        </w:tc>
        <w:tc>
          <w:tcPr>
            <w:tcW w:type="dxa" w:w="1560"/>
          </w:tcPr>
          <w:p>
            <w:r/>
            <w:r>
              <w:rPr>
                <w:rFonts w:ascii="Times New Roman" w:hAnsi="Times New Roman" w:cs="Times New Roman" w:eastAsia="Times New Roman"/>
                <w:b w:val="0"/>
                <w:i w:val="0"/>
                <w:sz w:val="22"/>
              </w:rPr>
              <w:t>91.9</w:t>
            </w:r>
          </w:p>
        </w:tc>
      </w:tr>
      <w:tr>
        <w:tc>
          <w:tcPr>
            <w:tcW w:type="dxa" w:w="1560"/>
          </w:tcPr>
          <w:p>
            <w:r/>
            <w:r>
              <w:rPr>
                <w:rFonts w:ascii="Times New Roman" w:hAnsi="Times New Roman" w:cs="Times New Roman" w:eastAsia="Times New Roman"/>
                <w:b w:val="0"/>
                <w:i w:val="0"/>
                <w:sz w:val="22"/>
              </w:rPr>
            </w:r>
          </w:p>
        </w:tc>
        <w:tc>
          <w:tcPr>
            <w:tcW w:type="dxa" w:w="1560"/>
          </w:tcPr>
          <w:p>
            <w:r/>
            <w:r>
              <w:rPr>
                <w:rFonts w:ascii="Times New Roman" w:hAnsi="Times New Roman" w:cs="Times New Roman" w:eastAsia="Times New Roman"/>
                <w:b w:val="0"/>
                <w:i w:val="0"/>
                <w:sz w:val="22"/>
              </w:rPr>
              <w:t>S1PC c</w:t>
            </w:r>
          </w:p>
        </w:tc>
        <w:tc>
          <w:tcPr>
            <w:tcW w:type="dxa" w:w="1560"/>
          </w:tcPr>
          <w:p>
            <w:r/>
            <w:r>
              <w:rPr>
                <w:rFonts w:ascii="Times New Roman" w:hAnsi="Times New Roman" w:cs="Times New Roman" w:eastAsia="Times New Roman"/>
                <w:b w:val="0"/>
                <w:i w:val="0"/>
                <w:sz w:val="22"/>
              </w:rPr>
              <w:t>4.2 ± 0.92</w:t>
            </w:r>
          </w:p>
        </w:tc>
        <w:tc>
          <w:tcPr>
            <w:tcW w:type="dxa" w:w="1560"/>
          </w:tcPr>
          <w:p>
            <w:r/>
            <w:r>
              <w:rPr>
                <w:rFonts w:ascii="Times New Roman" w:hAnsi="Times New Roman" w:cs="Times New Roman" w:eastAsia="Times New Roman"/>
                <w:b w:val="0"/>
                <w:i w:val="0"/>
                <w:sz w:val="22"/>
              </w:rPr>
              <w:t>0.56 ± 0.072</w:t>
            </w:r>
          </w:p>
        </w:tc>
        <w:tc>
          <w:tcPr>
            <w:tcW w:type="dxa" w:w="1560"/>
          </w:tcPr>
          <w:p>
            <w:r/>
            <w:r>
              <w:rPr>
                <w:rFonts w:ascii="Times New Roman" w:hAnsi="Times New Roman" w:cs="Times New Roman" w:eastAsia="Times New Roman"/>
                <w:b w:val="0"/>
                <w:i w:val="0"/>
                <w:sz w:val="22"/>
              </w:rPr>
              <w:t>3.2 ± 0.34</w:t>
            </w:r>
          </w:p>
        </w:tc>
        <w:tc>
          <w:tcPr>
            <w:tcW w:type="dxa" w:w="1560"/>
          </w:tcPr>
          <w:p>
            <w:r/>
            <w:r>
              <w:rPr>
                <w:rFonts w:ascii="Times New Roman" w:hAnsi="Times New Roman" w:cs="Times New Roman" w:eastAsia="Times New Roman"/>
                <w:b w:val="0"/>
                <w:i w:val="0"/>
                <w:sz w:val="22"/>
              </w:rPr>
              <w:t>88.0</w:t>
            </w:r>
          </w:p>
        </w:tc>
      </w:tr>
      <w:tr>
        <w:tc>
          <w:tcPr>
            <w:tcW w:type="dxa" w:w="1560"/>
          </w:tcPr>
          <w:p>
            <w:r/>
            <w:r>
              <w:rPr>
                <w:rFonts w:ascii="Times New Roman" w:hAnsi="Times New Roman" w:cs="Times New Roman" w:eastAsia="Times New Roman"/>
                <w:b w:val="0"/>
                <w:i w:val="0"/>
                <w:sz w:val="22"/>
              </w:rPr>
              <w:t>Dog</w:t>
            </w:r>
          </w:p>
        </w:tc>
        <w:tc>
          <w:tcPr>
            <w:tcW w:type="dxa" w:w="1560"/>
          </w:tcPr>
          <w:p>
            <w:r/>
            <w:r>
              <w:rPr>
                <w:rFonts w:ascii="Times New Roman" w:hAnsi="Times New Roman" w:cs="Times New Roman" w:eastAsia="Times New Roman"/>
                <w:b w:val="0"/>
                <w:i w:val="0"/>
                <w:sz w:val="22"/>
              </w:rPr>
              <w:t>SMC b</w:t>
            </w:r>
          </w:p>
        </w:tc>
        <w:tc>
          <w:tcPr>
            <w:tcW w:type="dxa" w:w="1560"/>
          </w:tcPr>
          <w:p>
            <w:r/>
            <w:r>
              <w:rPr>
                <w:rFonts w:ascii="Times New Roman" w:hAnsi="Times New Roman" w:cs="Times New Roman" w:eastAsia="Times New Roman"/>
                <w:b w:val="0"/>
                <w:i w:val="0"/>
                <w:sz w:val="22"/>
              </w:rPr>
              <w:t>2.6 ± 0.62</w:t>
            </w:r>
          </w:p>
        </w:tc>
        <w:tc>
          <w:tcPr>
            <w:tcW w:type="dxa" w:w="1560"/>
          </w:tcPr>
          <w:p>
            <w:r/>
            <w:r>
              <w:rPr>
                <w:rFonts w:ascii="Times New Roman" w:hAnsi="Times New Roman" w:cs="Times New Roman" w:eastAsia="Times New Roman"/>
                <w:b w:val="0"/>
                <w:i w:val="0"/>
                <w:sz w:val="22"/>
              </w:rPr>
              <w:t>8.0 ± 1.1</w:t>
            </w:r>
          </w:p>
        </w:tc>
        <w:tc>
          <w:tcPr>
            <w:tcW w:type="dxa" w:w="1560"/>
          </w:tcPr>
          <w:p>
            <w:r/>
            <w:r>
              <w:rPr>
                <w:rFonts w:ascii="Times New Roman" w:hAnsi="Times New Roman" w:cs="Times New Roman" w:eastAsia="Times New Roman"/>
                <w:b w:val="0"/>
                <w:i w:val="0"/>
                <w:sz w:val="22"/>
              </w:rPr>
              <w:t>41 ± 5.3</w:t>
            </w:r>
          </w:p>
        </w:tc>
        <w:tc>
          <w:tcPr>
            <w:tcW w:type="dxa" w:w="1560"/>
          </w:tcPr>
          <w:p>
            <w:r/>
            <w:r>
              <w:rPr>
                <w:rFonts w:ascii="Times New Roman" w:hAnsi="Times New Roman" w:cs="Times New Roman" w:eastAsia="Times New Roman"/>
                <w:b w:val="0"/>
                <w:i w:val="0"/>
                <w:sz w:val="22"/>
              </w:rPr>
              <w:t>95.5</w:t>
            </w:r>
          </w:p>
        </w:tc>
      </w:tr>
      <w:tr>
        <w:tc>
          <w:tcPr>
            <w:tcW w:type="dxa" w:w="1560"/>
          </w:tcPr>
          <w:p>
            <w:r/>
            <w:r>
              <w:rPr>
                <w:rFonts w:ascii="Times New Roman" w:hAnsi="Times New Roman" w:cs="Times New Roman" w:eastAsia="Times New Roman"/>
                <w:b w:val="0"/>
                <w:i w:val="0"/>
                <w:sz w:val="22"/>
              </w:rPr>
            </w:r>
          </w:p>
        </w:tc>
        <w:tc>
          <w:tcPr>
            <w:tcW w:type="dxa" w:w="1560"/>
          </w:tcPr>
          <w:p>
            <w:r/>
            <w:r>
              <w:rPr>
                <w:rFonts w:ascii="Times New Roman" w:hAnsi="Times New Roman" w:cs="Times New Roman" w:eastAsia="Times New Roman"/>
                <w:b w:val="0"/>
                <w:i w:val="0"/>
                <w:sz w:val="22"/>
              </w:rPr>
              <w:t>SAC b</w:t>
            </w:r>
          </w:p>
        </w:tc>
        <w:tc>
          <w:tcPr>
            <w:tcW w:type="dxa" w:w="1560"/>
          </w:tcPr>
          <w:p>
            <w:r/>
            <w:r>
              <w:rPr>
                <w:rFonts w:ascii="Times New Roman" w:hAnsi="Times New Roman" w:cs="Times New Roman" w:eastAsia="Times New Roman"/>
                <w:b w:val="0"/>
                <w:i w:val="0"/>
                <w:sz w:val="22"/>
              </w:rPr>
              <w:t>2.1 ± 0.14</w:t>
            </w:r>
          </w:p>
        </w:tc>
        <w:tc>
          <w:tcPr>
            <w:tcW w:type="dxa" w:w="1560"/>
          </w:tcPr>
          <w:p>
            <w:r/>
            <w:r>
              <w:rPr>
                <w:rFonts w:ascii="Times New Roman" w:hAnsi="Times New Roman" w:cs="Times New Roman" w:eastAsia="Times New Roman"/>
                <w:b w:val="0"/>
                <w:i w:val="0"/>
                <w:sz w:val="22"/>
              </w:rPr>
              <w:t>12 ± 1.2</w:t>
            </w:r>
          </w:p>
        </w:tc>
        <w:tc>
          <w:tcPr>
            <w:tcW w:type="dxa" w:w="1560"/>
          </w:tcPr>
          <w:p>
            <w:r/>
            <w:r>
              <w:rPr>
                <w:rFonts w:ascii="Times New Roman" w:hAnsi="Times New Roman" w:cs="Times New Roman" w:eastAsia="Times New Roman"/>
                <w:b w:val="0"/>
                <w:i w:val="0"/>
                <w:sz w:val="22"/>
              </w:rPr>
              <w:t>39 ± 3.5</w:t>
            </w:r>
          </w:p>
        </w:tc>
        <w:tc>
          <w:tcPr>
            <w:tcW w:type="dxa" w:w="1560"/>
          </w:tcPr>
          <w:p>
            <w:r/>
            <w:r>
              <w:rPr>
                <w:rFonts w:ascii="Times New Roman" w:hAnsi="Times New Roman" w:cs="Times New Roman" w:eastAsia="Times New Roman"/>
                <w:b w:val="0"/>
                <w:i w:val="0"/>
                <w:sz w:val="22"/>
              </w:rPr>
              <w:t>92.0</w:t>
            </w:r>
          </w:p>
        </w:tc>
      </w:tr>
      <w:tr>
        <w:tc>
          <w:tcPr>
            <w:tcW w:type="dxa" w:w="1560"/>
          </w:tcPr>
          <w:p>
            <w:r/>
            <w:r>
              <w:rPr>
                <w:rFonts w:ascii="Times New Roman" w:hAnsi="Times New Roman" w:cs="Times New Roman" w:eastAsia="Times New Roman"/>
                <w:b w:val="0"/>
                <w:i w:val="0"/>
                <w:sz w:val="22"/>
              </w:rPr>
            </w:r>
          </w:p>
        </w:tc>
        <w:tc>
          <w:tcPr>
            <w:tcW w:type="dxa" w:w="1560"/>
          </w:tcPr>
          <w:p>
            <w:r/>
            <w:r>
              <w:rPr>
                <w:rFonts w:ascii="Times New Roman" w:hAnsi="Times New Roman" w:cs="Times New Roman" w:eastAsia="Times New Roman"/>
                <w:b w:val="0"/>
                <w:i w:val="0"/>
                <w:sz w:val="22"/>
              </w:rPr>
              <w:t>S1PC b</w:t>
            </w:r>
          </w:p>
        </w:tc>
        <w:tc>
          <w:tcPr>
            <w:tcW w:type="dxa" w:w="1560"/>
          </w:tcPr>
          <w:p>
            <w:r/>
            <w:r>
              <w:rPr>
                <w:rFonts w:ascii="Times New Roman" w:hAnsi="Times New Roman" w:cs="Times New Roman" w:eastAsia="Times New Roman"/>
                <w:b w:val="0"/>
                <w:i w:val="0"/>
                <w:sz w:val="22"/>
              </w:rPr>
              <w:t>2.0 ± 0.22</w:t>
            </w:r>
          </w:p>
        </w:tc>
        <w:tc>
          <w:tcPr>
            <w:tcW w:type="dxa" w:w="1560"/>
          </w:tcPr>
          <w:p>
            <w:r/>
            <w:r>
              <w:rPr>
                <w:rFonts w:ascii="Times New Roman" w:hAnsi="Times New Roman" w:cs="Times New Roman" w:eastAsia="Times New Roman"/>
                <w:b w:val="0"/>
                <w:i w:val="0"/>
                <w:sz w:val="22"/>
              </w:rPr>
              <w:t>5.6 ± 0.58</w:t>
            </w:r>
          </w:p>
        </w:tc>
        <w:tc>
          <w:tcPr>
            <w:tcW w:type="dxa" w:w="1560"/>
          </w:tcPr>
          <w:p>
            <w:r/>
            <w:r>
              <w:rPr>
                <w:rFonts w:ascii="Times New Roman" w:hAnsi="Times New Roman" w:cs="Times New Roman" w:eastAsia="Times New Roman"/>
                <w:b w:val="0"/>
                <w:i w:val="0"/>
                <w:sz w:val="22"/>
              </w:rPr>
              <w:t>19 ± 2.4</w:t>
            </w:r>
          </w:p>
        </w:tc>
        <w:tc>
          <w:tcPr>
            <w:tcW w:type="dxa" w:w="1560"/>
          </w:tcPr>
          <w:p>
            <w:r/>
            <w:r>
              <w:rPr>
                <w:rFonts w:ascii="Times New Roman" w:hAnsi="Times New Roman" w:cs="Times New Roman" w:eastAsia="Times New Roman"/>
                <w:b w:val="0"/>
                <w:i w:val="0"/>
                <w:sz w:val="22"/>
              </w:rPr>
              <w:t>100</w:t>
            </w:r>
          </w:p>
        </w:tc>
      </w:tr>
    </w:tbl>
    <w:p>
      <w:pPr>
        <w:spacing w:after="80"/>
        <w:jc w:val="both"/>
      </w:pPr>
    </w:p>
    <w:p>
      <w:pPr>
        <w:spacing w:after="80"/>
        <w:jc w:val="both"/>
      </w:pPr>
      <w:r>
        <w:rPr>
          <w:rFonts w:ascii="Times New Roman" w:hAnsi="Times New Roman" w:cs="Times New Roman" w:eastAsia="Times New Roman"/>
          <w:b w:val="0"/>
          <w:i/>
          <w:sz w:val="24"/>
        </w:rPr>
        <w:t>Figure 1: “Chemical structures of sulfur-containing compounds derived from garlic.</w:t>
        <w:br/>
        <w:t xml:space="preserve">   graphic: `molecules-22-00570-g001.jpg`”</w:t>
      </w:r>
    </w:p>
    <w:p>
      <w:pPr>
        <w:spacing w:after="80"/>
        <w:jc w:val="both"/>
      </w:pPr>
      <w:r>
        <w:rPr>
          <w:rFonts w:ascii="Times New Roman" w:hAnsi="Times New Roman" w:cs="Times New Roman" w:eastAsia="Times New Roman"/>
          <w:b w:val="0"/>
          <w:i/>
          <w:sz w:val="24"/>
        </w:rPr>
        <w:t>Figure 2: “Chromatogram of hydrophilic sulfur compounds in aged garlic extract by sulfur specific post-column HPLC analysis using hexaiodoplatinate reagent. Chromatogram was monitored at 500 nm absorbance. HPLC analysis was performed by post-column HPLC method using a NEXERA X2 system (Shimadzu, Kyoto, Japan) according to a previous report [ 19 ]. ( A ) Chromatogram of aged garlic extract; ( B ) Identified c”</w:t>
      </w:r>
    </w:p>
    <w:p>
      <w:pPr>
        <w:spacing w:after="80"/>
        <w:jc w:val="both"/>
      </w:pPr>
      <w:r>
        <w:rPr>
          <w:rFonts w:ascii="Times New Roman" w:hAnsi="Times New Roman" w:cs="Times New Roman" w:eastAsia="Times New Roman"/>
          <w:b w:val="0"/>
          <w:i/>
          <w:sz w:val="24"/>
        </w:rPr>
        <w:t>Figure 3: “Changes of sulfur-containing compounds in raw garlic and AGE. ( A ) Changes of trans -GS1PC content in raw garlic stored at −3 °C, 4 °C and 23 °C; ( B ) Changes of GSAC content in raw garlic stored at −3 °C, 4 °C and 23 °C; ( C ) Changes of trans -S1PC and cis -S1PC content in aged garlic extract during the aging period. Values are mean ± SD ( n = 3); ( D ) Putative production mechanism of cis -S1”</w:t>
      </w:r>
    </w:p>
    <w:p>
      <w:pPr>
        <w:spacing w:after="80"/>
        <w:jc w:val="both"/>
      </w:pPr>
      <w:r>
        <w:rPr>
          <w:rFonts w:ascii="Times New Roman" w:hAnsi="Times New Roman" w:cs="Times New Roman" w:eastAsia="Times New Roman"/>
          <w:b w:val="0"/>
          <w:i/>
          <w:sz w:val="24"/>
        </w:rPr>
        <w:t>Figure 4: “Immunomodulatory effect of S -1-propenyl- l -cysteine. ( A ) Effect of S1PC on IgA levels in intestinal lavage fluid. S1PC (30 mg/kg, once a day) or distilled water were orally administrated to C57BL/6N mice for 5 days ( n = 4–5). IgA level was measured using Mouse IgA ELISA Quantification set (Bethyl Laboratories, Inc. Montgomery, AL, USA), (** p &lt; 0.01); ( B ) Effect of S1PC on IgA–inducing cell”</w:t>
      </w:r>
    </w:p>
    <w:p>
      <w:pPr>
        <w:keepNext/>
        <w:spacing w:before="280" w:after="80"/>
        <w:outlineLvl w:val="1"/>
      </w:pPr>
      <w:r>
        <w:rPr>
          <w:rFonts w:ascii="Times New Roman" w:hAnsi="Times New Roman" w:cs="Times New Roman" w:eastAsia="Times New Roman"/>
          <w:b/>
          <w:i w:val="0"/>
          <w:color w:val="335588"/>
          <w:sz w:val="28"/>
        </w:rPr>
        <w:t>9.3  L-Cysteine-Glutathione Disulfide (CySSG) and Cysteinyl-Glutathione (CysGSH)</w:t>
      </w:r>
    </w:p>
    <w:p>
      <w:pPr>
        <w:spacing w:after="80"/>
        <w:jc w:val="both"/>
      </w:pPr>
      <w:r>
        <w:rPr>
          <w:rFonts w:ascii="Times New Roman" w:hAnsi="Times New Roman" w:cs="Times New Roman" w:eastAsia="Times New Roman"/>
          <w:b w:val="0"/>
          <w:i w:val="0"/>
          <w:sz w:val="24"/>
        </w:rPr>
        <w:t>PMC8776003 (IJMS 2022) documents these naturally occurring L-cysteine-glutathione adducts as ligands for the extracellular calcium-sensing receptor (CaSR). Verbatim abstract:</w:t>
      </w:r>
    </w:p>
    <w:p>
      <w:pPr>
        <w:spacing w:after="80"/>
        <w:jc w:val="both"/>
      </w:pPr>
      <w:r>
        <w:rPr>
          <w:rFonts w:ascii="Times New Roman" w:hAnsi="Times New Roman" w:cs="Times New Roman" w:eastAsia="Times New Roman"/>
          <w:b w:val="0"/>
          <w:i/>
          <w:sz w:val="24"/>
        </w:rPr>
        <w:t>“Extracellular glutathione (GSH) and oxidized glutathione (GSSG) can modulate the function of the extracellular calcium sensing receptor (CaSR). The CaSR has a binding pocket in the extracellular domain of CaSR large enough to bind either GSH or GSSG, as well as the naturally occurring oxidized derivative L-cysteine glutathione disulfide (CySSG) and the compound cysteinyl glutathione (CysGSH). Modeling the binding energies (ΔG) of CySSG and CysGSH to CaSR reveals that both cysteine derivatives may have greater affinities for CaSR than either GSH or GSSG. GSH, CySSG, and GSSG are found in circulation in mammals and, among the three, CySSG is more affected by HIV/AIDs and aging than either GSH or GSSG. The beta-carbon linkage of cysteine in CysGSH may model a new class of calcimimetics, exemplified by etelcalcetide. Circulating glutathionergic compounds, particularly CySSG, may mediate calcium-regulatory responses via receptor-binding to CaSR in a variety of organs, including parathyroids, kidneys, and bones. Receptor-mediated actions of glutathionergics may thus complement their roles in redox regulation and detoxification. The glutathionergic binding site(s) on CaSR are suggested to be a target for development of drugs that can be used in treating kidney and other diseases whose mechanisms involve CaSR dysregulation.”</w:t>
      </w:r>
    </w:p>
    <w:p>
      <w:pPr>
        <w:spacing w:after="80"/>
        <w:jc w:val="both"/>
      </w:pPr>
      <w:r>
        <w:rPr>
          <w:rFonts w:ascii="Times New Roman" w:hAnsi="Times New Roman" w:cs="Times New Roman" w:eastAsia="Times New Roman"/>
          <w:b w:val="0"/>
          <w:i/>
          <w:sz w:val="24"/>
        </w:rPr>
        <w:t>Figure 1: “Structures of glutathione (GSH), L-cysteine-glutathione disulfide (CySSG), glutathione disulfide (oxidized glutathione, GSSG), and cysteinyl glutathione (CysGSH). Models were drawn by Jmol, through an interface on Wikipedia (GSSG) or at http://biomodel.uah.es/en/DIY/JSME/draw.en.htm (GSH, CySSG, and CysGSH; accessed 10 and 11 August 2021), based on CID structures 124886 for GSH, 10455148 for CySSG”</w:t>
      </w:r>
    </w:p>
    <w:p>
      <w:pPr>
        <w:spacing w:after="80"/>
        <w:jc w:val="both"/>
      </w:pPr>
      <w:r>
        <w:rPr>
          <w:rFonts w:ascii="Times New Roman" w:hAnsi="Times New Roman" w:cs="Times New Roman" w:eastAsia="Times New Roman"/>
          <w:b w:val="0"/>
          <w:i/>
          <w:sz w:val="24"/>
        </w:rPr>
        <w:t>Figure 2: “Plasma GSH, GSSG, and CySSG in 10 healthy (HIV-negative) people, 30 HIV-positive, and 23 AIDS patients. ( Left ) Derived from Figure 1 and the text of Walmsley et al. [ 15 ]. ( Right ) the same data plotted as per cent of average healthy controls. * p &lt; 0.05 compared to controls.</w:t>
        <w:br/>
        <w:t xml:space="preserve">   graphic: `ijms-23-00717-g002.jpg`”</w:t>
      </w:r>
    </w:p>
    <w:p>
      <w:pPr>
        <w:spacing w:after="80"/>
        <w:jc w:val="both"/>
      </w:pPr>
      <w:r>
        <w:rPr>
          <w:rFonts w:ascii="Times New Roman" w:hAnsi="Times New Roman" w:cs="Times New Roman" w:eastAsia="Times New Roman"/>
          <w:b w:val="0"/>
          <w:i/>
          <w:sz w:val="24"/>
        </w:rPr>
        <w:t>Figure 3: “Binding pocket from Wang et al. [ 1 ], showing that it can accommodate either ( A ) GSH or ( B ) GSSG.</w:t>
        <w:br/>
        <w:t xml:space="preserve">   graphic: `ijms-23-00717-g003.jpg`”</w:t>
      </w:r>
    </w:p>
    <w:p>
      <w:pPr>
        <w:spacing w:after="80"/>
        <w:jc w:val="both"/>
      </w:pPr>
      <w:r>
        <w:rPr>
          <w:rFonts w:ascii="Times New Roman" w:hAnsi="Times New Roman" w:cs="Times New Roman" w:eastAsia="Times New Roman"/>
          <w:b w:val="0"/>
          <w:i/>
          <w:sz w:val="24"/>
        </w:rPr>
        <w:t>Figure 4: “Potential docking sites of glutathionergics to the ECD of CaSR determined with the SwissDock docking simulator [ 56 ], and visualized via UCSF Chimera [ 57 ] visualization software. Images show Chain B of the CaSR ECD structure with ligands ( A ) and ( B ) CySSG, ( D ) GSH, ( E ) GSSG, and ( F ) CysGSH, docked in the binding site corresponding to where tryptophan and ( C ) a tryptophan derivative ”</w:t>
      </w:r>
    </w:p>
    <w:p>
      <w:pPr>
        <w:spacing w:before="120" w:after="80"/>
        <w:jc w:val="both"/>
      </w:pPr>
      <w:r>
        <w:rPr>
          <w:rFonts w:ascii="Times New Roman" w:hAnsi="Times New Roman" w:cs="Times New Roman" w:eastAsia="Times New Roman"/>
          <w:b w:val="0"/>
          <w:i/>
          <w:sz w:val="22"/>
        </w:rPr>
        <w:t>Extracted figure bitmaps from PMC8776003 (CaSR cysteinyl-glutathione ligand structures):</w:t>
      </w:r>
    </w:p>
    <w:p>
      <w:pPr>
        <w:jc w:val="center"/>
      </w:pPr>
      <w:r>
        <w:drawing>
          <wp:inline xmlns:a="http://schemas.openxmlformats.org/drawingml/2006/main" xmlns:pic="http://schemas.openxmlformats.org/drawingml/2006/picture">
            <wp:extent cx="5029200" cy="2282000"/>
            <wp:docPr id="78" name="Picture 78"/>
            <wp:cNvGraphicFramePr>
              <a:graphicFrameLocks noChangeAspect="1"/>
            </wp:cNvGraphicFramePr>
            <a:graphic>
              <a:graphicData uri="http://schemas.openxmlformats.org/drawingml/2006/picture">
                <pic:pic>
                  <pic:nvPicPr>
                    <pic:cNvPr id="0" name="p06_i1.jpg"/>
                    <pic:cNvPicPr/>
                  </pic:nvPicPr>
                  <pic:blipFill>
                    <a:blip r:embed="rId46"/>
                    <a:stretch>
                      <a:fillRect/>
                    </a:stretch>
                  </pic:blipFill>
                  <pic:spPr>
                    <a:xfrm>
                      <a:off x="0" y="0"/>
                      <a:ext cx="5029200" cy="2282000"/>
                    </a:xfrm>
                    <a:prstGeom prst="rect"/>
                  </pic:spPr>
                </pic:pic>
              </a:graphicData>
            </a:graphic>
          </wp:inline>
        </w:drawing>
      </w:r>
    </w:p>
    <w:p>
      <w:pPr>
        <w:spacing w:after="160"/>
        <w:jc w:val="center"/>
      </w:pPr>
      <w:r>
        <w:rPr>
          <w:rFonts w:ascii="Times New Roman" w:hAnsi="Times New Roman" w:cs="Times New Roman" w:eastAsia="Times New Roman"/>
          <w:b w:val="0"/>
          <w:i/>
          <w:sz w:val="20"/>
        </w:rPr>
        <w:t>Figure 1 (from PMC8776003): “Structures of glutathione (GSH), L-cysteine-glutathione disulfide (CySSG), glutathione disulfide (oxidized glutathione, GSSG), and cysteinyl glutathione (CysGSH). Models were drawn by Jmol, through an interface on Wikipedia (GSSG) or at http://biomodel.uah.es/en/DIY/JSME/draw.en.htm (GSH, CySSG, and CysGSH; accessed 10 and 11 August 2021), based on CID structures 124886 for GSH”</w:t>
      </w:r>
    </w:p>
    <w:p>
      <w:pPr>
        <w:jc w:val="center"/>
      </w:pPr>
      <w:r>
        <w:drawing>
          <wp:inline xmlns:a="http://schemas.openxmlformats.org/drawingml/2006/main" xmlns:pic="http://schemas.openxmlformats.org/drawingml/2006/picture">
            <wp:extent cx="5029200" cy="3585047"/>
            <wp:docPr id="79" name="Picture 79"/>
            <wp:cNvGraphicFramePr>
              <a:graphicFrameLocks noChangeAspect="1"/>
            </wp:cNvGraphicFramePr>
            <a:graphic>
              <a:graphicData uri="http://schemas.openxmlformats.org/drawingml/2006/picture">
                <pic:pic>
                  <pic:nvPicPr>
                    <pic:cNvPr id="0" name="p03_i1.jpg"/>
                    <pic:cNvPicPr/>
                  </pic:nvPicPr>
                  <pic:blipFill>
                    <a:blip r:embed="rId47"/>
                    <a:stretch>
                      <a:fillRect/>
                    </a:stretch>
                  </pic:blipFill>
                  <pic:spPr>
                    <a:xfrm>
                      <a:off x="0" y="0"/>
                      <a:ext cx="5029200" cy="3585047"/>
                    </a:xfrm>
                    <a:prstGeom prst="rect"/>
                  </pic:spPr>
                </pic:pic>
              </a:graphicData>
            </a:graphic>
          </wp:inline>
        </w:drawing>
      </w:r>
    </w:p>
    <w:p>
      <w:pPr>
        <w:spacing w:after="160"/>
        <w:jc w:val="center"/>
      </w:pPr>
      <w:r>
        <w:rPr>
          <w:rFonts w:ascii="Times New Roman" w:hAnsi="Times New Roman" w:cs="Times New Roman" w:eastAsia="Times New Roman"/>
          <w:b w:val="0"/>
          <w:i/>
          <w:sz w:val="20"/>
        </w:rPr>
        <w:t>Figure 2 (from PMC8776003): “Plasma GSH, GSSG, and CySSG in 10 healthy (HIV-negative) people, 30 HIV-positive, and 23 AIDS patients. ( Left ) Derived from Figure 1 and the text of Walmsley et al. [ 15 ]. ( Right ) the same data plotted as per cent of average healthy controls. * p &lt; 0.05 compared to controls.</w:t>
        <w:br/>
        <w:t xml:space="preserve">   graphic: `ijms-23-00717-g002.jpg`”</w:t>
      </w:r>
    </w:p>
    <w:p>
      <w:pPr>
        <w:jc w:val="center"/>
      </w:pPr>
      <w:r>
        <w:drawing>
          <wp:inline xmlns:a="http://schemas.openxmlformats.org/drawingml/2006/main" xmlns:pic="http://schemas.openxmlformats.org/drawingml/2006/picture">
            <wp:extent cx="5029200" cy="1134713"/>
            <wp:docPr id="80" name="Picture 80"/>
            <wp:cNvGraphicFramePr>
              <a:graphicFrameLocks noChangeAspect="1"/>
            </wp:cNvGraphicFramePr>
            <a:graphic>
              <a:graphicData uri="http://schemas.openxmlformats.org/drawingml/2006/picture">
                <pic:pic>
                  <pic:nvPicPr>
                    <pic:cNvPr id="0" name="p06_i2.jpg"/>
                    <pic:cNvPicPr/>
                  </pic:nvPicPr>
                  <pic:blipFill>
                    <a:blip r:embed="rId48"/>
                    <a:stretch>
                      <a:fillRect/>
                    </a:stretch>
                  </pic:blipFill>
                  <pic:spPr>
                    <a:xfrm>
                      <a:off x="0" y="0"/>
                      <a:ext cx="5029200" cy="1134713"/>
                    </a:xfrm>
                    <a:prstGeom prst="rect"/>
                  </pic:spPr>
                </pic:pic>
              </a:graphicData>
            </a:graphic>
          </wp:inline>
        </w:drawing>
      </w:r>
    </w:p>
    <w:p>
      <w:pPr>
        <w:spacing w:after="160"/>
        <w:jc w:val="center"/>
      </w:pPr>
      <w:r>
        <w:rPr>
          <w:rFonts w:ascii="Times New Roman" w:hAnsi="Times New Roman" w:cs="Times New Roman" w:eastAsia="Times New Roman"/>
          <w:b w:val="0"/>
          <w:i/>
          <w:sz w:val="20"/>
        </w:rPr>
        <w:t>Figure 3 (from PMC8776003): “Binding pocket from Wang et al. [ 1 ], showing that it can accommodate either ( A ) GSH or ( B ) GSSG.</w:t>
        <w:br/>
        <w:t xml:space="preserve">   graphic: `ijms-23-00717-g003.jpg`”</w:t>
      </w:r>
    </w:p>
    <w:p>
      <w:pPr>
        <w:jc w:val="center"/>
      </w:pPr>
      <w:r>
        <w:drawing>
          <wp:inline xmlns:a="http://schemas.openxmlformats.org/drawingml/2006/main" xmlns:pic="http://schemas.openxmlformats.org/drawingml/2006/picture">
            <wp:extent cx="5029200" cy="7784603"/>
            <wp:docPr id="81" name="Picture 81"/>
            <wp:cNvGraphicFramePr>
              <a:graphicFrameLocks noChangeAspect="1"/>
            </wp:cNvGraphicFramePr>
            <a:graphic>
              <a:graphicData uri="http://schemas.openxmlformats.org/drawingml/2006/picture">
                <pic:pic>
                  <pic:nvPicPr>
                    <pic:cNvPr id="0" name="p05_i1.jpg"/>
                    <pic:cNvPicPr/>
                  </pic:nvPicPr>
                  <pic:blipFill>
                    <a:blip r:embed="rId49"/>
                    <a:stretch>
                      <a:fillRect/>
                    </a:stretch>
                  </pic:blipFill>
                  <pic:spPr>
                    <a:xfrm>
                      <a:off x="0" y="0"/>
                      <a:ext cx="5029200" cy="7784603"/>
                    </a:xfrm>
                    <a:prstGeom prst="rect"/>
                  </pic:spPr>
                </pic:pic>
              </a:graphicData>
            </a:graphic>
          </wp:inline>
        </w:drawing>
      </w:r>
    </w:p>
    <w:p>
      <w:pPr>
        <w:spacing w:after="160"/>
        <w:jc w:val="center"/>
      </w:pPr>
      <w:r>
        <w:rPr>
          <w:rFonts w:ascii="Times New Roman" w:hAnsi="Times New Roman" w:cs="Times New Roman" w:eastAsia="Times New Roman"/>
          <w:b w:val="0"/>
          <w:i/>
          <w:sz w:val="20"/>
        </w:rPr>
        <w:t>Figure 4 (from PMC8776003): “Potential docking sites of glutathionergics to the ECD of CaSR determined with the SwissDock docking simulator [ 56 ], and visualized via UCSF Chimera [ 57 ] visualization software. Images show Chain B of the CaSR ECD structure with ligands ( A ) and ( B ) CySSG, ( D ) GSH, ( E ) GSSG, and ( F ) CysGSH, docked in the binding site corresponding to where tryptophan and ( C ) a tr”</w:t>
      </w:r>
    </w:p>
    <w:p>
      <w:pPr>
        <w:jc w:val="center"/>
      </w:pPr>
      <w:r>
        <w:drawing>
          <wp:inline xmlns:a="http://schemas.openxmlformats.org/drawingml/2006/main" xmlns:pic="http://schemas.openxmlformats.org/drawingml/2006/picture">
            <wp:extent cx="5029200" cy="1893088"/>
            <wp:docPr id="82" name="Picture 82"/>
            <wp:cNvGraphicFramePr>
              <a:graphicFrameLocks noChangeAspect="1"/>
            </wp:cNvGraphicFramePr>
            <a:graphic>
              <a:graphicData uri="http://schemas.openxmlformats.org/drawingml/2006/picture">
                <pic:pic>
                  <pic:nvPicPr>
                    <pic:cNvPr id="0" name="p02_i1.jpg"/>
                    <pic:cNvPicPr/>
                  </pic:nvPicPr>
                  <pic:blipFill>
                    <a:blip r:embed="rId50"/>
                    <a:stretch>
                      <a:fillRect/>
                    </a:stretch>
                  </pic:blipFill>
                  <pic:spPr>
                    <a:xfrm>
                      <a:off x="0" y="0"/>
                      <a:ext cx="5029200" cy="1893088"/>
                    </a:xfrm>
                    <a:prstGeom prst="rect"/>
                  </pic:spPr>
                </pic:pic>
              </a:graphicData>
            </a:graphic>
          </wp:inline>
        </w:drawing>
      </w:r>
    </w:p>
    <w:p>
      <w:pPr>
        <w:spacing w:after="160"/>
        <w:jc w:val="center"/>
      </w:pPr>
      <w:r>
        <w:rPr>
          <w:rFonts w:ascii="Times New Roman" w:hAnsi="Times New Roman" w:cs="Times New Roman" w:eastAsia="Times New Roman"/>
          <w:b w:val="0"/>
          <w:i/>
          <w:sz w:val="20"/>
        </w:rPr>
        <w:t>Figure panel from PMC8776003 (source bitmap p02_i1.jpg, 1145×431 px).</w:t>
      </w:r>
    </w:p>
    <w:p>
      <w:pPr>
        <w:keepNext/>
        <w:pageBreakBefore/>
        <w:spacing w:before="480" w:after="160"/>
        <w:outlineLvl w:val="0"/>
      </w:pPr>
      <w:r>
        <w:rPr>
          <w:rFonts w:ascii="Times New Roman" w:hAnsi="Times New Roman" w:cs="Times New Roman" w:eastAsia="Times New Roman"/>
          <w:b/>
          <w:i w:val="0"/>
          <w:color w:val="1F3D7A"/>
          <w:sz w:val="36"/>
        </w:rPr>
        <w:t>8c.  Health Effects — Safety Profile from the Peer-Reviewed Corpus</w:t>
      </w:r>
    </w:p>
    <w:p>
      <w:pPr>
        <w:spacing w:after="80"/>
        <w:jc w:val="both"/>
      </w:pPr>
      <w:r>
        <w:rPr>
          <w:rFonts w:ascii="Times New Roman" w:hAnsi="Times New Roman" w:cs="Times New Roman" w:eastAsia="Times New Roman"/>
          <w:b w:val="0"/>
          <w:i w:val="0"/>
          <w:sz w:val="24"/>
        </w:rPr>
        <w:t>This chapter reports all adverse-event and tolerability data extracted by the tox-scraper pipeline from the twelve full-text PMC papers. Human clinical data predominate because NAC is a long-established clinical medicine.</w:t>
      </w:r>
    </w:p>
    <w:p>
      <w:pPr>
        <w:keepNext/>
        <w:spacing w:before="280" w:after="80"/>
        <w:outlineLvl w:val="1"/>
      </w:pPr>
      <w:r>
        <w:rPr>
          <w:rFonts w:ascii="Times New Roman" w:hAnsi="Times New Roman" w:cs="Times New Roman" w:eastAsia="Times New Roman"/>
          <w:b/>
          <w:i w:val="0"/>
          <w:color w:val="335588"/>
          <w:sz w:val="28"/>
        </w:rPr>
        <w:t>10.1  Reported adverse events — NAC (PMC10604897 Table 1 extract)</w:t>
      </w:r>
    </w:p>
    <w:p>
      <w:pPr>
        <w:spacing w:after="80"/>
        <w:jc w:val="both"/>
      </w:pPr>
      <w:r>
        <w:rPr>
          <w:rFonts w:ascii="Times New Roman" w:hAnsi="Times New Roman" w:cs="Times New Roman" w:eastAsia="Times New Roman"/>
          <w:b w:val="0"/>
          <w:i w:val="0"/>
          <w:sz w:val="24"/>
        </w:rPr>
        <w:t>PMC10604897 Table 1 catalogues N-acetylcysteine adverse events from the reviewed clinical studies. The structured table rows are reproduced verbatim:</w:t>
      </w:r>
    </w:p>
    <w:p>
      <w:pPr>
        <w:keepNext/>
        <w:spacing w:before="160" w:after="40"/>
        <w:jc w:val="left"/>
      </w:pPr>
      <w:r>
        <w:rPr>
          <w:rFonts w:ascii="Times New Roman" w:hAnsi="Times New Roman" w:cs="Times New Roman" w:eastAsia="Times New Roman"/>
          <w:b/>
          <w:i w:val="0"/>
          <w:sz w:val="22"/>
        </w:rPr>
        <w:t>Reproduced from PMC10604897 — Table 1 — N-acetylcysteine adverse events.</w:t>
      </w:r>
    </w:p>
    <w:tbl>
      <w:tblPr>
        <w:tblStyle w:val="TableGrid"/>
        <w:tblW w:type="auto" w:w="0"/>
        <w:tblLayout w:type="fixed"/>
        <w:tblLook w:firstColumn="1" w:firstRow="1" w:lastColumn="0" w:lastRow="0" w:noHBand="0" w:noVBand="1" w:val="04A0"/>
      </w:tblPr>
      <w:tblGrid>
        <w:gridCol w:w="1872"/>
        <w:gridCol w:w="1872"/>
        <w:gridCol w:w="1872"/>
        <w:gridCol w:w="1872"/>
        <w:gridCol w:w="1872"/>
      </w:tblGrid>
      <w:tr>
        <w:tc>
          <w:tcPr>
            <w:tcW w:type="dxa" w:w="1872"/>
            <w:shd w:fill="DDE4EF"/>
          </w:tcPr>
          <w:p>
            <w:r/>
            <w:r>
              <w:rPr>
                <w:rFonts w:ascii="Times New Roman" w:hAnsi="Times New Roman" w:cs="Times New Roman" w:eastAsia="Times New Roman"/>
                <w:b/>
                <w:i w:val="0"/>
                <w:sz w:val="22"/>
              </w:rPr>
              <w:t>Study</w:t>
            </w:r>
          </w:p>
        </w:tc>
        <w:tc>
          <w:tcPr>
            <w:tcW w:type="dxa" w:w="1872"/>
            <w:shd w:fill="DDE4EF"/>
          </w:tcPr>
          <w:p>
            <w:r/>
            <w:r>
              <w:rPr>
                <w:rFonts w:ascii="Times New Roman" w:hAnsi="Times New Roman" w:cs="Times New Roman" w:eastAsia="Times New Roman"/>
                <w:b/>
                <w:i w:val="0"/>
                <w:sz w:val="22"/>
              </w:rPr>
              <w:t>Study Type</w:t>
            </w:r>
          </w:p>
        </w:tc>
        <w:tc>
          <w:tcPr>
            <w:tcW w:type="dxa" w:w="1872"/>
            <w:shd w:fill="DDE4EF"/>
          </w:tcPr>
          <w:p>
            <w:r/>
            <w:r>
              <w:rPr>
                <w:rFonts w:ascii="Times New Roman" w:hAnsi="Times New Roman" w:cs="Times New Roman" w:eastAsia="Times New Roman"/>
                <w:b/>
                <w:i w:val="0"/>
                <w:sz w:val="22"/>
              </w:rPr>
              <w:t>Study Size</w:t>
            </w:r>
          </w:p>
        </w:tc>
        <w:tc>
          <w:tcPr>
            <w:tcW w:type="dxa" w:w="1872"/>
            <w:shd w:fill="DDE4EF"/>
          </w:tcPr>
          <w:p>
            <w:r/>
            <w:r>
              <w:rPr>
                <w:rFonts w:ascii="Times New Roman" w:hAnsi="Times New Roman" w:cs="Times New Roman" w:eastAsia="Times New Roman"/>
                <w:b/>
                <w:i w:val="0"/>
                <w:sz w:val="22"/>
              </w:rPr>
              <w:t>NAC Treatment</w:t>
            </w:r>
          </w:p>
        </w:tc>
        <w:tc>
          <w:tcPr>
            <w:tcW w:type="dxa" w:w="1872"/>
            <w:shd w:fill="DDE4EF"/>
          </w:tcPr>
          <w:p>
            <w:r/>
            <w:r>
              <w:rPr>
                <w:rFonts w:ascii="Times New Roman" w:hAnsi="Times New Roman" w:cs="Times New Roman" w:eastAsia="Times New Roman"/>
                <w:b/>
                <w:i w:val="0"/>
                <w:sz w:val="22"/>
              </w:rPr>
              <w:t>Type and Incidence of Adverse Events following NAC Treatment</w:t>
            </w:r>
          </w:p>
        </w:tc>
      </w:tr>
      <w:tr>
        <w:tc>
          <w:tcPr>
            <w:tcW w:type="dxa" w:w="1872"/>
          </w:tcPr>
          <w:p>
            <w:r/>
            <w:r>
              <w:rPr>
                <w:rFonts w:ascii="Times New Roman" w:hAnsi="Times New Roman" w:cs="Times New Roman" w:eastAsia="Times New Roman"/>
                <w:b w:val="0"/>
                <w:i w:val="0"/>
                <w:sz w:val="22"/>
              </w:rPr>
            </w:r>
          </w:p>
        </w:tc>
        <w:tc>
          <w:tcPr>
            <w:tcW w:type="dxa" w:w="1872"/>
          </w:tcPr>
          <w:p>
            <w:r/>
            <w:r>
              <w:rPr>
                <w:rFonts w:ascii="Times New Roman" w:hAnsi="Times New Roman" w:cs="Times New Roman" w:eastAsia="Times New Roman"/>
                <w:b w:val="0"/>
                <w:i w:val="0"/>
                <w:sz w:val="22"/>
              </w:rPr>
              <w:t>Moderate</w:t>
            </w:r>
          </w:p>
        </w:tc>
        <w:tc>
          <w:tcPr>
            <w:tcW w:type="dxa" w:w="1872"/>
          </w:tcPr>
          <w:p>
            <w:r/>
            <w:r>
              <w:rPr>
                <w:rFonts w:ascii="Times New Roman" w:hAnsi="Times New Roman" w:cs="Times New Roman" w:eastAsia="Times New Roman"/>
                <w:b w:val="0"/>
                <w:i w:val="0"/>
                <w:sz w:val="22"/>
              </w:rPr>
              <w:t>Severe</w:t>
            </w:r>
          </w:p>
        </w:tc>
        <w:tc>
          <w:tcPr>
            <w:tcW w:type="dxa" w:w="1872"/>
          </w:tcPr>
          <w:p>
            <w:r/>
            <w:r>
              <w:rPr>
                <w:rFonts w:ascii="Times New Roman" w:hAnsi="Times New Roman" w:cs="Times New Roman" w:eastAsia="Times New Roman"/>
                <w:b w:val="0"/>
                <w:i w:val="0"/>
                <w:sz w:val="22"/>
              </w:rPr>
            </w:r>
          </w:p>
        </w:tc>
        <w:tc>
          <w:tcPr>
            <w:tcW w:type="dxa" w:w="1872"/>
          </w:tcPr>
          <w:p>
            <w:r/>
            <w:r>
              <w:rPr>
                <w:rFonts w:ascii="Times New Roman" w:hAnsi="Times New Roman" w:cs="Times New Roman" w:eastAsia="Times New Roman"/>
                <w:b w:val="0"/>
                <w:i w:val="0"/>
                <w:sz w:val="22"/>
              </w:rPr>
            </w:r>
          </w:p>
        </w:tc>
      </w:tr>
      <w:tr>
        <w:tc>
          <w:tcPr>
            <w:tcW w:type="dxa" w:w="1872"/>
          </w:tcPr>
          <w:p>
            <w:r/>
            <w:r>
              <w:rPr>
                <w:rFonts w:ascii="Times New Roman" w:hAnsi="Times New Roman" w:cs="Times New Roman" w:eastAsia="Times New Roman"/>
                <w:b w:val="0"/>
                <w:i w:val="0"/>
                <w:sz w:val="22"/>
              </w:rPr>
              <w:t>[ 38 ]</w:t>
            </w:r>
          </w:p>
        </w:tc>
        <w:tc>
          <w:tcPr>
            <w:tcW w:type="dxa" w:w="1872"/>
          </w:tcPr>
          <w:p>
            <w:r/>
            <w:r>
              <w:rPr>
                <w:rFonts w:ascii="Times New Roman" w:hAnsi="Times New Roman" w:cs="Times New Roman" w:eastAsia="Times New Roman"/>
                <w:b w:val="0"/>
                <w:i w:val="0"/>
                <w:sz w:val="22"/>
              </w:rPr>
              <w:t>Double-blinded, placebo-controlled, crossover design</w:t>
            </w:r>
          </w:p>
        </w:tc>
        <w:tc>
          <w:tcPr>
            <w:tcW w:type="dxa" w:w="1872"/>
          </w:tcPr>
          <w:p>
            <w:r/>
            <w:r>
              <w:rPr>
                <w:rFonts w:ascii="Times New Roman" w:hAnsi="Times New Roman" w:cs="Times New Roman" w:eastAsia="Times New Roman"/>
                <w:b w:val="0"/>
                <w:i w:val="0"/>
                <w:sz w:val="22"/>
              </w:rPr>
              <w:t>17 healthy individuals (age 30 ± 2 years)</w:t>
            </w:r>
          </w:p>
        </w:tc>
        <w:tc>
          <w:tcPr>
            <w:tcW w:type="dxa" w:w="1872"/>
          </w:tcPr>
          <w:p>
            <w:r/>
            <w:r>
              <w:rPr>
                <w:rFonts w:ascii="Times New Roman" w:hAnsi="Times New Roman" w:cs="Times New Roman" w:eastAsia="Times New Roman"/>
                <w:b w:val="0"/>
                <w:i w:val="0"/>
                <w:sz w:val="22"/>
              </w:rPr>
              <w:t>9 mg/kg NAC capsule</w:t>
            </w:r>
          </w:p>
        </w:tc>
        <w:tc>
          <w:tcPr>
            <w:tcW w:type="dxa" w:w="1872"/>
          </w:tcPr>
          <w:p>
            <w:r/>
            <w:r>
              <w:rPr>
                <w:rFonts w:ascii="Times New Roman" w:hAnsi="Times New Roman" w:cs="Times New Roman" w:eastAsia="Times New Roman"/>
                <w:b w:val="0"/>
                <w:i w:val="0"/>
                <w:sz w:val="22"/>
              </w:rPr>
              <w:t>Upset stomach (2), nausea (1), stomach/intestinal gas (1), cough (1)</w:t>
            </w:r>
          </w:p>
        </w:tc>
      </w:tr>
      <w:tr>
        <w:tc>
          <w:tcPr>
            <w:tcW w:type="dxa" w:w="1872"/>
          </w:tcPr>
          <w:p>
            <w:r/>
            <w:r>
              <w:rPr>
                <w:rFonts w:ascii="Times New Roman" w:hAnsi="Times New Roman" w:cs="Times New Roman" w:eastAsia="Times New Roman"/>
                <w:b w:val="0"/>
                <w:i w:val="0"/>
                <w:sz w:val="22"/>
              </w:rPr>
              <w:t>18 mg/kg NAC capsule</w:t>
            </w:r>
          </w:p>
        </w:tc>
        <w:tc>
          <w:tcPr>
            <w:tcW w:type="dxa" w:w="1872"/>
          </w:tcPr>
          <w:p>
            <w:r/>
            <w:r>
              <w:rPr>
                <w:rFonts w:ascii="Times New Roman" w:hAnsi="Times New Roman" w:cs="Times New Roman" w:eastAsia="Times New Roman"/>
                <w:b w:val="0"/>
                <w:i w:val="0"/>
                <w:sz w:val="22"/>
              </w:rPr>
              <w:t>Upset stomach (1), nausea (1), stomach/intestinal gas (2), sleepiness (2), metallic taste (1)</w:t>
            </w:r>
          </w:p>
        </w:tc>
        <w:tc>
          <w:tcPr>
            <w:tcW w:type="dxa" w:w="1872"/>
          </w:tcPr>
          <w:p>
            <w:r/>
            <w:r>
              <w:rPr>
                <w:rFonts w:ascii="Times New Roman" w:hAnsi="Times New Roman" w:cs="Times New Roman" w:eastAsia="Times New Roman"/>
                <w:b w:val="0"/>
                <w:i w:val="0"/>
                <w:sz w:val="22"/>
              </w:rPr>
            </w:r>
          </w:p>
        </w:tc>
        <w:tc>
          <w:tcPr>
            <w:tcW w:type="dxa" w:w="1872"/>
          </w:tcPr>
          <w:p>
            <w:r/>
            <w:r>
              <w:rPr>
                <w:rFonts w:ascii="Times New Roman" w:hAnsi="Times New Roman" w:cs="Times New Roman" w:eastAsia="Times New Roman"/>
                <w:b w:val="0"/>
                <w:i w:val="0"/>
                <w:sz w:val="22"/>
              </w:rPr>
            </w:r>
          </w:p>
        </w:tc>
        <w:tc>
          <w:tcPr>
            <w:tcW w:type="dxa" w:w="1872"/>
          </w:tcPr>
          <w:p>
            <w:r/>
            <w:r>
              <w:rPr>
                <w:rFonts w:ascii="Times New Roman" w:hAnsi="Times New Roman" w:cs="Times New Roman" w:eastAsia="Times New Roman"/>
                <w:b w:val="0"/>
                <w:i w:val="0"/>
                <w:sz w:val="22"/>
              </w:rPr>
            </w:r>
          </w:p>
        </w:tc>
      </w:tr>
      <w:tr>
        <w:tc>
          <w:tcPr>
            <w:tcW w:type="dxa" w:w="1872"/>
          </w:tcPr>
          <w:p>
            <w:r/>
            <w:r>
              <w:rPr>
                <w:rFonts w:ascii="Times New Roman" w:hAnsi="Times New Roman" w:cs="Times New Roman" w:eastAsia="Times New Roman"/>
                <w:b w:val="0"/>
                <w:i w:val="0"/>
                <w:sz w:val="22"/>
              </w:rPr>
              <w:t>35 mg/kg oral NAC solution</w:t>
            </w:r>
          </w:p>
        </w:tc>
        <w:tc>
          <w:tcPr>
            <w:tcW w:type="dxa" w:w="1872"/>
          </w:tcPr>
          <w:p>
            <w:r/>
            <w:r>
              <w:rPr>
                <w:rFonts w:ascii="Times New Roman" w:hAnsi="Times New Roman" w:cs="Times New Roman" w:eastAsia="Times New Roman"/>
                <w:b w:val="0"/>
                <w:i w:val="0"/>
                <w:sz w:val="22"/>
              </w:rPr>
              <w:t>Upset stomach (2), stomach/intestinal gas (2), sleepiness (1), metallic taste (1)</w:t>
            </w:r>
          </w:p>
        </w:tc>
        <w:tc>
          <w:tcPr>
            <w:tcW w:type="dxa" w:w="1872"/>
          </w:tcPr>
          <w:p>
            <w:r/>
            <w:r>
              <w:rPr>
                <w:rFonts w:ascii="Times New Roman" w:hAnsi="Times New Roman" w:cs="Times New Roman" w:eastAsia="Times New Roman"/>
                <w:b w:val="0"/>
                <w:i w:val="0"/>
                <w:sz w:val="22"/>
              </w:rPr>
            </w:r>
          </w:p>
        </w:tc>
        <w:tc>
          <w:tcPr>
            <w:tcW w:type="dxa" w:w="1872"/>
          </w:tcPr>
          <w:p>
            <w:r/>
            <w:r>
              <w:rPr>
                <w:rFonts w:ascii="Times New Roman" w:hAnsi="Times New Roman" w:cs="Times New Roman" w:eastAsia="Times New Roman"/>
                <w:b w:val="0"/>
                <w:i w:val="0"/>
                <w:sz w:val="22"/>
              </w:rPr>
            </w:r>
          </w:p>
        </w:tc>
        <w:tc>
          <w:tcPr>
            <w:tcW w:type="dxa" w:w="1872"/>
          </w:tcPr>
          <w:p>
            <w:r/>
            <w:r>
              <w:rPr>
                <w:rFonts w:ascii="Times New Roman" w:hAnsi="Times New Roman" w:cs="Times New Roman" w:eastAsia="Times New Roman"/>
                <w:b w:val="0"/>
                <w:i w:val="0"/>
                <w:sz w:val="22"/>
              </w:rPr>
            </w:r>
          </w:p>
        </w:tc>
      </w:tr>
      <w:tr>
        <w:tc>
          <w:tcPr>
            <w:tcW w:type="dxa" w:w="1872"/>
          </w:tcPr>
          <w:p>
            <w:r/>
            <w:r>
              <w:rPr>
                <w:rFonts w:ascii="Times New Roman" w:hAnsi="Times New Roman" w:cs="Times New Roman" w:eastAsia="Times New Roman"/>
                <w:b w:val="0"/>
                <w:i w:val="0"/>
                <w:sz w:val="22"/>
              </w:rPr>
              <w:t>70 mg/kg oral NAC solution</w:t>
            </w:r>
          </w:p>
        </w:tc>
        <w:tc>
          <w:tcPr>
            <w:tcW w:type="dxa" w:w="1872"/>
          </w:tcPr>
          <w:p>
            <w:r/>
            <w:r>
              <w:rPr>
                <w:rFonts w:ascii="Times New Roman" w:hAnsi="Times New Roman" w:cs="Times New Roman" w:eastAsia="Times New Roman"/>
                <w:b w:val="0"/>
                <w:i w:val="0"/>
                <w:sz w:val="22"/>
              </w:rPr>
              <w:t>Upset stomach (2), stomach/intestinal gas (1), sleepiness (3), metallic taste (3), light-headedness (1), cough (1)</w:t>
            </w:r>
          </w:p>
        </w:tc>
        <w:tc>
          <w:tcPr>
            <w:tcW w:type="dxa" w:w="1872"/>
          </w:tcPr>
          <w:p>
            <w:r/>
            <w:r>
              <w:rPr>
                <w:rFonts w:ascii="Times New Roman" w:hAnsi="Times New Roman" w:cs="Times New Roman" w:eastAsia="Times New Roman"/>
                <w:b w:val="0"/>
                <w:i w:val="0"/>
                <w:sz w:val="22"/>
              </w:rPr>
              <w:t>Upset stomach (1),</w:t>
            </w:r>
          </w:p>
        </w:tc>
        <w:tc>
          <w:tcPr>
            <w:tcW w:type="dxa" w:w="1872"/>
          </w:tcPr>
          <w:p>
            <w:r/>
            <w:r>
              <w:rPr>
                <w:rFonts w:ascii="Times New Roman" w:hAnsi="Times New Roman" w:cs="Times New Roman" w:eastAsia="Times New Roman"/>
                <w:b w:val="0"/>
                <w:i w:val="0"/>
                <w:sz w:val="22"/>
              </w:rPr>
              <w:t>Stomach/intestinal gas (1)</w:t>
            </w:r>
          </w:p>
        </w:tc>
        <w:tc>
          <w:tcPr>
            <w:tcW w:type="dxa" w:w="1872"/>
          </w:tcPr>
          <w:p>
            <w:r/>
            <w:r>
              <w:rPr>
                <w:rFonts w:ascii="Times New Roman" w:hAnsi="Times New Roman" w:cs="Times New Roman" w:eastAsia="Times New Roman"/>
                <w:b w:val="0"/>
                <w:i w:val="0"/>
                <w:sz w:val="22"/>
              </w:rPr>
            </w:r>
          </w:p>
        </w:tc>
      </w:tr>
      <w:tr>
        <w:tc>
          <w:tcPr>
            <w:tcW w:type="dxa" w:w="1872"/>
          </w:tcPr>
          <w:p>
            <w:r/>
            <w:r>
              <w:rPr>
                <w:rFonts w:ascii="Times New Roman" w:hAnsi="Times New Roman" w:cs="Times New Roman" w:eastAsia="Times New Roman"/>
                <w:b w:val="0"/>
                <w:i w:val="0"/>
                <w:sz w:val="22"/>
              </w:rPr>
              <w:t>140 mg/kg oral NAC solution</w:t>
            </w:r>
          </w:p>
        </w:tc>
        <w:tc>
          <w:tcPr>
            <w:tcW w:type="dxa" w:w="1872"/>
          </w:tcPr>
          <w:p>
            <w:r/>
            <w:r>
              <w:rPr>
                <w:rFonts w:ascii="Times New Roman" w:hAnsi="Times New Roman" w:cs="Times New Roman" w:eastAsia="Times New Roman"/>
                <w:b w:val="0"/>
                <w:i w:val="0"/>
                <w:sz w:val="22"/>
              </w:rPr>
              <w:t>Upset stomach (5), nausea (3), stomach/intestinal gas (2), sleepiness (2), metallic taste (4), light-headedness (1)</w:t>
            </w:r>
          </w:p>
        </w:tc>
        <w:tc>
          <w:tcPr>
            <w:tcW w:type="dxa" w:w="1872"/>
          </w:tcPr>
          <w:p>
            <w:r/>
            <w:r>
              <w:rPr>
                <w:rFonts w:ascii="Times New Roman" w:hAnsi="Times New Roman" w:cs="Times New Roman" w:eastAsia="Times New Roman"/>
                <w:b w:val="0"/>
                <w:i w:val="0"/>
                <w:sz w:val="22"/>
              </w:rPr>
              <w:t>Upset stomach (1), stomach/intestinal gas (4)</w:t>
            </w:r>
          </w:p>
        </w:tc>
        <w:tc>
          <w:tcPr>
            <w:tcW w:type="dxa" w:w="1872"/>
          </w:tcPr>
          <w:p>
            <w:r/>
            <w:r>
              <w:rPr>
                <w:rFonts w:ascii="Times New Roman" w:hAnsi="Times New Roman" w:cs="Times New Roman" w:eastAsia="Times New Roman"/>
                <w:b w:val="0"/>
                <w:i w:val="0"/>
                <w:sz w:val="22"/>
              </w:rPr>
            </w:r>
          </w:p>
        </w:tc>
        <w:tc>
          <w:tcPr>
            <w:tcW w:type="dxa" w:w="1872"/>
          </w:tcPr>
          <w:p>
            <w:r/>
            <w:r>
              <w:rPr>
                <w:rFonts w:ascii="Times New Roman" w:hAnsi="Times New Roman" w:cs="Times New Roman" w:eastAsia="Times New Roman"/>
                <w:b w:val="0"/>
                <w:i w:val="0"/>
                <w:sz w:val="22"/>
              </w:rPr>
            </w:r>
          </w:p>
        </w:tc>
      </w:tr>
      <w:tr>
        <w:tc>
          <w:tcPr>
            <w:tcW w:type="dxa" w:w="1872"/>
          </w:tcPr>
          <w:p>
            <w:r/>
            <w:r>
              <w:rPr>
                <w:rFonts w:ascii="Times New Roman" w:hAnsi="Times New Roman" w:cs="Times New Roman" w:eastAsia="Times New Roman"/>
                <w:b w:val="0"/>
                <w:i w:val="0"/>
                <w:sz w:val="22"/>
              </w:rPr>
              <w:t>[ 39 ]</w:t>
            </w:r>
          </w:p>
        </w:tc>
        <w:tc>
          <w:tcPr>
            <w:tcW w:type="dxa" w:w="1872"/>
          </w:tcPr>
          <w:p>
            <w:r/>
            <w:r>
              <w:rPr>
                <w:rFonts w:ascii="Times New Roman" w:hAnsi="Times New Roman" w:cs="Times New Roman" w:eastAsia="Times New Roman"/>
                <w:b w:val="0"/>
                <w:i w:val="0"/>
                <w:sz w:val="22"/>
              </w:rPr>
              <w:t>Randomized, placebo-controlled study</w:t>
            </w:r>
          </w:p>
        </w:tc>
        <w:tc>
          <w:tcPr>
            <w:tcW w:type="dxa" w:w="1872"/>
          </w:tcPr>
          <w:p>
            <w:r/>
            <w:r>
              <w:rPr>
                <w:rFonts w:ascii="Times New Roman" w:hAnsi="Times New Roman" w:cs="Times New Roman" w:eastAsia="Times New Roman"/>
                <w:b w:val="0"/>
                <w:i w:val="0"/>
                <w:sz w:val="22"/>
              </w:rPr>
              <w:t>28 individuals (≤75 years)</w:t>
            </w:r>
          </w:p>
        </w:tc>
        <w:tc>
          <w:tcPr>
            <w:tcW w:type="dxa" w:w="1872"/>
          </w:tcPr>
          <w:p>
            <w:r/>
            <w:r>
              <w:rPr>
                <w:rFonts w:ascii="Times New Roman" w:hAnsi="Times New Roman" w:cs="Times New Roman" w:eastAsia="Times New Roman"/>
                <w:b w:val="0"/>
                <w:i w:val="0"/>
                <w:sz w:val="22"/>
              </w:rPr>
              <w:t>20 mg/min intravenous NAC for first hour, then 10 mg/min for next 23 h; total dose of 15 g over 24 h</w:t>
            </w:r>
          </w:p>
        </w:tc>
        <w:tc>
          <w:tcPr>
            <w:tcW w:type="dxa" w:w="1872"/>
          </w:tcPr>
          <w:p>
            <w:r/>
            <w:r>
              <w:rPr>
                <w:rFonts w:ascii="Times New Roman" w:hAnsi="Times New Roman" w:cs="Times New Roman" w:eastAsia="Times New Roman"/>
                <w:b w:val="0"/>
                <w:i w:val="0"/>
                <w:sz w:val="22"/>
              </w:rPr>
              <w:t>Haemorrhage (3), headache (4)</w:t>
            </w:r>
          </w:p>
        </w:tc>
      </w:tr>
      <w:tr>
        <w:tc>
          <w:tcPr>
            <w:tcW w:type="dxa" w:w="1872"/>
          </w:tcPr>
          <w:p>
            <w:r/>
            <w:r>
              <w:rPr>
                <w:rFonts w:ascii="Times New Roman" w:hAnsi="Times New Roman" w:cs="Times New Roman" w:eastAsia="Times New Roman"/>
                <w:b w:val="0"/>
                <w:i w:val="0"/>
                <w:sz w:val="22"/>
              </w:rPr>
              <w:t>[ 40 ]</w:t>
            </w:r>
          </w:p>
        </w:tc>
        <w:tc>
          <w:tcPr>
            <w:tcW w:type="dxa" w:w="1872"/>
          </w:tcPr>
          <w:p>
            <w:r/>
            <w:r>
              <w:rPr>
                <w:rFonts w:ascii="Times New Roman" w:hAnsi="Times New Roman" w:cs="Times New Roman" w:eastAsia="Times New Roman"/>
                <w:b w:val="0"/>
                <w:i w:val="0"/>
                <w:sz w:val="22"/>
              </w:rPr>
              <w:t>Randomized, placebo-controlled study</w:t>
            </w:r>
          </w:p>
        </w:tc>
        <w:tc>
          <w:tcPr>
            <w:tcW w:type="dxa" w:w="1872"/>
          </w:tcPr>
          <w:p>
            <w:r/>
            <w:r>
              <w:rPr>
                <w:rFonts w:ascii="Times New Roman" w:hAnsi="Times New Roman" w:cs="Times New Roman" w:eastAsia="Times New Roman"/>
                <w:b w:val="0"/>
                <w:i w:val="0"/>
                <w:sz w:val="22"/>
              </w:rPr>
              <w:t>4 healthy individuals (age 35 ± 3 years)</w:t>
            </w:r>
          </w:p>
        </w:tc>
        <w:tc>
          <w:tcPr>
            <w:tcW w:type="dxa" w:w="1872"/>
          </w:tcPr>
          <w:p>
            <w:r/>
            <w:r>
              <w:rPr>
                <w:rFonts w:ascii="Times New Roman" w:hAnsi="Times New Roman" w:cs="Times New Roman" w:eastAsia="Times New Roman"/>
                <w:b w:val="0"/>
                <w:i w:val="0"/>
                <w:sz w:val="22"/>
              </w:rPr>
              <w:t>150 mg/kg intravenous</w:t>
            </w:r>
          </w:p>
        </w:tc>
        <w:tc>
          <w:tcPr>
            <w:tcW w:type="dxa" w:w="1872"/>
          </w:tcPr>
          <w:p>
            <w:r/>
            <w:r>
              <w:rPr>
                <w:rFonts w:ascii="Times New Roman" w:hAnsi="Times New Roman" w:cs="Times New Roman" w:eastAsia="Times New Roman"/>
                <w:b w:val="0"/>
                <w:i w:val="0"/>
                <w:sz w:val="22"/>
              </w:rPr>
              <w:t>Transient skin flushing (2), pruritus (2), nausea (2)</w:t>
            </w:r>
          </w:p>
        </w:tc>
      </w:tr>
      <w:tr>
        <w:tc>
          <w:tcPr>
            <w:tcW w:type="dxa" w:w="1872"/>
          </w:tcPr>
          <w:p>
            <w:r/>
            <w:r>
              <w:rPr>
                <w:rFonts w:ascii="Times New Roman" w:hAnsi="Times New Roman" w:cs="Times New Roman" w:eastAsia="Times New Roman"/>
                <w:b w:val="0"/>
                <w:i w:val="0"/>
                <w:sz w:val="22"/>
              </w:rPr>
              <w:t>[ 41 ]</w:t>
            </w:r>
          </w:p>
        </w:tc>
        <w:tc>
          <w:tcPr>
            <w:tcW w:type="dxa" w:w="1872"/>
          </w:tcPr>
          <w:p>
            <w:r/>
            <w:r>
              <w:rPr>
                <w:rFonts w:ascii="Times New Roman" w:hAnsi="Times New Roman" w:cs="Times New Roman" w:eastAsia="Times New Roman"/>
                <w:b w:val="0"/>
                <w:i w:val="0"/>
                <w:sz w:val="22"/>
              </w:rPr>
              <w:t>Double-blind, randomized trial</w:t>
            </w:r>
          </w:p>
        </w:tc>
        <w:tc>
          <w:tcPr>
            <w:tcW w:type="dxa" w:w="1872"/>
          </w:tcPr>
          <w:p>
            <w:r/>
            <w:r>
              <w:rPr>
                <w:rFonts w:ascii="Times New Roman" w:hAnsi="Times New Roman" w:cs="Times New Roman" w:eastAsia="Times New Roman"/>
                <w:b w:val="0"/>
                <w:i w:val="0"/>
                <w:sz w:val="22"/>
              </w:rPr>
              <w:t>65 chronic bronchitis patients</w:t>
            </w:r>
          </w:p>
        </w:tc>
        <w:tc>
          <w:tcPr>
            <w:tcW w:type="dxa" w:w="1872"/>
          </w:tcPr>
          <w:p>
            <w:r/>
            <w:r>
              <w:rPr>
                <w:rFonts w:ascii="Times New Roman" w:hAnsi="Times New Roman" w:cs="Times New Roman" w:eastAsia="Times New Roman"/>
                <w:b w:val="0"/>
                <w:i w:val="0"/>
                <w:sz w:val="22"/>
              </w:rPr>
              <w:t>4 puffs of NAC (1 mg/puff) two times daily</w:t>
            </w:r>
          </w:p>
        </w:tc>
        <w:tc>
          <w:tcPr>
            <w:tcW w:type="dxa" w:w="1872"/>
          </w:tcPr>
          <w:p>
            <w:r/>
            <w:r>
              <w:rPr>
                <w:rFonts w:ascii="Times New Roman" w:hAnsi="Times New Roman" w:cs="Times New Roman" w:eastAsia="Times New Roman"/>
                <w:b w:val="0"/>
                <w:i w:val="0"/>
                <w:sz w:val="22"/>
              </w:rPr>
              <w:t>Coughing (4), Dyspnoea (7)</w:t>
            </w:r>
          </w:p>
        </w:tc>
      </w:tr>
    </w:tbl>
    <w:p>
      <w:pPr>
        <w:spacing w:after="80"/>
        <w:jc w:val="both"/>
      </w:pPr>
    </w:p>
    <w:p>
      <w:pPr>
        <w:keepNext/>
        <w:spacing w:before="280" w:after="80"/>
        <w:outlineLvl w:val="1"/>
      </w:pPr>
      <w:r>
        <w:rPr>
          <w:rFonts w:ascii="Times New Roman" w:hAnsi="Times New Roman" w:cs="Times New Roman" w:eastAsia="Times New Roman"/>
          <w:b/>
          <w:i w:val="0"/>
          <w:color w:val="335588"/>
          <w:sz w:val="28"/>
        </w:rPr>
        <w:t>10.2  Tolerability signals — NAC in COPD clinical trials</w:t>
      </w:r>
    </w:p>
    <w:p>
      <w:pPr>
        <w:spacing w:after="80"/>
        <w:jc w:val="both"/>
      </w:pPr>
      <w:r>
        <w:rPr>
          <w:rFonts w:ascii="Times New Roman" w:hAnsi="Times New Roman" w:cs="Times New Roman" w:eastAsia="Times New Roman"/>
          <w:b w:val="0"/>
          <w:i w:val="0"/>
          <w:sz w:val="24"/>
        </w:rPr>
        <w:t>PMC8719286 Table 1 summarises randomised placebo-controlled trials of oral NAC in COPD. Verbatim rows:</w:t>
      </w:r>
    </w:p>
    <w:p>
      <w:pPr>
        <w:keepNext/>
        <w:spacing w:before="160" w:after="40"/>
        <w:jc w:val="left"/>
      </w:pPr>
      <w:r>
        <w:rPr>
          <w:rFonts w:ascii="Times New Roman" w:hAnsi="Times New Roman" w:cs="Times New Roman" w:eastAsia="Times New Roman"/>
          <w:b/>
          <w:i w:val="0"/>
          <w:sz w:val="22"/>
        </w:rPr>
        <w:t>Reproduced from PMC8719286 — Table 1 — Summary of randomized, placebo-controlled controlled trials of oral N -acetylcysteine in chronic obstructive pulmonary disease.</w:t>
      </w:r>
    </w:p>
    <w:tbl>
      <w:tblPr>
        <w:tblStyle w:val="TableGrid"/>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560"/>
            <w:shd w:fill="DDE4EF"/>
          </w:tcPr>
          <w:p>
            <w:r/>
            <w:r>
              <w:rPr>
                <w:rFonts w:ascii="Times New Roman" w:hAnsi="Times New Roman" w:cs="Times New Roman" w:eastAsia="Times New Roman"/>
                <w:b/>
                <w:i w:val="0"/>
                <w:sz w:val="22"/>
              </w:rPr>
              <w:t>First Author</w:t>
            </w:r>
          </w:p>
        </w:tc>
        <w:tc>
          <w:tcPr>
            <w:tcW w:type="dxa" w:w="1560"/>
            <w:shd w:fill="DDE4EF"/>
          </w:tcPr>
          <w:p>
            <w:r/>
            <w:r>
              <w:rPr>
                <w:rFonts w:ascii="Times New Roman" w:hAnsi="Times New Roman" w:cs="Times New Roman" w:eastAsia="Times New Roman"/>
                <w:b/>
                <w:i w:val="0"/>
                <w:sz w:val="22"/>
              </w:rPr>
              <w:t>Study</w:t>
            </w:r>
          </w:p>
        </w:tc>
        <w:tc>
          <w:tcPr>
            <w:tcW w:type="dxa" w:w="1560"/>
            <w:shd w:fill="DDE4EF"/>
          </w:tcPr>
          <w:p>
            <w:r/>
            <w:r>
              <w:rPr>
                <w:rFonts w:ascii="Times New Roman" w:hAnsi="Times New Roman" w:cs="Times New Roman" w:eastAsia="Times New Roman"/>
                <w:b/>
                <w:i w:val="0"/>
                <w:sz w:val="22"/>
              </w:rPr>
              <w:t>Sample Size &amp; Population</w:t>
            </w:r>
          </w:p>
        </w:tc>
        <w:tc>
          <w:tcPr>
            <w:tcW w:type="dxa" w:w="1560"/>
            <w:shd w:fill="DDE4EF"/>
          </w:tcPr>
          <w:p>
            <w:r/>
            <w:r>
              <w:rPr>
                <w:rFonts w:ascii="Times New Roman" w:hAnsi="Times New Roman" w:cs="Times New Roman" w:eastAsia="Times New Roman"/>
                <w:b/>
                <w:i w:val="0"/>
                <w:sz w:val="22"/>
              </w:rPr>
              <w:t>Intervention</w:t>
            </w:r>
          </w:p>
        </w:tc>
        <w:tc>
          <w:tcPr>
            <w:tcW w:type="dxa" w:w="1560"/>
            <w:shd w:fill="DDE4EF"/>
          </w:tcPr>
          <w:p>
            <w:r/>
            <w:r>
              <w:rPr>
                <w:rFonts w:ascii="Times New Roman" w:hAnsi="Times New Roman" w:cs="Times New Roman" w:eastAsia="Times New Roman"/>
                <w:b/>
                <w:i w:val="0"/>
                <w:sz w:val="22"/>
              </w:rPr>
              <w:t>Primary Outcomes</w:t>
            </w:r>
          </w:p>
        </w:tc>
        <w:tc>
          <w:tcPr>
            <w:tcW w:type="dxa" w:w="1560"/>
            <w:shd w:fill="DDE4EF"/>
          </w:tcPr>
          <w:p>
            <w:r/>
            <w:r>
              <w:rPr>
                <w:rFonts w:ascii="Times New Roman" w:hAnsi="Times New Roman" w:cs="Times New Roman" w:eastAsia="Times New Roman"/>
                <w:b/>
                <w:i w:val="0"/>
                <w:sz w:val="22"/>
              </w:rPr>
              <w:t>Comments</w:t>
            </w:r>
          </w:p>
        </w:tc>
      </w:tr>
      <w:tr>
        <w:tc>
          <w:tcPr>
            <w:tcW w:type="dxa" w:w="1560"/>
          </w:tcPr>
          <w:p>
            <w:r/>
            <w:r>
              <w:rPr>
                <w:rFonts w:ascii="Times New Roman" w:hAnsi="Times New Roman" w:cs="Times New Roman" w:eastAsia="Times New Roman"/>
                <w:b w:val="0"/>
                <w:i w:val="0"/>
                <w:sz w:val="22"/>
              </w:rPr>
              <w:t>Decramer 2005 [ 26 ]</w:t>
            </w:r>
          </w:p>
        </w:tc>
        <w:tc>
          <w:tcPr>
            <w:tcW w:type="dxa" w:w="1560"/>
          </w:tcPr>
          <w:p>
            <w:r/>
            <w:r>
              <w:rPr>
                <w:rFonts w:ascii="Times New Roman" w:hAnsi="Times New Roman" w:cs="Times New Roman" w:eastAsia="Times New Roman"/>
                <w:b w:val="0"/>
                <w:i w:val="0"/>
                <w:sz w:val="22"/>
              </w:rPr>
              <w:t>BRONCUS</w:t>
            </w:r>
          </w:p>
        </w:tc>
        <w:tc>
          <w:tcPr>
            <w:tcW w:type="dxa" w:w="1560"/>
          </w:tcPr>
          <w:p>
            <w:r/>
            <w:r>
              <w:rPr>
                <w:rFonts w:ascii="Times New Roman" w:hAnsi="Times New Roman" w:cs="Times New Roman" w:eastAsia="Times New Roman"/>
                <w:b w:val="0"/>
                <w:i w:val="0"/>
                <w:sz w:val="22"/>
              </w:rPr>
              <w:t>Smoking-related stable COPD (n = 523) Age 40–75 years FEV 1 40–70% predicted Mean age 62 years Women 21% Current smokers 46% Mean predicted FEV 1 57%</w:t>
            </w:r>
          </w:p>
        </w:tc>
        <w:tc>
          <w:tcPr>
            <w:tcW w:type="dxa" w:w="1560"/>
          </w:tcPr>
          <w:p>
            <w:r/>
            <w:r>
              <w:rPr>
                <w:rFonts w:ascii="Times New Roman" w:hAnsi="Times New Roman" w:cs="Times New Roman" w:eastAsia="Times New Roman"/>
                <w:b w:val="0"/>
                <w:i w:val="0"/>
                <w:sz w:val="22"/>
              </w:rPr>
              <w:t>600 mg of NAC daily or matching placebo for 3 years</w:t>
            </w:r>
          </w:p>
        </w:tc>
        <w:tc>
          <w:tcPr>
            <w:tcW w:type="dxa" w:w="1560"/>
          </w:tcPr>
          <w:p>
            <w:r/>
            <w:r>
              <w:rPr>
                <w:rFonts w:ascii="Times New Roman" w:hAnsi="Times New Roman" w:cs="Times New Roman" w:eastAsia="Times New Roman"/>
                <w:b w:val="0"/>
                <w:i w:val="0"/>
                <w:sz w:val="22"/>
              </w:rPr>
              <w:t>No difference in FEV 1 in pts (54 mL vs . 47 mL; 95% CI –25, 10); No overall difference in exacerbations per year (HR 0.99, p = 0.85) Potential reduction in exacerbation rate in pts not treated with ICS</w:t>
            </w:r>
          </w:p>
        </w:tc>
        <w:tc>
          <w:tcPr>
            <w:tcW w:type="dxa" w:w="1560"/>
          </w:tcPr>
          <w:p>
            <w:r/>
            <w:r>
              <w:rPr>
                <w:rFonts w:ascii="Times New Roman" w:hAnsi="Times New Roman" w:cs="Times New Roman" w:eastAsia="Times New Roman"/>
                <w:b w:val="0"/>
                <w:i w:val="0"/>
                <w:sz w:val="22"/>
              </w:rPr>
              <w:t>Dose only 600 mg once daily</w:t>
            </w:r>
          </w:p>
        </w:tc>
      </w:tr>
      <w:tr>
        <w:tc>
          <w:tcPr>
            <w:tcW w:type="dxa" w:w="1560"/>
          </w:tcPr>
          <w:p>
            <w:r/>
            <w:r>
              <w:rPr>
                <w:rFonts w:ascii="Times New Roman" w:hAnsi="Times New Roman" w:cs="Times New Roman" w:eastAsia="Times New Roman"/>
                <w:b w:val="0"/>
                <w:i w:val="0"/>
                <w:sz w:val="22"/>
              </w:rPr>
              <w:t>TSE 2013 [ 27 ]</w:t>
            </w:r>
          </w:p>
        </w:tc>
        <w:tc>
          <w:tcPr>
            <w:tcW w:type="dxa" w:w="1560"/>
          </w:tcPr>
          <w:p>
            <w:r/>
            <w:r>
              <w:rPr>
                <w:rFonts w:ascii="Times New Roman" w:hAnsi="Times New Roman" w:cs="Times New Roman" w:eastAsia="Times New Roman"/>
                <w:b w:val="0"/>
                <w:i w:val="0"/>
                <w:sz w:val="22"/>
              </w:rPr>
              <w:t>HIACE</w:t>
            </w:r>
          </w:p>
        </w:tc>
        <w:tc>
          <w:tcPr>
            <w:tcW w:type="dxa" w:w="1560"/>
          </w:tcPr>
          <w:p>
            <w:r/>
            <w:r>
              <w:rPr>
                <w:rFonts w:ascii="Times New Roman" w:hAnsi="Times New Roman" w:cs="Times New Roman" w:eastAsia="Times New Roman"/>
                <w:b w:val="0"/>
                <w:i w:val="0"/>
                <w:sz w:val="22"/>
              </w:rPr>
              <w:t>Smoking-related stable COPD (n = 120) Age 50–80 years FEV 1 &lt; 70% predicted value over 1 year Mean age 71 years Women 7% Current smokers 23% Mean predicted FEV 1 54%</w:t>
            </w:r>
          </w:p>
        </w:tc>
        <w:tc>
          <w:tcPr>
            <w:tcW w:type="dxa" w:w="1560"/>
          </w:tcPr>
          <w:p>
            <w:r/>
            <w:r>
              <w:rPr>
                <w:rFonts w:ascii="Times New Roman" w:hAnsi="Times New Roman" w:cs="Times New Roman" w:eastAsia="Times New Roman"/>
                <w:b w:val="0"/>
                <w:i w:val="0"/>
                <w:sz w:val="22"/>
              </w:rPr>
              <w:t>600 mg of NAC twice daily or matching placebo for 1 year</w:t>
            </w:r>
          </w:p>
        </w:tc>
        <w:tc>
          <w:tcPr>
            <w:tcW w:type="dxa" w:w="1560"/>
          </w:tcPr>
          <w:p>
            <w:r/>
            <w:r>
              <w:rPr>
                <w:rFonts w:ascii="Times New Roman" w:hAnsi="Times New Roman" w:cs="Times New Roman" w:eastAsia="Times New Roman"/>
                <w:b w:val="0"/>
                <w:i w:val="0"/>
                <w:sz w:val="22"/>
              </w:rPr>
              <w:t>FEF improved 25% to 75% (p = 0.037) Reduction in exacerbation frequency (0.96 vs . 1.71 times per year, p = 0.019)</w:t>
            </w:r>
          </w:p>
        </w:tc>
        <w:tc>
          <w:tcPr>
            <w:tcW w:type="dxa" w:w="1560"/>
          </w:tcPr>
          <w:p>
            <w:r/>
            <w:r>
              <w:rPr>
                <w:rFonts w:ascii="Times New Roman" w:hAnsi="Times New Roman" w:cs="Times New Roman" w:eastAsia="Times New Roman"/>
                <w:b w:val="0"/>
                <w:i w:val="0"/>
                <w:sz w:val="22"/>
              </w:rPr>
              <w:t>Trend towards a reduction in hospital admission rates</w:t>
            </w:r>
          </w:p>
        </w:tc>
      </w:tr>
      <w:tr>
        <w:tc>
          <w:tcPr>
            <w:tcW w:type="dxa" w:w="1560"/>
          </w:tcPr>
          <w:p>
            <w:r/>
            <w:r>
              <w:rPr>
                <w:rFonts w:ascii="Times New Roman" w:hAnsi="Times New Roman" w:cs="Times New Roman" w:eastAsia="Times New Roman"/>
                <w:b w:val="0"/>
                <w:i w:val="0"/>
                <w:sz w:val="22"/>
              </w:rPr>
              <w:t>Zheng 2014 [ 28 ]</w:t>
            </w:r>
          </w:p>
        </w:tc>
        <w:tc>
          <w:tcPr>
            <w:tcW w:type="dxa" w:w="1560"/>
          </w:tcPr>
          <w:p>
            <w:r/>
            <w:r>
              <w:rPr>
                <w:rFonts w:ascii="Times New Roman" w:hAnsi="Times New Roman" w:cs="Times New Roman" w:eastAsia="Times New Roman"/>
                <w:b w:val="0"/>
                <w:i w:val="0"/>
                <w:sz w:val="22"/>
              </w:rPr>
              <w:t>PANTHEON</w:t>
            </w:r>
          </w:p>
        </w:tc>
        <w:tc>
          <w:tcPr>
            <w:tcW w:type="dxa" w:w="1560"/>
          </w:tcPr>
          <w:p>
            <w:r/>
            <w:r>
              <w:rPr>
                <w:rFonts w:ascii="Times New Roman" w:hAnsi="Times New Roman" w:cs="Times New Roman" w:eastAsia="Times New Roman"/>
                <w:b w:val="0"/>
                <w:i w:val="0"/>
                <w:sz w:val="22"/>
              </w:rPr>
              <w:t>Moderate-to-severe COPD (n = 1006) Age 40–80 years FEV 1 30–70% of predicted value over 1 year Mean age 66 years Women 18% Current smokers 18% Ex-smokers 58% Non-smokers 24% Mean predicted FEV 1 49%</w:t>
            </w:r>
          </w:p>
        </w:tc>
        <w:tc>
          <w:tcPr>
            <w:tcW w:type="dxa" w:w="1560"/>
          </w:tcPr>
          <w:p>
            <w:r/>
            <w:r>
              <w:rPr>
                <w:rFonts w:ascii="Times New Roman" w:hAnsi="Times New Roman" w:cs="Times New Roman" w:eastAsia="Times New Roman"/>
                <w:b w:val="0"/>
                <w:i w:val="0"/>
                <w:sz w:val="22"/>
              </w:rPr>
              <w:t>600 mg of NAC twice daily or matching placebo for 1 year</w:t>
            </w:r>
          </w:p>
        </w:tc>
        <w:tc>
          <w:tcPr>
            <w:tcW w:type="dxa" w:w="1560"/>
          </w:tcPr>
          <w:p>
            <w:r/>
            <w:r>
              <w:rPr>
                <w:rFonts w:ascii="Times New Roman" w:hAnsi="Times New Roman" w:cs="Times New Roman" w:eastAsia="Times New Roman"/>
                <w:b w:val="0"/>
                <w:i w:val="0"/>
                <w:sz w:val="22"/>
              </w:rPr>
              <w:t>Reduction in exacerbation frequency (1.16 vs . 1.49 per patient-year, p = 0.0011; RR 0.78, 95% CI 0.67–0.90; p = 0.0011)</w:t>
            </w:r>
          </w:p>
        </w:tc>
        <w:tc>
          <w:tcPr>
            <w:tcW w:type="dxa" w:w="1560"/>
          </w:tcPr>
          <w:p>
            <w:r/>
            <w:r>
              <w:rPr>
                <w:rFonts w:ascii="Times New Roman" w:hAnsi="Times New Roman" w:cs="Times New Roman" w:eastAsia="Times New Roman"/>
                <w:b w:val="0"/>
                <w:i w:val="0"/>
                <w:sz w:val="22"/>
              </w:rPr>
              <w:t>Time to second exacerbation and time to third exacerbation extended No significant difference in treatment effect and ICS use</w:t>
            </w:r>
          </w:p>
        </w:tc>
      </w:tr>
    </w:tbl>
    <w:p>
      <w:pPr>
        <w:spacing w:after="80"/>
        <w:jc w:val="both"/>
      </w:pPr>
    </w:p>
    <w:p>
      <w:pPr>
        <w:keepNext/>
        <w:spacing w:before="280" w:after="80"/>
        <w:outlineLvl w:val="1"/>
      </w:pPr>
      <w:r>
        <w:rPr>
          <w:rFonts w:ascii="Times New Roman" w:hAnsi="Times New Roman" w:cs="Times New Roman" w:eastAsia="Times New Roman"/>
          <w:b/>
          <w:i w:val="0"/>
          <w:color w:val="335588"/>
          <w:sz w:val="28"/>
        </w:rPr>
        <w:t>10.3  GRAS status and FEMA designation</w:t>
      </w:r>
    </w:p>
    <w:p>
      <w:pPr>
        <w:spacing w:after="80"/>
        <w:jc w:val="both"/>
      </w:pPr>
      <w:r>
        <w:rPr>
          <w:rFonts w:ascii="Times New Roman" w:hAnsi="Times New Roman" w:cs="Times New Roman" w:eastAsia="Times New Roman"/>
          <w:b w:val="0"/>
          <w:i w:val="0"/>
          <w:sz w:val="24"/>
        </w:rPr>
        <w:t>L-cysteine carries FEMA flavor number 3263 (Flavor and Extract Manufacturers Association). FEMA numbers are assigned to substances that FEMA's Expert Panel has determined to be Generally Recognised as Safe (GRAS) for use as flavoring substances under the conditions of intended use, per the procedures codified at 21 CFR 170.30. The FEMA GRAS programme is recognised by the U.S. FDA under the Food Additives Amendment of 1958. The PubChem synonym record (CID 5862) confirms the FEMA 3263 designation for L-cysteine.</w:t>
      </w:r>
    </w:p>
    <w:p>
      <w:pPr>
        <w:keepNext/>
        <w:spacing w:before="280" w:after="80"/>
        <w:outlineLvl w:val="1"/>
      </w:pPr>
      <w:r>
        <w:rPr>
          <w:rFonts w:ascii="Times New Roman" w:hAnsi="Times New Roman" w:cs="Times New Roman" w:eastAsia="Times New Roman"/>
          <w:b/>
          <w:i w:val="0"/>
          <w:color w:val="335588"/>
          <w:sz w:val="28"/>
        </w:rPr>
        <w:t>10.4  Absence of occupational exposure limits</w:t>
      </w:r>
    </w:p>
    <w:p>
      <w:pPr>
        <w:spacing w:after="80"/>
        <w:jc w:val="both"/>
      </w:pPr>
      <w:r>
        <w:rPr>
          <w:rFonts w:ascii="Times New Roman" w:hAnsi="Times New Roman" w:cs="Times New Roman" w:eastAsia="Times New Roman"/>
          <w:b w:val="0"/>
          <w:i w:val="0"/>
          <w:sz w:val="24"/>
        </w:rPr>
        <w:t>As documented in Chapter 6, no OSHA PEL, NIOSH REL, NIOSH IDLH, or ACGIH TLV has been published for L-cysteine. The absence of an occupational exposure limit is consistent with the absence of documented workplace-disease associations in Haz-Map and with L-cysteine's food-grade industrial handling category.</w:t>
      </w:r>
    </w:p>
    <w:p>
      <w:pPr>
        <w:keepNext/>
        <w:spacing w:before="280" w:after="80"/>
        <w:outlineLvl w:val="1"/>
      </w:pPr>
      <w:r>
        <w:rPr>
          <w:rFonts w:ascii="Times New Roman" w:hAnsi="Times New Roman" w:cs="Times New Roman" w:eastAsia="Times New Roman"/>
          <w:b/>
          <w:i w:val="0"/>
          <w:color w:val="335588"/>
          <w:sz w:val="28"/>
        </w:rPr>
        <w:t>10.5  Adverse-event and tolerability prose — verbatim extracts</w:t>
      </w:r>
    </w:p>
    <w:p>
      <w:pPr>
        <w:spacing w:before="120" w:after="80"/>
        <w:jc w:val="both"/>
      </w:pPr>
      <w:r>
        <w:rPr>
          <w:rFonts w:ascii="Times New Roman" w:hAnsi="Times New Roman" w:cs="Times New Roman" w:eastAsia="Times New Roman"/>
          <w:b/>
          <w:i w:val="0"/>
          <w:sz w:val="24"/>
        </w:rPr>
        <w:t>Verbatim paragraphs on tolerability, adverse events, and clinical safety from the harvested full-text corpus:</w:t>
      </w:r>
    </w:p>
    <w:p>
      <w:pPr>
        <w:spacing w:after="120"/>
        <w:jc w:val="both"/>
      </w:pPr>
      <w:r>
        <w:rPr>
          <w:rFonts w:ascii="Times New Roman" w:hAnsi="Times New Roman" w:cs="Times New Roman" w:eastAsia="Times New Roman"/>
          <w:b w:val="0"/>
          <w:i w:val="0"/>
          <w:sz w:val="24"/>
        </w:rPr>
        <w:t>“Due to its disagreeable flavor, NAC is often mixed with fruit juice or a soft drink prior to consumption. In Europe, NAC is available in pills, capsules, and a variety of effervescent \u201cfizzy tab\u201d formulations [ 18 ]. 2. Safety Profile of NAC The safety of NAC has been well-established through numerous pharmacological studies [ 17 ]. Toxicity is rare and dependent on the route of NAC administration and dosage [ 1 ]. NAC can be administered orally, intravenously, or intranasally [ 1 ]. When orally administered, NAC undergoes rapid intestinal absorption and is subsequently metabolized by the liver [ 1 ]. The cysteine released during NAC metabolism is utilized for glutathione (GSH) synthesis, which is vital for immune function and tissue repair [ 1 ]. NAC\u2019s bioavailability following oral administration is less than 10%. Therefore, only a small portion of intact NAC reaches the plasma and tissue [ 1 ].”  [PMC10604897 ¶6]</w:t>
      </w:r>
    </w:p>
    <w:p>
      <w:pPr>
        <w:spacing w:after="120"/>
        <w:jc w:val="both"/>
      </w:pPr>
      <w:r>
        <w:rPr>
          <w:rFonts w:ascii="Times New Roman" w:hAnsi="Times New Roman" w:cs="Times New Roman" w:eastAsia="Times New Roman"/>
          <w:b w:val="0"/>
          <w:i w:val="0"/>
          <w:sz w:val="24"/>
        </w:rPr>
        <w:t>“It has been suggested that the low bioavailability of oral NAC may be due to first-pass metabolism in the small intestine rather than incomplete absorption [ 20 ]. NAC can be found intact, reduced, or in various oxidized forms in the plasma following oral intake [ 1 , 20 ], and individual variation in these NAC metabolites occurs, which is likely due to natural variations in human metabolism and the intestinal microbiota. Comparatively, intravenous or nasal administration allows for rapid delivery of high concentrations of NAC to the circulation as it bypasses the first-pass intestinal and hepatic metabolic pathway [ 1 ]. Considering that NAC bioavailability is influenced by first-pass metabolism, it will be important to address potential gender and age effects, which are known to affect the first-pass metabolism [ 21 , 22 ]. Therefore, an optimal way to maintain a proper therapeutic serum level of NAC after intake should include monitoring NAC metabolite concentrations in the blood to maximize both the efficacy of treatment and patient safety. 3.”  [PMC10604897 ¶7]</w:t>
      </w:r>
    </w:p>
    <w:p>
      <w:pPr>
        <w:spacing w:after="120"/>
        <w:jc w:val="both"/>
      </w:pPr>
      <w:r>
        <w:rPr>
          <w:rFonts w:ascii="Times New Roman" w:hAnsi="Times New Roman" w:cs="Times New Roman" w:eastAsia="Times New Roman"/>
          <w:b w:val="0"/>
          <w:i w:val="0"/>
          <w:sz w:val="24"/>
        </w:rPr>
        <w:t>“Despite these findings, there is currently no substantial evidence suggesting the existence of active membrane transport systems specific to NAC. ASCT1, the canonical importer of reduced Cys, does not transport negatively charged amino acids, including NAC [ 27 ]. While there have been reports implicating anion exchanger 1 (AE1) as a potential facilitator of NAC uptake into erythrocytes, this remains an area requiring further investigation, as pointed out by Raftos et al. (2007) [ 23 ]. Once absorbed, NAC must undergo deacetylation to yield cysteine. Aminoacylase 1 is believed to be the primary enzyme responsible for deacetylating NAC in this process. 3.1. Adverse Reactions Adverse effects following administration of NAC range from mild to severe and are dependent on the formulation, concentration, and route of administration [ 1 , 28 ] ( Table 1 ). Intravenous NAC and oral NAC are commonly associated with minimal side-effects [ 1 ], such as symptoms of nausea, vomiting, pruritus, and erythema [ 28 , 29 ].”  [PMC10604897 ¶9]</w:t>
      </w:r>
    </w:p>
    <w:p>
      <w:pPr>
        <w:jc w:val="center"/>
      </w:pPr>
      <w:r>
        <w:drawing>
          <wp:inline xmlns:a="http://schemas.openxmlformats.org/drawingml/2006/main" xmlns:pic="http://schemas.openxmlformats.org/drawingml/2006/picture">
            <wp:extent cx="5029200" cy="2300859"/>
            <wp:docPr id="83" name="Picture 83"/>
            <wp:cNvGraphicFramePr>
              <a:graphicFrameLocks noChangeAspect="1"/>
            </wp:cNvGraphicFramePr>
            <a:graphic>
              <a:graphicData uri="http://schemas.openxmlformats.org/drawingml/2006/picture">
                <pic:pic>
                  <pic:nvPicPr>
                    <pic:cNvPr id="0" name="p21_i1.jpg"/>
                    <pic:cNvPicPr/>
                  </pic:nvPicPr>
                  <pic:blipFill>
                    <a:blip r:embed="rId12"/>
                    <a:stretch>
                      <a:fillRect/>
                    </a:stretch>
                  </pic:blipFill>
                  <pic:spPr>
                    <a:xfrm>
                      <a:off x="0" y="0"/>
                      <a:ext cx="5029200" cy="2300859"/>
                    </a:xfrm>
                    <a:prstGeom prst="rect"/>
                  </pic:spPr>
                </pic:pic>
              </a:graphicData>
            </a:graphic>
          </wp:inline>
        </w:drawing>
      </w:r>
    </w:p>
    <w:p>
      <w:pPr>
        <w:spacing w:after="160"/>
        <w:jc w:val="center"/>
      </w:pPr>
      <w:r>
        <w:rPr>
          <w:rFonts w:ascii="Times New Roman" w:hAnsi="Times New Roman" w:cs="Times New Roman" w:eastAsia="Times New Roman"/>
          <w:b w:val="0"/>
          <w:i/>
          <w:sz w:val="20"/>
        </w:rPr>
        <w:t>Figure 1 (from PMC10604897): “The three major narratives of NAC’s mechanisms of action.</w:t>
        <w:br/>
        <w:t xml:space="preserve">   graphic: `antioxidants-12-01867-g001.jpg`”</w:t>
      </w:r>
    </w:p>
    <w:p>
      <w:pPr>
        <w:spacing w:after="120"/>
        <w:jc w:val="both"/>
      </w:pPr>
      <w:r>
        <w:rPr>
          <w:rFonts w:ascii="Times New Roman" w:hAnsi="Times New Roman" w:cs="Times New Roman" w:eastAsia="Times New Roman"/>
          <w:b w:val="0"/>
          <w:i w:val="0"/>
          <w:sz w:val="24"/>
        </w:rPr>
        <w:t>“The frequency of NAC side-effects following intravenous administration is significantly higher compared to oral NAC [ 18 ]. Inhaled NAC can result in adverse reactions such as bacterial pneumonia, cough, sore throat, and drug-induced pneumonitis, but coughing is the most prevalent [ 1 , 30 ]. Anaphylactic reactions resulting from NAC are rare and mild or moderate depending on the concentration [ 31 ]; most are typically attributed to intravenous administration due to the transient but significant increase in NAC plasma levels [ 18 ]. Existing data suggests that there is a direct relationship between anaphylactoid reactions and serum NAC concentration [ 31 ]. Symptoms of anaphylactoid reactions include flushing, pruritus, angioedema, bronchospasm, and hypotension [ 32 ]. These anaphylactoid reactions rapidly subside following the discontinuation of NAC administration or lowering the rate of intravenous administration [ 18 ]. 3.2.”  [PMC10604897 ¶10]</w:t>
      </w:r>
    </w:p>
    <w:p>
      <w:pPr>
        <w:spacing w:after="120"/>
        <w:jc w:val="both"/>
      </w:pPr>
      <w:r>
        <w:rPr>
          <w:rFonts w:ascii="Times New Roman" w:hAnsi="Times New Roman" w:cs="Times New Roman" w:eastAsia="Times New Roman"/>
          <w:b w:val="0"/>
          <w:i w:val="0"/>
          <w:sz w:val="24"/>
        </w:rPr>
        <w:t>“NAC Dosing and Pharmacokinetics NAC is commonly taken orally at doses of 600\u20131200 mg daily to treat specific conditions, or even as a dietary supplement. Administration of oral NAC at doses as high as 8000 mg/day is well-tolerated with no clinically significant adverse reactions [ 33 ]. NAC has a half-life of 5.58 h after intravenous administration [ 20 ]. Its half-life following oral administration is 6.25 h, reaching a maximum plasma concentration (Cmax) approximately 1 to 2 h post administration [ 20 ]. 4. Therapeutic Uses of NAC in Animals While studies have been conducted on the therapeutic uses of NAC in livestock and companion animals, in addition to its use as an antidote for acetaminophen poisoning in dogs and cats, limited pharmacokinetic data on NAC exists in the literature for other species. Among the limited pharmacokinetic data available, only two studies discussed the pharmacokinetics of NAC in chickens and healthy cats.”  [PMC10604897 ¶11]</w:t>
      </w:r>
    </w:p>
    <w:p>
      <w:pPr>
        <w:spacing w:after="120"/>
        <w:jc w:val="both"/>
      </w:pPr>
      <w:r>
        <w:rPr>
          <w:rFonts w:ascii="Times New Roman" w:hAnsi="Times New Roman" w:cs="Times New Roman" w:eastAsia="Times New Roman"/>
          <w:b w:val="0"/>
          <w:i w:val="0"/>
          <w:sz w:val="24"/>
        </w:rPr>
        <w:t>“NAC\u2019s half-life was found to be 1.04 \u00b1 0.53 h. The authors also did not find any significant difference between NAC\u2019s pharmacokinetics in healthy broilers versus Mycoplasma gallisepticum-infected broilers. 5. Therapeutic Uses of NAC in Humans NAC is one of the most used antioxidants in clinical practice to date [ 16 , 17 , 36 ]. There has been a growing interest over the past few decades to use NAC as a potential treatment for a wide range of diseases and disorders in which oxidative stress is suspected to play a role [ 17 , 37 ], including respiratory, cardiovascular, neurodegenerative, liver, kidney, gastrointestinal, and infectious diseases [ 1 ]. antioxidants-12-01867-t001_Table 1 Table 1 N-acetylcysteine adverse events. Study Study Type Study Size NAC Treatment Type and Incidence of Adverse Events following NAC Treatment Moderate Severe [ 38 ] Double-blinded, placebo-controlled, crossover design 17 healthy individuals (age 30 \u00b1 2 years) 9 mg/kg NAC capsule Upset stomach (2), nausea (1), stomach/intestinal gas (1), cough (1) 18 mg/kg NAC capsule Upset stomach (1), nausea (1), stomach/intestinal gas (2), sleepiness (2), metallic taste (1) 35 mg/kg oral NAC solution Upset stomach (2), stomach/intestinal gas (2), sleepiness (1), metallic taste (1) 70 mg/kg oral NAC solution Upset stomach (2), stomach/intestinal gas (1), sleepiness (3), metallic taste (3), light-headedness (1), cough (1) Upset stomach (1), Stomach/intestinal gas (1) 140 mg/kg oral NAC solution Upset stomach (5), nausea (3), stomach/intestinal gas (2), sleepiness (2), metallic taste (4), light-headedness (1) Upset stomach (1), stomach/intestinal gas (4) [ 39 ] Randomized, placebo-controlled study 28 individuals (\u226475 years) 20 mg/min intravenous NAC for first hour, then 10 mg/min for next 23 h; total dose of 15 g over 24 h Haemorrhage (3), headache (4) Transient episode of extreme sinus bradycardia (1) [ 40 ] Randomized, placebo-controlled study 4 healthy individuals (age 35 \u00b1 3 years) 150 mg/kg intravenous Transient skin flushing (2), pruritus (2), nausea (2) [ 41 ] Double-blind, randomized trial 65 chronic bronchitis patients 4 puffs of NAC (1 mg/puff) two times daily Coughing (4), Dyspnoea (7) 5.1.”  [PMC10604897 ¶13]</w:t>
      </w:r>
    </w:p>
    <w:p>
      <w:pPr>
        <w:jc w:val="center"/>
      </w:pPr>
      <w:r>
        <w:drawing>
          <wp:inline xmlns:a="http://schemas.openxmlformats.org/drawingml/2006/main" xmlns:pic="http://schemas.openxmlformats.org/drawingml/2006/picture">
            <wp:extent cx="5029200" cy="1144143"/>
            <wp:docPr id="84" name="Picture 84"/>
            <wp:cNvGraphicFramePr>
              <a:graphicFrameLocks noChangeAspect="1"/>
            </wp:cNvGraphicFramePr>
            <a:graphic>
              <a:graphicData uri="http://schemas.openxmlformats.org/drawingml/2006/picture">
                <pic:pic>
                  <pic:nvPicPr>
                    <pic:cNvPr id="0" name="p21_i2.jpg"/>
                    <pic:cNvPicPr/>
                  </pic:nvPicPr>
                  <pic:blipFill>
                    <a:blip r:embed="rId13"/>
                    <a:stretch>
                      <a:fillRect/>
                    </a:stretch>
                  </pic:blipFill>
                  <pic:spPr>
                    <a:xfrm>
                      <a:off x="0" y="0"/>
                      <a:ext cx="5029200" cy="1144143"/>
                    </a:xfrm>
                    <a:prstGeom prst="rect"/>
                  </pic:spPr>
                </pic:pic>
              </a:graphicData>
            </a:graphic>
          </wp:inline>
        </w:drawing>
      </w:r>
    </w:p>
    <w:p>
      <w:pPr>
        <w:spacing w:after="160"/>
        <w:jc w:val="center"/>
      </w:pPr>
      <w:r>
        <w:rPr>
          <w:rFonts w:ascii="Times New Roman" w:hAnsi="Times New Roman" w:cs="Times New Roman" w:eastAsia="Times New Roman"/>
          <w:b w:val="0"/>
          <w:i/>
          <w:sz w:val="20"/>
        </w:rPr>
        <w:t>Figure panel from PMC10604897 (source bitmap p21_i2.jpg).</w:t>
      </w:r>
    </w:p>
    <w:p>
      <w:pPr>
        <w:spacing w:after="120"/>
        <w:jc w:val="both"/>
      </w:pPr>
      <w:r>
        <w:rPr>
          <w:rFonts w:ascii="Times New Roman" w:hAnsi="Times New Roman" w:cs="Times New Roman" w:eastAsia="Times New Roman"/>
          <w:b w:val="0"/>
          <w:i w:val="0"/>
          <w:sz w:val="24"/>
        </w:rPr>
        <w:t>“In a study conducted by Messier et al. (2013), NAC was shown to provide protection against injury to murine alveolar type 2 (ATII) cells and lung tissue induced by cigarette smoke [ 55 ]. These in vivo and in vitro studies were carried out with mice lacking the nuclear factor erythroid 2-related factor-2 ( Nrf2 ), whose gene product is a redox-sensitive transcription factor that is crucial to the regulation of the antioxidant defense system [ 54 , 55 ]. NAC\u2019s ability to act as a direct scavenger of free radicals in an Nrf2-independent manner is of considerable importance as Nrf2-dependent endogenous antioxidants are often reduced in COPD patients [ 54 ]. In a randomized, placebo-controlled trial conducted by Kasielski and Nowak (2001), in which NAC was administered long-term (12 months), it was found that treatment with 600 mg/day of NAC significantly reduced the concentration of H 2 O 2 in the expired breath condensate of stable COPD patients; these patients showed a progressive decrease from baseline H 2 O 2 concentrations, reaching statistical significance after 6 months of treatment [ 56 ].”  [PMC10604897 ¶23]</w:t>
      </w:r>
    </w:p>
    <w:p>
      <w:pPr>
        <w:spacing w:after="120"/>
        <w:jc w:val="both"/>
      </w:pPr>
      <w:r>
        <w:rPr>
          <w:rFonts w:ascii="Times New Roman" w:hAnsi="Times New Roman" w:cs="Times New Roman" w:eastAsia="Times New Roman"/>
          <w:b w:val="0"/>
          <w:i w:val="0"/>
          <w:sz w:val="24"/>
        </w:rPr>
        <w:t>“After 9 and 12 months of treatment, the concentration of H 2 O 2 in the expired breath condensate was 2.3- and 2.6-fold lower, respectively, than in COPD patients in the placebo group. Based on the current data, the Global Initiative for Chronic Obstructive Lung Disease has acknowledged that NAC can be used as an adjunct therapy to help reduce the risk of acute exacerbation of COPD [ 1 ]. 5.3. Infectious Diseases NAC\u2019s ability to attenuate mediators of oxidative stress and inflammation also makes it a promising treatment or adjuvant for various infectious diseases, such as influenza and COVID-19 (see Table 2 ). 5.3.1. Influenza Influenza, also commonly referred to as \u201cthe flu\u201d, is a contagious respiratory infection caused by various influenza viruses that infect the nose, throat, and lungs [ 57 ]. The current standard treatment of severe flu includes early antiviral therapy with a neuraminidase inhibitor, which is associated with improved outcomes in hospitalized seasonal influenza patients [ 58 ].”  [PMC10604897 ¶24]</w:t>
      </w:r>
    </w:p>
    <w:p>
      <w:pPr>
        <w:spacing w:after="120"/>
        <w:jc w:val="both"/>
      </w:pPr>
      <w:r>
        <w:rPr>
          <w:rFonts w:ascii="Times New Roman" w:hAnsi="Times New Roman" w:cs="Times New Roman" w:eastAsia="Times New Roman"/>
          <w:b w:val="0"/>
          <w:i w:val="0"/>
          <w:sz w:val="24"/>
        </w:rPr>
        <w:t>“In addition, the costs of safety studies and clinical efficacy trials are too high of a risk for the limited reward, considering the smaller patient numbers. Thus, the main conclusions of most of these intervention studies that compound X acting through Y mechanism may be a promising therapeutic approach for APAP overdose patients are not supported by solid scientific evidence. Nevertheless, in recent years new developments give some hope that there can be progress with emerging novel therapeutics approaches. However, the key to advancing any potential therapeutic is to understand the molecular mechanisms of the disease and have a clear understanding of what the new intervention is targeting. 2. Mechanisms of APAP-induced Liver Injury Mechanistic studies of APAP hepatotoxicity started with the recognition that a part of the dose of APAP is metabolized by cytochrome P450 (Cyp) enzymes [ 6 ], now known to be mainly Cyp2E1 [ 22 ], which generates a reactive metabolite that can be detoxified by GSH [ 9 ].”  [PMC11315809 ¶6]</w:t>
      </w:r>
    </w:p>
    <w:p>
      <w:pPr>
        <w:spacing w:after="120"/>
        <w:jc w:val="both"/>
      </w:pPr>
      <w:r>
        <w:rPr>
          <w:rFonts w:ascii="Times New Roman" w:hAnsi="Times New Roman" w:cs="Times New Roman" w:eastAsia="Times New Roman"/>
          <w:b w:val="0"/>
          <w:i w:val="0"/>
          <w:sz w:val="24"/>
        </w:rPr>
        <w:t>“However, the then approved prospective multicenter open trials demonstrated the beneficial effect of NAC when administered within 8\u201310 h after the ingestion of an APAP overdose and the gradual loss of this protection in later presenting patients [ 42 . 43 ]. This led to the approval of NAC as a clinical antidote against APAP overdose in the 1980s [ 16 ]. After almost 40 years, no new antidote has been developed. Despite the absence of a randomized control trial, there are officially approved dosing of NAC. However, different doses and potential shorter treatment regimen are regularly being discussed [ 44 \u2013 47 ]. Although NAC is considered highly efficacious in most overdose cases, there are also concerns with patients taking very large overdoses and presenting late for treatment. Changing the NAC doses alone may not be the optimal solution as side effects may become a bigger issue [ 48 ]; it may require adjunct therapies with a wider therapeutic window (e.g., fomepizole) and agents that promote regeneration as discussed in the next sections. 3.2 Fomepizole (4-methylpyrazole) Fomepizole is a clinically approved antidote against methanol and ethylene glycol poisoning due to its property as an alcohol dehydrogenase (ADH) inhibitor [ 49 ].”  [PMC11315809 ¶10]</w:t>
      </w:r>
    </w:p>
    <w:p>
      <w:pPr>
        <w:spacing w:after="120"/>
        <w:jc w:val="both"/>
      </w:pPr>
      <w:r>
        <w:rPr>
          <w:rFonts w:ascii="Times New Roman" w:hAnsi="Times New Roman" w:cs="Times New Roman" w:eastAsia="Times New Roman"/>
          <w:b w:val="0"/>
          <w:i w:val="0"/>
          <w:sz w:val="24"/>
        </w:rPr>
        <w:t>“Introduced more than 20 years ago, it has an excellent safety record, and treatment of poisoned patients with fomepizole causes very limited, minor side effects such as injection site burning (13 out of 536 Patients) or nausea (5 out of 536 Patients) [ 50 ]. Thus, highly effective in patients with toxic alcohol poisoning and generally well tolerated, it is widely used in the clinic for these indications. In 2013, a case report was published indicating that a patient presenting to the emergency department with extremely high blood APAP levels (&gt;1,100 \u03bcg/ml = &gt;7.3 mM) and suspected of a toxic alcohol poisoning was treated with both NAC and fomepizole and survived [ 51 ]. Because in vitro studies had previously shown that 4-methylpyrazole is a competitive Cyp2E1 inhibitor binding to the substrate binding site of the enzyme [ 52 , 53 ], Yip and Heard [ 54 ] hypothesized a few years later that the positive outcome of the patient described in the case report may be related to a combined effect of NAC and fomepizole.”  [PMC11315809 ¶11]</w:t>
      </w:r>
    </w:p>
    <w:p>
      <w:pPr>
        <w:spacing w:after="120"/>
        <w:jc w:val="both"/>
      </w:pPr>
      <w:r>
        <w:rPr>
          <w:rFonts w:ascii="Times New Roman" w:hAnsi="Times New Roman" w:cs="Times New Roman" w:eastAsia="Times New Roman"/>
          <w:b w:val="0"/>
          <w:i w:val="0"/>
          <w:sz w:val="24"/>
        </w:rPr>
        <w:t>“Consequently, it has been suggested to use fomepizole more frequently in APAP overdose patients with risk of NAC failure [ 69 ], though not all clinicians agree with that view [ 70 ]. Nevertheless, the preponderance of experimental evidence in preclinical models (mice, human hepatocytes) clearly indicates that fomepizole is highly effective against APAP hepatotoxicity; in fact, it may have a wider therapeutic window, may offer protective effects on the kidney, and with no detrimental effects on liver recovery, fomepizole is superior to NAC in animals. Hence, fomepizole could be an effective adjunct treatment to the standard of care NAC in humans because it does not interfere with regeneration and provides a degree of safety that extending the use of NAC does not. 3.3 Calmangafodipir [Ca4Mn(DPDP)5] Mechanistic studies demonstrated that APAP overdose produces oxidant stress in the mitochondrial matrix [ 71 , 72 ], where peroxynitrite is also formed [ 30 ].”  [PMC11315809 ¶20]</w:t>
      </w:r>
    </w:p>
    <w:p>
      <w:pPr>
        <w:spacing w:after="120"/>
        <w:jc w:val="both"/>
      </w:pPr>
      <w:r>
        <w:rPr>
          <w:rFonts w:ascii="Times New Roman" w:hAnsi="Times New Roman" w:cs="Times New Roman" w:eastAsia="Times New Roman"/>
          <w:b w:val="0"/>
          <w:i w:val="0"/>
          <w:sz w:val="24"/>
        </w:rPr>
        <w:t>“However, mangafodipir has also been shown to protect against side effects of chemotherapeutic agents in patients [ 79 , 80 ] and acetaminophen hepatotoxicity in mice [ 81 ]. It was also reported that 80% of the Mn 2+ is released from mangafodipir into the circulation after intravenous injection [ 82 ]. Although this is important for its efficacy as an MRI contrast agent, there may be a theoretical risk of neurological damage from Mn 2+ after multiple treatments over a short period of time [ 78 ], though such toxicity has not been observed. However, the SOD activity, which may be responsible for the therapeutic effect, is dependent on an intact mangafodipir complex [ 78 ]. Therefore, calmangafodipir [Ca 4 Mn(DPDP) 5 ] was generated in which about 80% of the Mn 2+ was replaced by Ca 2+ , thereby reducing the body burden and theoretical toxicity of excess Mn 2+ while maintaining or even improving therapeutic effects against chemotherapy-induced peripheral neuropathy [ 80 ].”  [PMC11315809 ¶22]</w:t>
      </w:r>
    </w:p>
    <w:p>
      <w:pPr>
        <w:spacing w:after="120"/>
        <w:jc w:val="both"/>
      </w:pPr>
      <w:r>
        <w:rPr>
          <w:rFonts w:ascii="Times New Roman" w:hAnsi="Times New Roman" w:cs="Times New Roman" w:eastAsia="Times New Roman"/>
          <w:b w:val="0"/>
          <w:i w:val="0"/>
          <w:sz w:val="24"/>
        </w:rPr>
        <w:t>“A planned phase III clinical trial may reveal whether calmangafodipir can be effective as adjunct therapy to NAC in late-presenting patients. In summary, the case for using calmangafodipir as an antidote against APAP toxicity in patients remains unconvincing. Preclinical data are very scarce, and the results are questionable and would need to be reproduced. In addition, the mechanism of protection would have to be investigated in vivo and not just extrapolated from in vitro experiments. Clinically, it appears that calmangafodipir is safe when administered as a single dose in APAP overdose patients treated with NAC, however, efficacy will have to be convincingly established through a clinical trial. Another concern is that clinical trials using multiple dosing of calmangafodipir for the prevention of oxaliplatin-induced peripheral neuropathy were terminated early due to hypersensitivity reactions in 3.6% of patients compared with 0.8% in placebo controls [ 91 ].”  [PMC11315809 ¶29]</w:t>
      </w:r>
    </w:p>
    <w:p>
      <w:pPr>
        <w:spacing w:after="120"/>
        <w:jc w:val="both"/>
      </w:pPr>
      <w:r>
        <w:rPr>
          <w:rFonts w:ascii="Times New Roman" w:hAnsi="Times New Roman" w:cs="Times New Roman" w:eastAsia="Times New Roman"/>
          <w:b w:val="0"/>
          <w:i w:val="0"/>
          <w:sz w:val="24"/>
        </w:rPr>
        <w:t>“This is because the regenerative response is dependent on the extent of injury and is typically only compromised with severe liver injury. Thus, it is critical to determine the detailed mechanism of action of the intervention and confirm that it does not reduce the extent of injury, which would then indirectly result in a robust regenerative response, which may not be relevant in the clinic when the patient is treated in a delayed fashion. 4. Summary and Conclusion After the discovery of NAC as effective antidote against APAP hepatotoxicity almost 50 years ago, little progress was made to advance any of the numerous agents that showed protection in various animal or cell models to the clinic. Limitations in the mechanistic understanding of APAP toxicity, clinically irrelevant treatment schedules reported in studies, and uncertainty about the translatability of the findings to humans were some of the reasons why there was hesitation to invest money into safety and efficacy studies of various agents, especially if the compound had no patent protection.”  [PMC11315809 ¶41]</w:t>
      </w:r>
    </w:p>
    <w:p>
      <w:pPr>
        <w:spacing w:after="120"/>
        <w:jc w:val="both"/>
      </w:pPr>
      <w:r>
        <w:rPr>
          <w:rFonts w:ascii="Times New Roman" w:hAnsi="Times New Roman" w:cs="Times New Roman" w:eastAsia="Times New Roman"/>
          <w:b w:val="0"/>
          <w:i w:val="0"/>
          <w:sz w:val="24"/>
        </w:rPr>
        <w:t>“However, there currently exists only limited mechanistic understanding of the mode of action in preclinical models and in humans, and clear, reproducible preclinical efficacy is missing. A phase III clinical trial is being planned. A third potential drug in clinical development and a first in class is TPOm, which has a limited effect on the injury, but may be more relevant as a regeneration-promoting agent. A2B receptor agonists and WJMSC are also promising agents that support recovery after APAP-induced necrosis and are effective, even when treatment is severely delayed ( Figure 1 ). However, the lack of patent protection is a hurdle in their further development. Other approaches such as Nrf2 activators are promising as prophylactic agents but may have limited utility as antidotes. We are hopeful that the substantial progress in the development of additional clinically relevant antidotes against APAP-induced liver injury and acute liver failure in recent years will result in additional therapeutics for clinical use soon.", "tables": [ { "label": "Table 1:", "caption": "Characteristics of New Antidotes in Clinical Development compared to N-Acetylcysteine", "html": "&lt;table frame=\"below\" rules=\"none\"&gt;&lt;colgroup span=\"1\"&gt;&lt;col align=\"left\" valign=\"middle\" span=\"1\"&gt;&lt;col align=\"left\" valign=\"middle\" span=\"1\"&gt;&lt;col align=\"left\" valign=\"middle\" span=\"1\"&gt;&lt;col align=\"left\" valign=\"middle\" span=\"1\"&gt;&lt;col align=\"left\" valign=\"middle\" span=\"1\"&gt;&lt;/colgroup&gt;&lt;thead&gt;&lt;tr&gt;&lt;th align=\"left\" valign=\"top\" rowspan=\"1\" colspan=\"1\"&gt;Liver Injury:&lt;/th&gt;&lt;th align=\"center\" valign=\"top\" rowspan=\"1\" colspan=\"1\"&gt;N-Acetylcysteine&lt;/th&gt;&lt;th align=\"center\" valign=\"top\" rowspan=\"1\" colspan=\"1\"&gt;Fomepizole&lt;/th&gt;&lt;th align=\"center\" valign=\"top\" rowspan=\"1\" colspan=\"1\"&gt;Calmangafodipir&lt;/th&gt;&lt;th align=\"center\" valign=\"top\" rowspan=\"1\" colspan=\"1\"&gt;mTPO&lt;/th&gt;&lt;/tr&gt;&lt;/thead&gt;&lt;tbody&gt;&lt;tr&gt;&lt;td align=\"left\" valign=\"top\" rowspan=\"1\" colspan=\"1\"&gt;Efficiency with Early Treatment&lt;/td&gt;&lt;td align=\"center\" valign=\"top\" rowspan=\"1\" colspan=\"1\"&gt;++++&lt;/td&gt;&lt;td align=\"center\" valign=\"top\" rowspan=\"1\" colspan=\"1\"&gt;++++&lt;/td&gt;&lt;td align=\"center\" valign=\"top\" rowspan=\"1\" colspan=\"1\"&gt;ND&lt;/td&gt;&lt;td align=\"center\" valign=\"top\" rowspan=\"1\" colspan=\"1\"&gt;----&lt;/td&gt;&lt;/tr&gt;&lt;tr&gt;&lt;td align=\"left\" valign=\"top\" rowspan=\"1\" colspan=\"1\"&gt;Efficiency with Late Treatment&lt;/td&gt;&lt;td align=\"center\" valign=\"top\" rowspan=\"1\" colspan=\"1\"&gt;+&lt;/td&gt;&lt;td align=\"center\" valign=\"top\" rowspan=\"1\" colspan=\"1\"&gt;++&lt;/td&gt;&lt;td align=\"center\" valign=\"top\" rowspan=\"1\" colspan=\"1\"&gt;++ ?&lt;/td&gt;&lt;td align=\"center\" valign=\"top\" rowspan=\"1\" colspan=\"1\"&gt;+&lt;/td&gt;&lt;/tr&gt;&lt;tr&gt;&lt;td align=\"left\" valign=\"top\" rowspan=\"1\" colspan=\"1\"&gt;Promotes Biogenesis and Regeneration&lt;/td&gt;&lt;td align=\"center\" valign=\"top\" rowspan=\"1\" colspan=\"1\"&gt;----&lt;/td&gt;&lt;td align=\"center\" valign=\"top\" rowspan=\"1\" colspan=\"1\"&gt;+&lt;/td&gt;&lt;td align=\"center\" valign=\"top\" rowspan=\"1\" colspan=\"1\"&gt;ND&lt;/td&gt;&lt;td align=\"center\" valign=\"top\" rowspan=\"1\" colspan=\"1\"&gt;++++&lt;/td&gt;&lt;/tr&gt;&lt;tr&gt;&lt;td align=\"left\" valign=\"top\" rowspan=\"1\" colspan=\"1\"&gt;Protects against Acute Kidney Injury&lt;/td&gt;&lt;td align=\"center\" valign=\"top\" rowspan=\"1\" colspan=\"1\"&gt;----&lt;/td&gt;&lt;td align=\"center\" valign=\"top\" rowspan=\"1\" colspan=\"1\"&gt;+++&lt;/td&gt;&lt;td align=\"center\" valign=\"top\" rowspan=\"1\" colspan=\"1\"&gt;ND&lt;/td&gt;&lt;td align=\"center\" valign=\"top\" rowspan=\"1\" colspan=\"1\"&gt;ND&lt;/td&gt;&lt;/tr&gt;&lt;tr&gt;&lt;td align=\"left\" valign=\"top\" rowspan=\"1\" colspan=\"1\"&gt;Side Effects of Treatment&lt;/td&gt;&lt;td align=\"center\" valign=\"top\" rowspan=\"1\" colspan=\"1\"&gt;+&lt;/td&gt;&lt;td align=\"center\" valign=\"top\" rowspan=\"1\" colspan=\"1\"&gt;----&lt;/td&gt;&lt;td align=\"center\" valign=\"top\" rowspan=\"1\" colspan=\"1\"&gt;----&lt;/td&gt;&lt;td align=\"center\" valign=\"top\" rowspan=\"1\" colspan=\"1\"&gt;----&lt;/td&gt;&lt;/tr&gt;&lt;/tbody&gt;&lt;/table&gt;", "rows": [ [ "Liver Injury:", "N-Acetylcysteine", "Fomepizole", "Calmangafodipir", "mTPO" ], [ "Efficiency with Early Treatment", "++++", "++++", "ND", "----" ], [ "Efficiency with Late Treatment", "+", "++", "++ ?", "+" ], [ "Promotes Biogenesis and Regeneration", "----", "+", "ND", "++++" ], [ "Protects against Acute Kidney Injury", "----", "+++", "ND", "ND" ], [ "Side Effects of Treatment", "+", "----", "----", "----" ] ] } ], "figures": [ { "label": "Figure 1:", "caption": "Clinically relevant therapeutic targets in acetaminophen hepatotoxicity.”  [PMC11315809 ¶43]</w:t>
      </w:r>
    </w:p>
    <w:p>
      <w:pPr>
        <w:spacing w:after="120"/>
        <w:jc w:val="both"/>
      </w:pPr>
      <w:r>
        <w:rPr>
          <w:rFonts w:ascii="Times New Roman" w:hAnsi="Times New Roman" w:cs="Times New Roman" w:eastAsia="Times New Roman"/>
          <w:b w:val="0"/>
          <w:i w:val="0"/>
          <w:sz w:val="24"/>
        </w:rPr>
        <w:t>“NAC has been shown to counteract bronchial desensitization during LPS challenges, restoring the normal contractility of airway smooth cells in an ex vivo AECOPD model [ 27 ], suggesting a potential role in protecting against exacerbations. While certain dated studies found a small but significant positive impact of NAC on respiratory function in stable COPD patients, as measured by FEV 1 [ 89 , 90 ] and MEF 50 [ 90 ], recent research yielded disappointing results [ 91 , 92 , 93 ]. This discrepancy may stem from the limited sensitivity of these measures in detecting small airway disease and air trapping, where NAC is believed to exert its greatest effect, as evidenced by the improved FEF 25\u201375% observed in the BRONCUS trial [ 91 ]. The randomized placebo-controlled HIACE and PANTHEON trials highlight a reduction in exacerbation rates in patients with COPD treated with 1200 mg/day of NAC for one year [ 88 , 94 ].”  [PMC11278452 ¶26]</w:t>
      </w:r>
    </w:p>
    <w:p>
      <w:pPr>
        <w:spacing w:after="120"/>
        <w:jc w:val="both"/>
      </w:pPr>
      <w:r>
        <w:rPr>
          <w:rFonts w:ascii="Times New Roman" w:hAnsi="Times New Roman" w:cs="Times New Roman" w:eastAsia="Times New Roman"/>
          <w:b w:val="0"/>
          <w:i w:val="0"/>
          <w:sz w:val="24"/>
        </w:rPr>
        <w:t>“This suggests that administering NAC over the long term can decrease the likelihood of COPD exacerbations, irrespective of dosage. In chronic bronchitis, NAC 600 mg/day over a duration of 3\u20136 months prevented acute exacerbations and improved symptoms [ 98 , 99 ]. A recent meta-analysis including twenty studies and a total of 4044 patients evaluated oral NAC efficacy either in patients with CB/pre-COPD (patients with chronic bronchitis and no diagnosis of COPD) or with confirmed COPD: in both groups, patients treated with NAC exhibited a noteworthy decrease in the occurrence of exacerbations [ 100 ]. Furthermore, CB/pre-COPD patients treated with NAC showed a significant likelihood of experiencing symptom improvement and/or improved QoL compared to those receiving a placebo [ 100 ]. NAC is linked to a favorable safety profile, with a beneficial impact observed in both patients with stable COPD and individuals at risk of AECOPD, regardless of inhaled corticosteroid use [ 88 , 92 , 96 , 97 , 101 ].”  [PMC11278452 ¶28]</w:t>
      </w:r>
    </w:p>
    <w:p>
      <w:pPr>
        <w:spacing w:after="120"/>
        <w:jc w:val="both"/>
      </w:pPr>
      <w:r>
        <w:rPr>
          <w:rFonts w:ascii="Times New Roman" w:hAnsi="Times New Roman" w:cs="Times New Roman" w:eastAsia="Times New Roman"/>
          <w:b w:val="0"/>
          <w:i w:val="0"/>
          <w:sz w:val="24"/>
        </w:rPr>
        <w:t>“Despite these potential benefits, clinical trials for IPF have produced inconsistent results [ 103 , 106 , 107 , 108 ]. Using oral NAC, either by itself or in conjunction with pirfenidone or nintedanib, might be an effective treatment option for certain IPF patients [ 109 ], particularly those with the rs3750920 (TOLLIP) TT genotype [ 110 ]. Data on the overall efficacy and safety of NAC in a pharmacogenomic context, tailored to patients most likely to benefit, are eagerly awaited [ 108 ]. In addition, NAC is also utilized for treating non-CF bronchiectasis, where it could help decrease the frequency of exacerbations [ 111 ]. A recent randomized placebo-controlled pilot study evaluated the impact of NAC on sputum neutrophil elastase levels, which serve as a surrogate marker for exacerbations, in adult patients with bronchiectasis [ 112 ]. They observed a nearly 50% reduction in sputum neutrophil elastase and improvements in lung function and QoL-related domains, without increased adverse events compared to placebo [ 112 ].”  [PMC11278452 ¶31]</w:t>
      </w:r>
    </w:p>
    <w:p>
      <w:pPr>
        <w:jc w:val="center"/>
      </w:pPr>
      <w:r>
        <w:drawing>
          <wp:inline xmlns:a="http://schemas.openxmlformats.org/drawingml/2006/main" xmlns:pic="http://schemas.openxmlformats.org/drawingml/2006/picture">
            <wp:extent cx="5029200" cy="4259385"/>
            <wp:docPr id="85" name="Picture 85"/>
            <wp:cNvGraphicFramePr>
              <a:graphicFrameLocks noChangeAspect="1"/>
            </wp:cNvGraphicFramePr>
            <a:graphic>
              <a:graphicData uri="http://schemas.openxmlformats.org/drawingml/2006/picture">
                <pic:pic>
                  <pic:nvPicPr>
                    <pic:cNvPr id="0" name="p06_i1.jpg"/>
                    <pic:cNvPicPr/>
                  </pic:nvPicPr>
                  <pic:blipFill>
                    <a:blip r:embed="rId14"/>
                    <a:stretch>
                      <a:fillRect/>
                    </a:stretch>
                  </pic:blipFill>
                  <pic:spPr>
                    <a:xfrm>
                      <a:off x="0" y="0"/>
                      <a:ext cx="5029200" cy="4259385"/>
                    </a:xfrm>
                    <a:prstGeom prst="rect"/>
                  </pic:spPr>
                </pic:pic>
              </a:graphicData>
            </a:graphic>
          </wp:inline>
        </w:drawing>
      </w:r>
    </w:p>
    <w:p>
      <w:pPr>
        <w:spacing w:after="160"/>
        <w:jc w:val="center"/>
      </w:pPr>
      <w:r>
        <w:rPr>
          <w:rFonts w:ascii="Times New Roman" w:hAnsi="Times New Roman" w:cs="Times New Roman" w:eastAsia="Times New Roman"/>
          <w:b w:val="0"/>
          <w:i/>
          <w:sz w:val="20"/>
        </w:rPr>
        <w:t>Figure 1 (from PMC11278452): “Differential modulation of pro-inflammatory mediators in relation to both the concentration and duration of treatment with N-acetylcysteine in in vitro models of airway inflammation. NAC: N-acetylcysteine; LPS: lipopolysaccharides; NKA: neurokinin A; IL-6: Interleukin-6; TNF-α: tumor necrosis factor-α; IL-8: Interleukin-8; IL-1β: Interleukin-1beta; NF-κB: Nu”</w:t>
      </w:r>
    </w:p>
    <w:p>
      <w:pPr>
        <w:spacing w:after="120"/>
        <w:jc w:val="both"/>
      </w:pPr>
      <w:r>
        <w:rPr>
          <w:rFonts w:ascii="Times New Roman" w:hAnsi="Times New Roman" w:cs="Times New Roman" w:eastAsia="Times New Roman"/>
          <w:b w:val="0"/>
          <w:i w:val="0"/>
          <w:sz w:val="24"/>
        </w:rPr>
        <w:t>“A multicenter, double-blind, randomized, placebo-controlled trial is presently in progress to investigate the sustained effectiveness of oral NAC on exacerbation rates and QoL in bronchiectasis [ 113 ]. The study aims to specifically focus on the antioxidant, anti-inflammatory, and antibacterial properties of NAC in bronchiectasis [ 113 ]. NAC is also used in CF, which is characterized by frequent respiratory infections, PMN-mediated inflammation, and increased oxidative stress [ 114 ]. However, evidence of NAC effectiveness in CF is still poor, despite some encouraging results [ 115 , 116 , 117 ], and further studies on larger samples are needed [ 114 ]. Interestingly, NAC as adjunctive therapy has been associated with reduced rates of progression to respiratory failure, with some studies reporting shorter hospital stays and others indicating decreased mortality in patients hospitalized for COVID-19 pneumonia [ 118 ]. 5.”  [PMC11278452 ¶32]</w:t>
      </w:r>
    </w:p>
    <w:p>
      <w:pPr>
        <w:spacing w:after="120"/>
        <w:jc w:val="both"/>
      </w:pPr>
      <w:r>
        <w:rPr>
          <w:rFonts w:ascii="Times New Roman" w:hAnsi="Times New Roman" w:cs="Times New Roman" w:eastAsia="Times New Roman"/>
          <w:b w:val="0"/>
          <w:i w:val="0"/>
          <w:sz w:val="24"/>
        </w:rPr>
        <w:t>“Furthermore, selenoproteins, particularly GPX1, play a pivotal role in preserving endothelial function, regulating vascular reactivity, promoting angiogenesis, and preventing adverse vascular remodeling. Their cardioprotective effects, especially in attenuating oxidative stress and endothelial dysfunction, are increasingly recognized [ 76 , 77 ]. Sodium-glucose cotransporter 2 (SGLT2) inhibitors are a class of drugs that act on SGLT2 transporters to decrease glucose reabsorption in the kidneys, thereby increasing glucose excretion in the urine and lowering serum glucose levels. SGLT2 inhibitors are emerging as drugs with multiple beneficial effects on various organs and pathological conditions, although their mechanisms of action are not yet fully understood [ 86 , 87 , 88 , 89 ]. Among the proposed mechanisms are the reduction of ROS levels, the enhancement of eNOS activity, and the increased availability of NO [ 89 ].”  [PMC11939635 ¶30]</w:t>
      </w:r>
    </w:p>
    <w:p>
      <w:pPr>
        <w:spacing w:after="120"/>
        <w:jc w:val="both"/>
      </w:pPr>
      <w:r>
        <w:rPr>
          <w:rFonts w:ascii="Times New Roman" w:hAnsi="Times New Roman" w:cs="Times New Roman" w:eastAsia="Times New Roman"/>
          <w:b w:val="0"/>
          <w:i w:val="0"/>
          <w:sz w:val="24"/>
        </w:rPr>
        <w:t>“Toxic lipid metabolites such as diacylglycerols, lysophosphatidyl choline, and other unsaturated metabolites generated due to oxidative stress, cause cellular damage 4 . This lipotoxicity considered a potential pro-steatotic mediator, is also a key factor in the progression of metabolic dysfunction. Therefore, even in the absence of overweight, acute hunger or chronic stress-induced oxidative stress can cause severe disruptions in lipid metabolism, further increasing the risk of all-cause mortality 5 . While antioxidants and ROS scavengers can alleviate metabolic dysfunction in animal models and some antioxidants have been trialed in clinical settings, long-term antioxidant treatment has potential safety issues, and there is currently no ideal drug available 6 , 7 . Thus, it is crucial to understand the molecular mechanisms that lead to oxidative stress-induced lipid metabolic dysfunction.”  [PMC11016120 ¶5]</w:t>
      </w:r>
    </w:p>
    <w:p>
      <w:pPr>
        <w:spacing w:after="120"/>
        <w:jc w:val="both"/>
      </w:pPr>
      <w:r>
        <w:rPr>
          <w:rFonts w:ascii="Times New Roman" w:hAnsi="Times New Roman" w:cs="Times New Roman" w:eastAsia="Times New Roman"/>
          <w:b w:val="0"/>
          <w:i w:val="0"/>
          <w:sz w:val="24"/>
        </w:rPr>
        <w:t>“Previous studies have determined that stress leads to adverse metabolic effects by elevating the formation of ROS 35 , 36 . Chronic stress causes upregulation of LBP, which functions to buffer ROS overload, potentially serving as a mechanism underlying stress-induced obesity. This effect prevents tissue injury and systemic dysfunction, which may represent metabolically healthy obesity 37 . Our study provides a reference for its therapeutic scenarios. The use of Polyene phosphatidylcholine may result in greater liver damage when the fatty liver is caused by acute starvation or other acute oxidative stress. Although the core of LDs is widely considered to be a hydrophobic environment primarily composed of neutral lipids, there have been reported of polar molecules, including certain cytoplasmic proteins, such as PAT family proteins and cyclooxygenases, inside LDs 38 , 39 . However, the exact mechanism underlying the incorporation and localization of these polar molecules within LDs remain to be fully elucidated.”  [PMC11016120 ¶49]</w:t>
      </w:r>
    </w:p>
    <w:p>
      <w:pPr>
        <w:keepNext/>
        <w:spacing w:before="280" w:after="80"/>
        <w:outlineLvl w:val="1"/>
      </w:pPr>
      <w:r>
        <w:rPr>
          <w:rFonts w:ascii="Times New Roman" w:hAnsi="Times New Roman" w:cs="Times New Roman" w:eastAsia="Times New Roman"/>
          <w:b/>
          <w:i w:val="0"/>
          <w:color w:val="335588"/>
          <w:sz w:val="28"/>
        </w:rPr>
        <w:t>10.6  Dose-response and pharmacokinetic prose — verbatim extracts</w:t>
      </w:r>
    </w:p>
    <w:p>
      <w:pPr>
        <w:spacing w:before="120" w:after="80"/>
        <w:jc w:val="both"/>
      </w:pPr>
      <w:r>
        <w:rPr>
          <w:rFonts w:ascii="Times New Roman" w:hAnsi="Times New Roman" w:cs="Times New Roman" w:eastAsia="Times New Roman"/>
          <w:b/>
          <w:i w:val="0"/>
          <w:sz w:val="24"/>
        </w:rPr>
        <w:t>Verbatim paragraphs on dosing, routes, and pharmacokinetics:</w:t>
      </w:r>
    </w:p>
    <w:p>
      <w:pPr>
        <w:spacing w:after="120"/>
        <w:jc w:val="both"/>
      </w:pPr>
      <w:r>
        <w:rPr>
          <w:rFonts w:ascii="Times New Roman" w:hAnsi="Times New Roman" w:cs="Times New Roman" w:eastAsia="Times New Roman"/>
          <w:b w:val="0"/>
          <w:i w:val="0"/>
          <w:sz w:val="24"/>
        </w:rPr>
        <w:t>“The purpose of this review is to provide a concise overview of promising NAC usages for the treatment of different human and domestic animal disorders.", "body_text": "1. Introduction N-acetylcysteine (NAC) comes from the amino acid L-cysteine and has been a Food and Drug Administration (FDA) approved drug since 1963. It is recognized as the standard treatment for acetaminophen overdose and has been used as a mucolytic drug since the 1960s [ 1 ]. NAC has also been used as a supplement for decades and, as such, can be found as an over-the-counter nutritional supplement in countries such as the United States, Canada, and Australia [ 1 ]. Therefore, NAC falls into a grey zone with other compounds such as cannabidiol (CBD), but as of August 2022, the FDA has backed away from its hard stance on classifying NAC as a drug and is allowing its sale as a dietary supplement [ 2 ]. NAC\u2019s antioxidant and anti-inflammatory properties make it a promising therapeutic agent for conditions in which oxidative stress is involved [ 1 ].”  [PMC10604897 ¶2]</w:t>
      </w:r>
    </w:p>
    <w:p>
      <w:pPr>
        <w:spacing w:after="120"/>
        <w:jc w:val="both"/>
      </w:pPr>
      <w:r>
        <w:rPr>
          <w:rFonts w:ascii="Times New Roman" w:hAnsi="Times New Roman" w:cs="Times New Roman" w:eastAsia="Times New Roman"/>
          <w:b w:val="0"/>
          <w:i w:val="0"/>
          <w:sz w:val="24"/>
        </w:rPr>
        <w:t>“Due to its disagreeable flavor, NAC is often mixed with fruit juice or a soft drink prior to consumption. In Europe, NAC is available in pills, capsules, and a variety of effervescent \u201cfizzy tab\u201d formulations [ 18 ]. 2. Safety Profile of NAC The safety of NAC has been well-established through numerous pharmacological studies [ 17 ]. Toxicity is rare and dependent on the route of NAC administration and dosage [ 1 ]. NAC can be administered orally, intravenously, or intranasally [ 1 ]. When orally administered, NAC undergoes rapid intestinal absorption and is subsequently metabolized by the liver [ 1 ]. The cysteine released during NAC metabolism is utilized for glutathione (GSH) synthesis, which is vital for immune function and tissue repair [ 1 ]. NAC\u2019s bioavailability following oral administration is less than 10%. Therefore, only a small portion of intact NAC reaches the plasma and tissue [ 1 ].”  [PMC10604897 ¶6]</w:t>
      </w:r>
    </w:p>
    <w:p>
      <w:pPr>
        <w:spacing w:after="120"/>
        <w:jc w:val="both"/>
      </w:pPr>
      <w:r>
        <w:rPr>
          <w:rFonts w:ascii="Times New Roman" w:hAnsi="Times New Roman" w:cs="Times New Roman" w:eastAsia="Times New Roman"/>
          <w:b w:val="0"/>
          <w:i w:val="0"/>
          <w:sz w:val="24"/>
        </w:rPr>
        <w:t>“It has been suggested that the low bioavailability of oral NAC may be due to first-pass metabolism in the small intestine rather than incomplete absorption [ 20 ]. NAC can be found intact, reduced, or in various oxidized forms in the plasma following oral intake [ 1 , 20 ], and individual variation in these NAC metabolites occurs, which is likely due to natural variations in human metabolism and the intestinal microbiota. Comparatively, intravenous or nasal administration allows for rapid delivery of high concentrations of NAC to the circulation as it bypasses the first-pass intestinal and hepatic metabolic pathway [ 1 ]. Considering that NAC bioavailability is influenced by first-pass metabolism, it will be important to address potential gender and age effects, which are known to affect the first-pass metabolism [ 21 , 22 ]. Therefore, an optimal way to maintain a proper therapeutic serum level of NAC after intake should include monitoring NAC metabolite concentrations in the blood to maximize both the efficacy of treatment and patient safety. 3.”  [PMC10604897 ¶7]</w:t>
      </w:r>
    </w:p>
    <w:p>
      <w:pPr>
        <w:jc w:val="center"/>
      </w:pPr>
      <w:r>
        <w:drawing>
          <wp:inline xmlns:a="http://schemas.openxmlformats.org/drawingml/2006/main" xmlns:pic="http://schemas.openxmlformats.org/drawingml/2006/picture">
            <wp:extent cx="5029200" cy="2300859"/>
            <wp:docPr id="86" name="Picture 86"/>
            <wp:cNvGraphicFramePr>
              <a:graphicFrameLocks noChangeAspect="1"/>
            </wp:cNvGraphicFramePr>
            <a:graphic>
              <a:graphicData uri="http://schemas.openxmlformats.org/drawingml/2006/picture">
                <pic:pic>
                  <pic:nvPicPr>
                    <pic:cNvPr id="0" name="p21_i1.jpg"/>
                    <pic:cNvPicPr/>
                  </pic:nvPicPr>
                  <pic:blipFill>
                    <a:blip r:embed="rId12"/>
                    <a:stretch>
                      <a:fillRect/>
                    </a:stretch>
                  </pic:blipFill>
                  <pic:spPr>
                    <a:xfrm>
                      <a:off x="0" y="0"/>
                      <a:ext cx="5029200" cy="2300859"/>
                    </a:xfrm>
                    <a:prstGeom prst="rect"/>
                  </pic:spPr>
                </pic:pic>
              </a:graphicData>
            </a:graphic>
          </wp:inline>
        </w:drawing>
      </w:r>
    </w:p>
    <w:p>
      <w:pPr>
        <w:spacing w:after="160"/>
        <w:jc w:val="center"/>
      </w:pPr>
      <w:r>
        <w:rPr>
          <w:rFonts w:ascii="Times New Roman" w:hAnsi="Times New Roman" w:cs="Times New Roman" w:eastAsia="Times New Roman"/>
          <w:b w:val="0"/>
          <w:i/>
          <w:sz w:val="20"/>
        </w:rPr>
        <w:t>Figure 1 (from PMC10604897): “The three major narratives of NAC’s mechanisms of action.</w:t>
        <w:br/>
        <w:t xml:space="preserve">   graphic: `antioxidants-12-01867-g001.jpg`”</w:t>
      </w:r>
    </w:p>
    <w:p>
      <w:pPr>
        <w:spacing w:after="120"/>
        <w:jc w:val="both"/>
      </w:pPr>
      <w:r>
        <w:rPr>
          <w:rFonts w:ascii="Times New Roman" w:hAnsi="Times New Roman" w:cs="Times New Roman" w:eastAsia="Times New Roman"/>
          <w:b w:val="0"/>
          <w:i w:val="0"/>
          <w:sz w:val="24"/>
        </w:rPr>
        <w:t>“Despite these findings, there is currently no substantial evidence suggesting the existence of active membrane transport systems specific to NAC. ASCT1, the canonical importer of reduced Cys, does not transport negatively charged amino acids, including NAC [ 27 ]. While there have been reports implicating anion exchanger 1 (AE1) as a potential facilitator of NAC uptake into erythrocytes, this remains an area requiring further investigation, as pointed out by Raftos et al. (2007) [ 23 ]. Once absorbed, NAC must undergo deacetylation to yield cysteine. Aminoacylase 1 is believed to be the primary enzyme responsible for deacetylating NAC in this process. 3.1. Adverse Reactions Adverse effects following administration of NAC range from mild to severe and are dependent on the formulation, concentration, and route of administration [ 1 , 28 ] ( Table 1 ). Intravenous NAC and oral NAC are commonly associated with minimal side-effects [ 1 ], such as symptoms of nausea, vomiting, pruritus, and erythema [ 28 , 29 ].”  [PMC10604897 ¶9]</w:t>
      </w:r>
    </w:p>
    <w:p>
      <w:pPr>
        <w:spacing w:after="120"/>
        <w:jc w:val="both"/>
      </w:pPr>
      <w:r>
        <w:rPr>
          <w:rFonts w:ascii="Times New Roman" w:hAnsi="Times New Roman" w:cs="Times New Roman" w:eastAsia="Times New Roman"/>
          <w:b w:val="0"/>
          <w:i w:val="0"/>
          <w:sz w:val="24"/>
        </w:rPr>
        <w:t>“The frequency of NAC side-effects following intravenous administration is significantly higher compared to oral NAC [ 18 ]. Inhaled NAC can result in adverse reactions such as bacterial pneumonia, cough, sore throat, and drug-induced pneumonitis, but coughing is the most prevalent [ 1 , 30 ]. Anaphylactic reactions resulting from NAC are rare and mild or moderate depending on the concentration [ 31 ]; most are typically attributed to intravenous administration due to the transient but significant increase in NAC plasma levels [ 18 ]. Existing data suggests that there is a direct relationship between anaphylactoid reactions and serum NAC concentration [ 31 ]. Symptoms of anaphylactoid reactions include flushing, pruritus, angioedema, bronchospasm, and hypotension [ 32 ]. These anaphylactoid reactions rapidly subside following the discontinuation of NAC administration or lowering the rate of intravenous administration [ 18 ]. 3.2.”  [PMC10604897 ¶10]</w:t>
      </w:r>
    </w:p>
    <w:p>
      <w:pPr>
        <w:spacing w:after="120"/>
        <w:jc w:val="both"/>
      </w:pPr>
      <w:r>
        <w:rPr>
          <w:rFonts w:ascii="Times New Roman" w:hAnsi="Times New Roman" w:cs="Times New Roman" w:eastAsia="Times New Roman"/>
          <w:b w:val="0"/>
          <w:i w:val="0"/>
          <w:sz w:val="24"/>
        </w:rPr>
        <w:t>“NAC Dosing and Pharmacokinetics NAC is commonly taken orally at doses of 600\u20131200 mg daily to treat specific conditions, or even as a dietary supplement. Administration of oral NAC at doses as high as 8000 mg/day is well-tolerated with no clinically significant adverse reactions [ 33 ]. NAC has a half-life of 5.58 h after intravenous administration [ 20 ]. Its half-life following oral administration is 6.25 h, reaching a maximum plasma concentration (Cmax) approximately 1 to 2 h post administration [ 20 ]. 4. Therapeutic Uses of NAC in Animals While studies have been conducted on the therapeutic uses of NAC in livestock and companion animals, in addition to its use as an antidote for acetaminophen poisoning in dogs and cats, limited pharmacokinetic data on NAC exists in the literature for other species. Among the limited pharmacokinetic data available, only two studies discussed the pharmacokinetics of NAC in chickens and healthy cats.”  [PMC10604897 ¶11]</w:t>
      </w:r>
    </w:p>
    <w:p>
      <w:pPr>
        <w:jc w:val="center"/>
      </w:pPr>
      <w:r>
        <w:drawing>
          <wp:inline xmlns:a="http://schemas.openxmlformats.org/drawingml/2006/main" xmlns:pic="http://schemas.openxmlformats.org/drawingml/2006/picture">
            <wp:extent cx="5029200" cy="1144143"/>
            <wp:docPr id="87" name="Picture 87"/>
            <wp:cNvGraphicFramePr>
              <a:graphicFrameLocks noChangeAspect="1"/>
            </wp:cNvGraphicFramePr>
            <a:graphic>
              <a:graphicData uri="http://schemas.openxmlformats.org/drawingml/2006/picture">
                <pic:pic>
                  <pic:nvPicPr>
                    <pic:cNvPr id="0" name="p21_i2.jpg"/>
                    <pic:cNvPicPr/>
                  </pic:nvPicPr>
                  <pic:blipFill>
                    <a:blip r:embed="rId13"/>
                    <a:stretch>
                      <a:fillRect/>
                    </a:stretch>
                  </pic:blipFill>
                  <pic:spPr>
                    <a:xfrm>
                      <a:off x="0" y="0"/>
                      <a:ext cx="5029200" cy="1144143"/>
                    </a:xfrm>
                    <a:prstGeom prst="rect"/>
                  </pic:spPr>
                </pic:pic>
              </a:graphicData>
            </a:graphic>
          </wp:inline>
        </w:drawing>
      </w:r>
    </w:p>
    <w:p>
      <w:pPr>
        <w:spacing w:after="160"/>
        <w:jc w:val="center"/>
      </w:pPr>
      <w:r>
        <w:rPr>
          <w:rFonts w:ascii="Times New Roman" w:hAnsi="Times New Roman" w:cs="Times New Roman" w:eastAsia="Times New Roman"/>
          <w:b w:val="0"/>
          <w:i/>
          <w:sz w:val="20"/>
        </w:rPr>
        <w:t>Figure panel from PMC10604897 (source bitmap p21_i2.jpg).</w:t>
      </w:r>
    </w:p>
    <w:p>
      <w:pPr>
        <w:spacing w:after="120"/>
        <w:jc w:val="both"/>
      </w:pPr>
      <w:r>
        <w:rPr>
          <w:rFonts w:ascii="Times New Roman" w:hAnsi="Times New Roman" w:cs="Times New Roman" w:eastAsia="Times New Roman"/>
          <w:b w:val="0"/>
          <w:i w:val="0"/>
          <w:sz w:val="24"/>
        </w:rPr>
        <w:t>“In the study conducted by Buur et al. (2013), the half-life of NAC following IV and oral administration (100 mg/kg) in healthy cats was found to be 0.78 \u00b1 0.16 h and 1.34 \u00b1 0.24 h, respectively, and the bioavailability of NAC following oral administration was 19.3 \u00b1 4.4% [ 34 ]. The pharmacokinetics of NAC found in the six cats used in this study differs from the values reported for humans; thus extrapolating dosages from human medicine may lead to underdosing cats with acute disease. This study has limitations, however, given its small population size and the assumption that the pharmacokinetics of NAC in diseased cats are similar to that of healthy cats. In the study conducted by Petkova and Milanova (2021), NAC was found to reach a maximum plasma concentration of 2.26 \u00b1 0.91 g/mL 2.47 \u00b1 0.45 h following oral administration of 100 mg/kg in healthy broilers [ 35 ].”  [PMC10604897 ¶12]</w:t>
      </w:r>
    </w:p>
    <w:p>
      <w:pPr>
        <w:spacing w:after="120"/>
        <w:jc w:val="both"/>
      </w:pPr>
      <w:r>
        <w:rPr>
          <w:rFonts w:ascii="Times New Roman" w:hAnsi="Times New Roman" w:cs="Times New Roman" w:eastAsia="Times New Roman"/>
          <w:b w:val="0"/>
          <w:i w:val="0"/>
          <w:sz w:val="24"/>
        </w:rPr>
        <w:t>“NAC\u2019s half-life was found to be 1.04 \u00b1 0.53 h. The authors also did not find any significant difference between NAC\u2019s pharmacokinetics in healthy broilers versus Mycoplasma gallisepticum-infected broilers. 5. Therapeutic Uses of NAC in Humans NAC is one of the most used antioxidants in clinical practice to date [ 16 , 17 , 36 ]. There has been a growing interest over the past few decades to use NAC as a potential treatment for a wide range of diseases and disorders in which oxidative stress is suspected to play a role [ 17 , 37 ], including respiratory, cardiovascular, neurodegenerative, liver, kidney, gastrointestinal, and infectious diseases [ 1 ]. antioxidants-12-01867-t001_Table 1 Table 1 N-acetylcysteine adverse events. Study Study Type Study Size NAC Treatment Type and Incidence of Adverse Events following NAC Treatment Moderate Severe [ 38 ] Double-blinded, placebo-controlled, crossover design 17 healthy individuals (age 30 \u00b1 2 years) 9 mg/kg NAC capsule Upset stomach (2), nausea (1), stomach/intestinal gas (1), cough (1) 18 mg/kg NAC capsule Upset stomach (1), nausea (1), stomach/intestinal gas (2), sleepiness (2), metallic taste (1) 35 mg/kg oral NAC solution Upset stomach (2), stomach/intestinal gas (2), sleepiness (1), metallic taste (1) 70 mg/kg oral NAC solution Upset stomach (2), stomach/intestinal gas (1), sleepiness (3), metallic taste (3), light-headedness (1), cough (1) Upset stomach (1), Stomach/intestinal gas (1) 140 mg/kg oral NAC solution Upset stomach (5), nausea (3), stomach/intestinal gas (2), sleepiness (2), metallic taste (4), light-headedness (1) Upset stomach (1), stomach/intestinal gas (4) [ 39 ] Randomized, placebo-controlled study 28 individuals (\u226475 years) 20 mg/min intravenous NAC for first hour, then 10 mg/min for next 23 h; total dose of 15 g over 24 h Haemorrhage (3), headache (4) Transient episode of extreme sinus bradycardia (1) [ 40 ] Randomized, placebo-controlled study 4 healthy individuals (age 35 \u00b1 3 years) 150 mg/kg intravenous Transient skin flushing (2), pruritus (2), nausea (2) [ 41 ] Double-blind, randomized trial 65 chronic bronchitis patients 4 puffs of NAC (1 mg/puff) two times daily Coughing (4), Dyspnoea (7) 5.1.”  [PMC10604897 ¶13]</w:t>
      </w:r>
    </w:p>
    <w:p>
      <w:pPr>
        <w:spacing w:after="120"/>
        <w:jc w:val="both"/>
      </w:pPr>
      <w:r>
        <w:rPr>
          <w:rFonts w:ascii="Times New Roman" w:hAnsi="Times New Roman" w:cs="Times New Roman" w:eastAsia="Times New Roman"/>
          <w:b w:val="0"/>
          <w:i w:val="0"/>
          <w:sz w:val="24"/>
        </w:rPr>
        <w:t>“With the introduction of the mouse model of APAP hepatotoxicity in the 1970s, fundamental mechanisms of cell death were discovered. This included the recognition that part of the APAP dose is metabolized by cytochrome P450 generating a reactive metabolite that is detoxified by glutathione. After the partial depletion of glutathione, the reactive metabolite will covalently bind to sulfhydryl groups of proteins, which is the initiating event of the toxicity. This insight led to the introduction of N-acetyl-L-cysteine, a glutathione precursor, as antidote against APAP overdose in the clinic. Despite substantial progress in our understanding of the pathomechanisms over the last decades viable new antidotes only emerged recently. This review will discuss the background, mechanisms of action, and the clinical prospects of the existing FDA-approved antidote N-acetylcysteine, of several new drug candidates under clinical development [4-methylpyrazole (fomepizole), calmangafodipir] and examples of additional therapeutic targets (Nrf2 activators) and regeneration promoting agents (thrombopoietin mimetics, adenosine A2B receptor agonists, Wharton\u2019s Jelly mesenchymal stem cells).”  [PMC11315809 ¶1]</w:t>
      </w:r>
    </w:p>
    <w:p>
      <w:pPr>
        <w:spacing w:after="120"/>
        <w:jc w:val="both"/>
      </w:pPr>
      <w:r>
        <w:rPr>
          <w:rFonts w:ascii="Times New Roman" w:hAnsi="Times New Roman" w:cs="Times New Roman" w:eastAsia="Times New Roman"/>
          <w:b w:val="0"/>
          <w:i w:val="0"/>
          <w:sz w:val="24"/>
        </w:rPr>
        <w:t>“Although there are clear limitations of certain therapeutic approaches, there is reason to be optimistic. The substantial progress in the understanding of the pathophysiology of APAP hepatotoxicity led to the consideration of several drugs for development as clinical antidotes against APAP overdose in recent years. Based on the currently available information, it is likely that this will result in additional drugs that could be used as adjunct treatment for N-acetylcysteine.", "body_text": "1. Introduction Acetaminophen (APAP) is a worldwide used analgesic and antipyretic drug, which is safe at therapeutic doses. However, due to its wide availability and low cost, intentional or accidental overdoses are relatively common, especially in western countries. For example, there are roughly 80,000 APAP overdose cases annually presenting to emergency departments with 25,000 patients requiring hospitalization in the United States [ 1 ], more than 80,000 cases in the United Kingdom [ 2 ] and about 11,000 cases in Australia [ 3 ].”  [PMC11315809 ¶2]</w:t>
      </w:r>
    </w:p>
    <w:p>
      <w:pPr>
        <w:spacing w:after="120"/>
        <w:jc w:val="both"/>
      </w:pPr>
      <w:r>
        <w:rPr>
          <w:rFonts w:ascii="Times New Roman" w:hAnsi="Times New Roman" w:cs="Times New Roman" w:eastAsia="Times New Roman"/>
          <w:b w:val="0"/>
          <w:i w:val="0"/>
          <w:sz w:val="24"/>
        </w:rPr>
        <w:t>“APAP overdose is the single most frequent cause of liver injury and acute liver failure in the U.S., UK [ 4 ] and Australia [ 5 ] and is at least a significant etiology of acute liver failure in many other western countries [ 4 ]. As a dose-dependent hepatotoxin, the injury process of APAP toxicity in patients can be accurately reproduced in animals [ 6 , 7 ], especially in mice [ 8 ]. Since the introduction of the mouse model in the 1970s [ 9 , 10 ], the mechanisms of cell death and liver injury have been extensively studied and today many key aspects of the injury mechanism are known [ 11 \u2013 13 ]. Based on the early mechanistic insight, limited to recognition of hepatotoxicity resulting from reactive metabolite formation causing GSH depletion and subsequent protein adduct formation [ 9 , 10 ], N-acetylcysteine (NAC) was discovered to be an effective antidote in animals and patients [ 14 ].”  [PMC11315809 ¶3]</w:t>
      </w:r>
    </w:p>
    <w:p>
      <w:pPr>
        <w:spacing w:after="120"/>
        <w:jc w:val="both"/>
      </w:pPr>
      <w:r>
        <w:rPr>
          <w:rFonts w:ascii="Times New Roman" w:hAnsi="Times New Roman" w:cs="Times New Roman" w:eastAsia="Times New Roman"/>
          <w:b w:val="0"/>
          <w:i w:val="0"/>
          <w:sz w:val="24"/>
        </w:rPr>
        <w:t>“This led to its approval as a clinical antidote in the 1980s [ 15 , 16 ]. Importantly, NAC is still the only clinically approved antidote against APAP overdose in patients more than 40 years later. However, despite its efficacy in most overdose cases, NAC has limited beneficial effects in late-presenting patients and after massive overdoses, and it does not promote regeneration. These limitations drive the continuous search for additional therapeutics that could complement and improve the therapeutic efficacy of NAC. The extensive research into the mechanisms of APAP-induced liver injury resulted in significant progress and identification of novel therapeutic targets. In addition, the dramatically increased number of compounds, especially natural products, being tested in the APAP hepatotoxicity model has led to identification of numerous chemicals said to be putative antidotes [ 17 \u2013 19 ].”  [PMC11315809 ¶4]</w:t>
      </w:r>
    </w:p>
    <w:p>
      <w:pPr>
        <w:spacing w:after="120"/>
        <w:jc w:val="both"/>
      </w:pPr>
      <w:r>
        <w:rPr>
          <w:rFonts w:ascii="Times New Roman" w:hAnsi="Times New Roman" w:cs="Times New Roman" w:eastAsia="Times New Roman"/>
          <w:b w:val="0"/>
          <w:i w:val="0"/>
          <w:sz w:val="24"/>
        </w:rPr>
        <w:t>“In fact, most recently it was suggested to plan for clinical trials using these compounds [ 20 ]. However, despite this extensive research activity, translation of new antidotes to the clinic is constrained. One reason for this limited progress is that the protective mechanisms proposed by these studies are questionable or wrong in most cases as they are mainly based on correlations and not causality assessment [ 21 ]. However, the most serious problem is the fact that almost all compounds are being used in the APAP model as pretreatment, which is a clinically irrelevant scenario [ 21 ]. Any compound with a realistic chance to be considered as an antidote must be effective when administered only after APAP treatment. The limited mechanistic understanding and in particular the absence of a clearly documented therapeutic effect in preclinical models leads to limited confidence that these interventions may work in APAP overdose patients under clinically realistic conditions.”  [PMC11315809 ¶5]</w:t>
      </w:r>
    </w:p>
    <w:p>
      <w:pPr>
        <w:spacing w:after="120"/>
        <w:jc w:val="both"/>
      </w:pPr>
      <w:r>
        <w:rPr>
          <w:rFonts w:ascii="Times New Roman" w:hAnsi="Times New Roman" w:cs="Times New Roman" w:eastAsia="Times New Roman"/>
          <w:b w:val="0"/>
          <w:i w:val="0"/>
          <w:sz w:val="24"/>
        </w:rPr>
        <w:t>“In addition, the costs of safety studies and clinical efficacy trials are too high of a risk for the limited reward, considering the smaller patient numbers. Thus, the main conclusions of most of these intervention studies that compound X acting through Y mechanism may be a promising therapeutic approach for APAP overdose patients are not supported by solid scientific evidence. Nevertheless, in recent years new developments give some hope that there can be progress with emerging novel therapeutics approaches. However, the key to advancing any potential therapeutic is to understand the molecular mechanisms of the disease and have a clear understanding of what the new intervention is targeting. 2. Mechanisms of APAP-induced Liver Injury Mechanistic studies of APAP hepatotoxicity started with the recognition that a part of the dose of APAP is metabolized by cytochrome P450 (Cyp) enzymes [ 6 ], now known to be mainly Cyp2E1 [ 22 ], which generates a reactive metabolite that can be detoxified by GSH [ 9 ].”  [PMC11315809 ¶6]</w:t>
      </w:r>
    </w:p>
    <w:p>
      <w:pPr>
        <w:spacing w:after="120"/>
        <w:jc w:val="both"/>
      </w:pPr>
      <w:r>
        <w:rPr>
          <w:rFonts w:ascii="Times New Roman" w:hAnsi="Times New Roman" w:cs="Times New Roman" w:eastAsia="Times New Roman"/>
          <w:b w:val="0"/>
          <w:i w:val="0"/>
          <w:sz w:val="24"/>
        </w:rPr>
        <w:t>“Superoxide radicals formed in the matrix readily react with nitric oxide radicals to form peroxynitrite in mitochondria [ 30 ]. Peroxynitrite, a powerful oxidant and nitrating species, which causes nitrotyrosine protein adducts in mitochondria, triggers the mitochondrial permeability transition pore (MPTP) opening [ 31 ] and cell necrosis [ 32 ] ( Figure 1 ). These signaling events represent the basic mechanisms of cell death after APAP overdose that also apply to humans [ 33 , 34 ]. They also reveal realistic therapeutic targets that could be exploited with a high probability of success in humans. 3. Antidotes and Emerging Therapeutic Approaches 3.1 N-Acetylcysteine NAC is the only FDA approved antidote for clinical use against APAP overdose in humans. The discovery of NAC was related to the initial mechanistic understanding that the toxicity was caused by a cytochrome P450-mediated formation of a reactive metabolite, which can covalently bind to proteins as the cause of cell death [ 10 ].”  [PMC11315809 ¶8]</w:t>
      </w:r>
    </w:p>
    <w:p>
      <w:pPr>
        <w:spacing w:after="120"/>
        <w:jc w:val="both"/>
      </w:pPr>
      <w:r>
        <w:rPr>
          <w:rFonts w:ascii="Times New Roman" w:hAnsi="Times New Roman" w:cs="Times New Roman" w:eastAsia="Times New Roman"/>
          <w:b w:val="0"/>
          <w:i w:val="0"/>
          <w:sz w:val="24"/>
        </w:rPr>
        <w:t>“However, the then approved prospective multicenter open trials demonstrated the beneficial effect of NAC when administered within 8\u201310 h after the ingestion of an APAP overdose and the gradual loss of this protection in later presenting patients [ 42 . 43 ]. This led to the approval of NAC as a clinical antidote against APAP overdose in the 1980s [ 16 ]. After almost 40 years, no new antidote has been developed. Despite the absence of a randomized control trial, there are officially approved dosing of NAC. However, different doses and potential shorter treatment regimen are regularly being discussed [ 44 \u2013 47 ]. Although NAC is considered highly efficacious in most overdose cases, there are also concerns with patients taking very large overdoses and presenting late for treatment. Changing the NAC doses alone may not be the optimal solution as side effects may become a bigger issue [ 48 ]; it may require adjunct therapies with a wider therapeutic window (e.g., fomepizole) and agents that promote regeneration as discussed in the next sections. 3.2 Fomepizole (4-methylpyrazole) Fomepizole is a clinically approved antidote against methanol and ethylene glycol poisoning due to its property as an alcohol dehydrogenase (ADH) inhibitor [ 49 ].”  [PMC11315809 ¶10]</w:t>
      </w:r>
    </w:p>
    <w:p>
      <w:pPr>
        <w:spacing w:after="120"/>
        <w:jc w:val="both"/>
      </w:pPr>
      <w:r>
        <w:rPr>
          <w:rFonts w:ascii="Times New Roman" w:hAnsi="Times New Roman" w:cs="Times New Roman" w:eastAsia="Times New Roman"/>
          <w:b w:val="0"/>
          <w:i w:val="0"/>
          <w:sz w:val="24"/>
        </w:rPr>
        <w:t>“## Figure captions (2) 1. **Figure 1** — Differential modulation of pro-inflammatory mediators in relation to both the concentration and duration of treatment with N-acetylcysteine in in vitro models of airway inflammation. NAC: N-acetylcysteine; LPS: lipopolysaccharides; NKA: neurokinin A; IL-6: Interleukin-6; TNF-α: tumor necrosis factor-α; IL-8: Interleukin-8; IL-1β: Interleukin-1beta; NF-κB: Nuclear factor kappa B. graphic: `jcm-13-04127-g001.jpg` 2. **Figure 2** — Proposed molecular mechanisms for the therapeutic activity of N-acetylcysteine after oral administration in chronic respiratory diseases. NAC: N-acetylcysteine; GSH: glutathione; RSSH: persulfides; RSS n SR: polysulfides; NKA: neurokinin A; NF-κB: Nuclear factor kappa B; TNF-α: tumor necrosis factor-α; IL-1β: Interleukin-1beta; IL-8: Interleukin-8; ROS: reactive oxygen species. graphic: `jcm-13-04127-g002.jpg` ```json { "pmcid": "PMC11278452", "pmid": "39064168", "doi": "10.3390/jcm13144127", "title": "Anti-Inflammatory and Anti-Oxidant Properties of N-Acetylcysteine: A Fresh Perspective", "journal": "Journal of Clinical Medicine", "year": "2024", "abstract": "N-acetyl-L-cysteine (NAC) was initially introduced as a treatment for mucus reduction and widely used for chronic respiratory conditions associated with mucus overproduction.”  [PMC11278452 ¶1]</w:t>
      </w:r>
    </w:p>
    <w:p>
      <w:pPr>
        <w:spacing w:after="120"/>
        <w:jc w:val="both"/>
      </w:pPr>
      <w:r>
        <w:rPr>
          <w:rFonts w:ascii="Times New Roman" w:hAnsi="Times New Roman" w:cs="Times New Roman" w:eastAsia="Times New Roman"/>
          <w:b w:val="0"/>
          <w:i w:val="0"/>
          <w:sz w:val="24"/>
        </w:rPr>
        <w:t>“However, the mechanism of action for NAC extends beyond its mucolytic activity and is complex and multifaceted. Contrary to other mucoactive drugs, NAC has been found to exhibit antioxidant, anti-infective, and anti-inflammatory activity in pre-clinical and clinical reports. These properties have sparked interest in its potential for treating chronic lung diseases, including chronic obstructive pulmonary disease (COPD), bronchiectasis (BE), cystic fibrosis (CF), and idiopathic pulmonary fibrosis (IPF), which are associated with oxidative stress, increased levels of glutathione and inflammation. NAC\u2019s anti-inflammatory activity is noteworthy, and it is not solely secondary to its antioxidant capabilities. In ex vivo models of COPD exacerbation, the anti-inflammatory effects have been observed even at very low doses, especially with prolonged treatment. The mechanism involves the inhibition of the activation of NF-kB and neurokinin A production, resulting in a reduction in interleukin-6 production, a cytokine abundantly present in the sputum and breath condensate of patients with COPD and correlates with the number of exacerbations.”  [PMC11278452 ¶2]</w:t>
      </w:r>
    </w:p>
    <w:p>
      <w:pPr>
        <w:spacing w:after="120"/>
        <w:jc w:val="both"/>
      </w:pPr>
      <w:r>
        <w:rPr>
          <w:rFonts w:ascii="Times New Roman" w:hAnsi="Times New Roman" w:cs="Times New Roman" w:eastAsia="Times New Roman"/>
          <w:b w:val="0"/>
          <w:i w:val="0"/>
          <w:sz w:val="24"/>
        </w:rPr>
        <w:t>“The unique combination of mucolytic, antioxidant, anti-infective, and anti-inflammatory properties positions NAC as a safe, cost-effective, and efficacious therapy for a plethora of respiratory conditions.", "body_text": "1. Introduction N-acetyl-L-cysteine (NAC) was first introduced in 1965 primarily for its role in promoting mucolysis [ 1 ] and has been the preferred treatment for paracetamol intoxication since the mid-1970s [ 2 ]. Its intravenous formulation for this purpose is recognized on the WHO\u2019s list of Essential Medicines [ 3 ]. The excessive production and secretion of airway mucus have significant importance in the pathophysiology and clinical manifestations of different respiratory diseases, including acute and chronic bronchitis (CB), chronic obstructive pulmonary disease (COPD), bronchiectasis, and cystic fibrosis (CF) [ 4 , 5 ]. Recent evidence indicates that oxidative stress and inflammation contribute to the development of these pathologies, showing a close correlation with clinical outcomes and triggering the overproduction of mucus by glands and goblet cells [ 6 , 7 , 8 , 9 ].”  [PMC11278452 ¶3]</w:t>
      </w:r>
    </w:p>
    <w:p>
      <w:pPr>
        <w:jc w:val="center"/>
      </w:pPr>
      <w:r>
        <w:drawing>
          <wp:inline xmlns:a="http://schemas.openxmlformats.org/drawingml/2006/main" xmlns:pic="http://schemas.openxmlformats.org/drawingml/2006/picture">
            <wp:extent cx="5029200" cy="4259385"/>
            <wp:docPr id="88" name="Picture 88"/>
            <wp:cNvGraphicFramePr>
              <a:graphicFrameLocks noChangeAspect="1"/>
            </wp:cNvGraphicFramePr>
            <a:graphic>
              <a:graphicData uri="http://schemas.openxmlformats.org/drawingml/2006/picture">
                <pic:pic>
                  <pic:nvPicPr>
                    <pic:cNvPr id="0" name="p06_i1.jpg"/>
                    <pic:cNvPicPr/>
                  </pic:nvPicPr>
                  <pic:blipFill>
                    <a:blip r:embed="rId14"/>
                    <a:stretch>
                      <a:fillRect/>
                    </a:stretch>
                  </pic:blipFill>
                  <pic:spPr>
                    <a:xfrm>
                      <a:off x="0" y="0"/>
                      <a:ext cx="5029200" cy="4259385"/>
                    </a:xfrm>
                    <a:prstGeom prst="rect"/>
                  </pic:spPr>
                </pic:pic>
              </a:graphicData>
            </a:graphic>
          </wp:inline>
        </w:drawing>
      </w:r>
    </w:p>
    <w:p>
      <w:pPr>
        <w:spacing w:after="160"/>
        <w:jc w:val="center"/>
      </w:pPr>
      <w:r>
        <w:rPr>
          <w:rFonts w:ascii="Times New Roman" w:hAnsi="Times New Roman" w:cs="Times New Roman" w:eastAsia="Times New Roman"/>
          <w:b w:val="0"/>
          <w:i/>
          <w:sz w:val="20"/>
        </w:rPr>
        <w:t>Figure 1 (from PMC11278452): “Differential modulation of pro-inflammatory mediators in relation to both the concentration and duration of treatment with N-acetylcysteine in in vitro models of airway inflammation. NAC: N-acetylcysteine; LPS: lipopolysaccharides; NKA: neurokinin A; IL-6: Interleukin-6; TNF-α: tumor necrosis factor-α; IL-8: Interleukin-8; IL-1β: Interleukin-1beta; NF-κB: Nu”</w:t>
      </w:r>
    </w:p>
    <w:p>
      <w:pPr>
        <w:spacing w:after="120"/>
        <w:jc w:val="both"/>
      </w:pPr>
      <w:r>
        <w:rPr>
          <w:rFonts w:ascii="Times New Roman" w:hAnsi="Times New Roman" w:cs="Times New Roman" w:eastAsia="Times New Roman"/>
          <w:b w:val="0"/>
          <w:i w:val="0"/>
          <w:sz w:val="24"/>
        </w:rPr>
        <w:t>“The aim of this review is to gather data on the multifaceted properties of NAC [ 13 ], with a specific focus on its anti-inflammatory role. The analysis emphasizes findings from various studies, highlighting the impact of dosage and treatment duration on NAC\u2019s anti-inflammatory effectiveness [ 24 , 25 , 26 , 27 , 28 , 29 ]. The evidence suggests that lower doses may prove effective when administered over an extended treatment period [ 24 , 25 , 26 , 27 , 28 , 29 ]. The goal is to present NAC, traditionally recognized as a dual-action mucolytic and anti-oxidant agent, capable of fluidifying mucus secretions and clearing the airways, as a versatile drug with a multifaceted mechanism of action, rendering it a suitable pharmacological option for a variety of chronic respiratory pathologies characterized by mucus hyperproduction, oxidative stress, and inflammation. 2. Methods The authors performed a comprehensive non-systematic review of the existing literature on PubMed/MEDLINE and Google Scholar, until February 2024, using the following keywords: \u201cN-acetylcysteine\u201d AND \u201canti-inflammatory\u201d OR \u201cmucolytic\u201d OR \u201cantioxidant\u201d OR \u201cchronic respiratory disease\u201d OR \u201cchronic obstructive pulmonary disease\u201d OR \u201cidiopathic pulmonary fibrosis\u201d OR \u201cbronchiectasis\u201d OR \u201ccystic fibrosis\u201d OR \u201casthma\u201d OR \u201cbronchitis\u201d OR \u201canti-infective\u201d. 3.”  [PMC11278452 ¶7]</w:t>
      </w:r>
    </w:p>
    <w:p>
      <w:pPr>
        <w:spacing w:after="120"/>
        <w:jc w:val="both"/>
      </w:pPr>
      <w:r>
        <w:rPr>
          <w:rFonts w:ascii="Times New Roman" w:hAnsi="Times New Roman" w:cs="Times New Roman" w:eastAsia="Times New Roman"/>
          <w:b w:val="0"/>
          <w:i w:val="0"/>
          <w:sz w:val="24"/>
        </w:rPr>
        <w:t>“However, NAC also possesses the capability to directly engage with oxidants such as hydroxyl radical, hydrogen peroxide, and hypochloric acid [ 30 , 34 ]. The pharmacological characterization of NAC\u2019s anti-oxidant effect took place in the human ex vivo model of acute exacerbations of COPD (AECOPD) consisting of lipopolysaccharide (LPS)-stimulated human bronchi. In two different studies performed by Cazzola et al. [ 27 ] and Calzetta et al. [ 28 ], NAC led to a decrease in LPS-induced malondialdehyde, H 2 O 2 , peroxidase activity, and nitric oxide (NO) production at concentrations of 1\u201310 \u00b5M and 16\u201335 \u00b5M, respectively. Notably, there was also a normalization of GSH levels in the aforementioned two separate studies [ 27 , 28 ], with one study reporting increased superoxide dismutase (SOD) activity by approximately 150% compared to LPS-treated bronchi [ 27 ]. Currently, oxidative stress is recognized as a key predisposing factor in the development of COPD, with an imbalanced oxidant/anti-oxidant state particularly pronounced during AECOPD [ 43 ].”  [PMC11278452 ¶11]</w:t>
      </w:r>
    </w:p>
    <w:p>
      <w:pPr>
        <w:spacing w:after="120"/>
        <w:jc w:val="both"/>
      </w:pPr>
      <w:r>
        <w:rPr>
          <w:rFonts w:ascii="Times New Roman" w:hAnsi="Times New Roman" w:cs="Times New Roman" w:eastAsia="Times New Roman"/>
          <w:b w:val="0"/>
          <w:i w:val="0"/>
          <w:sz w:val="24"/>
        </w:rPr>
        <w:t>“Factors such as inflammation, microbial infection, or smoke exposure can increase GSH content in bronchoalveolar lavage fluid (BALF) as a protective measure against further lung damage [ 40 ]. While GSH concentration increases in the BALF of stable COPD patients, it diminishes during AECOPD [ 44 ]. This indicates that the increase in GSH levels within the lungs is inadequate to effectively counterbalance the significant production of ROS. Maintaining adequate GSH levels is crucial to counteract excessive ROS production during AECOPD [ 45 ]. Thus, therapeutic approaches focused on increasing GSH levels could potentially be beneficial in managing the severity of AECOPD and reducing the occurrence of future episodes. In this context, NAC shows efficacy in restoring the depleted pool of intracellular GSH during AECOPD [ 46 , 47 ] by elevating GSH levels in plasma and BALF [ 48 ]. NAC also reduces ROS secretion by alveolar macrophages (AM) [ 49 ] and exhaled H 2 O 2 and decreases H 2 O 2 production in the respiratory tract of COPD patients [ 50 ].”  [PMC11278452 ¶12]</w:t>
      </w:r>
    </w:p>
    <w:p>
      <w:pPr>
        <w:jc w:val="center"/>
      </w:pPr>
      <w:r>
        <w:drawing>
          <wp:inline xmlns:a="http://schemas.openxmlformats.org/drawingml/2006/main" xmlns:pic="http://schemas.openxmlformats.org/drawingml/2006/picture">
            <wp:extent cx="5029200" cy="3369819"/>
            <wp:docPr id="89" name="Picture 89"/>
            <wp:cNvGraphicFramePr>
              <a:graphicFrameLocks noChangeAspect="1"/>
            </wp:cNvGraphicFramePr>
            <a:graphic>
              <a:graphicData uri="http://schemas.openxmlformats.org/drawingml/2006/picture">
                <pic:pic>
                  <pic:nvPicPr>
                    <pic:cNvPr id="0" name="p08_i1.jpg"/>
                    <pic:cNvPicPr/>
                  </pic:nvPicPr>
                  <pic:blipFill>
                    <a:blip r:embed="rId15"/>
                    <a:stretch>
                      <a:fillRect/>
                    </a:stretch>
                  </pic:blipFill>
                  <pic:spPr>
                    <a:xfrm>
                      <a:off x="0" y="0"/>
                      <a:ext cx="5029200" cy="3369819"/>
                    </a:xfrm>
                    <a:prstGeom prst="rect"/>
                  </pic:spPr>
                </pic:pic>
              </a:graphicData>
            </a:graphic>
          </wp:inline>
        </w:drawing>
      </w:r>
    </w:p>
    <w:p>
      <w:pPr>
        <w:spacing w:after="160"/>
        <w:jc w:val="center"/>
      </w:pPr>
      <w:r>
        <w:rPr>
          <w:rFonts w:ascii="Times New Roman" w:hAnsi="Times New Roman" w:cs="Times New Roman" w:eastAsia="Times New Roman"/>
          <w:b w:val="0"/>
          <w:i/>
          <w:sz w:val="20"/>
        </w:rPr>
        <w:t>Figure 2 (from PMC11278452): “Proposed molecular mechanisms for the therapeutic activity of N-acetylcysteine after oral administration in chronic respiratory diseases. NAC: N-acetylcysteine; GSH: glutathione; RSSH: persulfides; RSS n SR: polysulfides; NKA: neurokinin A; NF-κB: Nuclear factor kappa B; TNF-α: tumor necrosis factor-α; IL-1β: Interleukin-1beta; IL-8: Interleukin-8; ROS: reac”</w:t>
      </w:r>
    </w:p>
    <w:p>
      <w:pPr>
        <w:spacing w:after="120"/>
        <w:jc w:val="both"/>
      </w:pPr>
      <w:r>
        <w:rPr>
          <w:rFonts w:ascii="Times New Roman" w:hAnsi="Times New Roman" w:cs="Times New Roman" w:eastAsia="Times New Roman"/>
          <w:b w:val="0"/>
          <w:i w:val="0"/>
          <w:sz w:val="24"/>
        </w:rPr>
        <w:t>“This is corroborated by De Benedetto et al., who observed a reduction in exhaled H 2 O 2 in patients with COPD after 2 weeks of treatment with NAC at 1200 mg/day administration [ 51 ]. Intriguingly, the reduction in exhaled H 2 O 2 in patients with COPD who received 600 mg/day NAC was observed only after 9\u201312 months [ 50 ], indicating the need for a longer duration of treatment for anti-oxidant effect when lower doses are employed. Collectively, the evidence presented strongly suggests that oxidative stress plays a pivotal role in the pathogenesis of lung abnormalities observed in individuals diagnosed with COPD. Alleviating oxidative stress is anticipated to lead to diminished pulmonary damage and lower the incidence of local infections, thereby significantly slowing the progression of COPD. 3.2. NAC as an Anti-Inflammatory Drug The anti-inflammatory attributes of NAC have been substantiated through various studies [ 13 ].”  [PMC11278452 ¶13]</w:t>
      </w:r>
    </w:p>
    <w:p>
      <w:pPr>
        <w:spacing w:after="120"/>
        <w:jc w:val="both"/>
      </w:pPr>
      <w:r>
        <w:rPr>
          <w:rFonts w:ascii="Times New Roman" w:hAnsi="Times New Roman" w:cs="Times New Roman" w:eastAsia="Times New Roman"/>
          <w:b w:val="0"/>
          <w:i w:val="0"/>
          <w:sz w:val="24"/>
        </w:rPr>
        <w:t>“In the 1980s, multiple investigations suggested that NAC could mitigate cigarette irregularities in polymorphonuclear neutrophils (PMNs) [ 52 ], AM [ 49 , 53 , 54 ], fibroblasts [ 42 ], and epithelial cells [ 55 , 56 ] induced by smoke. In particular, when given to smokers at a high dosage over an 8-week period, NAC has demonstrated efficacy in diminishing airway inflammation by reducing plasma concentrations of elastase and myeloperoxidase, lowering the content of lactoferrin, anti-chymotrypsin, and eosinophil cationic protein (ECP) in BALF, and mitigating the chemotactic activity of neutrophils [ 57 ]. Furthermore, it enhanced AM function in smokers [ 49 ]. In the 1990s, Schreck et al. observed NAC\u2019s effectiveness in reducing the activation of nuclear factor kappa B (NF-kB) in intact Jurkat T cells [ 58 ]. Further support for the anti-inflammatory effect of NAC was provided by data demonstrating a decrease in the chemiluminescence of PMNs in BALF in vitro [ 59 ].”  [PMC11278452 ¶14]</w:t>
      </w:r>
    </w:p>
    <w:p>
      <w:pPr>
        <w:spacing w:after="120"/>
        <w:jc w:val="both"/>
      </w:pPr>
      <w:r>
        <w:rPr>
          <w:rFonts w:ascii="Times New Roman" w:hAnsi="Times New Roman" w:cs="Times New Roman" w:eastAsia="Times New Roman"/>
          <w:b w:val="0"/>
          <w:i w:val="0"/>
          <w:sz w:val="24"/>
        </w:rPr>
        <w:t>“These biotransformations are catalyzed by two different OASSs: OASS-A in the case of sulfate as the S-source and graphic: `molecules-29-00486-g001.jpg` 2. **Figure 2** — Transformation of DL-ATC to L-cysteine. In this enzymatic three-step process, DL-ATC is isomerized to L-ATC by ATC racemase. Then, L-ATC is hydrolyzed to S-carbamyl-L-cysteine (SCC) by L-ATC hydrolase. Finally, SCC is cleaved into L-cysteine, CO 2 , and ammonia by S-cabamyl-L-cysteine amidohydrolase. graphic: `molecules-29-00486-g002.jpg` 3. **Figure 3** — ( a ) Substrate feeding profiles followed by [ 59 ] in the fed-batch L-cysteine production process. The thiosulfate feeding started two hours after the process was inoculated in order to avoid unnecessary oxidative stress on the cells in the initial lag phase. The glucose feeding started after five hours, once the initially added glucose was completely consumed. ( b ) L-cysteine concentration prof graphic: `molecules-29-00486-g003.jpg` 4. **Figure 4** — Flow diagram representation of an L-cysteine purification process according to Boehm [ 62 ].”  [PMC10821248 ¶1]</w:t>
      </w:r>
    </w:p>
    <w:p>
      <w:pPr>
        <w:spacing w:after="120"/>
        <w:jc w:val="both"/>
      </w:pPr>
      <w:r>
        <w:rPr>
          <w:rFonts w:ascii="Times New Roman" w:hAnsi="Times New Roman" w:cs="Times New Roman" w:eastAsia="Times New Roman"/>
          <w:b w:val="0"/>
          <w:i w:val="0"/>
          <w:sz w:val="24"/>
        </w:rPr>
        <w:t>“It can be produced by most eukaryotic and prokaryotic organisms. This amino acid is semi-essential in humans, since it can be synthesized endogenously or directly absorbed from an L-cysteine-rich diet. In cells, cysteine can be produced via the reverse transsulfuration pathway from L-methionine [ 1 ] or from L-serine through acetylation and subsequent sulfhydration [ 2 ]. Figure 1 presents a step-by-step diagram for these pathways. The cells tightly control the intracellular L-cysteine concentration because already-low concentrations can be cytotoxic [ 3 , 4 ]. Intracellular L-cysteine plays a vital role as a precursor for protein synthesis, and for the production of glutathione, hydrogen sulfide, and taurine [ 5 ]. In humans and animals, L-cysteine is primarily found in the hair, nails, and skin, especially in collagen. Prokaryotic cells use L-cysteine mostly in proteins, in enzymes for the formation of iron\u2013sulfur clusters, or as a source of sulfur for other macromolecules [ 6 ].”  [PMC10821248 ¶4]</w:t>
      </w:r>
    </w:p>
    <w:p>
      <w:pPr>
        <w:spacing w:after="120"/>
        <w:jc w:val="both"/>
      </w:pPr>
      <w:r>
        <w:rPr>
          <w:rFonts w:ascii="Times New Roman" w:hAnsi="Times New Roman" w:cs="Times New Roman" w:eastAsia="Times New Roman"/>
          <w:b w:val="0"/>
          <w:i w:val="0"/>
          <w:sz w:val="24"/>
        </w:rPr>
        <w:t>“Table 1 at the end of this chapter summarizes the maximal L-cysteine concentrations achieved by applying these metabolic engineering approaches, as well as the organism and scale of the process by which they were reached. 2.1. Biosynthesis of L-Cysteine The acetylation of L-serine catalyzed by serine acetyltransferase (SAT) is the rate-limiting step of L-cysteine biosynthesis in many microorganisms. The activity of SAT is suppressed by L-cysteine via feedback inhibition ( Figure 2 ). An approach to enhance the fermentative production of L-cysteine utilizes feedback inhibition-insensitive SATs. These SATs are obtained by the following means: Engineering SAT from E. coli through site-directed mutagenesis or random mutagenesis [ 29 , 30 ]; Utilizing natural SAT from higher plants insensitive to feedback inhibition [ 31 , 32 ]. Nakamori et al. [ 33 ] obtained feedback inhibition-insensitive SATs by engineering SAT from E. coli through site-directed mutagenesis using PCR.”  [PMC10821248 ¶12]</w:t>
      </w:r>
    </w:p>
    <w:p>
      <w:pPr>
        <w:jc w:val="center"/>
      </w:pPr>
      <w:r>
        <w:drawing>
          <wp:inline xmlns:a="http://schemas.openxmlformats.org/drawingml/2006/main" xmlns:pic="http://schemas.openxmlformats.org/drawingml/2006/picture">
            <wp:extent cx="5029200" cy="3693319"/>
            <wp:docPr id="90" name="Picture 90"/>
            <wp:cNvGraphicFramePr>
              <a:graphicFrameLocks noChangeAspect="1"/>
            </wp:cNvGraphicFramePr>
            <a:graphic>
              <a:graphicData uri="http://schemas.openxmlformats.org/drawingml/2006/picture">
                <pic:pic>
                  <pic:nvPicPr>
                    <pic:cNvPr id="0" name="p02_i1.jpg"/>
                    <pic:cNvPicPr/>
                  </pic:nvPicPr>
                  <pic:blipFill>
                    <a:blip r:embed="rId9"/>
                    <a:stretch>
                      <a:fillRect/>
                    </a:stretch>
                  </pic:blipFill>
                  <pic:spPr>
                    <a:xfrm>
                      <a:off x="0" y="0"/>
                      <a:ext cx="5029200" cy="3693319"/>
                    </a:xfrm>
                    <a:prstGeom prst="rect"/>
                  </pic:spPr>
                </pic:pic>
              </a:graphicData>
            </a:graphic>
          </wp:inline>
        </w:drawing>
      </w:r>
    </w:p>
    <w:p>
      <w:pPr>
        <w:spacing w:after="160"/>
        <w:jc w:val="center"/>
      </w:pPr>
      <w:r>
        <w:rPr>
          <w:rFonts w:ascii="Times New Roman" w:hAnsi="Times New Roman" w:cs="Times New Roman" w:eastAsia="Times New Roman"/>
          <w:b w:val="0"/>
          <w:i/>
          <w:sz w:val="20"/>
        </w:rPr>
        <w:t>Figure 1 (from PMC10821248): “Metabolic pathways for L-cysteine biosynthesis in microorganisms. In the L-serine O-acetyltransferase-O-acetyl-L-serine (SAT-OASS) pathway, there are two branches for the transformation of O-acetyl-L-serine (OAS) into L-cysteine, depending on the sulfur source available to the organism. These biotransformations are catalyzed by two different OASSs: OASS-A in”</w:t>
      </w:r>
    </w:p>
    <w:p>
      <w:pPr>
        <w:spacing w:after="120"/>
        <w:jc w:val="both"/>
      </w:pPr>
      <w:r>
        <w:rPr>
          <w:rFonts w:ascii="Times New Roman" w:hAnsi="Times New Roman" w:cs="Times New Roman" w:eastAsia="Times New Roman"/>
          <w:b w:val="0"/>
          <w:i w:val="0"/>
          <w:sz w:val="24"/>
        </w:rPr>
        <w:t>“Another approach to obtain feedback inhibition-insensitive SATs could be to use natural SATs from higher plants. In Arabidopsis thaliana , three cDNA clones encoding SAT isoforms (SAT-c, SAT-p, and SAT-m) have been isolated. Noji et al. [ 33 ] analyzed these SATs and reported that SAT-p and SAT-m were feedback inhibition-insensitive isozymes. However, the activity of SAT-c was feedback inhibited by a low concentration of L-cysteine. Takagi et al. [ 31 ] expressed two cDNAs from A. thaliana encoding feedback inhibition-insensitive SAT (SAT-p and SAT-m) in the E. coli strain JM39-8, and reported an increased production of L-cysteine (1.6\u20131.7 g L \u22121 ) when cultivated for 96 h in shaking flasks containing a minimal medium at 30 \u00b0C. Wirtz and Hell [ 32 ] isolated three new cDNAs from Nicotiana tabacum encoding SATs and reported that the SAT4 isoform has a lower feedback sensitivity than the previously reported SATs.”  [PMC10821248 ¶14]</w:t>
      </w:r>
    </w:p>
    <w:p>
      <w:pPr>
        <w:spacing w:after="120"/>
        <w:jc w:val="both"/>
      </w:pPr>
      <w:r>
        <w:rPr>
          <w:rFonts w:ascii="Times New Roman" w:hAnsi="Times New Roman" w:cs="Times New Roman" w:eastAsia="Times New Roman"/>
          <w:b w:val="0"/>
          <w:i w:val="0"/>
          <w:sz w:val="24"/>
        </w:rPr>
        <w:t>“The results showed that the expression of SAT4 in E. coli causes a 50-fold increase in the accumulation of L-cysteine in the medium. Kai et al. [ 34 ] analyzed the crystal structure and reaction mechanism of SAT and introduced various amino acid substitutions to change the position of Asp92. As a result, they designed a mutant SAT having a high enzymatic activity and low sensitivity to inhibition by L-cysteine. For one promising mutant, the inhibitory L-cysteine concentration that halved the enzyme\u2019s activity went from the wild type\u2019s 0.8 \u00b5M to 410 \u00b5M, while simultaneously increasing the initial enzymatic activity by 220 \u00b5M mg \u22121 min \u22121 . In another study, a strain of P. ananatis that carried a mutant of the gene cysE (cysEX) coding for a feedback-insensitive SAT was constructed. A second strain of P. ananatis , additionally harboring a plasmid with the gene cefA , which codes for an L-cysteine efflux pump, was generated.”  [PMC10821248 ¶15]</w:t>
      </w:r>
    </w:p>
    <w:p>
      <w:pPr>
        <w:spacing w:after="120"/>
        <w:jc w:val="both"/>
      </w:pPr>
      <w:r>
        <w:rPr>
          <w:rFonts w:ascii="Times New Roman" w:hAnsi="Times New Roman" w:cs="Times New Roman" w:eastAsia="Times New Roman"/>
          <w:b w:val="0"/>
          <w:i w:val="0"/>
          <w:sz w:val="24"/>
        </w:rPr>
        <w:t>“A strain of P. ananatis carrying the gene cefA was able to produce 900 mg L \u22121 of L-cysteine in agitated test tubes, which is roughly four times the amount produced by the P. ananatis strain carrying only the feedback-insensitive SAT [ 6 ]. C. glutamicum is a nonpathogenic and high G+C gram-positive bacterium industrially used for decades for the fermentative production of amino acids such as L-glutamic acid and L-lysine [ 35 , 36 ]. Joo et al. [ 37 ] investigated the effect of the overexpression of genes encoding SAT, OASS, and a transcriptional regulator in C. glutamicum . The results showed that L-cysteine production was enhanced by approximately three-fold, with the recombinant strain reaching a maximal L-cysteine concentration of approximately 60 mg L \u22121 in shake flasks at 30 \u00b0C after 15 h of cultivation. Wei et al. [ 7 ] further engineered C. glutamicum for L-cysteine production by enhancing the L-serine biosynthetic pathway, expressing the gene encoding feedback inhibition-insensitive SAT, deleting genes encoding CD, and increasing the L-cysteine export.”  [PMC10821248 ¶16]</w:t>
      </w:r>
    </w:p>
    <w:p>
      <w:pPr>
        <w:jc w:val="center"/>
      </w:pPr>
      <w:r>
        <w:drawing>
          <wp:inline xmlns:a="http://schemas.openxmlformats.org/drawingml/2006/main" xmlns:pic="http://schemas.openxmlformats.org/drawingml/2006/picture">
            <wp:extent cx="5029200" cy="2124837"/>
            <wp:docPr id="91" name="Picture 91"/>
            <wp:cNvGraphicFramePr>
              <a:graphicFrameLocks noChangeAspect="1"/>
            </wp:cNvGraphicFramePr>
            <a:graphic>
              <a:graphicData uri="http://schemas.openxmlformats.org/drawingml/2006/picture">
                <pic:pic>
                  <pic:nvPicPr>
                    <pic:cNvPr id="0" name="p12_i1.jpg"/>
                    <pic:cNvPicPr/>
                  </pic:nvPicPr>
                  <pic:blipFill>
                    <a:blip r:embed="rId10"/>
                    <a:stretch>
                      <a:fillRect/>
                    </a:stretch>
                  </pic:blipFill>
                  <pic:spPr>
                    <a:xfrm>
                      <a:off x="0" y="0"/>
                      <a:ext cx="5029200" cy="2124837"/>
                    </a:xfrm>
                    <a:prstGeom prst="rect"/>
                  </pic:spPr>
                </pic:pic>
              </a:graphicData>
            </a:graphic>
          </wp:inline>
        </w:drawing>
      </w:r>
    </w:p>
    <w:p>
      <w:pPr>
        <w:spacing w:after="160"/>
        <w:jc w:val="center"/>
      </w:pPr>
      <w:r>
        <w:rPr>
          <w:rFonts w:ascii="Times New Roman" w:hAnsi="Times New Roman" w:cs="Times New Roman" w:eastAsia="Times New Roman"/>
          <w:b w:val="0"/>
          <w:i/>
          <w:sz w:val="20"/>
        </w:rPr>
        <w:t>Figure 2 (from PMC10821248): “Transformation of DL-ATC to L-cysteine. In this enzymatic three-step process, DL-ATC is isomerized to L-ATC by ATC racemase. Then, L-ATC is hydrolyzed to S-carbamyl-L-cysteine (SCC) by L-ATC hydrolase. Finally, SCC is cleaved into L-cysteine, CO 2 , and ammonia by S-cabamyl-L-cysteine amidohydrolase.</w:t>
        <w:br/>
        <w:t xml:space="preserve">   graphic: `molecules-29-00486-g002.jpg`”</w:t>
      </w:r>
    </w:p>
    <w:p>
      <w:pPr>
        <w:spacing w:after="120"/>
        <w:jc w:val="both"/>
      </w:pPr>
      <w:r>
        <w:rPr>
          <w:rFonts w:ascii="Times New Roman" w:hAnsi="Times New Roman" w:cs="Times New Roman" w:eastAsia="Times New Roman"/>
          <w:b w:val="0"/>
          <w:i w:val="0"/>
          <w:sz w:val="24"/>
        </w:rPr>
        <w:t>“Liu et al. [ 13 ] overexpressed the feedback-resistant serA as well as wild-type variants of the two subsequent enzymes of the pathway, phosphoserine transferase ( serB ) and phosphoserine phosphate-lyase ( serC ), to produce L-serine. The E. coli strain accumulated 11.7 g L \u22121 of L-serine after 48 h in shake flask experiments with glucose as the carbon source, which was the highest concentration so far. From these results, it was concluded that the overexpression of serA along with serC and serB in the L-serine synthesis pathway was effective in increasing the production of L-cysteine, which resulted in L-cysteine concentrations in shake flask experiments of about 492.0 mg L \u22121 , with a yield of about 47 mg of L-cysteine g \u22121 glucose in 48 h [ 13 ]. 2.2. Weakening the Degradation of L-Cysteine It is well known that disrupting the degradation pathway and enhancing metabolic fluxes for the desired amino acids are effective approaches to improve their production [ 19 , 39 , 40 , 41 ].”  [PMC10821248 ¶18]</w:t>
      </w:r>
    </w:p>
    <w:p>
      <w:pPr>
        <w:spacing w:after="120"/>
        <w:jc w:val="both"/>
      </w:pPr>
      <w:r>
        <w:rPr>
          <w:rFonts w:ascii="Times New Roman" w:hAnsi="Times New Roman" w:cs="Times New Roman" w:eastAsia="Times New Roman"/>
          <w:b w:val="0"/>
          <w:i w:val="0"/>
          <w:sz w:val="24"/>
        </w:rPr>
        <w:t>“Nonaka and Takumi [ 48 ] identified the yhaM gene, which encodes cysteine desulfidase and decomposes L-cysteine into hydrogen sulfide, pyruvate, and ammonium in E. coli . They reported that yhaM is L-cysteine inducible; therefore, it could serve as the main target for metabolic engineering to enhance L-cysteine production. Loddeke et al. [ 49 ] reported that L-cysteine desulfidase (CyuA) is the major enzyme that degrades L-cysteine during anaerobic growth in both E. coli and Salmonella enterica . In their research, \u0394cyuA mutants of both species grown with L-cysteine anaerobically presented a reduced growth capacity and a 57% reduction in their sulfur production. The authors postulated that the presence of cyuA is a vestige predating the separation of bacteria and archaea and has three possible functions in bacteria: the use of L-cysteine as a carbon source, the detoxification of L-cysteine at growth-inhibiting concentrations, and the modulation of intracellular L-cysteine levels at nontoxic concentrations.”  [PMC10821248 ¶22]</w:t>
      </w:r>
    </w:p>
    <w:p>
      <w:pPr>
        <w:spacing w:after="120"/>
        <w:jc w:val="both"/>
      </w:pPr>
      <w:r>
        <w:rPr>
          <w:rFonts w:ascii="Times New Roman" w:hAnsi="Times New Roman" w:cs="Times New Roman" w:eastAsia="Times New Roman"/>
          <w:b w:val="0"/>
          <w:i w:val="0"/>
          <w:sz w:val="24"/>
        </w:rPr>
        <w:t>“Focus on Oxidative and Nitrosative Stress Oxidative and nitrosative stresses are a disturbance in the redox state of the cell, in which the production of ROS and RNS overcomes the antioxidant defenses. RNS are highly reactive molecules derived from NO. Examples of RNS include ONOO \u2212 , nitrogen dioxide (NO 2 ), dinitrogen trioxide (N 2 O 3 ), nitroxyl anion (HNO/NO \u2212 ), and S-nitrosothiols (RSNOs) [ 11 , 15 , 35 , 39 , 40 ]. These molecules can participate in both physiological signaling and pathological processes, depending on their concentration and cellular context. In particular, in the case of oxidative stress due to RNS, the alteration of NO signaling is observed due to a relative increase in the amounts of RNS or by an inappropriate production, which can be caused by or associated with a disturbance in the redox state [ 35 , 36 , 37 , 38 , 39 , 40 ]. Oxidative and nitrosative stresses contribute to a cascade of events that drive both cell death and the increased expression of various inflammatory mediators.”  [PMC11939635 ¶20]</w:t>
      </w:r>
    </w:p>
    <w:p>
      <w:pPr>
        <w:spacing w:after="120"/>
        <w:jc w:val="both"/>
      </w:pPr>
      <w:r>
        <w:rPr>
          <w:rFonts w:ascii="Times New Roman" w:hAnsi="Times New Roman" w:cs="Times New Roman" w:eastAsia="Times New Roman"/>
          <w:b w:val="0"/>
          <w:i w:val="0"/>
          <w:sz w:val="24"/>
        </w:rPr>
        <w:t>“Following senescence at the level of ECs, an increase in the expression of pro-inflammatory cytokines is observed, thus hypothesizing that aging is a cause of the compromised of vascular tone caused by the accumulation of nitro-oxidative stress and mitochondrial damage [ 67 ]. In summary , ED occurs when the balance between vasodilatory and vasoconstrictive factors is disrupted, leading to impaired vascular tone, thrombosis, and inflammation. This imbalance is driven by oxidative and nitrosative stress, where ROS and RNS exceed antioxidant defenses. ROS/RNS can mediate both physiological and pathological processes depending on many circumstances, including their concentration. Key factors contributing to ED include mitochondrial dysfunction, uncoupling of eNOS, and dysregulation of NADPH oxidase enzymes, particularly NOX2 and NOX4, which play a role in endothelial activation and vascular injury.”  [PMC11939635 ¶25]</w:t>
      </w:r>
    </w:p>
    <w:p>
      <w:pPr>
        <w:spacing w:after="120"/>
        <w:jc w:val="both"/>
      </w:pPr>
      <w:r>
        <w:rPr>
          <w:rFonts w:ascii="Times New Roman" w:hAnsi="Times New Roman" w:cs="Times New Roman" w:eastAsia="Times New Roman"/>
          <w:b w:val="0"/>
          <w:i w:val="0"/>
          <w:sz w:val="24"/>
        </w:rPr>
        <w:t>“GPx-1 deficiency is directly related to the development of ED, inflammation and neointimal formation, suggesting a role of ROS in altering the amount and function of NO [ 74 , 75 ]. A beneficial role is ascribed to selenium; indeed, its intake directly regulates GPX1 expression and levels, with selenium supplementation reducing susceptibility to CVDs, while selenium deficiency increases the risk of CVDs [ 76 , 77 ]. GPX1 is a selenoprotein negatively affected by homocysteinemia, leading to oxidative stress, reduced NO bioavailability, and ED. Elevated homocysteine levels lead to reduced expression and activity of GPX1, resulting in increased ROS accumulation and endothelial damage. Conversely, GPX1 overexpression can restore vascular function, emphasizing its crucial role in mitigating hyperhomocysteinemia-induced dysfunction [ 78 , 79 , 80 ]. Furthermore, the Trx/TXNRD system is implicated in ED protection, linked to homocysteine-induced oxidative stress and atherogenesis.”  [PMC11939635 ¶28]</w:t>
      </w:r>
    </w:p>
    <w:p>
      <w:pPr>
        <w:jc w:val="center"/>
      </w:pPr>
      <w:r>
        <w:drawing>
          <wp:inline xmlns:a="http://schemas.openxmlformats.org/drawingml/2006/main" xmlns:pic="http://schemas.openxmlformats.org/drawingml/2006/picture">
            <wp:extent cx="5029200" cy="2916365"/>
            <wp:docPr id="92" name="Picture 92"/>
            <wp:cNvGraphicFramePr>
              <a:graphicFrameLocks noChangeAspect="1"/>
            </wp:cNvGraphicFramePr>
            <a:graphic>
              <a:graphicData uri="http://schemas.openxmlformats.org/drawingml/2006/picture">
                <pic:pic>
                  <pic:nvPicPr>
                    <pic:cNvPr id="0" name="p11_i1.jpg"/>
                    <pic:cNvPicPr/>
                  </pic:nvPicPr>
                  <pic:blipFill>
                    <a:blip r:embed="rId16"/>
                    <a:stretch>
                      <a:fillRect/>
                    </a:stretch>
                  </pic:blipFill>
                  <pic:spPr>
                    <a:xfrm>
                      <a:off x="0" y="0"/>
                      <a:ext cx="5029200" cy="2916365"/>
                    </a:xfrm>
                    <a:prstGeom prst="rect"/>
                  </pic:spPr>
                </pic:pic>
              </a:graphicData>
            </a:graphic>
          </wp:inline>
        </w:drawing>
      </w:r>
    </w:p>
    <w:p>
      <w:pPr>
        <w:spacing w:after="160"/>
        <w:jc w:val="center"/>
      </w:pPr>
      <w:r>
        <w:rPr>
          <w:rFonts w:ascii="Times New Roman" w:hAnsi="Times New Roman" w:cs="Times New Roman" w:eastAsia="Times New Roman"/>
          <w:b w:val="0"/>
          <w:i/>
          <w:sz w:val="20"/>
        </w:rPr>
        <w:t>Figure 1 (from PMC11939635): “Key molecular mechanisms linking endothelial dysfunction, NLRP3 inflammasome, and cardiovascular diseases (CVDs). Schematic illustration of the pathways and factors contributing to endothelial dysfunction and the progression of CVDs. The activation of the NLRP3 inflammasome by PAMPs, DAMPs, and hemodynamic alterations triggers the production of inflammatory ”</w:t>
      </w:r>
    </w:p>
    <w:p>
      <w:pPr>
        <w:spacing w:after="120"/>
        <w:jc w:val="both"/>
      </w:pPr>
      <w:r>
        <w:rPr>
          <w:rFonts w:ascii="Times New Roman" w:hAnsi="Times New Roman" w:cs="Times New Roman" w:eastAsia="Times New Roman"/>
          <w:b w:val="0"/>
          <w:i w:val="0"/>
          <w:sz w:val="24"/>
        </w:rPr>
        <w:t>“Indeed, a link between metabolic syndrome, ED, and NLRP3 inflammasome activation as major risk factors for IRI, increasing cardiovascular vulnerability to ischemic events, is established. In particular, obesity induces vascular dysfunction through chronic low-grade inflammation and excessive ROS production, leading to ED and reduced NO bioavailability [ 147 ]. Moreover, insulin resistance associated with metabolic syndrome impairs cellular signaling and compromises the ability of myocardium to adapt to ischemic stress [ 148 ]. Recent studies suggest that systemic inflammation and metabolic alterations in individuals with metabolic syndrome exacerbate IRI by intensifying the inflammatory response and promoting maladaptive tissue remodeling [ 126 , 149 ]. Therefore, targeted interventions aimed at modulating NLRP3 inflammasome and oxidative stress may offer promising strategies to mitigate ischemic damage in patients with metabolic syndrome.”  [PMC11939635 ¶49]</w:t>
      </w:r>
    </w:p>
    <w:p>
      <w:pPr>
        <w:keepNext/>
        <w:pageBreakBefore/>
        <w:spacing w:before="480" w:after="160"/>
        <w:outlineLvl w:val="0"/>
      </w:pPr>
      <w:r>
        <w:rPr>
          <w:rFonts w:ascii="Times New Roman" w:hAnsi="Times New Roman" w:cs="Times New Roman" w:eastAsia="Times New Roman"/>
          <w:b/>
          <w:i w:val="0"/>
          <w:color w:val="1F3D7A"/>
          <w:sz w:val="36"/>
        </w:rPr>
        <w:t>8d.  Health Effects — Disease- and Organ-Specific Evidence</w:t>
      </w:r>
    </w:p>
    <w:p>
      <w:pPr>
        <w:spacing w:after="80"/>
        <w:jc w:val="both"/>
      </w:pPr>
      <w:r>
        <w:rPr>
          <w:rFonts w:ascii="Times New Roman" w:hAnsi="Times New Roman" w:cs="Times New Roman" w:eastAsia="Times New Roman"/>
          <w:b w:val="0"/>
          <w:i w:val="0"/>
          <w:sz w:val="24"/>
        </w:rPr>
        <w:t>Verbatim paragraph compilation organised by disease/organ target, to complement the paper-by-paper literature extracts in Chapter 11. Each paragraph is followed by its source PMCID.</w:t>
      </w:r>
    </w:p>
    <w:p>
      <w:pPr>
        <w:keepNext/>
        <w:spacing w:before="280" w:after="80"/>
        <w:outlineLvl w:val="1"/>
      </w:pPr>
      <w:r>
        <w:rPr>
          <w:rFonts w:ascii="Times New Roman" w:hAnsi="Times New Roman" w:cs="Times New Roman" w:eastAsia="Times New Roman"/>
          <w:b/>
          <w:i w:val="0"/>
          <w:color w:val="335588"/>
          <w:sz w:val="28"/>
        </w:rPr>
        <w:t>11a.1  Respiratory disease — COPD, asthma, cystic fibrosis, IPF</w:t>
      </w:r>
    </w:p>
    <w:p>
      <w:pPr>
        <w:spacing w:after="120"/>
        <w:jc w:val="both"/>
      </w:pPr>
      <w:r>
        <w:rPr>
          <w:rFonts w:ascii="Times New Roman" w:hAnsi="Times New Roman" w:cs="Times New Roman" w:eastAsia="Times New Roman"/>
          <w:b w:val="0"/>
          <w:i w:val="0"/>
          <w:sz w:val="24"/>
        </w:rPr>
        <w:t>“## Figure captions (2) 1. **Figure 1** — Differential modulation of pro-inflammatory mediators in relation to both the concentration and duration of treatment with N-acetylcysteine in in vitro models of airway inflammation. NAC: N-acetylcysteine; LPS: lipopolysaccharides; NKA: neurokinin A; IL-6: Interleukin-6; TNF-α: tumor necrosis factor-α; IL-8: Interleukin-8; IL-1β: Interleukin-1beta; NF-κB: Nuclear factor kappa B. graphic: `jcm-13-04127-g001.jpg` 2. **Figure 2** — Proposed molecular mechanisms for the therapeutic activity of N-acetylcysteine after oral administration in chronic respiratory diseases. NAC: N-acetylcysteine; GSH: glutathione; RSSH: persulfides; RSS n SR: polysulfides; NKA: neurokinin A; NF-κB: Nuclear factor kappa B; TNF-α: tumor necrosis factor-α; IL-1β: Interleukin-1beta; IL-8: Interleukin-8; ROS: reactive oxygen species. graphic: `jcm-13-04127-g002.jpg` ```json { "pmcid": "PMC11278452", "pmid": "39064168", "doi": "10.3390/jcm13144127", "title": "Anti-Inflammatory and Anti-Oxidant Properties of N-Acetylcysteine: A Fresh Perspective", "journal": "Journal of Clinical Medicine", "year": "2024", "abstract": "N-acetyl-L-cysteine (NAC) was initially introduced as a treatment for mucus reduction and widely used for chronic respiratory conditions associated with mucus overproduction.”  [PMC11278452 ¶1]</w:t>
      </w:r>
    </w:p>
    <w:p>
      <w:pPr>
        <w:spacing w:after="120"/>
        <w:jc w:val="both"/>
      </w:pPr>
      <w:r>
        <w:rPr>
          <w:rFonts w:ascii="Times New Roman" w:hAnsi="Times New Roman" w:cs="Times New Roman" w:eastAsia="Times New Roman"/>
          <w:b w:val="0"/>
          <w:i w:val="0"/>
          <w:sz w:val="24"/>
        </w:rPr>
        <w:t>“However, the mechanism of action for NAC extends beyond its mucolytic activity and is complex and multifaceted. Contrary to other mucoactive drugs, NAC has been found to exhibit antioxidant, anti-infective, and anti-inflammatory activity in pre-clinical and clinical reports. These properties have sparked interest in its potential for treating chronic lung diseases, including chronic obstructive pulmonary disease (COPD), bronchiectasis (BE), cystic fibrosis (CF), and idiopathic pulmonary fibrosis (IPF), which are associated with oxidative stress, increased levels of glutathione and inflammation. NAC\u2019s anti-inflammatory activity is noteworthy, and it is not solely secondary to its antioxidant capabilities. In ex vivo models of COPD exacerbation, the anti-inflammatory effects have been observed even at very low doses, especially with prolonged treatment. The mechanism involves the inhibition of the activation of NF-kB and neurokinin A production, resulting in a reduction in interleukin-6 production, a cytokine abundantly present in the sputum and breath condensate of patients with COPD and correlates with the number of exacerbations.”  [PMC11278452 ¶2]</w:t>
      </w:r>
    </w:p>
    <w:p>
      <w:pPr>
        <w:spacing w:after="120"/>
        <w:jc w:val="both"/>
      </w:pPr>
      <w:r>
        <w:rPr>
          <w:rFonts w:ascii="Times New Roman" w:hAnsi="Times New Roman" w:cs="Times New Roman" w:eastAsia="Times New Roman"/>
          <w:b w:val="0"/>
          <w:i w:val="0"/>
          <w:sz w:val="24"/>
        </w:rPr>
        <w:t>“The unique combination of mucolytic, antioxidant, anti-infective, and anti-inflammatory properties positions NAC as a safe, cost-effective, and efficacious therapy for a plethora of respiratory conditions.", "body_text": "1. Introduction N-acetyl-L-cysteine (NAC) was first introduced in 1965 primarily for its role in promoting mucolysis [ 1 ] and has been the preferred treatment for paracetamol intoxication since the mid-1970s [ 2 ]. Its intravenous formulation for this purpose is recognized on the WHO\u2019s list of Essential Medicines [ 3 ]. The excessive production and secretion of airway mucus have significant importance in the pathophysiology and clinical manifestations of different respiratory diseases, including acute and chronic bronchitis (CB), chronic obstructive pulmonary disease (COPD), bronchiectasis, and cystic fibrosis (CF) [ 4 , 5 ]. Recent evidence indicates that oxidative stress and inflammation contribute to the development of these pathologies, showing a close correlation with clinical outcomes and triggering the overproduction of mucus by glands and goblet cells [ 6 , 7 , 8 , 9 ].”  [PMC11278452 ¶3]</w:t>
      </w:r>
    </w:p>
    <w:p>
      <w:pPr>
        <w:jc w:val="center"/>
      </w:pPr>
      <w:r>
        <w:drawing>
          <wp:inline xmlns:a="http://schemas.openxmlformats.org/drawingml/2006/main" xmlns:pic="http://schemas.openxmlformats.org/drawingml/2006/picture">
            <wp:extent cx="5029200" cy="4259385"/>
            <wp:docPr id="93" name="Picture 93"/>
            <wp:cNvGraphicFramePr>
              <a:graphicFrameLocks noChangeAspect="1"/>
            </wp:cNvGraphicFramePr>
            <a:graphic>
              <a:graphicData uri="http://schemas.openxmlformats.org/drawingml/2006/picture">
                <pic:pic>
                  <pic:nvPicPr>
                    <pic:cNvPr id="0" name="p06_i1.jpg"/>
                    <pic:cNvPicPr/>
                  </pic:nvPicPr>
                  <pic:blipFill>
                    <a:blip r:embed="rId14"/>
                    <a:stretch>
                      <a:fillRect/>
                    </a:stretch>
                  </pic:blipFill>
                  <pic:spPr>
                    <a:xfrm>
                      <a:off x="0" y="0"/>
                      <a:ext cx="5029200" cy="4259385"/>
                    </a:xfrm>
                    <a:prstGeom prst="rect"/>
                  </pic:spPr>
                </pic:pic>
              </a:graphicData>
            </a:graphic>
          </wp:inline>
        </w:drawing>
      </w:r>
    </w:p>
    <w:p>
      <w:pPr>
        <w:spacing w:after="160"/>
        <w:jc w:val="center"/>
      </w:pPr>
      <w:r>
        <w:rPr>
          <w:rFonts w:ascii="Times New Roman" w:hAnsi="Times New Roman" w:cs="Times New Roman" w:eastAsia="Times New Roman"/>
          <w:b w:val="0"/>
          <w:i/>
          <w:sz w:val="20"/>
        </w:rPr>
        <w:t>Figure 1 (from PMC11278452): “Differential modulation of pro-inflammatory mediators in relation to both the concentration and duration of treatment with N-acetylcysteine in in vitro models of airway inflammation. NAC: N-acetylcysteine; LPS: lipopolysaccharides; NKA: neurokinin A; IL-6: Interleukin-6; TNF-α: tumor necrosis factor-α; IL-8: Interleukin-8; IL-1β: Interleukin-1beta; NF-κB: Nu”</w:t>
      </w:r>
    </w:p>
    <w:p>
      <w:pPr>
        <w:spacing w:after="120"/>
        <w:jc w:val="both"/>
      </w:pPr>
      <w:r>
        <w:rPr>
          <w:rFonts w:ascii="Times New Roman" w:hAnsi="Times New Roman" w:cs="Times New Roman" w:eastAsia="Times New Roman"/>
          <w:b w:val="0"/>
          <w:i w:val="0"/>
          <w:sz w:val="24"/>
        </w:rPr>
        <w:t>“Under diverse stress conditions, such as infection, pathogenic factors, smoking, and oxidative stress, epithelial cells in the airway release pro-secretory molecules, leading to hypertrophy of secretory cells and hyperplasia of goblet cells, with concomitant overproduction of mucus [ 5 , 6 , 7 , 8 ]. Conditions like chronic bronchitis, bronchiectasis, CF, and COPD are associated with impairment of ciliary function and/or airway mucus hypersecretion [ 6 , 7 , 10 , 11 ]. COPD is characterized by airflow limitation, oxidative stress, and airway inflammation [ 12 ]. It is a persistent and advancing disease linked to a heightened inflammatory response in the respiratory tract triggered by gases, noxious particles, or cigarette smoke, which results in the injury of cells lining the airway and mucus hypersecretion [ 13 ]. In particular, the over-secretion of components of mucus MUC5AC and MUC5B in the respiratory tract, coupled with epithelial damage, leads to the shedding of ciliated cells, hyperplasia of goblet cells, and hypertrophy of the submucosal gland, ultimately resulting in airway mucus hypersecretion [ 4 ].”  [PMC11278452 ¶4]</w:t>
      </w:r>
    </w:p>
    <w:p>
      <w:pPr>
        <w:spacing w:after="120"/>
        <w:jc w:val="both"/>
      </w:pPr>
      <w:r>
        <w:rPr>
          <w:rFonts w:ascii="Times New Roman" w:hAnsi="Times New Roman" w:cs="Times New Roman" w:eastAsia="Times New Roman"/>
          <w:b w:val="0"/>
          <w:i w:val="0"/>
          <w:sz w:val="24"/>
        </w:rPr>
        <w:t>“The mucus, secreted by serous, mucous, and goblet cells in response to various stimuli, including inflammation [ 9 ], becomes viscous [ 12 ] and promotes bacterial colonization and biofilm growth. This hinders the ability of neutrophils and soluble antimicrobial agents to permeate dense mucus and eradicate bacteria [ 14 , 15 ]. In COPD, numerous inflammatory mediators are synthesized and released in response to oxidative stress, such as the pro-inflammatory transcription factor NF-\u03baB, which is over-expressed and activated by Reactive Oxygen Species (ROS), especially in airway epithelial cells and macrophages [ 7 ]. Oxidative stress also promotes the release of signaling molecules such as phosphoinositide 3-kinase (PI3K) and p38 mitogen-activated protein kinase (MAPK). It also sustains transforming growth factor (TGF)-\u03b2 signaling and the expression of matrix metalloproteinase (MMP)-9, which are implicated in small airway fibrosis and emphysema [ 7 ].”  [PMC11278452 ¶5]</w:t>
      </w:r>
    </w:p>
    <w:p>
      <w:pPr>
        <w:spacing w:after="120"/>
        <w:jc w:val="both"/>
      </w:pPr>
      <w:r>
        <w:rPr>
          <w:rFonts w:ascii="Times New Roman" w:hAnsi="Times New Roman" w:cs="Times New Roman" w:eastAsia="Times New Roman"/>
          <w:b w:val="0"/>
          <w:i w:val="0"/>
          <w:sz w:val="24"/>
        </w:rPr>
        <w:t>“Inflammation of the respiratory tract can contribute to flare-ups and deterioration of COPD [ 16 ]. Bronchiectasis involves irreversible bronchial lumen expansion, compromising mucus clearance [ 17 ] and facilitating bacterial colonization [ 18 ]. The initial production of toxins by bacteria contributes to the activation of both microbial and danger-associated molecular patterns, subsequently heightening inflammation [ 18 ]. As a result, this inflammatory response triggers hyperplasia and metaplasia of goblet cells, eventually resulting in increased secretion of mucus in the airways [ 19 , 20 , 21 ]. NAC has undergone extensive scrutiny in numerous global clinical trials and has been used for many years in treating various respiratory conditions [ 13 , 22 , 23 ]. It is a well-documented and well-established treatment of choice, valued not only for reducing mucus viscosity and promoting discharge but also for its recognized antioxidant and anti-inflammatory properties [ 13 , 22 , 23 ].”  [PMC11278452 ¶6]</w:t>
      </w:r>
    </w:p>
    <w:p>
      <w:pPr>
        <w:jc w:val="center"/>
      </w:pPr>
      <w:r>
        <w:drawing>
          <wp:inline xmlns:a="http://schemas.openxmlformats.org/drawingml/2006/main" xmlns:pic="http://schemas.openxmlformats.org/drawingml/2006/picture">
            <wp:extent cx="5029200" cy="3369819"/>
            <wp:docPr id="94" name="Picture 94"/>
            <wp:cNvGraphicFramePr>
              <a:graphicFrameLocks noChangeAspect="1"/>
            </wp:cNvGraphicFramePr>
            <a:graphic>
              <a:graphicData uri="http://schemas.openxmlformats.org/drawingml/2006/picture">
                <pic:pic>
                  <pic:nvPicPr>
                    <pic:cNvPr id="0" name="p08_i1.jpg"/>
                    <pic:cNvPicPr/>
                  </pic:nvPicPr>
                  <pic:blipFill>
                    <a:blip r:embed="rId15"/>
                    <a:stretch>
                      <a:fillRect/>
                    </a:stretch>
                  </pic:blipFill>
                  <pic:spPr>
                    <a:xfrm>
                      <a:off x="0" y="0"/>
                      <a:ext cx="5029200" cy="3369819"/>
                    </a:xfrm>
                    <a:prstGeom prst="rect"/>
                  </pic:spPr>
                </pic:pic>
              </a:graphicData>
            </a:graphic>
          </wp:inline>
        </w:drawing>
      </w:r>
    </w:p>
    <w:p>
      <w:pPr>
        <w:spacing w:after="160"/>
        <w:jc w:val="center"/>
      </w:pPr>
      <w:r>
        <w:rPr>
          <w:rFonts w:ascii="Times New Roman" w:hAnsi="Times New Roman" w:cs="Times New Roman" w:eastAsia="Times New Roman"/>
          <w:b w:val="0"/>
          <w:i/>
          <w:sz w:val="20"/>
        </w:rPr>
        <w:t>Figure 2 (from PMC11278452): “Proposed molecular mechanisms for the therapeutic activity of N-acetylcysteine after oral administration in chronic respiratory diseases. NAC: N-acetylcysteine; GSH: glutathione; RSSH: persulfides; RSS n SR: polysulfides; NKA: neurokinin A; NF-κB: Nuclear factor kappa B; TNF-α: tumor necrosis factor-α; IL-1β: Interleukin-1beta; IL-8: Interleukin-8; ROS: reac”</w:t>
      </w:r>
    </w:p>
    <w:p>
      <w:pPr>
        <w:spacing w:after="120"/>
        <w:jc w:val="both"/>
      </w:pPr>
      <w:r>
        <w:rPr>
          <w:rFonts w:ascii="Times New Roman" w:hAnsi="Times New Roman" w:cs="Times New Roman" w:eastAsia="Times New Roman"/>
          <w:b w:val="0"/>
          <w:i w:val="0"/>
          <w:sz w:val="24"/>
        </w:rPr>
        <w:t>“The aim of this review is to gather data on the multifaceted properties of NAC [ 13 ], with a specific focus on its anti-inflammatory role. The analysis emphasizes findings from various studies, highlighting the impact of dosage and treatment duration on NAC\u2019s anti-inflammatory effectiveness [ 24 , 25 , 26 , 27 , 28 , 29 ]. The evidence suggests that lower doses may prove effective when administered over an extended treatment period [ 24 , 25 , 26 , 27 , 28 , 29 ]. The goal is to present NAC, traditionally recognized as a dual-action mucolytic and anti-oxidant agent, capable of fluidifying mucus secretions and clearing the airways, as a versatile drug with a multifaceted mechanism of action, rendering it a suitable pharmacological option for a variety of chronic respiratory pathologies characterized by mucus hyperproduction, oxidative stress, and inflammation. 2. Methods The authors performed a comprehensive non-systematic review of the existing literature on PubMed/MEDLINE and Google Scholar, until February 2024, using the following keywords: \u201cN-acetylcysteine\u201d AND \u201canti-inflammatory\u201d OR \u201cmucolytic\u201d OR \u201cantioxidant\u201d OR \u201cchronic respiratory disease\u201d OR \u201cchronic obstructive pulmonary disease\u201d OR \u201cidiopathic pulmonary fibrosis\u201d OR \u201cbronchiectasis\u201d OR \u201ccystic fibrosis\u201d OR \u201casthma\u201d OR \u201cbronchitis\u201d OR \u201canti-infective\u201d. 3.”  [PMC11278452 ¶7]</w:t>
      </w:r>
    </w:p>
    <w:p>
      <w:pPr>
        <w:spacing w:after="120"/>
        <w:jc w:val="both"/>
      </w:pPr>
      <w:r>
        <w:rPr>
          <w:rFonts w:ascii="Times New Roman" w:hAnsi="Times New Roman" w:cs="Times New Roman" w:eastAsia="Times New Roman"/>
          <w:b w:val="0"/>
          <w:i w:val="0"/>
          <w:sz w:val="24"/>
        </w:rPr>
        <w:t>“NAC Exhibits Pharmacological Actions beyond Mucolytic Activity The mechanism of action for NAC is complex and multifaceted and is not yet fully elucidated. NAC is widely utilized to decrease the viscosity and elasticity of mucus [ 30 ]. It achieves this by breaking down the disulfide bonds in mucoproteins, thereby decreasing the viscosity of respiratory secretions [ 22 ]. Apart from the replenishing of depleted GSH content, facilitated by NAC, the gradual release of NAC-derived metabolites may result in a modest increase in H 2 S and its oxidation byproducts including persulfides (RSSH) and polysulfides (RSSnSR) [ 31 ], known as sulfane sulfur metabolites [ 32 ]. These metabolites exhibit cytoprotective effects by aiding in disulfide reduction, acting as direct scavengers of radicals, and preventing irreversible oxidative damage of proteins [ 32 ]. Moreover, modifications involving persulfide on proteins have the potential to modify their function and signaling capabilities, thereby initiating stress-responsive cellular reactions [ 32 ].”  [PMC11278452 ¶8]</w:t>
      </w:r>
    </w:p>
    <w:p>
      <w:pPr>
        <w:spacing w:after="120"/>
        <w:jc w:val="both"/>
      </w:pPr>
      <w:r>
        <w:rPr>
          <w:rFonts w:ascii="Times New Roman" w:hAnsi="Times New Roman" w:cs="Times New Roman" w:eastAsia="Times New Roman"/>
          <w:b w:val="0"/>
          <w:i w:val="0"/>
          <w:sz w:val="24"/>
        </w:rPr>
        <w:t>“NAC possesses antioxidant, cytoprotective, anti-inflammatory, antimicrobial, and mucolytic properties, making it a promising therapeutic agent for a wide range of diseases in both humans and domesticated animals. Oxidative stress and inflammation play a major role in the onset and progression of all these diseases. NAC\u2019s primary role is to replenish glutathione (GSH) stores, the master antioxidant in all tissues; however, it can also reduce levels of pro-inflammatory tumor necrosis factor-alpha (TNF-\u221d) and interleukins (IL-6 and IL-1\u03b2), inhibit the formation of microbial biofilms and destroy biofilms, and break down disulfide bonds between mucin molecules. Many experimental studies have been conducted on the use of NAC to address a wide range of pathological conditions; however, its effectiveness in clinical trials remains limited and studies often have conflicting results.”  [PMC10604897 ¶1]</w:t>
      </w:r>
    </w:p>
    <w:p>
      <w:pPr>
        <w:spacing w:after="120"/>
        <w:jc w:val="both"/>
      </w:pPr>
      <w:r>
        <w:rPr>
          <w:rFonts w:ascii="Times New Roman" w:hAnsi="Times New Roman" w:cs="Times New Roman" w:eastAsia="Times New Roman"/>
          <w:b w:val="0"/>
          <w:i w:val="0"/>
          <w:sz w:val="24"/>
        </w:rPr>
        <w:t>“The purpose of this review is to provide a concise overview of promising NAC usages for the treatment of different human and domestic animal disorders.", "body_text": "1. Introduction N-acetylcysteine (NAC) comes from the amino acid L-cysteine and has been a Food and Drug Administration (FDA) approved drug since 1963. It is recognized as the standard treatment for acetaminophen overdose and has been used as a mucolytic drug since the 1960s [ 1 ]. NAC has also been used as a supplement for decades and, as such, can be found as an over-the-counter nutritional supplement in countries such as the United States, Canada, and Australia [ 1 ]. Therefore, NAC falls into a grey zone with other compounds such as cannabidiol (CBD), but as of August 2022, the FDA has backed away from its hard stance on classifying NAC as a drug and is allowing its sale as a dietary supplement [ 2 ]. NAC\u2019s antioxidant and anti-inflammatory properties make it a promising therapeutic agent for conditions in which oxidative stress is involved [ 1 ].”  [PMC10604897 ¶2]</w:t>
      </w:r>
    </w:p>
    <w:p>
      <w:pPr>
        <w:spacing w:after="120"/>
        <w:jc w:val="both"/>
      </w:pPr>
      <w:r>
        <w:rPr>
          <w:rFonts w:ascii="Times New Roman" w:hAnsi="Times New Roman" w:cs="Times New Roman" w:eastAsia="Times New Roman"/>
          <w:b w:val="0"/>
          <w:i w:val="0"/>
          <w:sz w:val="24"/>
        </w:rPr>
        <w:t>“NAC has been purported to possess anti-inflammatory properties that include inhibiting activation and translocation of NF-\u03baB, which results in decreased production of TNF-\u221d, IL-1\u03b2, and IL-6 [ 1 ]. In a human study conducted by Khoshbaten et al. (2010), it was discovered that oral administration of 600 mg of NAC per 12 h over a 3-month period decreased serum levels of alanine transaminase (ALT) as compared to the group receiving vitamin C [ 48 ]. ALT is an enzyme that is predominantly produced by the liver and is commonly used as a biomarker of hepatic inflammation and damage [ 49 ]. 5.2. Pulmonary Diseases Inflammation and high levels of oxidative stress coupled with low levels of endogenous antioxidants such as GSH play a critical role in the pathogenesis and progression of pulmonary diseases [ 1 ]. As an antioxidant, anti-inflammatory, and mucolytic agent, NAC appears to be a promising therapeutic agent in the treatment of various pulmonary diseases including chronic obstructive pulmonary disease (COPD), cystic fibrosis (CF), and idiopathic pulmonary fibrosis (IPF) [ 1 ] and, most recently, COVID-19 [ 50 ] (see Table 2 ).”  [PMC10604897 ¶19]</w:t>
      </w:r>
    </w:p>
    <w:p>
      <w:pPr>
        <w:jc w:val="center"/>
      </w:pPr>
      <w:r>
        <w:drawing>
          <wp:inline xmlns:a="http://schemas.openxmlformats.org/drawingml/2006/main" xmlns:pic="http://schemas.openxmlformats.org/drawingml/2006/picture">
            <wp:extent cx="5029200" cy="2300859"/>
            <wp:docPr id="95" name="Picture 95"/>
            <wp:cNvGraphicFramePr>
              <a:graphicFrameLocks noChangeAspect="1"/>
            </wp:cNvGraphicFramePr>
            <a:graphic>
              <a:graphicData uri="http://schemas.openxmlformats.org/drawingml/2006/picture">
                <pic:pic>
                  <pic:nvPicPr>
                    <pic:cNvPr id="0" name="p21_i1.jpg"/>
                    <pic:cNvPicPr/>
                  </pic:nvPicPr>
                  <pic:blipFill>
                    <a:blip r:embed="rId12"/>
                    <a:stretch>
                      <a:fillRect/>
                    </a:stretch>
                  </pic:blipFill>
                  <pic:spPr>
                    <a:xfrm>
                      <a:off x="0" y="0"/>
                      <a:ext cx="5029200" cy="2300859"/>
                    </a:xfrm>
                    <a:prstGeom prst="rect"/>
                  </pic:spPr>
                </pic:pic>
              </a:graphicData>
            </a:graphic>
          </wp:inline>
        </w:drawing>
      </w:r>
    </w:p>
    <w:p>
      <w:pPr>
        <w:spacing w:after="160"/>
        <w:jc w:val="center"/>
      </w:pPr>
      <w:r>
        <w:rPr>
          <w:rFonts w:ascii="Times New Roman" w:hAnsi="Times New Roman" w:cs="Times New Roman" w:eastAsia="Times New Roman"/>
          <w:b w:val="0"/>
          <w:i/>
          <w:sz w:val="20"/>
        </w:rPr>
        <w:t>Figure 1 (from PMC10604897): “The three major narratives of NAC’s mechanisms of action.</w:t>
        <w:br/>
        <w:t xml:space="preserve">   graphic: `antioxidants-12-01867-g001.jpg`”</w:t>
      </w:r>
    </w:p>
    <w:p>
      <w:pPr>
        <w:spacing w:after="120"/>
        <w:jc w:val="both"/>
      </w:pPr>
      <w:r>
        <w:rPr>
          <w:rFonts w:ascii="Times New Roman" w:hAnsi="Times New Roman" w:cs="Times New Roman" w:eastAsia="Times New Roman"/>
          <w:b w:val="0"/>
          <w:i w:val="0"/>
          <w:sz w:val="24"/>
        </w:rPr>
        <w:t>“As a therapeutic agent, NAC is commonly administered orally in the tablet form of 600\u20131200 mg up to three times a day to treat pulmonary diseases [ 1 ]. Studies have shown that dosages of NAC up to 3000 mg/day continue to remain safe and are well-tolerated [ 1 ]. 5.2.1. Cystic Fibrosis (CF) CF is a genetic disorder affecting multiple organ systems including the lungs and upper airways, pancreas, liver, intestine, and reproductive organs [ 51 ]. The lungs of CF patients produce prolific amounts of viscous mucus, which is difficult to clear. This thick mucus increases susceptibility to recurring chronic infections due to poor expectoration [ 28 ]. NAC has been extensively used in the treatment of CF to help improve lung function and eliminate mucus due to its mucolytic properties [ 1 ], which are attributed to its cysteine residues that break down the sulfhydryl bridges between glycoproteins in mucus, thereby reducing mucus viscosity [ 28 ].”  [PMC10604897 ¶20]</w:t>
      </w:r>
    </w:p>
    <w:p>
      <w:pPr>
        <w:spacing w:after="120"/>
        <w:jc w:val="both"/>
      </w:pPr>
      <w:r>
        <w:rPr>
          <w:rFonts w:ascii="Times New Roman" w:hAnsi="Times New Roman" w:cs="Times New Roman" w:eastAsia="Times New Roman"/>
          <w:b w:val="0"/>
          <w:i w:val="0"/>
          <w:sz w:val="24"/>
        </w:rPr>
        <w:t>“Excessive neutrophil-mediated inflammation in the airways is another key characteristic of CF and is believed to be a cause of lung damage and dysfunction [ 52 ]. This uncontrolled inflammation leads to overexposure to reactive oxygen species (ROS) derived from bacteria and/or the activated neutrophils, which in turn further amplifies the inflammation [ 52 ] and damages tissues. In addition to being a mucolytic agent, NAC\u2019s antioxidant properties may prove to be useful in controlling oxidative stress and excessive inflammation in the airways of CF patients [ 52 ]. In a study conducted by Dauletbaev et al. (2009), it was found that a 12-week therapy with a high dose of NAC (2800 mg/day) increased extracellular GSH in the sputum of CF patients; however, NAC treatment did not appear to alter any clinical or inflammatory parameters [ 52 ]. 5.2.2. Chronic Obstructive Pulmonary Disease (COPD) COPD refers to a group of chronic progressive lung diseases that cause airflow obstruction and breathing-related issues [ 53 ].”  [PMC10604897 ¶21]</w:t>
      </w:r>
    </w:p>
    <w:p>
      <w:pPr>
        <w:spacing w:after="120"/>
        <w:jc w:val="both"/>
      </w:pPr>
      <w:r>
        <w:rPr>
          <w:rFonts w:ascii="Times New Roman" w:hAnsi="Times New Roman" w:cs="Times New Roman" w:eastAsia="Times New Roman"/>
          <w:b w:val="0"/>
          <w:i w:val="0"/>
          <w:sz w:val="24"/>
        </w:rPr>
        <w:t>“COPD is predominantly caused by cigarette smoking; however, long-term exposure to other lung irritants, such as second-hand smoke, air pollution, chemicals, work-related fumes, and toxic substances can also lead to COPD [ 53 ]. While many diseases fall under the umbrella of COPD, chronic bronchitis and emphysema are the two most common types. The presence of numerous free radicals and oxidants in cigarette smoke contributes to lung inflammation through the induction of oxidative stress. During severe COPD, oxidative stress has been found to be exacerbated and GSH levels further depleted; GSH homeostasis is one of the most important antioxidant defense systems in lung cells [ 54 ]. Although inhaled bronchodilators and corticosteroids remain the main treatment for COPD, oxidative stress and inflammation represent promising therapeutic targets for treatment due to their key role in the pathogenesis of COPD [ 54 ].”  [PMC10604897 ¶22]</w:t>
      </w:r>
    </w:p>
    <w:p>
      <w:pPr>
        <w:jc w:val="center"/>
      </w:pPr>
      <w:r>
        <w:drawing>
          <wp:inline xmlns:a="http://schemas.openxmlformats.org/drawingml/2006/main" xmlns:pic="http://schemas.openxmlformats.org/drawingml/2006/picture">
            <wp:extent cx="5029200" cy="1144143"/>
            <wp:docPr id="96" name="Picture 96"/>
            <wp:cNvGraphicFramePr>
              <a:graphicFrameLocks noChangeAspect="1"/>
            </wp:cNvGraphicFramePr>
            <a:graphic>
              <a:graphicData uri="http://schemas.openxmlformats.org/drawingml/2006/picture">
                <pic:pic>
                  <pic:nvPicPr>
                    <pic:cNvPr id="0" name="p21_i2.jpg"/>
                    <pic:cNvPicPr/>
                  </pic:nvPicPr>
                  <pic:blipFill>
                    <a:blip r:embed="rId13"/>
                    <a:stretch>
                      <a:fillRect/>
                    </a:stretch>
                  </pic:blipFill>
                  <pic:spPr>
                    <a:xfrm>
                      <a:off x="0" y="0"/>
                      <a:ext cx="5029200" cy="1144143"/>
                    </a:xfrm>
                    <a:prstGeom prst="rect"/>
                  </pic:spPr>
                </pic:pic>
              </a:graphicData>
            </a:graphic>
          </wp:inline>
        </w:drawing>
      </w:r>
    </w:p>
    <w:p>
      <w:pPr>
        <w:spacing w:after="160"/>
        <w:jc w:val="center"/>
      </w:pPr>
      <w:r>
        <w:rPr>
          <w:rFonts w:ascii="Times New Roman" w:hAnsi="Times New Roman" w:cs="Times New Roman" w:eastAsia="Times New Roman"/>
          <w:b w:val="0"/>
          <w:i/>
          <w:sz w:val="20"/>
        </w:rPr>
        <w:t>Figure panel from PMC10604897 (source bitmap p21_i2.jpg).</w:t>
      </w:r>
    </w:p>
    <w:p>
      <w:pPr>
        <w:spacing w:after="120"/>
        <w:jc w:val="both"/>
      </w:pPr>
      <w:r>
        <w:rPr>
          <w:rFonts w:ascii="Times New Roman" w:hAnsi="Times New Roman" w:cs="Times New Roman" w:eastAsia="Times New Roman"/>
          <w:b w:val="0"/>
          <w:i w:val="0"/>
          <w:sz w:val="24"/>
        </w:rPr>
        <w:t>“In a study conducted by Messier et al. (2013), NAC was shown to provide protection against injury to murine alveolar type 2 (ATII) cells and lung tissue induced by cigarette smoke [ 55 ]. These in vivo and in vitro studies were carried out with mice lacking the nuclear factor erythroid 2-related factor-2 ( Nrf2 ), whose gene product is a redox-sensitive transcription factor that is crucial to the regulation of the antioxidant defense system [ 54 , 55 ]. NAC\u2019s ability to act as a direct scavenger of free radicals in an Nrf2-independent manner is of considerable importance as Nrf2-dependent endogenous antioxidants are often reduced in COPD patients [ 54 ]. In a randomized, placebo-controlled trial conducted by Kasielski and Nowak (2001), in which NAC was administered long-term (12 months), it was found that treatment with 600 mg/day of NAC significantly reduced the concentration of H 2 O 2 in the expired breath condensate of stable COPD patients; these patients showed a progressive decrease from baseline H 2 O 2 concentrations, reaching statistical significance after 6 months of treatment [ 56 ].”  [PMC10604897 ¶23]</w:t>
      </w:r>
    </w:p>
    <w:p>
      <w:pPr>
        <w:spacing w:after="120"/>
        <w:jc w:val="both"/>
      </w:pPr>
      <w:r>
        <w:rPr>
          <w:rFonts w:ascii="Times New Roman" w:hAnsi="Times New Roman" w:cs="Times New Roman" w:eastAsia="Times New Roman"/>
          <w:b w:val="0"/>
          <w:i w:val="0"/>
          <w:sz w:val="24"/>
        </w:rPr>
        <w:t>“After 9 and 12 months of treatment, the concentration of H 2 O 2 in the expired breath condensate was 2.3- and 2.6-fold lower, respectively, than in COPD patients in the placebo group. Based on the current data, the Global Initiative for Chronic Obstructive Lung Disease has acknowledged that NAC can be used as an adjunct therapy to help reduce the risk of acute exacerbation of COPD [ 1 ]. 5.3. Infectious Diseases NAC\u2019s ability to attenuate mediators of oxidative stress and inflammation also makes it a promising treatment or adjuvant for various infectious diseases, such as influenza and COVID-19 (see Table 2 ). 5.3.1. Influenza Influenza, also commonly referred to as \u201cthe flu\u201d, is a contagious respiratory infection caused by various influenza viruses that infect the nose, throat, and lungs [ 57 ]. The current standard treatment of severe flu includes early antiviral therapy with a neuraminidase inhibitor, which is associated with improved outcomes in hospitalized seasonal influenza patients [ 58 ].”  [PMC10604897 ¶24]</w:t>
      </w:r>
    </w:p>
    <w:p>
      <w:pPr>
        <w:keepNext/>
        <w:spacing w:before="280" w:after="80"/>
        <w:outlineLvl w:val="1"/>
      </w:pPr>
      <w:r>
        <w:rPr>
          <w:rFonts w:ascii="Times New Roman" w:hAnsi="Times New Roman" w:cs="Times New Roman" w:eastAsia="Times New Roman"/>
          <w:b/>
          <w:i w:val="0"/>
          <w:color w:val="335588"/>
          <w:sz w:val="28"/>
        </w:rPr>
        <w:t>11a.2  Cardiovascular system — atherosclerosis, hypertension</w:t>
      </w:r>
    </w:p>
    <w:p>
      <w:pPr>
        <w:spacing w:after="120"/>
        <w:jc w:val="both"/>
      </w:pPr>
      <w:r>
        <w:rPr>
          <w:rFonts w:ascii="Times New Roman" w:hAnsi="Times New Roman" w:cs="Times New Roman" w:eastAsia="Times New Roman"/>
          <w:b w:val="0"/>
          <w:i w:val="0"/>
          <w:sz w:val="24"/>
        </w:rPr>
        <w:t>“Schematic illustration of the pathways and factors contributing to endothelial dysfunction and the progression of CVDs. The activation of the NLRP3 inflammasome by PAMPs, DAMPs, and hemodynamic alterations triggers the production of inflammatory cytokines (e.g., IL-1β, IL-18) via caspa graphic: `antioxidants-14-00256-g002.jpg` 2. **Figure 1** — Adequate NO production supports redox balance, vasodilation, and vascular homeostasis. In contrast, endothelial dysfunction and reduced NO levels lead to redox imbalance, favoring ROS/RNS-mediated inflammation and fibrosis, with O 2 •− , ONOO − and NLRP3 playing key roles (See also Figure 2 ). Double-headed lines indicate inhibition, while simple arrows indicate diffusion and activation. Red-color graphic: `antioxidants-14-00256-g001.jpg` ```json { "pmcid": "PMC11939635", "pmid": "40227195", "doi": "10.3390/antiox14030256", "title": "Endothelial Dysfunction: Redox Imbalance, NLRP3 Inflammasome, and Inflammatory Responses in Cardiovascular Diseases", "journal": "Antioxidants", "year": "2025", "abstract": "Endothelial dysfunction (ED) is characterized by an imbalance between vasodilatory and vasoconstrictive factors, leading to impaired vascular tone, thrombosis, and inflammation.”  [PMC11939635 ¶1]</w:t>
      </w:r>
    </w:p>
    <w:p>
      <w:pPr>
        <w:spacing w:after="120"/>
        <w:jc w:val="both"/>
      </w:pPr>
      <w:r>
        <w:rPr>
          <w:rFonts w:ascii="Times New Roman" w:hAnsi="Times New Roman" w:cs="Times New Roman" w:eastAsia="Times New Roman"/>
          <w:b w:val="0"/>
          <w:i w:val="0"/>
          <w:sz w:val="24"/>
        </w:rPr>
        <w:t>“These processes are critical in the development of cardiovascular diseases (CVDs) such as atherosclerosis, hypertension and ischemia/reperfusion injury (IRI). Reduced nitric oxide (NO) production and increased oxidative stress are key contributors to ED. Aging further exacerbates ED through mitochondrial dysfunction and increased oxidative/nitrosative stress, heightening CVD risk. Antioxidant systems like superoxide-dismutase (SOD), glutathione-peroxidase (GPx), and thioredoxin/thioredoxin-reductase (Trx/TXNRD) pathways protect against oxidative stress. However, their reduced activity promotes ED, atherosclerosis, and vulnerability to IRI. Metabolic syndrome, comprising insulin resistance, obesity, and hypertension, is often accompanied by ED. Specifically, hyperglycemia worsens endothelial damage by promoting oxidative stress and inflammation. Obesity leads to chronic inflammation and changes in perivascular adipose tissue, while hypertension is associated with an increase in oxidative stress.”  [PMC11939635 ¶2]</w:t>
      </w:r>
    </w:p>
    <w:p>
      <w:pPr>
        <w:spacing w:after="120"/>
        <w:jc w:val="both"/>
      </w:pPr>
      <w:r>
        <w:rPr>
          <w:rFonts w:ascii="Times New Roman" w:hAnsi="Times New Roman" w:cs="Times New Roman" w:eastAsia="Times New Roman"/>
          <w:b w:val="0"/>
          <w:i w:val="0"/>
          <w:sz w:val="24"/>
        </w:rPr>
        <w:t>“The NLRP3 inflammasome plays a significant role in ED, being triggered by factors such as reactive oxygen and nitrogen species, ischemia, and high glucose, which contribute to inflammation, endothelial injury, and exacerbation of IRI. Treatments, such as N-acetyl-L-cysteine, SGLT2 or NLRP3 inhibitors, show promise in improving endothelial function. Yet the complexity of ED suggests that multi-targeted therapies addressing oxidative stress, inflammation, and metabolic disturbances are essential for managing CVDs associated with metabolic syndrome.", "body_text": "1. Introduction Despite its simple monolayer structure, healthy endothelium responds to a variety of stimuli, both chemical and mechanical. In turn, the endothelium is capable of producing a wide range of molecules that regulate vascular permeability, cell adhesion, smooth muscle cell proliferation, vessel wall inflammation, and thrombosis resistance.”  [PMC11939635 ¶3]</w:t>
      </w:r>
    </w:p>
    <w:p>
      <w:pPr>
        <w:jc w:val="center"/>
      </w:pPr>
      <w:r>
        <w:drawing>
          <wp:inline xmlns:a="http://schemas.openxmlformats.org/drawingml/2006/main" xmlns:pic="http://schemas.openxmlformats.org/drawingml/2006/picture">
            <wp:extent cx="5029200" cy="2916365"/>
            <wp:docPr id="97" name="Picture 97"/>
            <wp:cNvGraphicFramePr>
              <a:graphicFrameLocks noChangeAspect="1"/>
            </wp:cNvGraphicFramePr>
            <a:graphic>
              <a:graphicData uri="http://schemas.openxmlformats.org/drawingml/2006/picture">
                <pic:pic>
                  <pic:nvPicPr>
                    <pic:cNvPr id="0" name="p11_i1.jpg"/>
                    <pic:cNvPicPr/>
                  </pic:nvPicPr>
                  <pic:blipFill>
                    <a:blip r:embed="rId16"/>
                    <a:stretch>
                      <a:fillRect/>
                    </a:stretch>
                  </pic:blipFill>
                  <pic:spPr>
                    <a:xfrm>
                      <a:off x="0" y="0"/>
                      <a:ext cx="5029200" cy="2916365"/>
                    </a:xfrm>
                    <a:prstGeom prst="rect"/>
                  </pic:spPr>
                </pic:pic>
              </a:graphicData>
            </a:graphic>
          </wp:inline>
        </w:drawing>
      </w:r>
    </w:p>
    <w:p>
      <w:pPr>
        <w:spacing w:after="160"/>
        <w:jc w:val="center"/>
      </w:pPr>
      <w:r>
        <w:rPr>
          <w:rFonts w:ascii="Times New Roman" w:hAnsi="Times New Roman" w:cs="Times New Roman" w:eastAsia="Times New Roman"/>
          <w:b w:val="0"/>
          <w:i/>
          <w:sz w:val="20"/>
        </w:rPr>
        <w:t>Figure 1 (from PMC11939635): “Key molecular mechanisms linking endothelial dysfunction, NLRP3 inflammasome, and cardiovascular diseases (CVDs). Schematic illustration of the pathways and factors contributing to endothelial dysfunction and the progression of CVDs. The activation of the NLRP3 inflammasome by PAMPs, DAMPs, and hemodynamic alterations triggers the production of inflammatory ”</w:t>
      </w:r>
    </w:p>
    <w:p>
      <w:pPr>
        <w:spacing w:after="120"/>
        <w:jc w:val="both"/>
      </w:pPr>
      <w:r>
        <w:rPr>
          <w:rFonts w:ascii="Times New Roman" w:hAnsi="Times New Roman" w:cs="Times New Roman" w:eastAsia="Times New Roman"/>
          <w:b w:val="0"/>
          <w:i w:val="0"/>
          <w:sz w:val="24"/>
        </w:rPr>
        <w:t>“Endothelial dysfunction (ED) is characterized by an impaired response of endothelial cells (ECs) to physiological stimuli, resulting in altered vascular tone and organ perfusion. It arises from an imbalance between vasodilator and vasoconstrictor factors and is associated with various conditions, including neurodegenerative diseases, kidney disease, metabolic syndrome, and cardiovascular diseases (CVDs) [ 1 ]. Sharing mechanisms with many of the aforementioned pathological conditions, ED often serves as a starting point, highlighting a common link among these disorders. This raises the question of whether early detection of ED could be valuable for the screening and prevention of CVDs. From a clinical point of view, the evolution of ED can be followed by measuring some molecules in order to obtain an early diagnosis. Molecules identified as markers of endothelial dysfunction include cytokines such as interleukins (e.g., IL-6 and IL-1), tumor necrosis factor-alpha (TNF-\u03b1), adhesion molecules like intercellular adhesion molecule (ICAM) and vascular cell adhesion molecule (VCAM), as well as endothelial microparticles [ 2 ].”  [PMC11939635 ¶4]</w:t>
      </w:r>
    </w:p>
    <w:p>
      <w:pPr>
        <w:spacing w:after="120"/>
        <w:jc w:val="both"/>
      </w:pPr>
      <w:r>
        <w:rPr>
          <w:rFonts w:ascii="Times New Roman" w:hAnsi="Times New Roman" w:cs="Times New Roman" w:eastAsia="Times New Roman"/>
          <w:b w:val="0"/>
          <w:i w:val="0"/>
          <w:sz w:val="24"/>
        </w:rPr>
        <w:t>“The molecular mechanisms underlying ED are numerous and not entirely clear, despite the fact that this condition has been discussed since the late 1970s [ 3 ]. Certainly, among the most accredited causes are disruption in nitric oxide (NO) production and the formation of reactive oxygen species (ROS) and/or nitrogen species (RNS). Yet hemodynamic and shear stress alterations, including turbulence, play a central role in ED development [ 4 ]. Indeed, triggers for the shift toward ED and, therefore, toward a pro-coagulant and pro-inflammatory state include intrinsic, non-modifiable risk factors, such as hemodynamic disturbances and a predisposition to thrombophilia (whether inherited or acquired). Modifiable risk factors also play a role, including infections, dietary disturbances, metabolic disorders such as homocysteinemia and hypercholesterolemia, and exposure to toxins like those from smoking [ 1 , 5 , 6 ].”  [PMC11939635 ¶5]</w:t>
      </w:r>
    </w:p>
    <w:p>
      <w:pPr>
        <w:spacing w:after="120"/>
        <w:jc w:val="both"/>
      </w:pPr>
      <w:r>
        <w:rPr>
          <w:rFonts w:ascii="Times New Roman" w:hAnsi="Times New Roman" w:cs="Times New Roman" w:eastAsia="Times New Roman"/>
          <w:b w:val="0"/>
          <w:i w:val="0"/>
          <w:sz w:val="24"/>
        </w:rPr>
        <w:t>“The inflammatory response plays a central role by activating the NOD-like receptor family pyrin domain-containing 3 (NLRP3) inflammasome. This activation triggers the release of cytokines, which in turn fuel oxidative stress and further inflammatory processes, creating a vicious cycle [ 7 , 8 , 9 ]. In this brief review, ED pathology will be considered in terms of redox and inflammatory response, since both these factors are among the main causes of NLRP3 activation and CVDs associated with ED. 2. Features of Healthy Endothelium Healthy ECs lining the inner wall of vessels form a dynamic interface with different functions on the surrounding microenvironment. Vascular homeostasis in healthy endothelium is maintained through the release of NO, produced mainly by endothelial NO synthase (eNOS). The endothelium controls the functions of the organs and their metabolism primarily in a paracrine manner through what is defined as \u201cangiocrine signaling\u201d [ 10 ].”  [PMC11939635 ¶6]</w:t>
      </w:r>
    </w:p>
    <w:p>
      <w:pPr>
        <w:jc w:val="center"/>
      </w:pPr>
      <w:r>
        <w:drawing>
          <wp:inline xmlns:a="http://schemas.openxmlformats.org/drawingml/2006/main" xmlns:pic="http://schemas.openxmlformats.org/drawingml/2006/picture">
            <wp:extent cx="5029200" cy="2478960"/>
            <wp:docPr id="98" name="Picture 98"/>
            <wp:cNvGraphicFramePr>
              <a:graphicFrameLocks noChangeAspect="1"/>
            </wp:cNvGraphicFramePr>
            <a:graphic>
              <a:graphicData uri="http://schemas.openxmlformats.org/drawingml/2006/picture">
                <pic:pic>
                  <pic:nvPicPr>
                    <pic:cNvPr id="0" name="p06_i1.jpg"/>
                    <pic:cNvPicPr/>
                  </pic:nvPicPr>
                  <pic:blipFill>
                    <a:blip r:embed="rId33"/>
                    <a:stretch>
                      <a:fillRect/>
                    </a:stretch>
                  </pic:blipFill>
                  <pic:spPr>
                    <a:xfrm>
                      <a:off x="0" y="0"/>
                      <a:ext cx="5029200" cy="2478960"/>
                    </a:xfrm>
                    <a:prstGeom prst="rect"/>
                  </pic:spPr>
                </pic:pic>
              </a:graphicData>
            </a:graphic>
          </wp:inline>
        </w:drawing>
      </w:r>
    </w:p>
    <w:p>
      <w:pPr>
        <w:spacing w:after="160"/>
        <w:jc w:val="center"/>
      </w:pPr>
      <w:r>
        <w:rPr>
          <w:rFonts w:ascii="Times New Roman" w:hAnsi="Times New Roman" w:cs="Times New Roman" w:eastAsia="Times New Roman"/>
          <w:b w:val="0"/>
          <w:i/>
          <w:sz w:val="20"/>
        </w:rPr>
        <w:t>Figure 2 (from PMC11939635): “Adequate NO production supports redox balance, vasodilation, and vascular homeostasis. In contrast, endothelial dysfunction and reduced NO levels lead to redox imbalance, favoring ROS/RNS-mediated inflammation and fibrosis, with O 2 •− , ONOO − and NLRP3 playing key roles (See also Figure 2 ). Double-headed lines indicate inhibition, while simple arrows indi”</w:t>
      </w:r>
    </w:p>
    <w:p>
      <w:pPr>
        <w:spacing w:after="120"/>
        <w:jc w:val="both"/>
      </w:pPr>
      <w:r>
        <w:rPr>
          <w:rFonts w:ascii="Times New Roman" w:hAnsi="Times New Roman" w:cs="Times New Roman" w:eastAsia="Times New Roman"/>
          <w:b w:val="0"/>
          <w:i w:val="0"/>
          <w:sz w:val="24"/>
        </w:rPr>
        <w:t>“Indeed, the endothelium regulates blood flow and vascular resistance by producing several factors, including vasodilators (e.g., NO and prostacyclin (PGI 2 )) and vasoconstrictors (e.g., endothelins (ETs) and thromboxane A 2 (TxA 2 )), ensuring the appropriate delivery of oxygen and nutrients to tissues. Moreover, ECs play a crucial role in maintaining circulatory and blood homeostasis. In their normal state, ECs produce various substances, including prostaglandins, PGI 2 , carbon monoxide (CO), and adenosine diphosphatase, which modulate platelet activation and aggregation, maintaining vascular homeostasis [ 11 , 12 , 13 , 14 , 15 , 16 , 17 , 18 , 19 , 20 , 21 , 22 , 23 ] ( Table 1 ). Endothelial cells also secrete anticoagulant proteins, such as thrombomodulin and heparin-like molecules, and promote fibrinolysis by synthesizing tissue plasminogen activator (t-PA). The activity of the endothelium is physiologically controlled and mediated not only by various factors, but also through a signaling involving mechanotransduction [ 4 ].”  [PMC11939635 ¶7]</w:t>
      </w:r>
    </w:p>
    <w:p>
      <w:pPr>
        <w:spacing w:after="120"/>
        <w:jc w:val="both"/>
      </w:pPr>
      <w:r>
        <w:rPr>
          <w:rFonts w:ascii="Times New Roman" w:hAnsi="Times New Roman" w:cs="Times New Roman" w:eastAsia="Times New Roman"/>
          <w:b w:val="0"/>
          <w:i w:val="0"/>
          <w:sz w:val="24"/>
        </w:rPr>
        <w:t>“Indeed, besides the aforementioned factors, vascular homeostasis is also regulated by myoendothelial junctions (MEJs), which mediate direct interactions between ECs and vascular smooth muscle cells (VSMCs) in resistance vessels. MEJs facilitate endothelial-dependent hyperpolarization (EDH), a NO-independent mechanism modulating vasodilation and vasoconstriction. Recent studies have highlighted the role of membrane proteins such as Transient Receptor Potential Vanilloid 4 (TRPV4), Piezo1, Acid-Sensing Ion Channel 1a (ASIC1a), Connexins, and eNOS in vasomotor signal initiation and propagation. Although eNOS is not an intrinsic membrane protein, its localization to caveolae and interaction with caveolin-1 is promoted by post-translational modifications. Additional insights into Notch signaling have further elucidated its impact on vascular tone [ 4 , 12 , 13 ]. Initially identified as a vasodilator factor distinct from NO and PGI2, EDHF\u2019s identity evolved into the broader concept of EDH signaling, reflecting its complex role in vascular function.”  [PMC11939635 ¶8]</w:t>
      </w:r>
    </w:p>
    <w:p>
      <w:pPr>
        <w:spacing w:after="120"/>
        <w:jc w:val="both"/>
      </w:pPr>
      <w:r>
        <w:rPr>
          <w:rFonts w:ascii="Times New Roman" w:hAnsi="Times New Roman" w:cs="Times New Roman" w:eastAsia="Times New Roman"/>
          <w:b w:val="0"/>
          <w:i w:val="0"/>
          <w:sz w:val="24"/>
        </w:rPr>
        <w:t>“Examples of these disorders include diabetes, obesity, cancer, neurological disorders, hypertension, pulmonary, inflammatory bowel, cardiovascular, autoimmune, and infectious diseases in humans, as well as domesticated animal weaning disorders, respiratory disease, diarrhea, endometritis, and mastitis [ 3 , 4 , 5 , 6 , 7 , 8 , 9 , 10 ]. While there has been an increasing interest in the use of NAC for a wide range of pathological conditions over the past few decades, various human clinical studies have reported conflicting results, and many other studies were performed in vitro. Therefore, more clinical studies are required to address these conflicting results and to support the purported therapeutic roles of NAC in treating different pathological conditions. Various animal studies involving the use of NAC have also been performed, especially with its use in treating intestinal inflammation and related disorders that can be caused by anti-nutritional factors (e.g., \u03b2 -conglycinin, a vicilin storage protein of soybeans), the process of weaning, and consumption of mycotoxins [ 10 , 11 , 12 ].”  [PMC10604897 ¶3]</w:t>
      </w:r>
    </w:p>
    <w:p>
      <w:pPr>
        <w:spacing w:after="120"/>
        <w:jc w:val="both"/>
      </w:pPr>
      <w:r>
        <w:rPr>
          <w:rFonts w:ascii="Times New Roman" w:hAnsi="Times New Roman" w:cs="Times New Roman" w:eastAsia="Times New Roman"/>
          <w:b w:val="0"/>
          <w:i w:val="0"/>
          <w:sz w:val="24"/>
        </w:rPr>
        <w:t>“NAC\u2019s half-life was found to be 1.04 \u00b1 0.53 h. The authors also did not find any significant difference between NAC\u2019s pharmacokinetics in healthy broilers versus Mycoplasma gallisepticum-infected broilers. 5. Therapeutic Uses of NAC in Humans NAC is one of the most used antioxidants in clinical practice to date [ 16 , 17 , 36 ]. There has been a growing interest over the past few decades to use NAC as a potential treatment for a wide range of diseases and disorders in which oxidative stress is suspected to play a role [ 17 , 37 ], including respiratory, cardiovascular, neurodegenerative, liver, kidney, gastrointestinal, and infectious diseases [ 1 ]. antioxidants-12-01867-t001_Table 1 Table 1 N-acetylcysteine adverse events. Study Study Type Study Size NAC Treatment Type and Incidence of Adverse Events following NAC Treatment Moderate Severe [ 38 ] Double-blinded, placebo-controlled, crossover design 17 healthy individuals (age 30 \u00b1 2 years) 9 mg/kg NAC capsule Upset stomach (2), nausea (1), stomach/intestinal gas (1), cough (1) 18 mg/kg NAC capsule Upset stomach (1), nausea (1), stomach/intestinal gas (2), sleepiness (2), metallic taste (1) 35 mg/kg oral NAC solution Upset stomach (2), stomach/intestinal gas (2), sleepiness (1), metallic taste (1) 70 mg/kg oral NAC solution Upset stomach (2), stomach/intestinal gas (1), sleepiness (3), metallic taste (3), light-headedness (1), cough (1) Upset stomach (1), Stomach/intestinal gas (1) 140 mg/kg oral NAC solution Upset stomach (5), nausea (3), stomach/intestinal gas (2), sleepiness (2), metallic taste (4), light-headedness (1) Upset stomach (1), stomach/intestinal gas (4) [ 39 ] Randomized, placebo-controlled study 28 individuals (\u226475 years) 20 mg/min intravenous NAC for first hour, then 10 mg/min for next 23 h; total dose of 15 g over 24 h Haemorrhage (3), headache (4) Transient episode of extreme sinus bradycardia (1) [ 40 ] Randomized, placebo-controlled study 4 healthy individuals (age 35 \u00b1 3 years) 150 mg/kg intravenous Transient skin flushing (2), pruritus (2), nausea (2) [ 41 ] Double-blind, randomized trial 65 chronic bronchitis patients 4 puffs of NAC (1 mg/puff) two times daily Coughing (4), Dyspnoea (7) 5.1.”  [PMC10604897 ¶13]</w:t>
      </w:r>
    </w:p>
    <w:p>
      <w:pPr>
        <w:spacing w:after="120"/>
        <w:jc w:val="both"/>
      </w:pPr>
      <w:r>
        <w:rPr>
          <w:rFonts w:ascii="Times New Roman" w:hAnsi="Times New Roman" w:cs="Times New Roman" w:eastAsia="Times New Roman"/>
          <w:b w:val="0"/>
          <w:i w:val="0"/>
          <w:sz w:val="24"/>
        </w:rPr>
        <w:t>“The accumulation of fat in the hepatocytes of NAFLD patients is generally due to a combination of excessive calorie intake and a sedentary lifestyle [ 46 ]. However, diabetic patients, particularly type 2 diabetics, and those with abnormal levels of blood lipids or hypertension are also at risk of developing NAFLD [ 46 ]. Regardless of the etiological factor(s) leading to the onset of NAFLD, the increased flow of free fatty acids to the liver concurrently increases oxidative stress and suppresses hepatic intracellular antioxidant activity [ 1 ]. Experimental studies conducted on the use of NAC in NAFLD patients have demonstrated that NAC can block the accumulation of hepatic lipids and reduce the pro-inflammatory cytokines IL-6, IL-1\u03b2, and TNF-\u221d and the upstream transcription factor NF-\u03baB [ 47 ], which plays a critical role in initiating the inflammatory cascade and immune response related to oxidative stress.”  [PMC10604897 ¶18]</w:t>
      </w:r>
    </w:p>
    <w:p>
      <w:pPr>
        <w:jc w:val="center"/>
      </w:pPr>
      <w:r>
        <w:drawing>
          <wp:inline xmlns:a="http://schemas.openxmlformats.org/drawingml/2006/main" xmlns:pic="http://schemas.openxmlformats.org/drawingml/2006/picture">
            <wp:extent cx="5029200" cy="2300859"/>
            <wp:docPr id="99" name="Picture 99"/>
            <wp:cNvGraphicFramePr>
              <a:graphicFrameLocks noChangeAspect="1"/>
            </wp:cNvGraphicFramePr>
            <a:graphic>
              <a:graphicData uri="http://schemas.openxmlformats.org/drawingml/2006/picture">
                <pic:pic>
                  <pic:nvPicPr>
                    <pic:cNvPr id="0" name="p21_i1.jpg"/>
                    <pic:cNvPicPr/>
                  </pic:nvPicPr>
                  <pic:blipFill>
                    <a:blip r:embed="rId12"/>
                    <a:stretch>
                      <a:fillRect/>
                    </a:stretch>
                  </pic:blipFill>
                  <pic:spPr>
                    <a:xfrm>
                      <a:off x="0" y="0"/>
                      <a:ext cx="5029200" cy="2300859"/>
                    </a:xfrm>
                    <a:prstGeom prst="rect"/>
                  </pic:spPr>
                </pic:pic>
              </a:graphicData>
            </a:graphic>
          </wp:inline>
        </w:drawing>
      </w:r>
    </w:p>
    <w:p>
      <w:pPr>
        <w:spacing w:after="160"/>
        <w:jc w:val="center"/>
      </w:pPr>
      <w:r>
        <w:rPr>
          <w:rFonts w:ascii="Times New Roman" w:hAnsi="Times New Roman" w:cs="Times New Roman" w:eastAsia="Times New Roman"/>
          <w:b w:val="0"/>
          <w:i/>
          <w:sz w:val="20"/>
        </w:rPr>
        <w:t>Figure 1 (from PMC10604897): “The three major narratives of NAC’s mechanisms of action.</w:t>
        <w:br/>
        <w:t xml:space="preserve">   graphic: `antioxidants-12-01867-g001.jpg`”</w:t>
      </w:r>
    </w:p>
    <w:p>
      <w:pPr>
        <w:spacing w:after="120"/>
        <w:jc w:val="both"/>
      </w:pPr>
      <w:r>
        <w:rPr>
          <w:rFonts w:ascii="Times New Roman" w:hAnsi="Times New Roman" w:cs="Times New Roman" w:eastAsia="Times New Roman"/>
          <w:b w:val="0"/>
          <w:i w:val="0"/>
          <w:sz w:val="24"/>
        </w:rPr>
        <w:t>“Consistent evidence demonstrates that administering NAC promptly after an overdose can prevent or mitigate liver damage, leading to improved patient outcomes. Secondly, research on NAC\u2019s efficacy in chronic obstructive pulmonary disease (COPD) has yielded mixed results. While some studies suggest that NAC may reduce exacerbation frequency and enhance lung function in COPD patients, others have not observed significant benefits. Additionally, NAC serves as a mucolytic agent, aiding individuals with respiratory conditions like cystic fibrosis and chronic bronchitis in clearing mucus from their airways. Clinical investigations affirm its effectiveness in facilitating mucus clearance and enhancing lung function in such cases. Moreover, there is emerging evidence indicating that NAC may reduce oxidative stress, enhance endothelial function, and decrease inflammation, all of which are pertinent to cardiovascular health.”  [PMC10604897 ¶32]</w:t>
      </w:r>
    </w:p>
    <w:p>
      <w:pPr>
        <w:spacing w:after="120"/>
        <w:jc w:val="both"/>
      </w:pPr>
      <w:r>
        <w:rPr>
          <w:rFonts w:ascii="Times New Roman" w:hAnsi="Times New Roman" w:cs="Times New Roman" w:eastAsia="Times New Roman"/>
          <w:b w:val="0"/>
          <w:i w:val="0"/>
          <w:sz w:val="24"/>
        </w:rPr>
        <w:t>“Nevertheless, further research is needed to comprehensively understand its impact on cardiovascular outcomes. Furthermore, NAC has been the subject of study for its potential hepatoprotective properties, revealing promising outcomes by lowering liver enzyme levels and enhancing liver function. Lastly, NAC may play a role in alleviating influenza symptoms and aiding recovery, primarily due to its antioxidant and immunomodulatory characteristics. 6. Autoimmune Diseases Autoimmune diseases encompass a wide variety of illnesses and occur when self-constituents are attacked by a hyperactive immune system [ 75 , 76 ]. Due to a loss of immunological self-tolerance, immune cells begin to attack self-molecules manifesting as an autoimmune response [ 75 ]. Inflammatory bowel diseases (IBD) are autoimmune diseases that cause chronic inflammation of the gastrointestinal tract, and they are categorized into two main types, UC and Crohn\u2019s diseases [ 76 ].”  [PMC10604897 ¶33]</w:t>
      </w:r>
    </w:p>
    <w:p>
      <w:pPr>
        <w:spacing w:after="120"/>
        <w:jc w:val="both"/>
      </w:pPr>
      <w:r>
        <w:rPr>
          <w:rFonts w:ascii="Times New Roman" w:hAnsi="Times New Roman" w:cs="Times New Roman" w:eastAsia="Times New Roman"/>
          <w:b w:val="0"/>
          <w:i w:val="0"/>
          <w:sz w:val="24"/>
        </w:rPr>
        <w:t>“Autoimmune diseases are becoming increasingly prevalent, and their corresponding treatments can result in further immunosuppression, which can lead to systemic infections that potentially cause death [ 75 ]. More natural treatment remedies, such as NAC, have been explored for treating IBD [ 77 ]. Studies conducted by Ebrahimi et al. (2008) measured certain biomarkers in colon cells in a mouse model to examine the effects of NAC on IBD. NAC was administered at varying amounts (106, 160, and 240 mg/kg) over the course of four days after the induction of colitis, and it was determined that NAC was able to attenuate lipid peroxides, the cytokine TNF-\u237a, and nitric oxides [ 77 ]. The researchers concluded that cellular biomarkers for IBD improved with the use of moderate to high doses of NAC [ 77 ]. Additionally, research on human UC by Shirazi et al. (2021) examined NAC as an antioxidant agent for treating flare-ups of the illness [ 78 ].”  [PMC10604897 ¶34]</w:t>
      </w:r>
    </w:p>
    <w:p>
      <w:pPr>
        <w:jc w:val="center"/>
      </w:pPr>
      <w:r>
        <w:drawing>
          <wp:inline xmlns:a="http://schemas.openxmlformats.org/drawingml/2006/main" xmlns:pic="http://schemas.openxmlformats.org/drawingml/2006/picture">
            <wp:extent cx="5029200" cy="1144143"/>
            <wp:docPr id="100" name="Picture 100"/>
            <wp:cNvGraphicFramePr>
              <a:graphicFrameLocks noChangeAspect="1"/>
            </wp:cNvGraphicFramePr>
            <a:graphic>
              <a:graphicData uri="http://schemas.openxmlformats.org/drawingml/2006/picture">
                <pic:pic>
                  <pic:nvPicPr>
                    <pic:cNvPr id="0" name="p21_i2.jpg"/>
                    <pic:cNvPicPr/>
                  </pic:nvPicPr>
                  <pic:blipFill>
                    <a:blip r:embed="rId13"/>
                    <a:stretch>
                      <a:fillRect/>
                    </a:stretch>
                  </pic:blipFill>
                  <pic:spPr>
                    <a:xfrm>
                      <a:off x="0" y="0"/>
                      <a:ext cx="5029200" cy="1144143"/>
                    </a:xfrm>
                    <a:prstGeom prst="rect"/>
                  </pic:spPr>
                </pic:pic>
              </a:graphicData>
            </a:graphic>
          </wp:inline>
        </w:drawing>
      </w:r>
    </w:p>
    <w:p>
      <w:pPr>
        <w:spacing w:after="160"/>
        <w:jc w:val="center"/>
      </w:pPr>
      <w:r>
        <w:rPr>
          <w:rFonts w:ascii="Times New Roman" w:hAnsi="Times New Roman" w:cs="Times New Roman" w:eastAsia="Times New Roman"/>
          <w:b w:val="0"/>
          <w:i/>
          <w:sz w:val="20"/>
        </w:rPr>
        <w:t>Figure panel from PMC10604897 (source bitmap p21_i2.jpg).</w:t>
      </w:r>
    </w:p>
    <w:p>
      <w:pPr>
        <w:spacing w:after="120"/>
        <w:jc w:val="both"/>
      </w:pPr>
      <w:r>
        <w:rPr>
          <w:rFonts w:ascii="Times New Roman" w:hAnsi="Times New Roman" w:cs="Times New Roman" w:eastAsia="Times New Roman"/>
          <w:b w:val="0"/>
          <w:i w:val="0"/>
          <w:sz w:val="24"/>
        </w:rPr>
        <w:t>“In a double-blind controlled clinical trial, patients received 800 mg of NAC or placebo over the course of 16 weeks [ 78 ]. The results of the study found significant differences between the two treatment groups, where the NAC-treated patients had fewer incidences of endoscopic relapse compared to the placebo group [ 78 ]. Additionally, serum CRP levels, mean fecal calprotectin, and the serum erythrocyte sedimentation rate were lower in the NAC group than in the placebo group [ 78 ]. These findings elucidated the positive effects that NAC has on the treatment of UC [ 78 ]. Further studies regarding the protective effects of NAC in treating IBD should be explored in humans seeing as it was proven in mice that NAC can improve cellular biomarkers of IBD disease and elicit positive effects in the treatment of UC within humans [ 78 ]. 7. Cardiovascular Diseases Recently, the role of NAC in cardiovascular diseases has also received wide attention from the research community.”  [PMC10604897 ¶35]</w:t>
      </w:r>
    </w:p>
    <w:p>
      <w:pPr>
        <w:spacing w:after="120"/>
        <w:jc w:val="both"/>
      </w:pPr>
      <w:r>
        <w:rPr>
          <w:rFonts w:ascii="Times New Roman" w:hAnsi="Times New Roman" w:cs="Times New Roman" w:eastAsia="Times New Roman"/>
          <w:b w:val="0"/>
          <w:i w:val="0"/>
          <w:sz w:val="24"/>
        </w:rPr>
        <w:t>“It has been found that NAC can effectively inhibit myocardial cell apoptosis caused by ischemia-reperfusion injury (IRI) and improve cardiac function [ 79 ]. NAC may have an indirect effect on the levels of low-density lipoprotein (LDL) and oxidized LDL, primarily through its antioxidant and anti-inflammatory properties. By increasing GTH levels, NAC helps reduce oxidative stress and the formation of reactive oxygen species (ROS). High oxidative stress can lead to the oxidation of LDL cholesterol, transforming it into oxidized LDL, which is more atherogenic. By reducing oxidative stress, NAC may help inhibit the formation of oxidized LDL [ 80 , 81 ]. It is also reported that NAC may improve the function of endothelial cells lining blood vessels [ 82 ]. When the endothelium is healthy, it produces nitric oxide, which helps to relax blood vessels and regulate blood flow. Improved endothelial function can contribute to a better balance of LDL and high-density lipoprotein (HDL) cholesterol.”  [PMC10604897 ¶36]</w:t>
      </w:r>
    </w:p>
    <w:p>
      <w:pPr>
        <w:spacing w:after="120"/>
        <w:jc w:val="both"/>
      </w:pPr>
      <w:r>
        <w:rPr>
          <w:rFonts w:ascii="Times New Roman" w:hAnsi="Times New Roman" w:cs="Times New Roman" w:eastAsia="Times New Roman"/>
          <w:b w:val="0"/>
          <w:i w:val="0"/>
          <w:sz w:val="24"/>
        </w:rPr>
        <w:t>“However, NAC also possesses the capability to directly engage with oxidants such as hydroxyl radical, hydrogen peroxide, and hypochloric acid [ 30 , 34 ]. The pharmacological characterization of NAC\u2019s anti-oxidant effect took place in the human ex vivo model of acute exacerbations of COPD (AECOPD) consisting of lipopolysaccharide (LPS)-stimulated human bronchi. In two different studies performed by Cazzola et al. [ 27 ] and Calzetta et al. [ 28 ], NAC led to a decrease in LPS-induced malondialdehyde, H 2 O 2 , peroxidase activity, and nitric oxide (NO) production at concentrations of 1\u201310 \u00b5M and 16\u201335 \u00b5M, respectively. Notably, there was also a normalization of GSH levels in the aforementioned two separate studies [ 27 , 28 ], with one study reporting increased superoxide dismutase (SOD) activity by approximately 150% compared to LPS-treated bronchi [ 27 ]. Currently, oxidative stress is recognized as a key predisposing factor in the development of COPD, with an imbalanced oxidant/anti-oxidant state particularly pronounced during AECOPD [ 43 ].”  [PMC11278452 ¶11]</w:t>
      </w:r>
    </w:p>
    <w:p>
      <w:pPr>
        <w:keepNext/>
        <w:spacing w:before="280" w:after="80"/>
        <w:outlineLvl w:val="1"/>
      </w:pPr>
      <w:r>
        <w:rPr>
          <w:rFonts w:ascii="Times New Roman" w:hAnsi="Times New Roman" w:cs="Times New Roman" w:eastAsia="Times New Roman"/>
          <w:b/>
          <w:i w:val="0"/>
          <w:color w:val="335588"/>
          <w:sz w:val="28"/>
        </w:rPr>
        <w:t>11a.3  Central nervous system and psychiatric conditions</w:t>
      </w:r>
    </w:p>
    <w:p>
      <w:pPr>
        <w:spacing w:after="120"/>
        <w:jc w:val="both"/>
      </w:pPr>
      <w:r>
        <w:rPr>
          <w:rFonts w:ascii="Times New Roman" w:hAnsi="Times New Roman" w:cs="Times New Roman" w:eastAsia="Times New Roman"/>
          <w:b w:val="0"/>
          <w:i w:val="0"/>
          <w:sz w:val="24"/>
        </w:rPr>
        <w:t>“Examples of these disorders include diabetes, obesity, cancer, neurological disorders, hypertension, pulmonary, inflammatory bowel, cardiovascular, autoimmune, and infectious diseases in humans, as well as domesticated animal weaning disorders, respiratory disease, diarrhea, endometritis, and mastitis [ 3 , 4 , 5 , 6 , 7 , 8 , 9 , 10 ]. While there has been an increasing interest in the use of NAC for a wide range of pathological conditions over the past few decades, various human clinical studies have reported conflicting results, and many other studies were performed in vitro. Therefore, more clinical studies are required to address these conflicting results and to support the purported therapeutic roles of NAC in treating different pathological conditions. Various animal studies involving the use of NAC have also been performed, especially with its use in treating intestinal inflammation and related disorders that can be caused by anti-nutritional factors (e.g., \u03b2 -conglycinin, a vicilin storage protein of soybeans), the process of weaning, and consumption of mycotoxins [ 10 , 11 , 12 ].”  [PMC10604897 ¶3]</w:t>
      </w:r>
    </w:p>
    <w:p>
      <w:pPr>
        <w:spacing w:after="120"/>
        <w:jc w:val="both"/>
      </w:pPr>
      <w:r>
        <w:rPr>
          <w:rFonts w:ascii="Times New Roman" w:hAnsi="Times New Roman" w:cs="Times New Roman" w:eastAsia="Times New Roman"/>
          <w:b w:val="0"/>
          <w:i w:val="0"/>
          <w:sz w:val="24"/>
        </w:rPr>
        <w:t>“Many studies have shown the protective effects of NAC for neonatal animals immune challenged with bacterial lipopolysaccharide (LPS) endotoxin, particularly studies involving piglets [ 13 , 14 ]. NAC administration has consistently been shown to increase daily body weight gain and alleviate LPS-mediated growth depression. Furthermore, the porcine model of ulcerative colitis (UC) can be used to support NAC usage for humans. For example, in a study conducted by Wang et al. (2013), the piglet model of UC demonstrated that administration of NAC was able to reduce colon histopathology score and ameliorate UC histological abnormalities [ 15 ]. Despite the numerous NAC studies and its increasing popularity, the mechanisms of action (MOA) by which NAC exerts its antioxidant and cytoprotective properties remain unclear [ 1 , 16 ]. It is often assumed that the effects conferred by NAC are due to it acting as a scavenger of reactive oxygen species (ROS), a precursor for glutathione (GSH) biosynthesis, and a disulfide reductant [ 16 , 17 ].”  [PMC10604897 ¶4]</w:t>
      </w:r>
    </w:p>
    <w:p>
      <w:pPr>
        <w:spacing w:after="120"/>
        <w:jc w:val="both"/>
      </w:pPr>
      <w:r>
        <w:rPr>
          <w:rFonts w:ascii="Times New Roman" w:hAnsi="Times New Roman" w:cs="Times New Roman" w:eastAsia="Times New Roman"/>
          <w:b w:val="0"/>
          <w:i w:val="0"/>
          <w:sz w:val="24"/>
        </w:rPr>
        <w:t>“NAC\u2019s half-life was found to be 1.04 \u00b1 0.53 h. The authors also did not find any significant difference between NAC\u2019s pharmacokinetics in healthy broilers versus Mycoplasma gallisepticum-infected broilers. 5. Therapeutic Uses of NAC in Humans NAC is one of the most used antioxidants in clinical practice to date [ 16 , 17 , 36 ]. There has been a growing interest over the past few decades to use NAC as a potential treatment for a wide range of diseases and disorders in which oxidative stress is suspected to play a role [ 17 , 37 ], including respiratory, cardiovascular, neurodegenerative, liver, kidney, gastrointestinal, and infectious diseases [ 1 ]. antioxidants-12-01867-t001_Table 1 Table 1 N-acetylcysteine adverse events. Study Study Type Study Size NAC Treatment Type and Incidence of Adverse Events following NAC Treatment Moderate Severe [ 38 ] Double-blinded, placebo-controlled, crossover design 17 healthy individuals (age 30 \u00b1 2 years) 9 mg/kg NAC capsule Upset stomach (2), nausea (1), stomach/intestinal gas (1), cough (1) 18 mg/kg NAC capsule Upset stomach (1), nausea (1), stomach/intestinal gas (2), sleepiness (2), metallic taste (1) 35 mg/kg oral NAC solution Upset stomach (2), stomach/intestinal gas (2), sleepiness (1), metallic taste (1) 70 mg/kg oral NAC solution Upset stomach (2), stomach/intestinal gas (1), sleepiness (3), metallic taste (3), light-headedness (1), cough (1) Upset stomach (1), Stomach/intestinal gas (1) 140 mg/kg oral NAC solution Upset stomach (5), nausea (3), stomach/intestinal gas (2), sleepiness (2), metallic taste (4), light-headedness (1) Upset stomach (1), stomach/intestinal gas (4) [ 39 ] Randomized, placebo-controlled study 28 individuals (\u226475 years) 20 mg/min intravenous NAC for first hour, then 10 mg/min for next 23 h; total dose of 15 g over 24 h Haemorrhage (3), headache (4) Transient episode of extreme sinus bradycardia (1) [ 40 ] Randomized, placebo-controlled study 4 healthy individuals (age 35 \u00b1 3 years) 150 mg/kg intravenous Transient skin flushing (2), pruritus (2), nausea (2) [ 41 ] Double-blind, randomized trial 65 chronic bronchitis patients 4 puffs of NAC (1 mg/puff) two times daily Coughing (4), Dyspnoea (7) 5.1.”  [PMC10604897 ¶13]</w:t>
      </w:r>
    </w:p>
    <w:p>
      <w:pPr>
        <w:jc w:val="center"/>
      </w:pPr>
      <w:r>
        <w:drawing>
          <wp:inline xmlns:a="http://schemas.openxmlformats.org/drawingml/2006/main" xmlns:pic="http://schemas.openxmlformats.org/drawingml/2006/picture">
            <wp:extent cx="5029200" cy="2300859"/>
            <wp:docPr id="101" name="Picture 101"/>
            <wp:cNvGraphicFramePr>
              <a:graphicFrameLocks noChangeAspect="1"/>
            </wp:cNvGraphicFramePr>
            <a:graphic>
              <a:graphicData uri="http://schemas.openxmlformats.org/drawingml/2006/picture">
                <pic:pic>
                  <pic:nvPicPr>
                    <pic:cNvPr id="0" name="p21_i1.jpg"/>
                    <pic:cNvPicPr/>
                  </pic:nvPicPr>
                  <pic:blipFill>
                    <a:blip r:embed="rId12"/>
                    <a:stretch>
                      <a:fillRect/>
                    </a:stretch>
                  </pic:blipFill>
                  <pic:spPr>
                    <a:xfrm>
                      <a:off x="0" y="0"/>
                      <a:ext cx="5029200" cy="2300859"/>
                    </a:xfrm>
                    <a:prstGeom prst="rect"/>
                  </pic:spPr>
                </pic:pic>
              </a:graphicData>
            </a:graphic>
          </wp:inline>
        </w:drawing>
      </w:r>
    </w:p>
    <w:p>
      <w:pPr>
        <w:spacing w:after="160"/>
        <w:jc w:val="center"/>
      </w:pPr>
      <w:r>
        <w:rPr>
          <w:rFonts w:ascii="Times New Roman" w:hAnsi="Times New Roman" w:cs="Times New Roman" w:eastAsia="Times New Roman"/>
          <w:b w:val="0"/>
          <w:i/>
          <w:sz w:val="20"/>
        </w:rPr>
        <w:t>Figure 1 (from PMC10604897): “The three major narratives of NAC’s mechanisms of action.</w:t>
        <w:br/>
        <w:t xml:space="preserve">   graphic: `antioxidants-12-01867-g001.jpg`”</w:t>
      </w:r>
    </w:p>
    <w:p>
      <w:pPr>
        <w:spacing w:after="120"/>
        <w:jc w:val="both"/>
      </w:pPr>
      <w:r>
        <w:rPr>
          <w:rFonts w:ascii="Times New Roman" w:hAnsi="Times New Roman" w:cs="Times New Roman" w:eastAsia="Times New Roman"/>
          <w:b w:val="0"/>
          <w:i w:val="0"/>
          <w:sz w:val="24"/>
        </w:rPr>
        <w:t>“## Figure captions (2) 1. **Figure 1** — Differential modulation of pro-inflammatory mediators in relation to both the concentration and duration of treatment with N-acetylcysteine in in vitro models of airway inflammation. NAC: N-acetylcysteine; LPS: lipopolysaccharides; NKA: neurokinin A; IL-6: Interleukin-6; TNF-α: tumor necrosis factor-α; IL-8: Interleukin-8; IL-1β: Interleukin-1beta; NF-κB: Nuclear factor kappa B. graphic: `jcm-13-04127-g001.jpg` 2. **Figure 2** — Proposed molecular mechanisms for the therapeutic activity of N-acetylcysteine after oral administration in chronic respiratory diseases. NAC: N-acetylcysteine; GSH: glutathione; RSSH: persulfides; RSS n SR: polysulfides; NKA: neurokinin A; NF-κB: Nuclear factor kappa B; TNF-α: tumor necrosis factor-α; IL-1β: Interleukin-1beta; IL-8: Interleukin-8; ROS: reactive oxygen species. graphic: `jcm-13-04127-g002.jpg` ```json { "pmcid": "PMC11278452", "pmid": "39064168", "doi": "10.3390/jcm13144127", "title": "Anti-Inflammatory and Anti-Oxidant Properties of N-Acetylcysteine: A Fresh Perspective", "journal": "Journal of Clinical Medicine", "year": "2024", "abstract": "N-acetyl-L-cysteine (NAC) was initially introduced as a treatment for mucus reduction and widely used for chronic respiratory conditions associated with mucus overproduction.”  [PMC11278452 ¶1]</w:t>
      </w:r>
    </w:p>
    <w:p>
      <w:pPr>
        <w:spacing w:after="120"/>
        <w:jc w:val="both"/>
      </w:pPr>
      <w:r>
        <w:rPr>
          <w:rFonts w:ascii="Times New Roman" w:hAnsi="Times New Roman" w:cs="Times New Roman" w:eastAsia="Times New Roman"/>
          <w:b w:val="0"/>
          <w:i w:val="0"/>
          <w:sz w:val="24"/>
        </w:rPr>
        <w:t>“However, the mechanism of action for NAC extends beyond its mucolytic activity and is complex and multifaceted. Contrary to other mucoactive drugs, NAC has been found to exhibit antioxidant, anti-infective, and anti-inflammatory activity in pre-clinical and clinical reports. These properties have sparked interest in its potential for treating chronic lung diseases, including chronic obstructive pulmonary disease (COPD), bronchiectasis (BE), cystic fibrosis (CF), and idiopathic pulmonary fibrosis (IPF), which are associated with oxidative stress, increased levels of glutathione and inflammation. NAC\u2019s anti-inflammatory activity is noteworthy, and it is not solely secondary to its antioxidant capabilities. In ex vivo models of COPD exacerbation, the anti-inflammatory effects have been observed even at very low doses, especially with prolonged treatment. The mechanism involves the inhibition of the activation of NF-kB and neurokinin A production, resulting in a reduction in interleukin-6 production, a cytokine abundantly present in the sputum and breath condensate of patients with COPD and correlates with the number of exacerbations.”  [PMC11278452 ¶2]</w:t>
      </w:r>
    </w:p>
    <w:p>
      <w:pPr>
        <w:spacing w:after="120"/>
        <w:jc w:val="both"/>
      </w:pPr>
      <w:r>
        <w:rPr>
          <w:rFonts w:ascii="Times New Roman" w:hAnsi="Times New Roman" w:cs="Times New Roman" w:eastAsia="Times New Roman"/>
          <w:b w:val="0"/>
          <w:i w:val="0"/>
          <w:sz w:val="24"/>
        </w:rPr>
        <w:t>“NAC has demonstrated efficacy in regulating neurokinin A (NKA) release in LPS-stimulated human bronchi at concentrations ranging from 1 to 10 \u00b5M [ 27 ] and 5 to 35 \u00b5M [ 28 ] in the two different studies ( Figure 1 ). One of the two studies showed that higher NAC concentrations (300 \u03bcM to 10 mM) were needed to reduce the production of IL-8, IL-1\u03b2, and TNF-\u03b1 from LPS-stimulated human bronchi by approximately 55% [ 27 ]. In contrast, lower concentrations (1 \u03bcM) sufficed to decrease IL-6 levels by approximately 33%, likely through the inhibition of NKA release [ 27 ] ( Figure 1 ). Accordingly, the other study showed that selectively blocking the receptor for NKA NK2 nullified the association between the reduction in NKA release and the decrease in IL-6 content [ 28 ]. This finding suggests that NAC suppresses the neurogenic inflammatory response triggered by LPS by reducing NKA production, subsequently diminishing the increase in IL-6 [ 28 ].”  [PMC11278452 ¶19]</w:t>
      </w:r>
    </w:p>
    <w:p>
      <w:pPr>
        <w:jc w:val="center"/>
      </w:pPr>
      <w:r>
        <w:drawing>
          <wp:inline xmlns:a="http://schemas.openxmlformats.org/drawingml/2006/main" xmlns:pic="http://schemas.openxmlformats.org/drawingml/2006/picture">
            <wp:extent cx="5029200" cy="4259385"/>
            <wp:docPr id="102" name="Picture 102"/>
            <wp:cNvGraphicFramePr>
              <a:graphicFrameLocks noChangeAspect="1"/>
            </wp:cNvGraphicFramePr>
            <a:graphic>
              <a:graphicData uri="http://schemas.openxmlformats.org/drawingml/2006/picture">
                <pic:pic>
                  <pic:nvPicPr>
                    <pic:cNvPr id="0" name="p06_i1.jpg"/>
                    <pic:cNvPicPr/>
                  </pic:nvPicPr>
                  <pic:blipFill>
                    <a:blip r:embed="rId14"/>
                    <a:stretch>
                      <a:fillRect/>
                    </a:stretch>
                  </pic:blipFill>
                  <pic:spPr>
                    <a:xfrm>
                      <a:off x="0" y="0"/>
                      <a:ext cx="5029200" cy="4259385"/>
                    </a:xfrm>
                    <a:prstGeom prst="rect"/>
                  </pic:spPr>
                </pic:pic>
              </a:graphicData>
            </a:graphic>
          </wp:inline>
        </w:drawing>
      </w:r>
    </w:p>
    <w:p>
      <w:pPr>
        <w:spacing w:after="160"/>
        <w:jc w:val="center"/>
      </w:pPr>
      <w:r>
        <w:rPr>
          <w:rFonts w:ascii="Times New Roman" w:hAnsi="Times New Roman" w:cs="Times New Roman" w:eastAsia="Times New Roman"/>
          <w:b w:val="0"/>
          <w:i/>
          <w:sz w:val="20"/>
        </w:rPr>
        <w:t>Figure 1 (from PMC11278452): “Differential modulation of pro-inflammatory mediators in relation to both the concentration and duration of treatment with N-acetylcysteine in in vitro models of airway inflammation. NAC: N-acetylcysteine; LPS: lipopolysaccharides; NKA: neurokinin A; IL-6: Interleukin-6; TNF-α: tumor necrosis factor-α; IL-8: Interleukin-8; IL-1β: Interleukin-1beta; NF-κB: Nu”</w:t>
      </w:r>
    </w:p>
    <w:p>
      <w:pPr>
        <w:spacing w:after="120"/>
        <w:jc w:val="both"/>
      </w:pPr>
      <w:r>
        <w:rPr>
          <w:rFonts w:ascii="Times New Roman" w:hAnsi="Times New Roman" w:cs="Times New Roman" w:eastAsia="Times New Roman"/>
          <w:b w:val="0"/>
          <w:i w:val="0"/>
          <w:sz w:val="24"/>
        </w:rPr>
        <w:t>“[ 28 ] demonstrated that the influence of NAC on NKA production displays a bell-shaped concentration-response curve. This suggests that the inhibitory effect observed at concentrations between 5 to 35 \u00b5M is greater than at higher concentrations [ 28 ]. This distinct fitting model induced by NAC concerning NKA levels may elucidate conflicting dose-effect findings reported in in vitro and in vivo settings, particularly regarding NAC\u2019s anti-inflammatory activity [ 72 ]. These findings imply that additional mechanisms apart from the anti-oxidant activity control the rise of IL-6 in LPS-stimulated human bronchi, particularly when NAC is administered at low concentrations equivalent to an oral dose of 200 mg/day. This suggests a genuine anti-inflammatory effect of NAC, distinct from its anti-oxidant capabilities. Given that the LPS challenge triggers neurogenic inflammation in the airways and IL-6 exacerbates NKA release, NAC at low concentrations seems to finely regulate neurogenic inflammation [ 73 , 74 , 75 , 76 ], a harmful condition that contributes to the cyclical relationship between oxidative stress and inflammation in human bronchi [ 13 , 27 ].”  [PMC11278452 ¶21]</w:t>
      </w:r>
    </w:p>
    <w:p>
      <w:pPr>
        <w:spacing w:after="120"/>
        <w:jc w:val="both"/>
      </w:pPr>
      <w:r>
        <w:rPr>
          <w:rFonts w:ascii="Times New Roman" w:hAnsi="Times New Roman" w:cs="Times New Roman" w:eastAsia="Times New Roman"/>
          <w:b w:val="0"/>
          <w:i w:val="0"/>
          <w:sz w:val="24"/>
        </w:rPr>
        <w:t>“Clinical trial results suggest that prolonged NAC administration can significantly enhance respiratory symptoms and decrease the frequency of exacerbations in COPD and CB/pre-COPD patients.", "tables": [], "figures": [ { "label": "Figure 1", "caption": "Differential modulation of pro-inflammatory mediators in relation to both the concentration and duration of treatment with N-acetylcysteine in in vitro models of airway inflammation. NAC: N-acetylcysteine; LPS: lipopolysaccharides; NKA: neurokinin A; IL-6: Interleukin-6; TNF-\u03b1: tumor necrosis factor-\u03b1; IL-8: Interleukin-8; IL-1\u03b2: Interleukin-1beta; NF-\u03baB: Nuclear factor kappa B.", "graphic_href": "jcm-13-04127-g001.jpg" }, { "label": "Figure 2", "caption": "Proposed molecular mechanisms for the therapeutic activity of N-acetylcysteine after oral administration in chronic respiratory diseases. NAC: N-acetylcysteine; GSH: glutathione; RSSH: persulfides; RSS n SR: polysulfides; NKA: neurokinin A; NF-\u03baB: Nuclear factor kappa B; TNF-\u03b1: tumor necrosis factor-\u03b1; IL-1\u03b2: Interleukin-1beta; IL-8: Interleukin-8; ROS: reactive oxygen species.", "graphic_href": "jcm-13-04127-g002.jpg" } ], "references": [ { "title": "The reduction in vitro in viscosity of mucoprotein solutions by a new mucolytic agent, N-acetyl-L-cysteine", "year": "1963", "source": "Ann.”  [PMC11278452 ¶34]</w:t>
      </w:r>
    </w:p>
    <w:p>
      <w:pPr>
        <w:spacing w:after="120"/>
        <w:jc w:val="both"/>
      </w:pPr>
      <w:r>
        <w:rPr>
          <w:rFonts w:ascii="Times New Roman" w:hAnsi="Times New Roman" w:cs="Times New Roman" w:eastAsia="Times New Roman"/>
          <w:b w:val="0"/>
          <w:i w:val="0"/>
          <w:sz w:val="24"/>
        </w:rPr>
        <w:t>“Res.", "doi": "10.1186/s12931-016-0500-y", "pmid": "28118826", "pmcid": "PMC5260037" }, { "title": "N-Acetylcysteine protects human bronchi by modulating the release of neurokinin A in an ex vivo model of COPD exacerbation", "year": "2018", "source": "Biomed. Pharmacother.", "doi": "10.1016/j.biopha.2018.04.011", "pmid": "29635121" }, { "title": "Influence of dose and exposition time in the effectiveness of N-Acetyl-l-cysteine treatment in A549 human epithelial cells", "year": "2023", "source": "Heliyon", "doi": "10.1016/j.heliyon.2023.e15613", "pmid": "37144195", "pmcid": "PMC10151372" }, { "title": "The antioxidant action of N-acetylcysteine: Its reaction with hydrogen peroxide, hydroxyl radical, superoxide, and hypochlorous acid", "year": "1989", "source": "Free Radic. Biol. Med.", "doi": "10.1016/0891-5849(89)90066-X", "pmid": "2546864" }, { "title": "H2S: A Novel Gasotransmitter that Signals by Sulfhydration", "year": "2015", "source": "Trends Biochem.”  [PMC11278452 ¶40]</w:t>
      </w:r>
    </w:p>
    <w:p>
      <w:pPr>
        <w:jc w:val="center"/>
      </w:pPr>
      <w:r>
        <w:drawing>
          <wp:inline xmlns:a="http://schemas.openxmlformats.org/drawingml/2006/main" xmlns:pic="http://schemas.openxmlformats.org/drawingml/2006/picture">
            <wp:extent cx="5029200" cy="3369819"/>
            <wp:docPr id="103" name="Picture 103"/>
            <wp:cNvGraphicFramePr>
              <a:graphicFrameLocks noChangeAspect="1"/>
            </wp:cNvGraphicFramePr>
            <a:graphic>
              <a:graphicData uri="http://schemas.openxmlformats.org/drawingml/2006/picture">
                <pic:pic>
                  <pic:nvPicPr>
                    <pic:cNvPr id="0" name="p08_i1.jpg"/>
                    <pic:cNvPicPr/>
                  </pic:nvPicPr>
                  <pic:blipFill>
                    <a:blip r:embed="rId15"/>
                    <a:stretch>
                      <a:fillRect/>
                    </a:stretch>
                  </pic:blipFill>
                  <pic:spPr>
                    <a:xfrm>
                      <a:off x="0" y="0"/>
                      <a:ext cx="5029200" cy="3369819"/>
                    </a:xfrm>
                    <a:prstGeom prst="rect"/>
                  </pic:spPr>
                </pic:pic>
              </a:graphicData>
            </a:graphic>
          </wp:inline>
        </w:drawing>
      </w:r>
    </w:p>
    <w:p>
      <w:pPr>
        <w:spacing w:after="160"/>
        <w:jc w:val="center"/>
      </w:pPr>
      <w:r>
        <w:rPr>
          <w:rFonts w:ascii="Times New Roman" w:hAnsi="Times New Roman" w:cs="Times New Roman" w:eastAsia="Times New Roman"/>
          <w:b w:val="0"/>
          <w:i/>
          <w:sz w:val="20"/>
        </w:rPr>
        <w:t>Figure 2 (from PMC11278452): “Proposed molecular mechanisms for the therapeutic activity of N-acetylcysteine after oral administration in chronic respiratory diseases. NAC: N-acetylcysteine; GSH: glutathione; RSSH: persulfides; RSS n SR: polysulfides; NKA: neurokinin A; NF-κB: Nuclear factor kappa B; TNF-α: tumor necrosis factor-α; IL-1β: Interleukin-1beta; IL-8: Interleukin-8; ROS: reac”</w:t>
      </w:r>
    </w:p>
    <w:p>
      <w:pPr>
        <w:spacing w:after="120"/>
        <w:jc w:val="both"/>
      </w:pPr>
      <w:r>
        <w:rPr>
          <w:rFonts w:ascii="Times New Roman" w:hAnsi="Times New Roman" w:cs="Times New Roman" w:eastAsia="Times New Roman"/>
          <w:b w:val="0"/>
          <w:i w:val="0"/>
          <w:sz w:val="24"/>
        </w:rPr>
        <w:t>“However, mangafodipir has also been shown to protect against side effects of chemotherapeutic agents in patients [ 79 , 80 ] and acetaminophen hepatotoxicity in mice [ 81 ]. It was also reported that 80% of the Mn 2+ is released from mangafodipir into the circulation after intravenous injection [ 82 ]. Although this is important for its efficacy as an MRI contrast agent, there may be a theoretical risk of neurological damage from Mn 2+ after multiple treatments over a short period of time [ 78 ], though such toxicity has not been observed. However, the SOD activity, which may be responsible for the therapeutic effect, is dependent on an intact mangafodipir complex [ 78 ]. Therefore, calmangafodipir [Ca 4 Mn(DPDP) 5 ] was generated in which about 80% of the Mn 2+ was replaced by Ca 2+ , thereby reducing the body burden and theoretical toxicity of excess Mn 2+ while maintaining or even improving therapeutic effects against chemotherapy-induced peripheral neuropathy [ 80 ].”  [PMC11315809 ¶22]</w:t>
      </w:r>
    </w:p>
    <w:p>
      <w:pPr>
        <w:spacing w:after="120"/>
        <w:jc w:val="both"/>
      </w:pPr>
      <w:r>
        <w:rPr>
          <w:rFonts w:ascii="Times New Roman" w:hAnsi="Times New Roman" w:cs="Times New Roman" w:eastAsia="Times New Roman"/>
          <w:b w:val="0"/>
          <w:i w:val="0"/>
          <w:sz w:val="24"/>
        </w:rPr>
        <w:t>“The mechanism of action of mangafodipir or calmangafodipir against neuropathy involves dephosphorylation to yield manganese pyridoxyl ethyldiamine (MnPLED), which has an SOD mimetic activity and, because of its high affinity for iron and copper, also acts as an iron chelator [ 80 ]. Mangafodipir and calmangafodipir are water-soluble and can easily be injected, but the dephosphorylated compound MnPLED is more lipid soluble and, therefore, can cross the membranes of target cells [ 80 ]. Given the effective protection with Mito-Tempo [ 74 ] and iron chelation [ 83 ] in the APAP model, mangafodipir and calmangafodipir could theoretically be promising candidates as antidotes against APAP hepatotoxicity. Despite the compelling theoretical evidence for mangafodipir and calmangafodipir to be a potential antidote against APAP overdose, there exists very limited experimental or clinical evidence to suggest that these compounds actually work in biological systems of APAP toxicity.”  [PMC11315809 ¶23]</w:t>
      </w:r>
    </w:p>
    <w:p>
      <w:pPr>
        <w:spacing w:after="120"/>
        <w:jc w:val="both"/>
      </w:pPr>
      <w:r>
        <w:rPr>
          <w:rFonts w:ascii="Times New Roman" w:hAnsi="Times New Roman" w:cs="Times New Roman" w:eastAsia="Times New Roman"/>
          <w:b w:val="0"/>
          <w:i w:val="0"/>
          <w:sz w:val="24"/>
        </w:rPr>
        <w:t>“A planned phase III clinical trial may reveal whether calmangafodipir can be effective as adjunct therapy to NAC in late-presenting patients. In summary, the case for using calmangafodipir as an antidote against APAP toxicity in patients remains unconvincing. Preclinical data are very scarce, and the results are questionable and would need to be reproduced. In addition, the mechanism of protection would have to be investigated in vivo and not just extrapolated from in vitro experiments. Clinically, it appears that calmangafodipir is safe when administered as a single dose in APAP overdose patients treated with NAC, however, efficacy will have to be convincingly established through a clinical trial. Another concern is that clinical trials using multiple dosing of calmangafodipir for the prevention of oxaliplatin-induced peripheral neuropathy were terminated early due to hypersensitivity reactions in 3.6% of patients compared with 0.8% in placebo controls [ 91 ].”  [PMC11315809 ¶29]</w:t>
      </w:r>
    </w:p>
    <w:p>
      <w:pPr>
        <w:spacing w:after="120"/>
        <w:jc w:val="both"/>
      </w:pPr>
      <w:r>
        <w:rPr>
          <w:rFonts w:ascii="Times New Roman" w:hAnsi="Times New Roman" w:cs="Times New Roman" w:eastAsia="Times New Roman"/>
          <w:b w:val="0"/>
          <w:i w:val="0"/>
          <w:sz w:val="24"/>
        </w:rPr>
        <w:t>“Once liver injury has occurred, necrotic hepatocytes are removed by components of the sterile inflammatory response [ 103 ], which also induce hepatocyte proliferation to regenerate areas of necrosis [ 104 ], enabling a return to homeostasis. The recognition that induction of liver regeneration - or the lack thereof - is an important consideration in whether the patient recovers spontaneously or goes into liver failure, is now driving research focused on therapeutic agents which promote regeneration ( Figure 1 ). Our earlier work had demonstrated that the neuronal guidance cue netrin-1 provided delayed protection against APAP hepatotoxicity by enhancing the innate immune response and inducing hepatocyte regeneration, an effect mediated through the Adenosine A2B receptor (A2BAR) [ 105 ]. We subsequently demonstrated that pharmacological activation of the A2BAR through administration of its agonist, BAY 60\u20136583, also provided protection against APAP-induced injury [ 106 ].”  [PMC11315809 ¶36]</w:t>
      </w:r>
    </w:p>
    <w:p>
      <w:pPr>
        <w:keepNext/>
        <w:spacing w:before="280" w:after="80"/>
        <w:outlineLvl w:val="1"/>
      </w:pPr>
      <w:r>
        <w:rPr>
          <w:rFonts w:ascii="Times New Roman" w:hAnsi="Times New Roman" w:cs="Times New Roman" w:eastAsia="Times New Roman"/>
          <w:b/>
          <w:i w:val="0"/>
          <w:color w:val="335588"/>
          <w:sz w:val="28"/>
        </w:rPr>
        <w:t>11a.4  Gastrointestinal and hepatic diseases</w:t>
      </w:r>
    </w:p>
    <w:p>
      <w:pPr>
        <w:spacing w:after="120"/>
        <w:jc w:val="both"/>
      </w:pPr>
      <w:r>
        <w:rPr>
          <w:rFonts w:ascii="Times New Roman" w:hAnsi="Times New Roman" w:cs="Times New Roman" w:eastAsia="Times New Roman"/>
          <w:b w:val="0"/>
          <w:i w:val="0"/>
          <w:sz w:val="24"/>
        </w:rPr>
        <w:t>“## Figure captions (7) 1. **Fig. 1** — Oxidative stress induces LBP upregulation and LD translocation. a A schematic illustrating the research strategy adopted in this study. The image was created using materials supplied by Ge Pan from the Central Academy of Fine Arts, China, and illustrated by Qilun Zhang. The use of these materials has been authorized. b A multivariate bubble plot comparing changes in LD-localized protein and RNA ex graphic: `41467_2024_47553_Fig1_HTML.jpg` 2. **Fig. 2** — The localization of LBP to LDs drives hepatic steatosis. a Hepatic TG content of WT mice under NT, 24 h fasting, or LPS-treatment (5 mg/kg, i.p.) for 24 h. Shown are means ± s.d., one-way ANOVA ( n = 3, biologically independent). b Representative bright-field microscope image showing separated LDs from the same treatment as described in ( a ), scale bar = 10 μm. Experiments was conducted with thre graphic: `41467_2024_47553_Fig2_HTML.jpg` 3. **Fig. 3** — LBP binds with unsaturated TG to prevent against lipid peroxidation. a A pie chart showing the difference in lipid composition between WT ( n = 3) and LBP KI/KI ( n = 3) mice liver after 16 weeks of HFD. b Analysis of chain length of differential TGs in ( a ).”  [PMC11016120 ¶1]</w:t>
      </w:r>
    </w:p>
    <w:p>
      <w:pPr>
        <w:spacing w:after="120"/>
        <w:jc w:val="both"/>
      </w:pPr>
      <w:r>
        <w:rPr>
          <w:rFonts w:ascii="Times New Roman" w:hAnsi="Times New Roman" w:cs="Times New Roman" w:eastAsia="Times New Roman"/>
          <w:b w:val="0"/>
          <w:i w:val="0"/>
          <w:sz w:val="24"/>
        </w:rPr>
        <w:t>“Shown are means ± s.e.m., ( n = 3, biologically independent). c Analysis of saturation of differential TGs in ( a ). Shown are means ± s.e. graphic: `41467_2024_47553_Fig3_HTML.jpg` 4. **Fig. 4** — The antioxidant activity of LBP. a A nine-quadrant plot depicting the combined analysis of the liver transcriptome and proteome of WT and LBP KI/KI mice fed with HFD for 16 weeks. Each group n = 3, biologically independent. b Go term enrichment analysis of the differential proteins in the third quadrant (upregulated) of ( a ), using different colors to represent different functions: yellow-lipid t graphic: `41467_2024_47553_Fig4_HTML.jpg` 5. **Fig. 5** — Redox signaling regulates LBP-induced LD accumulation via phospholipid biogenesis and the LBP chaperone function of PRDX4. a The bar graph compares the hepatic TG levels in WT mice and LBP KI/KI mice, with/without NAC treatment. Means ± s.d., 2way ANOVA ( n = 5–6, biologically independent). b Bright-field microscope image of LDs in LBP KI/KI mice, fasted for 24 h and treated with/without NAC treat graphic: `41467_2024_47553_Fig5_HTML.jpg` 6. **Fig. 6** — The #4-helix within the C-segment of LBP interacts with oxidized TGs. a LBP structure solved in the PDB database and predicted by Alphafold, with the black box indicating the differential #4α-helix. b Predict secondary structures and perform homology comparisons of LBP in various mammals. c Molecular docking diagram of WT-Tridocosahexaenoin with LBP.”  [PMC11016120 ¶2]</w:t>
      </w:r>
    </w:p>
    <w:p>
      <w:pPr>
        <w:spacing w:after="120"/>
        <w:jc w:val="both"/>
      </w:pPr>
      <w:r>
        <w:rPr>
          <w:rFonts w:ascii="Times New Roman" w:hAnsi="Times New Roman" w:cs="Times New Roman" w:eastAsia="Times New Roman"/>
          <w:b w:val="0"/>
          <w:i w:val="0"/>
          <w:sz w:val="24"/>
        </w:rPr>
        <w:t>“LBP is represented as a dark blue cartoon model graphic: `41467_2024_47553_Fig6_HTML.jpg` 7. **Fig. 7** — LBP upregulation drives obesity and is rescued by antioxidant treatment. a Serum TG and FFA levels in 8-week-old mice before and after Poloxamer 407 injection. Means ± s.d., 2way ANOVA ( n = 3, biologically independent). b Morphological comparison of LBP KI/KI , LBP − / − and WT mice fed on a 16-week high-fat diet. c Fasting blood glucose levels of mice in ( b ). Means ± s.d., two-tailed unpaired graphic: `41467_2024_47553_Fig7_HTML.jpg` ```json { "pmcid": "PMC11016120", "pmid": "38615060", "doi": "10.1038/s41467-024-47553-5", "title": "Lipopolysaccharide binding protein resists hepatic oxidative stress by regulating lipid droplet homeostasis", "journal": "Nature Communications", "year": "2024", "abstract": "Oxidative stress-induced lipid accumulation is mediated by lipid droplets (LDs) homeostasis, which sequester vulnerable unsaturated triglycerides into LDs to prevent further peroxidation.”  [PMC11016120 ¶3]</w:t>
      </w:r>
    </w:p>
    <w:p>
      <w:pPr>
        <w:jc w:val="center"/>
      </w:pPr>
      <w:r>
        <w:drawing>
          <wp:inline xmlns:a="http://schemas.openxmlformats.org/drawingml/2006/main" xmlns:pic="http://schemas.openxmlformats.org/drawingml/2006/picture">
            <wp:extent cx="5029200" cy="6262039"/>
            <wp:docPr id="104" name="Picture 104"/>
            <wp:cNvGraphicFramePr>
              <a:graphicFrameLocks noChangeAspect="1"/>
            </wp:cNvGraphicFramePr>
            <a:graphic>
              <a:graphicData uri="http://schemas.openxmlformats.org/drawingml/2006/picture">
                <pic:pic>
                  <pic:nvPicPr>
                    <pic:cNvPr id="0" name="p10_i1.jpg"/>
                    <pic:cNvPicPr/>
                  </pic:nvPicPr>
                  <pic:blipFill>
                    <a:blip r:embed="rId38"/>
                    <a:stretch>
                      <a:fillRect/>
                    </a:stretch>
                  </pic:blipFill>
                  <pic:spPr>
                    <a:xfrm>
                      <a:off x="0" y="0"/>
                      <a:ext cx="5029200" cy="6262039"/>
                    </a:xfrm>
                    <a:prstGeom prst="rect"/>
                  </pic:spPr>
                </pic:pic>
              </a:graphicData>
            </a:graphic>
          </wp:inline>
        </w:drawing>
      </w:r>
    </w:p>
    <w:p>
      <w:pPr>
        <w:spacing w:after="160"/>
        <w:jc w:val="center"/>
      </w:pPr>
      <w:r>
        <w:rPr>
          <w:rFonts w:ascii="Times New Roman" w:hAnsi="Times New Roman" w:cs="Times New Roman" w:eastAsia="Times New Roman"/>
          <w:b w:val="0"/>
          <w:i/>
          <w:sz w:val="20"/>
        </w:rPr>
        <w:t>Figure 1 (from PMC11016120): “Oxidative stress induces LBP upregulation and LD translocation. a A schematic illustrating the research strategy adopted in this study. The image was created using materials supplied by Ge Pan from the Central Academy of Fine Arts, China, and illustrated by Qilun Zhang. The use of these materials has been authorized. b A multivariate bubble plot comparing ch”</w:t>
      </w:r>
    </w:p>
    <w:p>
      <w:pPr>
        <w:spacing w:after="120"/>
        <w:jc w:val="both"/>
      </w:pPr>
      <w:r>
        <w:rPr>
          <w:rFonts w:ascii="Times New Roman" w:hAnsi="Times New Roman" w:cs="Times New Roman" w:eastAsia="Times New Roman"/>
          <w:b w:val="0"/>
          <w:i w:val="0"/>
          <w:sz w:val="24"/>
        </w:rPr>
        <w:t>“Here we identify the upregulation of lipopolysaccharide-binding protein (LBP) and its trafficking through LDs as a mechanism for modulating LD homeostasis in response to oxidative stress. Our results suggest that LBP induces lipid accumulation by controlling lipid-redox homeostasis through its lipid-capture activity, sorting unsaturated triglycerides into LDs. N-acetyl-L-cysteine treatment reduces LBP-mediated triglycerides accumulation by phospholipid/triglycerides competition and Peroxiredoxin 4, a redox state sensor of LBP that regulates the shuttle of LBP from LDs. Furthermore, chronic stress upregulates LBP expression, leading to insulin resistance and obesity. Our findings contribute to the understanding of the role of LBP in regulating LD homeostasis and against cellular peroxidative injury. These insights could inform the development of redox-based therapies for alleviating oxidative stress-induced metabolic dysfunction.", "body_text": "Introduction Oxidative stress, resulting from an imbalance between reactive oxygen species (ROS) production and the antioxidant defense system, is a key driver of hepatic steatosis and obesity 1 \u2013 3 .”  [PMC11016120 ¶4]</w:t>
      </w:r>
    </w:p>
    <w:p>
      <w:pPr>
        <w:spacing w:after="120"/>
        <w:jc w:val="both"/>
      </w:pPr>
      <w:r>
        <w:rPr>
          <w:rFonts w:ascii="Times New Roman" w:hAnsi="Times New Roman" w:cs="Times New Roman" w:eastAsia="Times New Roman"/>
          <w:b w:val="0"/>
          <w:i w:val="0"/>
          <w:sz w:val="24"/>
        </w:rPr>
        <w:t>“We have uncovered a cytoprotective mechanism, in which lipopolysaccharide-binding protein (LBP) mediates the selective sequestration of UFA-TG into LDs, effectively preventing lipolysis under oxidative stress. This finding is consistent with the previously reported antioxidant effect of LBP 14 , 15 . Importantly, we report a cellular mechanism by which protein/TG interaction promotes LD accumulation, which is consistent with the previously reported phenotype of reduced liver fat accumulation in LBP knockout mice 16 , 17 . Mechanistically, we found that LBP colocalizes with TG in LDs, which is regulated by the TG capture activity. The shuttle of LBP with LDs is meticulously regulated by its interaction with peroxiredoxin 4 (PRDX4), which senses oxidative stress and ensures the execution of LBP antioxidant function. In summary, LBP acts as an antioxidant to control lipid homeostasis and defends against oxidative stress by coupling with redox signaling and lipid metabolism.”  [PMC11016120 ¶7]</w:t>
      </w:r>
    </w:p>
    <w:p>
      <w:pPr>
        <w:spacing w:after="120"/>
        <w:jc w:val="both"/>
      </w:pPr>
      <w:r>
        <w:rPr>
          <w:rFonts w:ascii="Times New Roman" w:hAnsi="Times New Roman" w:cs="Times New Roman" w:eastAsia="Times New Roman"/>
          <w:b w:val="0"/>
          <w:i w:val="0"/>
          <w:sz w:val="24"/>
        </w:rPr>
        <w:t>“Results Oxidative stress induces LBP upregulation and localization within LDs To investigate the compositional and regulatory changes of LDs under oxidative stress, we conducted hepatic transcriptomic and LDs proteomic analyses of 8-week-old C57BL/6J mice before and after a 24-h fast (Fig. 1a ). Fasting elicits a hepatic stress response, as evidenced by upregulation of Cyp and peroxisome protein families and downregulation of RPS and EIF families (Supplementary Data 1 ). An integrative analysis of liver transcriptome and LDs proteome data unveiled seven proteins exhibiting significant alterations (Fig. 1b ). The majority of the identified proteins are known to be involved in LDs metabolism, with the exception of LBP, an acute-phase protein that functions as an extracellular Lipopolysaccharide (LPS) ligand 18 \u2013 20 . We validated the findings from multi-omics data and discovered that fasting significantly elevated hepatic LBP expression level and its localization to LDs, suggesting an upregulation of LD-localized LBP expression in response to this metabolic stress challenge (Fig. 1c ).”  [PMC11016120 ¶8]</w:t>
      </w:r>
    </w:p>
    <w:p>
      <w:pPr>
        <w:jc w:val="center"/>
      </w:pPr>
      <w:r>
        <w:drawing>
          <wp:inline xmlns:a="http://schemas.openxmlformats.org/drawingml/2006/main" xmlns:pic="http://schemas.openxmlformats.org/drawingml/2006/picture">
            <wp:extent cx="5029200" cy="5731282"/>
            <wp:docPr id="105" name="Picture 105"/>
            <wp:cNvGraphicFramePr>
              <a:graphicFrameLocks noChangeAspect="1"/>
            </wp:cNvGraphicFramePr>
            <a:graphic>
              <a:graphicData uri="http://schemas.openxmlformats.org/drawingml/2006/picture">
                <pic:pic>
                  <pic:nvPicPr>
                    <pic:cNvPr id="0" name="p04_i1.jpg"/>
                    <pic:cNvPicPr/>
                  </pic:nvPicPr>
                  <pic:blipFill>
                    <a:blip r:embed="rId39"/>
                    <a:stretch>
                      <a:fillRect/>
                    </a:stretch>
                  </pic:blipFill>
                  <pic:spPr>
                    <a:xfrm>
                      <a:off x="0" y="0"/>
                      <a:ext cx="5029200" cy="5731282"/>
                    </a:xfrm>
                    <a:prstGeom prst="rect"/>
                  </pic:spPr>
                </pic:pic>
              </a:graphicData>
            </a:graphic>
          </wp:inline>
        </w:drawing>
      </w:r>
    </w:p>
    <w:p>
      <w:pPr>
        <w:spacing w:after="160"/>
        <w:jc w:val="center"/>
      </w:pPr>
      <w:r>
        <w:rPr>
          <w:rFonts w:ascii="Times New Roman" w:hAnsi="Times New Roman" w:cs="Times New Roman" w:eastAsia="Times New Roman"/>
          <w:b w:val="0"/>
          <w:i/>
          <w:sz w:val="20"/>
        </w:rPr>
        <w:t>Figure 2 (from PMC11016120): “The localization of LBP to LDs drives hepatic steatosis. a Hepatic TG content of WT mice under NT, 24 h fasting, or LPS-treatment (5 mg/kg, i.p.) for 24 h. Shown are means ± s.d., one-way ANOVA ( n = 3, biologically independent). b Representative bright-field microscope image showing separated LDs from the same treatment as described in ( a ), scale bar = 10”</w:t>
      </w:r>
    </w:p>
    <w:p>
      <w:pPr>
        <w:spacing w:after="120"/>
        <w:jc w:val="both"/>
      </w:pPr>
      <w:r>
        <w:rPr>
          <w:rFonts w:ascii="Times New Roman" w:hAnsi="Times New Roman" w:cs="Times New Roman" w:eastAsia="Times New Roman"/>
          <w:b w:val="0"/>
          <w:i w:val="0"/>
          <w:sz w:val="24"/>
        </w:rPr>
        <w:t>“APAP overdose is the single most frequent cause of liver injury and acute liver failure in the U.S., UK [ 4 ] and Australia [ 5 ] and is at least a significant etiology of acute liver failure in many other western countries [ 4 ]. As a dose-dependent hepatotoxin, the injury process of APAP toxicity in patients can be accurately reproduced in animals [ 6 , 7 ], especially in mice [ 8 ]. Since the introduction of the mouse model in the 1970s [ 9 , 10 ], the mechanisms of cell death and liver injury have been extensively studied and today many key aspects of the injury mechanism are known [ 11 \u2013 13 ]. Based on the early mechanistic insight, limited to recognition of hepatotoxicity resulting from reactive metabolite formation causing GSH depletion and subsequent protein adduct formation [ 9 , 10 ], N-acetylcysteine (NAC) was discovered to be an effective antidote in animals and patients [ 14 ].”  [PMC11315809 ¶3]</w:t>
      </w:r>
    </w:p>
    <w:p>
      <w:pPr>
        <w:spacing w:after="120"/>
        <w:jc w:val="both"/>
      </w:pPr>
      <w:r>
        <w:rPr>
          <w:rFonts w:ascii="Times New Roman" w:hAnsi="Times New Roman" w:cs="Times New Roman" w:eastAsia="Times New Roman"/>
          <w:b w:val="0"/>
          <w:i w:val="0"/>
          <w:sz w:val="24"/>
        </w:rPr>
        <w:t>“This led to its approval as a clinical antidote in the 1980s [ 15 , 16 ]. Importantly, NAC is still the only clinically approved antidote against APAP overdose in patients more than 40 years later. However, despite its efficacy in most overdose cases, NAC has limited beneficial effects in late-presenting patients and after massive overdoses, and it does not promote regeneration. These limitations drive the continuous search for additional therapeutics that could complement and improve the therapeutic efficacy of NAC. The extensive research into the mechanisms of APAP-induced liver injury resulted in significant progress and identification of novel therapeutic targets. In addition, the dramatically increased number of compounds, especially natural products, being tested in the APAP hepatotoxicity model has led to identification of numerous chemicals said to be putative antidotes [ 17 \u2013 19 ].”  [PMC11315809 ¶4]</w:t>
      </w:r>
    </w:p>
    <w:p>
      <w:pPr>
        <w:spacing w:after="120"/>
        <w:jc w:val="both"/>
      </w:pPr>
      <w:r>
        <w:rPr>
          <w:rFonts w:ascii="Times New Roman" w:hAnsi="Times New Roman" w:cs="Times New Roman" w:eastAsia="Times New Roman"/>
          <w:b w:val="0"/>
          <w:i w:val="0"/>
          <w:sz w:val="24"/>
        </w:rPr>
        <w:t>“In addition, the costs of safety studies and clinical efficacy trials are too high of a risk for the limited reward, considering the smaller patient numbers. Thus, the main conclusions of most of these intervention studies that compound X acting through Y mechanism may be a promising therapeutic approach for APAP overdose patients are not supported by solid scientific evidence. Nevertheless, in recent years new developments give some hope that there can be progress with emerging novel therapeutics approaches. However, the key to advancing any potential therapeutic is to understand the molecular mechanisms of the disease and have a clear understanding of what the new intervention is targeting. 2. Mechanisms of APAP-induced Liver Injury Mechanistic studies of APAP hepatotoxicity started with the recognition that a part of the dose of APAP is metabolized by cytochrome P450 (Cyp) enzymes [ 6 ], now known to be mainly Cyp2E1 [ 22 ], which generates a reactive metabolite that can be detoxified by GSH [ 9 ].”  [PMC11315809 ¶6]</w:t>
      </w:r>
    </w:p>
    <w:p>
      <w:pPr>
        <w:spacing w:after="120"/>
        <w:jc w:val="both"/>
      </w:pPr>
      <w:r>
        <w:rPr>
          <w:rFonts w:ascii="Times New Roman" w:hAnsi="Times New Roman" w:cs="Times New Roman" w:eastAsia="Times New Roman"/>
          <w:b w:val="0"/>
          <w:i w:val="0"/>
          <w:sz w:val="24"/>
        </w:rPr>
        <w:t>“Importantly, the recognition that the reactive metabolite could be detoxified by glutathione [ 9 ] was the incentive to test glutathione precursors, leading to the discovery of NAC as an effective drug in preclinical models [ 35 ]. Today, we know that NAC works mainly through supporting the synthesis of hepatic GSH [ 36 ] ( Figure 1 ); GSH can scavenge NAPQI during the metabolism phase [ 37 ], and later, after import into mitochondria, can scavenge peroxynitrite [ 38 ]. However, excess NAC can also be converted to Krebs cycle intermediates and support the mitochondrial bioenergetics [ 39 ]. Together these mechanisms explain why NAC can effectively prevent cell death. Because of the high efficacy of NAC in several pilot trials in humans in the 1970s [ 40 , 41 ], large scale clinical studies were initiated, but due to ethical reasons, the FDA denied the originally proposed randomized controlled trials [ 14 , 16 ].”  [PMC11315809 ¶9]</w:t>
      </w:r>
    </w:p>
    <w:p>
      <w:pPr>
        <w:spacing w:after="120"/>
        <w:jc w:val="both"/>
      </w:pPr>
      <w:r>
        <w:rPr>
          <w:rFonts w:ascii="Times New Roman" w:hAnsi="Times New Roman" w:cs="Times New Roman" w:eastAsia="Times New Roman"/>
          <w:b w:val="0"/>
          <w:i w:val="0"/>
          <w:sz w:val="24"/>
        </w:rPr>
        <w:t>“Interestingly, inhibiting metabolism by CYP2E1 did not result in higher APAP levels in circulation, but a trend to higher glucuronide and sulfate metabolites [ 57 ]. This indicates that, consistent with previous human data [ 50 ], the phase II detoxification pathways, especially glucuronidation, are flexible and can respond with a shift to higher APAP conjugation when one of the other pathways is blocked [ 57 ]. Since fomepizole cotreatment did not cause any evidence of liver injury in the volunteers and eliminated liver injury in mice, it appears unlikely that blocking metabolism through the P450 pathway leads to higher plasma levels of APAP and potential direct detrimental effects of APAP. Although fomepizole proved to be an effective Cyp2E1 inhibitor in both mice and humans, this mechanism alone would not make it competitive with NAC. Therefore, we assessed if fomepizole can also be effective when administered after the metabolism phase of APAP.”  [PMC11315809 ¶14]</w:t>
      </w:r>
    </w:p>
    <w:p>
      <w:pPr>
        <w:spacing w:after="120"/>
        <w:jc w:val="both"/>
      </w:pPr>
      <w:r>
        <w:rPr>
          <w:rFonts w:ascii="Times New Roman" w:hAnsi="Times New Roman" w:cs="Times New Roman" w:eastAsia="Times New Roman"/>
          <w:b w:val="0"/>
          <w:i w:val="0"/>
          <w:sz w:val="24"/>
        </w:rPr>
        <w:t>“Similarly, inhibiting ROS and peroxynitrite formation by inhibiting JNK is more effective than importing the newly synthesized GSH into mitochondria, where it can partly scavenge peroxynitrite. Consistent with this hypothesis, it was shown that fomepizole was indeed more effective when human hepatocytes exposed to 10 mM APAP, which is at the high end of plasma APAP levels observed after a massive overdose [ 51 ], were treated with fomepizole or NAC 16 h after APAP [ 60 ]. In support of these findings, it was shown that treatment with fomepizole beginning at 9 h after APAP in mice reduced liver injury by 45% based on plasma levels of ALT at 24 h and promoted mitochondrial biogenesis and recovery at 48 h [ 60 ]. In contrast, NAC is generally ineffective when given to mice at \u2265 3 h after APAP [ 38 , 60 , 61 ]. Although there is no exact translation of the injury progression from mice to humans, the 3 h time point represents the beginning of the injury phase in mice with completed drug metabolism, early oxidant stress, JNK activation and mitochondrial JNK translocation in mice.”  [PMC11315809 ¶16]</w:t>
      </w:r>
    </w:p>
    <w:p>
      <w:pPr>
        <w:spacing w:after="120"/>
        <w:jc w:val="both"/>
      </w:pPr>
      <w:r>
        <w:rPr>
          <w:rFonts w:ascii="Times New Roman" w:hAnsi="Times New Roman" w:cs="Times New Roman" w:eastAsia="Times New Roman"/>
          <w:b w:val="0"/>
          <w:i w:val="0"/>
          <w:sz w:val="24"/>
        </w:rPr>
        <w:t>“Examples of these disorders include diabetes, obesity, cancer, neurological disorders, hypertension, pulmonary, inflammatory bowel, cardiovascular, autoimmune, and infectious diseases in humans, as well as domesticated animal weaning disorders, respiratory disease, diarrhea, endometritis, and mastitis [ 3 , 4 , 5 , 6 , 7 , 8 , 9 , 10 ]. While there has been an increasing interest in the use of NAC for a wide range of pathological conditions over the past few decades, various human clinical studies have reported conflicting results, and many other studies were performed in vitro. Therefore, more clinical studies are required to address these conflicting results and to support the purported therapeutic roles of NAC in treating different pathological conditions. Various animal studies involving the use of NAC have also been performed, especially with its use in treating intestinal inflammation and related disorders that can be caused by anti-nutritional factors (e.g., \u03b2 -conglycinin, a vicilin storage protein of soybeans), the process of weaning, and consumption of mycotoxins [ 10 , 11 , 12 ].”  [PMC10604897 ¶3]</w:t>
      </w:r>
    </w:p>
    <w:p>
      <w:pPr>
        <w:spacing w:after="120"/>
        <w:jc w:val="both"/>
      </w:pPr>
      <w:r>
        <w:rPr>
          <w:rFonts w:ascii="Times New Roman" w:hAnsi="Times New Roman" w:cs="Times New Roman" w:eastAsia="Times New Roman"/>
          <w:b w:val="0"/>
          <w:i w:val="0"/>
          <w:sz w:val="24"/>
        </w:rPr>
        <w:t>“Many studies have shown the protective effects of NAC for neonatal animals immune challenged with bacterial lipopolysaccharide (LPS) endotoxin, particularly studies involving piglets [ 13 , 14 ]. NAC administration has consistently been shown to increase daily body weight gain and alleviate LPS-mediated growth depression. Furthermore, the porcine model of ulcerative colitis (UC) can be used to support NAC usage for humans. For example, in a study conducted by Wang et al. (2013), the piglet model of UC demonstrated that administration of NAC was able to reduce colon histopathology score and ameliorate UC histological abnormalities [ 15 ]. Despite the numerous NAC studies and its increasing popularity, the mechanisms of action (MOA) by which NAC exerts its antioxidant and cytoprotective properties remain unclear [ 1 , 16 ]. It is often assumed that the effects conferred by NAC are due to it acting as a scavenger of reactive oxygen species (ROS), a precursor for glutathione (GSH) biosynthesis, and a disulfide reductant [ 16 , 17 ].”  [PMC10604897 ¶4]</w:t>
      </w:r>
    </w:p>
    <w:p>
      <w:pPr>
        <w:spacing w:after="120"/>
        <w:jc w:val="both"/>
      </w:pPr>
      <w:r>
        <w:rPr>
          <w:rFonts w:ascii="Times New Roman" w:hAnsi="Times New Roman" w:cs="Times New Roman" w:eastAsia="Times New Roman"/>
          <w:b w:val="0"/>
          <w:i w:val="0"/>
          <w:sz w:val="24"/>
        </w:rPr>
        <w:t>“Due to its disagreeable flavor, NAC is often mixed with fruit juice or a soft drink prior to consumption. In Europe, NAC is available in pills, capsules, and a variety of effervescent \u201cfizzy tab\u201d formulations [ 18 ]. 2. Safety Profile of NAC The safety of NAC has been well-established through numerous pharmacological studies [ 17 ]. Toxicity is rare and dependent on the route of NAC administration and dosage [ 1 ]. NAC can be administered orally, intravenously, or intranasally [ 1 ]. When orally administered, NAC undergoes rapid intestinal absorption and is subsequently metabolized by the liver [ 1 ]. The cysteine released during NAC metabolism is utilized for glutathione (GSH) synthesis, which is vital for immune function and tissue repair [ 1 ]. NAC\u2019s bioavailability following oral administration is less than 10%. Therefore, only a small portion of intact NAC reaches the plasma and tissue [ 1 ].”  [PMC10604897 ¶6]</w:t>
      </w:r>
    </w:p>
    <w:p>
      <w:pPr>
        <w:jc w:val="center"/>
      </w:pPr>
      <w:r>
        <w:drawing>
          <wp:inline xmlns:a="http://schemas.openxmlformats.org/drawingml/2006/main" xmlns:pic="http://schemas.openxmlformats.org/drawingml/2006/picture">
            <wp:extent cx="5029200" cy="2300859"/>
            <wp:docPr id="106" name="Picture 106"/>
            <wp:cNvGraphicFramePr>
              <a:graphicFrameLocks noChangeAspect="1"/>
            </wp:cNvGraphicFramePr>
            <a:graphic>
              <a:graphicData uri="http://schemas.openxmlformats.org/drawingml/2006/picture">
                <pic:pic>
                  <pic:nvPicPr>
                    <pic:cNvPr id="0" name="p21_i1.jpg"/>
                    <pic:cNvPicPr/>
                  </pic:nvPicPr>
                  <pic:blipFill>
                    <a:blip r:embed="rId12"/>
                    <a:stretch>
                      <a:fillRect/>
                    </a:stretch>
                  </pic:blipFill>
                  <pic:spPr>
                    <a:xfrm>
                      <a:off x="0" y="0"/>
                      <a:ext cx="5029200" cy="2300859"/>
                    </a:xfrm>
                    <a:prstGeom prst="rect"/>
                  </pic:spPr>
                </pic:pic>
              </a:graphicData>
            </a:graphic>
          </wp:inline>
        </w:drawing>
      </w:r>
    </w:p>
    <w:p>
      <w:pPr>
        <w:spacing w:after="160"/>
        <w:jc w:val="center"/>
      </w:pPr>
      <w:r>
        <w:rPr>
          <w:rFonts w:ascii="Times New Roman" w:hAnsi="Times New Roman" w:cs="Times New Roman" w:eastAsia="Times New Roman"/>
          <w:b w:val="0"/>
          <w:i/>
          <w:sz w:val="20"/>
        </w:rPr>
        <w:t>Figure 1 (from PMC10604897): “The three major narratives of NAC’s mechanisms of action.</w:t>
        <w:br/>
        <w:t xml:space="preserve">   graphic: `antioxidants-12-01867-g001.jpg`”</w:t>
      </w:r>
    </w:p>
    <w:p>
      <w:pPr>
        <w:spacing w:after="120"/>
        <w:jc w:val="both"/>
      </w:pPr>
      <w:r>
        <w:rPr>
          <w:rFonts w:ascii="Times New Roman" w:hAnsi="Times New Roman" w:cs="Times New Roman" w:eastAsia="Times New Roman"/>
          <w:b w:val="0"/>
          <w:i w:val="0"/>
          <w:sz w:val="24"/>
        </w:rPr>
        <w:t>“It has been suggested that the low bioavailability of oral NAC may be due to first-pass metabolism in the small intestine rather than incomplete absorption [ 20 ]. NAC can be found intact, reduced, or in various oxidized forms in the plasma following oral intake [ 1 , 20 ], and individual variation in these NAC metabolites occurs, which is likely due to natural variations in human metabolism and the intestinal microbiota. Comparatively, intravenous or nasal administration allows for rapid delivery of high concentrations of NAC to the circulation as it bypasses the first-pass intestinal and hepatic metabolic pathway [ 1 ]. Considering that NAC bioavailability is influenced by first-pass metabolism, it will be important to address potential gender and age effects, which are known to affect the first-pass metabolism [ 21 , 22 ]. Therefore, an optimal way to maintain a proper therapeutic serum level of NAC after intake should include monitoring NAC metabolite concentrations in the blood to maximize both the efficacy of treatment and patient safety. 3.”  [PMC10604897 ¶7]</w:t>
      </w:r>
    </w:p>
    <w:p>
      <w:pPr>
        <w:spacing w:after="120"/>
        <w:jc w:val="both"/>
      </w:pPr>
      <w:r>
        <w:rPr>
          <w:rFonts w:ascii="Times New Roman" w:hAnsi="Times New Roman" w:cs="Times New Roman" w:eastAsia="Times New Roman"/>
          <w:b w:val="0"/>
          <w:i w:val="0"/>
          <w:sz w:val="24"/>
        </w:rPr>
        <w:t>“NAC\u2019s half-life was found to be 1.04 \u00b1 0.53 h. The authors also did not find any significant difference between NAC\u2019s pharmacokinetics in healthy broilers versus Mycoplasma gallisepticum-infected broilers. 5. Therapeutic Uses of NAC in Humans NAC is one of the most used antioxidants in clinical practice to date [ 16 , 17 , 36 ]. There has been a growing interest over the past few decades to use NAC as a potential treatment for a wide range of diseases and disorders in which oxidative stress is suspected to play a role [ 17 , 37 ], including respiratory, cardiovascular, neurodegenerative, liver, kidney, gastrointestinal, and infectious diseases [ 1 ]. antioxidants-12-01867-t001_Table 1 Table 1 N-acetylcysteine adverse events. Study Study Type Study Size NAC Treatment Type and Incidence of Adverse Events following NAC Treatment Moderate Severe [ 38 ] Double-blinded, placebo-controlled, crossover design 17 healthy individuals (age 30 \u00b1 2 years) 9 mg/kg NAC capsule Upset stomach (2), nausea (1), stomach/intestinal gas (1), cough (1) 18 mg/kg NAC capsule Upset stomach (1), nausea (1), stomach/intestinal gas (2), sleepiness (2), metallic taste (1) 35 mg/kg oral NAC solution Upset stomach (2), stomach/intestinal gas (2), sleepiness (1), metallic taste (1) 70 mg/kg oral NAC solution Upset stomach (2), stomach/intestinal gas (1), sleepiness (3), metallic taste (3), light-headedness (1), cough (1) Upset stomach (1), Stomach/intestinal gas (1) 140 mg/kg oral NAC solution Upset stomach (5), nausea (3), stomach/intestinal gas (2), sleepiness (2), metallic taste (4), light-headedness (1) Upset stomach (1), stomach/intestinal gas (4) [ 39 ] Randomized, placebo-controlled study 28 individuals (\u226475 years) 20 mg/min intravenous NAC for first hour, then 10 mg/min for next 23 h; total dose of 15 g over 24 h Haemorrhage (3), headache (4) Transient episode of extreme sinus bradycardia (1) [ 40 ] Randomized, placebo-controlled study 4 healthy individuals (age 35 \u00b1 3 years) 150 mg/kg intravenous Transient skin flushing (2), pruritus (2), nausea (2) [ 41 ] Double-blind, randomized trial 65 chronic bronchitis patients 4 puffs of NAC (1 mg/puff) two times daily Coughing (4), Dyspnoea (7) 5.1.”  [PMC10604897 ¶13]</w:t>
      </w:r>
    </w:p>
    <w:p>
      <w:pPr>
        <w:spacing w:after="120"/>
        <w:jc w:val="both"/>
      </w:pPr>
      <w:r>
        <w:rPr>
          <w:rFonts w:ascii="Times New Roman" w:hAnsi="Times New Roman" w:cs="Times New Roman" w:eastAsia="Times New Roman"/>
          <w:b w:val="0"/>
          <w:i w:val="0"/>
          <w:sz w:val="24"/>
        </w:rPr>
        <w:t>“Liver Diseases Acute and chronic liver diseases are highly prevalent worldwide, accounting for approximately 2 million deaths per year [ 42 ]. Oxidative stress plays a crucial role in the initiation and progression of liver diseases due to its participation and stimulation in the liver\u2019s fibrogenic response [ 1 ]. Numerous clinical and experimental studies have been conducted on the use and efficacy of NAC in modulating inflammation and oxidative stress caused or propagated by liver diseases, including acetaminophen (paracetamol) poisoning, acute liver failure, and non-alcoholic fatty liver (NAFLD) and alcoholic liver diseases (see Table 2 ). 5.1.1. Acute Acetaminophen Overdose Acetaminophen is a commonly used over-the-counter analgesic and antipyretic medication as it is relatively safe and effective in treating mild-to-moderate pain and fever at appropriate doses [ 28 , 43 ]. However, when taken by adults at doses of 10\u201315 g (single or repeated) over a 24 h period, which is 3\u20135 times the manufacturer\u2019s recommended dose for over-the-counter use, acetaminophen has direct hepatotoxic potential and can cause acute liver injury and death from acute liver failure [ 28 , 43 ].”  [PMC10604897 ¶14]</w:t>
      </w:r>
    </w:p>
    <w:p>
      <w:pPr>
        <w:jc w:val="center"/>
      </w:pPr>
      <w:r>
        <w:drawing>
          <wp:inline xmlns:a="http://schemas.openxmlformats.org/drawingml/2006/main" xmlns:pic="http://schemas.openxmlformats.org/drawingml/2006/picture">
            <wp:extent cx="5029200" cy="1144143"/>
            <wp:docPr id="107" name="Picture 107"/>
            <wp:cNvGraphicFramePr>
              <a:graphicFrameLocks noChangeAspect="1"/>
            </wp:cNvGraphicFramePr>
            <a:graphic>
              <a:graphicData uri="http://schemas.openxmlformats.org/drawingml/2006/picture">
                <pic:pic>
                  <pic:nvPicPr>
                    <pic:cNvPr id="0" name="p21_i2.jpg"/>
                    <pic:cNvPicPr/>
                  </pic:nvPicPr>
                  <pic:blipFill>
                    <a:blip r:embed="rId13"/>
                    <a:stretch>
                      <a:fillRect/>
                    </a:stretch>
                  </pic:blipFill>
                  <pic:spPr>
                    <a:xfrm>
                      <a:off x="0" y="0"/>
                      <a:ext cx="5029200" cy="1144143"/>
                    </a:xfrm>
                    <a:prstGeom prst="rect"/>
                  </pic:spPr>
                </pic:pic>
              </a:graphicData>
            </a:graphic>
          </wp:inline>
        </w:drawing>
      </w:r>
    </w:p>
    <w:p>
      <w:pPr>
        <w:spacing w:after="160"/>
        <w:jc w:val="center"/>
      </w:pPr>
      <w:r>
        <w:rPr>
          <w:rFonts w:ascii="Times New Roman" w:hAnsi="Times New Roman" w:cs="Times New Roman" w:eastAsia="Times New Roman"/>
          <w:b w:val="0"/>
          <w:i/>
          <w:sz w:val="20"/>
        </w:rPr>
        <w:t>Figure panel from PMC10604897 (source bitmap p21_i2.jpg).</w:t>
      </w:r>
    </w:p>
    <w:p>
      <w:pPr>
        <w:keepNext/>
        <w:spacing w:before="280" w:after="80"/>
        <w:outlineLvl w:val="1"/>
      </w:pPr>
      <w:r>
        <w:rPr>
          <w:rFonts w:ascii="Times New Roman" w:hAnsi="Times New Roman" w:cs="Times New Roman" w:eastAsia="Times New Roman"/>
          <w:b/>
          <w:i w:val="0"/>
          <w:color w:val="335588"/>
          <w:sz w:val="28"/>
        </w:rPr>
        <w:t>11a.5  Metabolic and endocrine disorders</w:t>
      </w:r>
    </w:p>
    <w:p>
      <w:pPr>
        <w:spacing w:after="120"/>
        <w:jc w:val="both"/>
      </w:pPr>
      <w:r>
        <w:rPr>
          <w:rFonts w:ascii="Times New Roman" w:hAnsi="Times New Roman" w:cs="Times New Roman" w:eastAsia="Times New Roman"/>
          <w:b w:val="0"/>
          <w:i w:val="0"/>
          <w:sz w:val="24"/>
        </w:rPr>
        <w:t>“Examples of these disorders include diabetes, obesity, cancer, neurological disorders, hypertension, pulmonary, inflammatory bowel, cardiovascular, autoimmune, and infectious diseases in humans, as well as domesticated animal weaning disorders, respiratory disease, diarrhea, endometritis, and mastitis [ 3 , 4 , 5 , 6 , 7 , 8 , 9 , 10 ]. While there has been an increasing interest in the use of NAC for a wide range of pathological conditions over the past few decades, various human clinical studies have reported conflicting results, and many other studies were performed in vitro. Therefore, more clinical studies are required to address these conflicting results and to support the purported therapeutic roles of NAC in treating different pathological conditions. Various animal studies involving the use of NAC have also been performed, especially with its use in treating intestinal inflammation and related disorders that can be caused by anti-nutritional factors (e.g., \u03b2 -conglycinin, a vicilin storage protein of soybeans), the process of weaning, and consumption of mycotoxins [ 10 , 11 , 12 ].”  [PMC10604897 ¶3]</w:t>
      </w:r>
    </w:p>
    <w:p>
      <w:pPr>
        <w:spacing w:after="120"/>
        <w:jc w:val="both"/>
      </w:pPr>
      <w:r>
        <w:rPr>
          <w:rFonts w:ascii="Times New Roman" w:hAnsi="Times New Roman" w:cs="Times New Roman" w:eastAsia="Times New Roman"/>
          <w:b w:val="0"/>
          <w:i w:val="0"/>
          <w:sz w:val="24"/>
        </w:rPr>
        <w:t>“The accumulation of fat in the hepatocytes of NAFLD patients is generally due to a combination of excessive calorie intake and a sedentary lifestyle [ 46 ]. However, diabetic patients, particularly type 2 diabetics, and those with abnormal levels of blood lipids or hypertension are also at risk of developing NAFLD [ 46 ]. Regardless of the etiological factor(s) leading to the onset of NAFLD, the increased flow of free fatty acids to the liver concurrently increases oxidative stress and suppresses hepatic intracellular antioxidant activity [ 1 ]. Experimental studies conducted on the use of NAC in NAFLD patients have demonstrated that NAC can block the accumulation of hepatic lipids and reduce the pro-inflammatory cytokines IL-6, IL-1\u03b2, and TNF-\u221d and the upstream transcription factor NF-\u03baB [ 47 ], which plays a critical role in initiating the inflammatory cascade and immune response related to oxidative stress.”  [PMC10604897 ¶18]</w:t>
      </w:r>
    </w:p>
    <w:p>
      <w:pPr>
        <w:spacing w:after="120"/>
        <w:jc w:val="both"/>
      </w:pPr>
      <w:r>
        <w:rPr>
          <w:rFonts w:ascii="Times New Roman" w:hAnsi="Times New Roman" w:cs="Times New Roman" w:eastAsia="Times New Roman"/>
          <w:b w:val="0"/>
          <w:i w:val="0"/>
          <w:sz w:val="24"/>
        </w:rPr>
        <w:t>“Autoimmune diseases are becoming increasingly prevalent, and their corresponding treatments can result in further immunosuppression, which can lead to systemic infections that potentially cause death [ 75 ]. More natural treatment remedies, such as NAC, have been explored for treating IBD [ 77 ]. Studies conducted by Ebrahimi et al. (2008) measured certain biomarkers in colon cells in a mouse model to examine the effects of NAC on IBD. NAC was administered at varying amounts (106, 160, and 240 mg/kg) over the course of four days after the induction of colitis, and it was determined that NAC was able to attenuate lipid peroxides, the cytokine TNF-\u237a, and nitric oxides [ 77 ]. The researchers concluded that cellular biomarkers for IBD improved with the use of moderate to high doses of NAC [ 77 ]. Additionally, research on human UC by Shirazi et al. (2021) examined NAC as an antioxidant agent for treating flare-ups of the illness [ 78 ].”  [PMC10604897 ¶34]</w:t>
      </w:r>
    </w:p>
    <w:p>
      <w:pPr>
        <w:jc w:val="center"/>
      </w:pPr>
      <w:r>
        <w:drawing>
          <wp:inline xmlns:a="http://schemas.openxmlformats.org/drawingml/2006/main" xmlns:pic="http://schemas.openxmlformats.org/drawingml/2006/picture">
            <wp:extent cx="5029200" cy="2300859"/>
            <wp:docPr id="108" name="Picture 108"/>
            <wp:cNvGraphicFramePr>
              <a:graphicFrameLocks noChangeAspect="1"/>
            </wp:cNvGraphicFramePr>
            <a:graphic>
              <a:graphicData uri="http://schemas.openxmlformats.org/drawingml/2006/picture">
                <pic:pic>
                  <pic:nvPicPr>
                    <pic:cNvPr id="0" name="p21_i1.jpg"/>
                    <pic:cNvPicPr/>
                  </pic:nvPicPr>
                  <pic:blipFill>
                    <a:blip r:embed="rId12"/>
                    <a:stretch>
                      <a:fillRect/>
                    </a:stretch>
                  </pic:blipFill>
                  <pic:spPr>
                    <a:xfrm>
                      <a:off x="0" y="0"/>
                      <a:ext cx="5029200" cy="2300859"/>
                    </a:xfrm>
                    <a:prstGeom prst="rect"/>
                  </pic:spPr>
                </pic:pic>
              </a:graphicData>
            </a:graphic>
          </wp:inline>
        </w:drawing>
      </w:r>
    </w:p>
    <w:p>
      <w:pPr>
        <w:spacing w:after="160"/>
        <w:jc w:val="center"/>
      </w:pPr>
      <w:r>
        <w:rPr>
          <w:rFonts w:ascii="Times New Roman" w:hAnsi="Times New Roman" w:cs="Times New Roman" w:eastAsia="Times New Roman"/>
          <w:b w:val="0"/>
          <w:i/>
          <w:sz w:val="20"/>
        </w:rPr>
        <w:t>Figure 1 (from PMC10604897): “The three major narratives of NAC’s mechanisms of action.</w:t>
        <w:br/>
        <w:t xml:space="preserve">   graphic: `antioxidants-12-01867-g001.jpg`”</w:t>
      </w:r>
    </w:p>
    <w:p>
      <w:pPr>
        <w:spacing w:after="120"/>
        <w:jc w:val="both"/>
      </w:pPr>
      <w:r>
        <w:rPr>
          <w:rFonts w:ascii="Times New Roman" w:hAnsi="Times New Roman" w:cs="Times New Roman" w:eastAsia="Times New Roman"/>
          <w:b w:val="0"/>
          <w:i w:val="0"/>
          <w:sz w:val="24"/>
        </w:rPr>
        <w:t>“It has been found that NAC can effectively inhibit myocardial cell apoptosis caused by ischemia-reperfusion injury (IRI) and improve cardiac function [ 79 ]. NAC may have an indirect effect on the levels of low-density lipoprotein (LDL) and oxidized LDL, primarily through its antioxidant and anti-inflammatory properties. By increasing GTH levels, NAC helps reduce oxidative stress and the formation of reactive oxygen species (ROS). High oxidative stress can lead to the oxidation of LDL cholesterol, transforming it into oxidized LDL, which is more atherogenic. By reducing oxidative stress, NAC may help inhibit the formation of oxidized LDL [ 80 , 81 ]. It is also reported that NAC may improve the function of endothelial cells lining blood vessels [ 82 ]. When the endothelium is healthy, it produces nitric oxide, which helps to relax blood vessels and regulate blood flow. Improved endothelial function can contribute to a better balance of LDL and high-density lipoprotein (HDL) cholesterol.”  [PMC10604897 ¶36]</w:t>
      </w:r>
    </w:p>
    <w:p>
      <w:pPr>
        <w:spacing w:after="120"/>
        <w:jc w:val="both"/>
      </w:pPr>
      <w:r>
        <w:rPr>
          <w:rFonts w:ascii="Times New Roman" w:hAnsi="Times New Roman" w:cs="Times New Roman" w:eastAsia="Times New Roman"/>
          <w:b w:val="0"/>
          <w:i w:val="0"/>
          <w:sz w:val="24"/>
        </w:rPr>
        <w:t>“NAC may have these potential benefits, but its impact on LDL and oxidized LDL levels may vary among individuals. The research in this area is still evolving, and the effects of NAC on cholesterol and lipoprotein profiles may be influenced by various factors not discussed here. 8. Chronic Conditions 8.1. Atopic Dermatitis Atopic dermatitis is a chronic relapsing inflammatory skin disease that is associated with epidermal barrier dysfunction [ 83 ]. The most common symptoms patients experience are chronic pruritus and eczematous lesions, which can adversely impact the quality of life for individuals afflicted by this disease [ 84 ]. In more recent years, drug therapies targeting the type 2 antibody-mediated immune response have shown a decrease in signs and symptoms of atopic dermatitis; however, the exorbitant expenses of these pharmaceutical agents may restrict their prolonged usage [ 84 ].”  [PMC10604897 ¶37]</w:t>
      </w:r>
    </w:p>
    <w:p>
      <w:pPr>
        <w:spacing w:after="120"/>
        <w:jc w:val="both"/>
      </w:pPr>
      <w:r>
        <w:rPr>
          <w:rFonts w:ascii="Times New Roman" w:hAnsi="Times New Roman" w:cs="Times New Roman" w:eastAsia="Times New Roman"/>
          <w:b w:val="0"/>
          <w:i w:val="0"/>
          <w:sz w:val="24"/>
        </w:rPr>
        <w:t>“The use of NAC, which is relatively safe and inexpensive, as an alternative therapeutic agent to these more expensive drugs shows promising results for treating atopic dermatitis [ 83 , 85 ]. Clinical effects of topical NAC for treating dermatitis have proven to increase skin hydration in patients suffering from atopic dermatitis [ 83 ]. By measuring skin hydration and trans-epidermal water loss, it was determined that NAC had the ability to reduce oxidative stress and allowed for the restoration of adhesion molecules involved in forming the skin barrier, leading to increased skin hydration in patients with atopic dermatitis [ 83 ]. Future research is required to determine the molecular pathways NAC plays in restoring the expression of these adhesion molecules and if NAC would be a suitable candidate for treating other skin ailments such as psoriasis [ 83 ]. 8.2. Diabetes Mellitus The prevalence of type 2 diabetes, a multifactorial disease characterized by progressive deterioration of insulin secretion and action, is on the rise and accounts for more than 90% of individuals diagnosed with diabetes [ 86 ].”  [PMC10604897 ¶38]</w:t>
      </w:r>
    </w:p>
    <w:p>
      <w:pPr>
        <w:jc w:val="center"/>
      </w:pPr>
      <w:r>
        <w:drawing>
          <wp:inline xmlns:a="http://schemas.openxmlformats.org/drawingml/2006/main" xmlns:pic="http://schemas.openxmlformats.org/drawingml/2006/picture">
            <wp:extent cx="5029200" cy="1144143"/>
            <wp:docPr id="109" name="Picture 109"/>
            <wp:cNvGraphicFramePr>
              <a:graphicFrameLocks noChangeAspect="1"/>
            </wp:cNvGraphicFramePr>
            <a:graphic>
              <a:graphicData uri="http://schemas.openxmlformats.org/drawingml/2006/picture">
                <pic:pic>
                  <pic:nvPicPr>
                    <pic:cNvPr id="0" name="p21_i2.jpg"/>
                    <pic:cNvPicPr/>
                  </pic:nvPicPr>
                  <pic:blipFill>
                    <a:blip r:embed="rId13"/>
                    <a:stretch>
                      <a:fillRect/>
                    </a:stretch>
                  </pic:blipFill>
                  <pic:spPr>
                    <a:xfrm>
                      <a:off x="0" y="0"/>
                      <a:ext cx="5029200" cy="1144143"/>
                    </a:xfrm>
                    <a:prstGeom prst="rect"/>
                  </pic:spPr>
                </pic:pic>
              </a:graphicData>
            </a:graphic>
          </wp:inline>
        </w:drawing>
      </w:r>
    </w:p>
    <w:p>
      <w:pPr>
        <w:spacing w:after="160"/>
        <w:jc w:val="center"/>
      </w:pPr>
      <w:r>
        <w:rPr>
          <w:rFonts w:ascii="Times New Roman" w:hAnsi="Times New Roman" w:cs="Times New Roman" w:eastAsia="Times New Roman"/>
          <w:b w:val="0"/>
          <w:i/>
          <w:sz w:val="20"/>
        </w:rPr>
        <w:t>Figure panel from PMC10604897 (source bitmap p21_i2.jpg).</w:t>
      </w:r>
    </w:p>
    <w:p>
      <w:pPr>
        <w:spacing w:after="120"/>
        <w:jc w:val="both"/>
      </w:pPr>
      <w:r>
        <w:rPr>
          <w:rFonts w:ascii="Times New Roman" w:hAnsi="Times New Roman" w:cs="Times New Roman" w:eastAsia="Times New Roman"/>
          <w:b w:val="0"/>
          <w:i w:val="0"/>
          <w:sz w:val="24"/>
        </w:rPr>
        <w:t>“These processes are critical in the development of cardiovascular diseases (CVDs) such as atherosclerosis, hypertension and ischemia/reperfusion injury (IRI). Reduced nitric oxide (NO) production and increased oxidative stress are key contributors to ED. Aging further exacerbates ED through mitochondrial dysfunction and increased oxidative/nitrosative stress, heightening CVD risk. Antioxidant systems like superoxide-dismutase (SOD), glutathione-peroxidase (GPx), and thioredoxin/thioredoxin-reductase (Trx/TXNRD) pathways protect against oxidative stress. However, their reduced activity promotes ED, atherosclerosis, and vulnerability to IRI. Metabolic syndrome, comprising insulin resistance, obesity, and hypertension, is often accompanied by ED. Specifically, hyperglycemia worsens endothelial damage by promoting oxidative stress and inflammation. Obesity leads to chronic inflammation and changes in perivascular adipose tissue, while hypertension is associated with an increase in oxidative stress.”  [PMC11939635 ¶2]</w:t>
      </w:r>
    </w:p>
    <w:p>
      <w:pPr>
        <w:spacing w:after="120"/>
        <w:jc w:val="both"/>
      </w:pPr>
      <w:r>
        <w:rPr>
          <w:rFonts w:ascii="Times New Roman" w:hAnsi="Times New Roman" w:cs="Times New Roman" w:eastAsia="Times New Roman"/>
          <w:b w:val="0"/>
          <w:i w:val="0"/>
          <w:sz w:val="24"/>
        </w:rPr>
        <w:t>“The NLRP3 inflammasome plays a significant role in ED, being triggered by factors such as reactive oxygen and nitrogen species, ischemia, and high glucose, which contribute to inflammation, endothelial injury, and exacerbation of IRI. Treatments, such as N-acetyl-L-cysteine, SGLT2 or NLRP3 inhibitors, show promise in improving endothelial function. Yet the complexity of ED suggests that multi-targeted therapies addressing oxidative stress, inflammation, and metabolic disturbances are essential for managing CVDs associated with metabolic syndrome.", "body_text": "1. Introduction Despite its simple monolayer structure, healthy endothelium responds to a variety of stimuli, both chemical and mechanical. In turn, the endothelium is capable of producing a wide range of molecules that regulate vascular permeability, cell adhesion, smooth muscle cell proliferation, vessel wall inflammation, and thrombosis resistance.”  [PMC11939635 ¶3]</w:t>
      </w:r>
    </w:p>
    <w:p>
      <w:pPr>
        <w:spacing w:after="120"/>
        <w:jc w:val="both"/>
      </w:pPr>
      <w:r>
        <w:rPr>
          <w:rFonts w:ascii="Times New Roman" w:hAnsi="Times New Roman" w:cs="Times New Roman" w:eastAsia="Times New Roman"/>
          <w:b w:val="0"/>
          <w:i w:val="0"/>
          <w:sz w:val="24"/>
        </w:rPr>
        <w:t>“Endothelial dysfunction (ED) is characterized by an impaired response of endothelial cells (ECs) to physiological stimuli, resulting in altered vascular tone and organ perfusion. It arises from an imbalance between vasodilator and vasoconstrictor factors and is associated with various conditions, including neurodegenerative diseases, kidney disease, metabolic syndrome, and cardiovascular diseases (CVDs) [ 1 ]. Sharing mechanisms with many of the aforementioned pathological conditions, ED often serves as a starting point, highlighting a common link among these disorders. This raises the question of whether early detection of ED could be valuable for the screening and prevention of CVDs. From a clinical point of view, the evolution of ED can be followed by measuring some molecules in order to obtain an early diagnosis. Molecules identified as markers of endothelial dysfunction include cytokines such as interleukins (e.g., IL-6 and IL-1), tumor necrosis factor-alpha (TNF-\u03b1), adhesion molecules like intercellular adhesion molecule (ICAM) and vascular cell adhesion molecule (VCAM), as well as endothelial microparticles [ 2 ].”  [PMC11939635 ¶4]</w:t>
      </w:r>
    </w:p>
    <w:p>
      <w:pPr>
        <w:jc w:val="center"/>
      </w:pPr>
      <w:r>
        <w:drawing>
          <wp:inline xmlns:a="http://schemas.openxmlformats.org/drawingml/2006/main" xmlns:pic="http://schemas.openxmlformats.org/drawingml/2006/picture">
            <wp:extent cx="5029200" cy="2916365"/>
            <wp:docPr id="110" name="Picture 110"/>
            <wp:cNvGraphicFramePr>
              <a:graphicFrameLocks noChangeAspect="1"/>
            </wp:cNvGraphicFramePr>
            <a:graphic>
              <a:graphicData uri="http://schemas.openxmlformats.org/drawingml/2006/picture">
                <pic:pic>
                  <pic:nvPicPr>
                    <pic:cNvPr id="0" name="p11_i1.jpg"/>
                    <pic:cNvPicPr/>
                  </pic:nvPicPr>
                  <pic:blipFill>
                    <a:blip r:embed="rId16"/>
                    <a:stretch>
                      <a:fillRect/>
                    </a:stretch>
                  </pic:blipFill>
                  <pic:spPr>
                    <a:xfrm>
                      <a:off x="0" y="0"/>
                      <a:ext cx="5029200" cy="2916365"/>
                    </a:xfrm>
                    <a:prstGeom prst="rect"/>
                  </pic:spPr>
                </pic:pic>
              </a:graphicData>
            </a:graphic>
          </wp:inline>
        </w:drawing>
      </w:r>
    </w:p>
    <w:p>
      <w:pPr>
        <w:spacing w:after="160"/>
        <w:jc w:val="center"/>
      </w:pPr>
      <w:r>
        <w:rPr>
          <w:rFonts w:ascii="Times New Roman" w:hAnsi="Times New Roman" w:cs="Times New Roman" w:eastAsia="Times New Roman"/>
          <w:b w:val="0"/>
          <w:i/>
          <w:sz w:val="20"/>
        </w:rPr>
        <w:t>Figure 1 (from PMC11939635): “Key molecular mechanisms linking endothelial dysfunction, NLRP3 inflammasome, and cardiovascular diseases (CVDs). Schematic illustration of the pathways and factors contributing to endothelial dysfunction and the progression of CVDs. The activation of the NLRP3 inflammasome by PAMPs, DAMPs, and hemodynamic alterations triggers the production of inflammatory ”</w:t>
      </w:r>
    </w:p>
    <w:p>
      <w:pPr>
        <w:spacing w:after="120"/>
        <w:jc w:val="both"/>
      </w:pPr>
      <w:r>
        <w:rPr>
          <w:rFonts w:ascii="Times New Roman" w:hAnsi="Times New Roman" w:cs="Times New Roman" w:eastAsia="Times New Roman"/>
          <w:b w:val="0"/>
          <w:i w:val="0"/>
          <w:sz w:val="24"/>
        </w:rPr>
        <w:t>“The molecular mechanisms underlying ED are numerous and not entirely clear, despite the fact that this condition has been discussed since the late 1970s [ 3 ]. Certainly, among the most accredited causes are disruption in nitric oxide (NO) production and the formation of reactive oxygen species (ROS) and/or nitrogen species (RNS). Yet hemodynamic and shear stress alterations, including turbulence, play a central role in ED development [ 4 ]. Indeed, triggers for the shift toward ED and, therefore, toward a pro-coagulant and pro-inflammatory state include intrinsic, non-modifiable risk factors, such as hemodynamic disturbances and a predisposition to thrombophilia (whether inherited or acquired). Modifiable risk factors also play a role, including infections, dietary disturbances, metabolic disorders such as homocysteinemia and hypercholesterolemia, and exposure to toxins like those from smoking [ 1 , 5 , 6 ].”  [PMC11939635 ¶5]</w:t>
      </w:r>
    </w:p>
    <w:p>
      <w:pPr>
        <w:spacing w:after="120"/>
        <w:jc w:val="both"/>
      </w:pPr>
      <w:r>
        <w:rPr>
          <w:rFonts w:ascii="Times New Roman" w:hAnsi="Times New Roman" w:cs="Times New Roman" w:eastAsia="Times New Roman"/>
          <w:b w:val="0"/>
          <w:i w:val="0"/>
          <w:sz w:val="24"/>
        </w:rPr>
        <w:t>“EDH signaling involves hyperpolarization originating in ECs and transmitting to VSMCs via two pathways: chemical (e.g., potassium ions, lipid mediators, hydrogen peroxide (H 2 O 2 )) and electrical (via gap junctions, including MEJs). These pathways vary in contribution depending on arterial location, branch order, and VSMC activation. MEJs mediate bidirectional communication between ECs and VSMCs. This dynamic interaction enables feedback mechanisms like Ca 2+ transfer during vasoconstriction, activating eNOS and EDH factor (EDHF) release to regulate vascular tone. MEJs also coordinate vasomotion, a cyclic process of vasodilation and constriction, which optimizes blood flow [ 14 ]. Beyond the functions mentioned earlier, ECs modulate the metabolism and transport of nutrients and hormones in an organ-specific manner, thereby serving as critical regulators of systemic metabolic homeostasis [ 23 ].”  [PMC11939635 ¶9]</w:t>
      </w:r>
    </w:p>
    <w:p>
      <w:pPr>
        <w:spacing w:after="120"/>
        <w:jc w:val="both"/>
      </w:pPr>
      <w:r>
        <w:rPr>
          <w:rFonts w:ascii="Times New Roman" w:hAnsi="Times New Roman" w:cs="Times New Roman" w:eastAsia="Times New Roman"/>
          <w:b w:val="0"/>
          <w:i w:val="0"/>
          <w:sz w:val="24"/>
        </w:rPr>
        <w:t>“Among the causes that can determine an alteration of shear stress, it is worth mentioning the increase in blood pressure which, combined with a greater stiffness due to metabolic syndrome and aging, determines changes in both the phenotype and the endothelial functionality [ 4 , 25 ]. In addition to being subjected to shear stress, ECs can function as a \u201cmetabolic interface\u201d with important differences between different organs and within the organ itself [ 26 , 27 ]. It appears that under many conditions, the preferred metabolic pathway of ECs is anaerobic glycolysis [ 28 ]. The reliance on anaerobic glycolysis offers metabolic advantages. Under normal conditions, it reduces the formation and availability of ROS/RNS while enhancing the efficiency of metabolite transport from the vessel to surrounding tissues. For instance, the endothelium exerts metabolic control over surrounding tissues, regulating the influx of hormones and other key elements such as insulin, lipids, and glucose.”  [PMC11939635 ¶11]</w:t>
      </w:r>
    </w:p>
    <w:p>
      <w:pPr>
        <w:jc w:val="center"/>
      </w:pPr>
      <w:r>
        <w:drawing>
          <wp:inline xmlns:a="http://schemas.openxmlformats.org/drawingml/2006/main" xmlns:pic="http://schemas.openxmlformats.org/drawingml/2006/picture">
            <wp:extent cx="5029200" cy="2478960"/>
            <wp:docPr id="111" name="Picture 111"/>
            <wp:cNvGraphicFramePr>
              <a:graphicFrameLocks noChangeAspect="1"/>
            </wp:cNvGraphicFramePr>
            <a:graphic>
              <a:graphicData uri="http://schemas.openxmlformats.org/drawingml/2006/picture">
                <pic:pic>
                  <pic:nvPicPr>
                    <pic:cNvPr id="0" name="p06_i1.jpg"/>
                    <pic:cNvPicPr/>
                  </pic:nvPicPr>
                  <pic:blipFill>
                    <a:blip r:embed="rId33"/>
                    <a:stretch>
                      <a:fillRect/>
                    </a:stretch>
                  </pic:blipFill>
                  <pic:spPr>
                    <a:xfrm>
                      <a:off x="0" y="0"/>
                      <a:ext cx="5029200" cy="2478960"/>
                    </a:xfrm>
                    <a:prstGeom prst="rect"/>
                  </pic:spPr>
                </pic:pic>
              </a:graphicData>
            </a:graphic>
          </wp:inline>
        </w:drawing>
      </w:r>
    </w:p>
    <w:p>
      <w:pPr>
        <w:spacing w:after="160"/>
        <w:jc w:val="center"/>
      </w:pPr>
      <w:r>
        <w:rPr>
          <w:rFonts w:ascii="Times New Roman" w:hAnsi="Times New Roman" w:cs="Times New Roman" w:eastAsia="Times New Roman"/>
          <w:b w:val="0"/>
          <w:i/>
          <w:sz w:val="20"/>
        </w:rPr>
        <w:t>Figure 2 (from PMC11939635): “Adequate NO production supports redox balance, vasodilation, and vascular homeostasis. In contrast, endothelial dysfunction and reduced NO levels lead to redox imbalance, favoring ROS/RNS-mediated inflammation and fibrosis, with O 2 •− , ONOO − and NLRP3 playing key roles (See also Figure 2 ). Double-headed lines indicate inhibition, while simple arrows indi”</w:t>
      </w:r>
    </w:p>
    <w:p>
      <w:pPr>
        <w:spacing w:after="120"/>
        <w:jc w:val="both"/>
      </w:pPr>
      <w:r>
        <w:rPr>
          <w:rFonts w:ascii="Times New Roman" w:hAnsi="Times New Roman" w:cs="Times New Roman" w:eastAsia="Times New Roman"/>
          <w:b w:val="0"/>
          <w:i w:val="0"/>
          <w:sz w:val="24"/>
        </w:rPr>
        <w:t>“## Figure captions (7) 1. **Fig. 1** — Oxidative stress induces LBP upregulation and LD translocation. a A schematic illustrating the research strategy adopted in this study. The image was created using materials supplied by Ge Pan from the Central Academy of Fine Arts, China, and illustrated by Qilun Zhang. The use of these materials has been authorized. b A multivariate bubble plot comparing changes in LD-localized protein and RNA ex graphic: `41467_2024_47553_Fig1_HTML.jpg` 2. **Fig. 2** — The localization of LBP to LDs drives hepatic steatosis. a Hepatic TG content of WT mice under NT, 24 h fasting, or LPS-treatment (5 mg/kg, i.p.) for 24 h. Shown are means ± s.d., one-way ANOVA ( n = 3, biologically independent). b Representative bright-field microscope image showing separated LDs from the same treatment as described in ( a ), scale bar = 10 μm. Experiments was conducted with thre graphic: `41467_2024_47553_Fig2_HTML.jpg` 3. **Fig. 3** — LBP binds with unsaturated TG to prevent against lipid peroxidation. a A pie chart showing the difference in lipid composition between WT ( n = 3) and LBP KI/KI ( n = 3) mice liver after 16 weeks of HFD. b Analysis of chain length of differential TGs in ( a ).”  [PMC11016120 ¶1]</w:t>
      </w:r>
    </w:p>
    <w:p>
      <w:pPr>
        <w:spacing w:after="120"/>
        <w:jc w:val="both"/>
      </w:pPr>
      <w:r>
        <w:rPr>
          <w:rFonts w:ascii="Times New Roman" w:hAnsi="Times New Roman" w:cs="Times New Roman" w:eastAsia="Times New Roman"/>
          <w:b w:val="0"/>
          <w:i w:val="0"/>
          <w:sz w:val="24"/>
        </w:rPr>
        <w:t>“Shown are means ± s.e.m., ( n = 3, biologically independent). c Analysis of saturation of differential TGs in ( a ). Shown are means ± s.e. graphic: `41467_2024_47553_Fig3_HTML.jpg` 4. **Fig. 4** — The antioxidant activity of LBP. a A nine-quadrant plot depicting the combined analysis of the liver transcriptome and proteome of WT and LBP KI/KI mice fed with HFD for 16 weeks. Each group n = 3, biologically independent. b Go term enrichment analysis of the differential proteins in the third quadrant (upregulated) of ( a ), using different colors to represent different functions: yellow-lipid t graphic: `41467_2024_47553_Fig4_HTML.jpg` 5. **Fig. 5** — Redox signaling regulates LBP-induced LD accumulation via phospholipid biogenesis and the LBP chaperone function of PRDX4. a The bar graph compares the hepatic TG levels in WT mice and LBP KI/KI mice, with/without NAC treatment. Means ± s.d., 2way ANOVA ( n = 5–6, biologically independent). b Bright-field microscope image of LDs in LBP KI/KI mice, fasted for 24 h and treated with/without NAC treat graphic: `41467_2024_47553_Fig5_HTML.jpg` 6. **Fig. 6** — The #4-helix within the C-segment of LBP interacts with oxidized TGs. a LBP structure solved in the PDB database and predicted by Alphafold, with the black box indicating the differential #4α-helix. b Predict secondary structures and perform homology comparisons of LBP in various mammals. c Molecular docking diagram of WT-Tridocosahexaenoin with LBP.”  [PMC11016120 ¶2]</w:t>
      </w:r>
    </w:p>
    <w:p>
      <w:pPr>
        <w:spacing w:after="120"/>
        <w:jc w:val="both"/>
      </w:pPr>
      <w:r>
        <w:rPr>
          <w:rFonts w:ascii="Times New Roman" w:hAnsi="Times New Roman" w:cs="Times New Roman" w:eastAsia="Times New Roman"/>
          <w:b w:val="0"/>
          <w:i w:val="0"/>
          <w:sz w:val="24"/>
        </w:rPr>
        <w:t>“LBP is represented as a dark blue cartoon model graphic: `41467_2024_47553_Fig6_HTML.jpg` 7. **Fig. 7** — LBP upregulation drives obesity and is rescued by antioxidant treatment. a Serum TG and FFA levels in 8-week-old mice before and after Poloxamer 407 injection. Means ± s.d., 2way ANOVA ( n = 3, biologically independent). b Morphological comparison of LBP KI/KI , LBP − / − and WT mice fed on a 16-week high-fat diet. c Fasting blood glucose levels of mice in ( b ). Means ± s.d., two-tailed unpaired graphic: `41467_2024_47553_Fig7_HTML.jpg` ```json { "pmcid": "PMC11016120", "pmid": "38615060", "doi": "10.1038/s41467-024-47553-5", "title": "Lipopolysaccharide binding protein resists hepatic oxidative stress by regulating lipid droplet homeostasis", "journal": "Nature Communications", "year": "2024", "abstract": "Oxidative stress-induced lipid accumulation is mediated by lipid droplets (LDs) homeostasis, which sequester vulnerable unsaturated triglycerides into LDs to prevent further peroxidation.”  [PMC11016120 ¶3]</w:t>
      </w:r>
    </w:p>
    <w:p>
      <w:pPr>
        <w:jc w:val="center"/>
      </w:pPr>
      <w:r>
        <w:drawing>
          <wp:inline xmlns:a="http://schemas.openxmlformats.org/drawingml/2006/main" xmlns:pic="http://schemas.openxmlformats.org/drawingml/2006/picture">
            <wp:extent cx="5029200" cy="6262039"/>
            <wp:docPr id="112" name="Picture 112"/>
            <wp:cNvGraphicFramePr>
              <a:graphicFrameLocks noChangeAspect="1"/>
            </wp:cNvGraphicFramePr>
            <a:graphic>
              <a:graphicData uri="http://schemas.openxmlformats.org/drawingml/2006/picture">
                <pic:pic>
                  <pic:nvPicPr>
                    <pic:cNvPr id="0" name="p10_i1.jpg"/>
                    <pic:cNvPicPr/>
                  </pic:nvPicPr>
                  <pic:blipFill>
                    <a:blip r:embed="rId38"/>
                    <a:stretch>
                      <a:fillRect/>
                    </a:stretch>
                  </pic:blipFill>
                  <pic:spPr>
                    <a:xfrm>
                      <a:off x="0" y="0"/>
                      <a:ext cx="5029200" cy="6262039"/>
                    </a:xfrm>
                    <a:prstGeom prst="rect"/>
                  </pic:spPr>
                </pic:pic>
              </a:graphicData>
            </a:graphic>
          </wp:inline>
        </w:drawing>
      </w:r>
    </w:p>
    <w:p>
      <w:pPr>
        <w:spacing w:after="160"/>
        <w:jc w:val="center"/>
      </w:pPr>
      <w:r>
        <w:rPr>
          <w:rFonts w:ascii="Times New Roman" w:hAnsi="Times New Roman" w:cs="Times New Roman" w:eastAsia="Times New Roman"/>
          <w:b w:val="0"/>
          <w:i/>
          <w:sz w:val="20"/>
        </w:rPr>
        <w:t>Figure 1 (from PMC11016120): “Oxidative stress induces LBP upregulation and LD translocation. a A schematic illustrating the research strategy adopted in this study. The image was created using materials supplied by Ge Pan from the Central Academy of Fine Arts, China, and illustrated by Qilun Zhang. The use of these materials has been authorized. b A multivariate bubble plot comparing ch”</w:t>
      </w:r>
    </w:p>
    <w:p>
      <w:pPr>
        <w:spacing w:after="120"/>
        <w:jc w:val="both"/>
      </w:pPr>
      <w:r>
        <w:rPr>
          <w:rFonts w:ascii="Times New Roman" w:hAnsi="Times New Roman" w:cs="Times New Roman" w:eastAsia="Times New Roman"/>
          <w:b w:val="0"/>
          <w:i w:val="0"/>
          <w:sz w:val="24"/>
        </w:rPr>
        <w:t>“Here we identify the upregulation of lipopolysaccharide-binding protein (LBP) and its trafficking through LDs as a mechanism for modulating LD homeostasis in response to oxidative stress. Our results suggest that LBP induces lipid accumulation by controlling lipid-redox homeostasis through its lipid-capture activity, sorting unsaturated triglycerides into LDs. N-acetyl-L-cysteine treatment reduces LBP-mediated triglycerides accumulation by phospholipid/triglycerides competition and Peroxiredoxin 4, a redox state sensor of LBP that regulates the shuttle of LBP from LDs. Furthermore, chronic stress upregulates LBP expression, leading to insulin resistance and obesity. Our findings contribute to the understanding of the role of LBP in regulating LD homeostasis and against cellular peroxidative injury. These insights could inform the development of redox-based therapies for alleviating oxidative stress-induced metabolic dysfunction.", "body_text": "Introduction Oxidative stress, resulting from an imbalance between reactive oxygen species (ROS) production and the antioxidant defense system, is a key driver of hepatic steatosis and obesity 1 \u2013 3 .”  [PMC11016120 ¶4]</w:t>
      </w:r>
    </w:p>
    <w:p>
      <w:pPr>
        <w:spacing w:after="120"/>
        <w:jc w:val="both"/>
      </w:pPr>
      <w:r>
        <w:rPr>
          <w:rFonts w:ascii="Times New Roman" w:hAnsi="Times New Roman" w:cs="Times New Roman" w:eastAsia="Times New Roman"/>
          <w:b w:val="0"/>
          <w:i w:val="0"/>
          <w:sz w:val="24"/>
        </w:rPr>
        <w:t>“Toxic lipid metabolites such as diacylglycerols, lysophosphatidyl choline, and other unsaturated metabolites generated due to oxidative stress, cause cellular damage 4 . This lipotoxicity considered a potential pro-steatotic mediator, is also a key factor in the progression of metabolic dysfunction. Therefore, even in the absence of overweight, acute hunger or chronic stress-induced oxidative stress can cause severe disruptions in lipid metabolism, further increasing the risk of all-cause mortality 5 . While antioxidants and ROS scavengers can alleviate metabolic dysfunction in animal models and some antioxidants have been trialed in clinical settings, long-term antioxidant treatment has potential safety issues, and there is currently no ideal drug available 6 , 7 . Thus, it is crucial to understand the molecular mechanisms that lead to oxidative stress-induced lipid metabolic dysfunction.”  [PMC11016120 ¶5]</w:t>
      </w:r>
    </w:p>
    <w:p>
      <w:pPr>
        <w:spacing w:after="120"/>
        <w:jc w:val="both"/>
      </w:pPr>
      <w:r>
        <w:rPr>
          <w:rFonts w:ascii="Times New Roman" w:hAnsi="Times New Roman" w:cs="Times New Roman" w:eastAsia="Times New Roman"/>
          <w:b w:val="0"/>
          <w:i w:val="0"/>
          <w:sz w:val="24"/>
        </w:rPr>
        <w:t>“Recent studies have shown that lipid droplets (LDs), the major organelles responsible for neutral lipid accumulation, not only function in lipid storage and mobilization but also serve as an essential component of the cellular antioxidant system 8 . The homeostasis regulation of LD is of great significance for the development and survival of cells under stress 9 . During oxidative stress, the biogenesis of LDs is stimulated to protect vulnerable lipids such as unsaturated fatty acids (UFAs) rerouted into the triglyceride (TG) core from ROS-induced peroxidation to maintain lipid homeostasis 10 \u2013 12 , which is subsided when oxidative stress ends. This process is accurately regulated by LD-associated proteins. Despite the identification of numerous LD-associated proteins 13 , the cellular sorting mechanisms for UFA-TG in response to oxidative stress are poorly understood. In this study, we aimed to elucidate a fundamental mechanism that regulates the oxidative stress response of LDs.”  [PMC11016120 ¶6]</w:t>
      </w:r>
    </w:p>
    <w:p>
      <w:pPr>
        <w:jc w:val="center"/>
      </w:pPr>
      <w:r>
        <w:drawing>
          <wp:inline xmlns:a="http://schemas.openxmlformats.org/drawingml/2006/main" xmlns:pic="http://schemas.openxmlformats.org/drawingml/2006/picture">
            <wp:extent cx="5029200" cy="5731282"/>
            <wp:docPr id="113" name="Picture 113"/>
            <wp:cNvGraphicFramePr>
              <a:graphicFrameLocks noChangeAspect="1"/>
            </wp:cNvGraphicFramePr>
            <a:graphic>
              <a:graphicData uri="http://schemas.openxmlformats.org/drawingml/2006/picture">
                <pic:pic>
                  <pic:nvPicPr>
                    <pic:cNvPr id="0" name="p04_i1.jpg"/>
                    <pic:cNvPicPr/>
                  </pic:nvPicPr>
                  <pic:blipFill>
                    <a:blip r:embed="rId39"/>
                    <a:stretch>
                      <a:fillRect/>
                    </a:stretch>
                  </pic:blipFill>
                  <pic:spPr>
                    <a:xfrm>
                      <a:off x="0" y="0"/>
                      <a:ext cx="5029200" cy="5731282"/>
                    </a:xfrm>
                    <a:prstGeom prst="rect"/>
                  </pic:spPr>
                </pic:pic>
              </a:graphicData>
            </a:graphic>
          </wp:inline>
        </w:drawing>
      </w:r>
    </w:p>
    <w:p>
      <w:pPr>
        <w:spacing w:after="160"/>
        <w:jc w:val="center"/>
      </w:pPr>
      <w:r>
        <w:rPr>
          <w:rFonts w:ascii="Times New Roman" w:hAnsi="Times New Roman" w:cs="Times New Roman" w:eastAsia="Times New Roman"/>
          <w:b w:val="0"/>
          <w:i/>
          <w:sz w:val="20"/>
        </w:rPr>
        <w:t>Figure 2 (from PMC11016120): “The localization of LBP to LDs drives hepatic steatosis. a Hepatic TG content of WT mice under NT, 24 h fasting, or LPS-treatment (5 mg/kg, i.p.) for 24 h. Shown are means ± s.d., one-way ANOVA ( n = 3, biologically independent). b Representative bright-field microscope image showing separated LDs from the same treatment as described in ( a ), scale bar = 10”</w:t>
      </w:r>
    </w:p>
    <w:p>
      <w:pPr>
        <w:keepNext/>
        <w:spacing w:before="280" w:after="80"/>
        <w:outlineLvl w:val="1"/>
      </w:pPr>
      <w:r>
        <w:rPr>
          <w:rFonts w:ascii="Times New Roman" w:hAnsi="Times New Roman" w:cs="Times New Roman" w:eastAsia="Times New Roman"/>
          <w:b/>
          <w:i w:val="0"/>
          <w:color w:val="335588"/>
          <w:sz w:val="28"/>
        </w:rPr>
        <w:t>11a.6  Infectious disease and antimicrobial activity</w:t>
      </w:r>
    </w:p>
    <w:p>
      <w:pPr>
        <w:spacing w:after="120"/>
        <w:jc w:val="both"/>
      </w:pPr>
      <w:r>
        <w:rPr>
          <w:rFonts w:ascii="Times New Roman" w:hAnsi="Times New Roman" w:cs="Times New Roman" w:eastAsia="Times New Roman"/>
          <w:b w:val="0"/>
          <w:i w:val="0"/>
          <w:sz w:val="24"/>
        </w:rPr>
        <w:t>“NAC possesses antioxidant, cytoprotective, anti-inflammatory, antimicrobial, and mucolytic properties, making it a promising therapeutic agent for a wide range of diseases in both humans and domesticated animals. Oxidative stress and inflammation play a major role in the onset and progression of all these diseases. NAC\u2019s primary role is to replenish glutathione (GSH) stores, the master antioxidant in all tissues; however, it can also reduce levels of pro-inflammatory tumor necrosis factor-alpha (TNF-\u221d) and interleukins (IL-6 and IL-1\u03b2), inhibit the formation of microbial biofilms and destroy biofilms, and break down disulfide bonds between mucin molecules. Many experimental studies have been conducted on the use of NAC to address a wide range of pathological conditions; however, its effectiveness in clinical trials remains limited and studies often have conflicting results.”  [PMC10604897 ¶1]</w:t>
      </w:r>
    </w:p>
    <w:p>
      <w:pPr>
        <w:spacing w:after="120"/>
        <w:jc w:val="both"/>
      </w:pPr>
      <w:r>
        <w:rPr>
          <w:rFonts w:ascii="Times New Roman" w:hAnsi="Times New Roman" w:cs="Times New Roman" w:eastAsia="Times New Roman"/>
          <w:b w:val="0"/>
          <w:i w:val="0"/>
          <w:sz w:val="24"/>
        </w:rPr>
        <w:t>“Many studies have shown the protective effects of NAC for neonatal animals immune challenged with bacterial lipopolysaccharide (LPS) endotoxin, particularly studies involving piglets [ 13 , 14 ]. NAC administration has consistently been shown to increase daily body weight gain and alleviate LPS-mediated growth depression. Furthermore, the porcine model of ulcerative colitis (UC) can be used to support NAC usage for humans. For example, in a study conducted by Wang et al. (2013), the piglet model of UC demonstrated that administration of NAC was able to reduce colon histopathology score and ameliorate UC histological abnormalities [ 15 ]. Despite the numerous NAC studies and its increasing popularity, the mechanisms of action (MOA) by which NAC exerts its antioxidant and cytoprotective properties remain unclear [ 1 , 16 ]. It is often assumed that the effects conferred by NAC are due to it acting as a scavenger of reactive oxygen species (ROS), a precursor for glutathione (GSH) biosynthesis, and a disulfide reductant [ 16 , 17 ].”  [PMC10604897 ¶4]</w:t>
      </w:r>
    </w:p>
    <w:p>
      <w:pPr>
        <w:spacing w:after="120"/>
        <w:jc w:val="both"/>
      </w:pPr>
      <w:r>
        <w:rPr>
          <w:rFonts w:ascii="Times New Roman" w:hAnsi="Times New Roman" w:cs="Times New Roman" w:eastAsia="Times New Roman"/>
          <w:b w:val="0"/>
          <w:i w:val="0"/>
          <w:sz w:val="24"/>
        </w:rPr>
        <w:t>“The frequency of NAC side-effects following intravenous administration is significantly higher compared to oral NAC [ 18 ]. Inhaled NAC can result in adverse reactions such as bacterial pneumonia, cough, sore throat, and drug-induced pneumonitis, but coughing is the most prevalent [ 1 , 30 ]. Anaphylactic reactions resulting from NAC are rare and mild or moderate depending on the concentration [ 31 ]; most are typically attributed to intravenous administration due to the transient but significant increase in NAC plasma levels [ 18 ]. Existing data suggests that there is a direct relationship between anaphylactoid reactions and serum NAC concentration [ 31 ]. Symptoms of anaphylactoid reactions include flushing, pruritus, angioedema, bronchospasm, and hypotension [ 32 ]. These anaphylactoid reactions rapidly subside following the discontinuation of NAC administration or lowering the rate of intravenous administration [ 18 ]. 3.2.”  [PMC10604897 ¶10]</w:t>
      </w:r>
    </w:p>
    <w:p>
      <w:pPr>
        <w:jc w:val="center"/>
      </w:pPr>
      <w:r>
        <w:drawing>
          <wp:inline xmlns:a="http://schemas.openxmlformats.org/drawingml/2006/main" xmlns:pic="http://schemas.openxmlformats.org/drawingml/2006/picture">
            <wp:extent cx="5029200" cy="2300859"/>
            <wp:docPr id="114" name="Picture 114"/>
            <wp:cNvGraphicFramePr>
              <a:graphicFrameLocks noChangeAspect="1"/>
            </wp:cNvGraphicFramePr>
            <a:graphic>
              <a:graphicData uri="http://schemas.openxmlformats.org/drawingml/2006/picture">
                <pic:pic>
                  <pic:nvPicPr>
                    <pic:cNvPr id="0" name="p21_i1.jpg"/>
                    <pic:cNvPicPr/>
                  </pic:nvPicPr>
                  <pic:blipFill>
                    <a:blip r:embed="rId12"/>
                    <a:stretch>
                      <a:fillRect/>
                    </a:stretch>
                  </pic:blipFill>
                  <pic:spPr>
                    <a:xfrm>
                      <a:off x="0" y="0"/>
                      <a:ext cx="5029200" cy="2300859"/>
                    </a:xfrm>
                    <a:prstGeom prst="rect"/>
                  </pic:spPr>
                </pic:pic>
              </a:graphicData>
            </a:graphic>
          </wp:inline>
        </w:drawing>
      </w:r>
    </w:p>
    <w:p>
      <w:pPr>
        <w:spacing w:after="160"/>
        <w:jc w:val="center"/>
      </w:pPr>
      <w:r>
        <w:rPr>
          <w:rFonts w:ascii="Times New Roman" w:hAnsi="Times New Roman" w:cs="Times New Roman" w:eastAsia="Times New Roman"/>
          <w:b w:val="0"/>
          <w:i/>
          <w:sz w:val="20"/>
        </w:rPr>
        <w:t>Figure 1 (from PMC10604897): “The three major narratives of NAC’s mechanisms of action.</w:t>
        <w:br/>
        <w:t xml:space="preserve">   graphic: `antioxidants-12-01867-g001.jpg`”</w:t>
      </w:r>
    </w:p>
    <w:p>
      <w:pPr>
        <w:spacing w:after="120"/>
        <w:jc w:val="both"/>
      </w:pPr>
      <w:r>
        <w:rPr>
          <w:rFonts w:ascii="Times New Roman" w:hAnsi="Times New Roman" w:cs="Times New Roman" w:eastAsia="Times New Roman"/>
          <w:b w:val="0"/>
          <w:i w:val="0"/>
          <w:sz w:val="24"/>
        </w:rPr>
        <w:t>“As a therapeutic agent, NAC is commonly administered orally in the tablet form of 600\u20131200 mg up to three times a day to treat pulmonary diseases [ 1 ]. Studies have shown that dosages of NAC up to 3000 mg/day continue to remain safe and are well-tolerated [ 1 ]. 5.2.1. Cystic Fibrosis (CF) CF is a genetic disorder affecting multiple organ systems including the lungs and upper airways, pancreas, liver, intestine, and reproductive organs [ 51 ]. The lungs of CF patients produce prolific amounts of viscous mucus, which is difficult to clear. This thick mucus increases susceptibility to recurring chronic infections due to poor expectoration [ 28 ]. NAC has been extensively used in the treatment of CF to help improve lung function and eliminate mucus due to its mucolytic properties [ 1 ], which are attributed to its cysteine residues that break down the sulfhydryl bridges between glycoproteins in mucus, thereby reducing mucus viscosity [ 28 ].”  [PMC10604897 ¶20]</w:t>
      </w:r>
    </w:p>
    <w:p>
      <w:pPr>
        <w:spacing w:after="120"/>
        <w:jc w:val="both"/>
      </w:pPr>
      <w:r>
        <w:rPr>
          <w:rFonts w:ascii="Times New Roman" w:hAnsi="Times New Roman" w:cs="Times New Roman" w:eastAsia="Times New Roman"/>
          <w:b w:val="0"/>
          <w:i w:val="0"/>
          <w:sz w:val="24"/>
        </w:rPr>
        <w:t>“Excessive neutrophil-mediated inflammation in the airways is another key characteristic of CF and is believed to be a cause of lung damage and dysfunction [ 52 ]. This uncontrolled inflammation leads to overexposure to reactive oxygen species (ROS) derived from bacteria and/or the activated neutrophils, which in turn further amplifies the inflammation [ 52 ] and damages tissues. In addition to being a mucolytic agent, NAC\u2019s antioxidant properties may prove to be useful in controlling oxidative stress and excessive inflammation in the airways of CF patients [ 52 ]. In a study conducted by Dauletbaev et al. (2009), it was found that a 12-week therapy with a high dose of NAC (2800 mg/day) increased extracellular GSH in the sputum of CF patients; however, NAC treatment did not appear to alter any clinical or inflammatory parameters [ 52 ]. 5.2.2. Chronic Obstructive Pulmonary Disease (COPD) COPD refers to a group of chronic progressive lung diseases that cause airflow obstruction and breathing-related issues [ 53 ].”  [PMC10604897 ¶21]</w:t>
      </w:r>
    </w:p>
    <w:p>
      <w:pPr>
        <w:spacing w:after="120"/>
        <w:jc w:val="both"/>
      </w:pPr>
      <w:r>
        <w:rPr>
          <w:rFonts w:ascii="Times New Roman" w:hAnsi="Times New Roman" w:cs="Times New Roman" w:eastAsia="Times New Roman"/>
          <w:b w:val="0"/>
          <w:i w:val="0"/>
          <w:sz w:val="24"/>
        </w:rPr>
        <w:t>“After 9 and 12 months of treatment, the concentration of H 2 O 2 in the expired breath condensate was 2.3- and 2.6-fold lower, respectively, than in COPD patients in the placebo group. Based on the current data, the Global Initiative for Chronic Obstructive Lung Disease has acknowledged that NAC can be used as an adjunct therapy to help reduce the risk of acute exacerbation of COPD [ 1 ]. 5.3. Infectious Diseases NAC\u2019s ability to attenuate mediators of oxidative stress and inflammation also makes it a promising treatment or adjuvant for various infectious diseases, such as influenza and COVID-19 (see Table 2 ). 5.3.1. Influenza Influenza, also commonly referred to as \u201cthe flu\u201d, is a contagious respiratory infection caused by various influenza viruses that infect the nose, throat, and lungs [ 57 ]. The current standard treatment of severe flu includes early antiviral therapy with a neuraminidase inhibitor, which is associated with improved outcomes in hospitalized seasonal influenza patients [ 58 ].”  [PMC10604897 ¶24]</w:t>
      </w:r>
    </w:p>
    <w:p>
      <w:pPr>
        <w:jc w:val="center"/>
      </w:pPr>
      <w:r>
        <w:drawing>
          <wp:inline xmlns:a="http://schemas.openxmlformats.org/drawingml/2006/main" xmlns:pic="http://schemas.openxmlformats.org/drawingml/2006/picture">
            <wp:extent cx="5029200" cy="1144143"/>
            <wp:docPr id="115" name="Picture 115"/>
            <wp:cNvGraphicFramePr>
              <a:graphicFrameLocks noChangeAspect="1"/>
            </wp:cNvGraphicFramePr>
            <a:graphic>
              <a:graphicData uri="http://schemas.openxmlformats.org/drawingml/2006/picture">
                <pic:pic>
                  <pic:nvPicPr>
                    <pic:cNvPr id="0" name="p21_i2.jpg"/>
                    <pic:cNvPicPr/>
                  </pic:nvPicPr>
                  <pic:blipFill>
                    <a:blip r:embed="rId13"/>
                    <a:stretch>
                      <a:fillRect/>
                    </a:stretch>
                  </pic:blipFill>
                  <pic:spPr>
                    <a:xfrm>
                      <a:off x="0" y="0"/>
                      <a:ext cx="5029200" cy="1144143"/>
                    </a:xfrm>
                    <a:prstGeom prst="rect"/>
                  </pic:spPr>
                </pic:pic>
              </a:graphicData>
            </a:graphic>
          </wp:inline>
        </w:drawing>
      </w:r>
    </w:p>
    <w:p>
      <w:pPr>
        <w:spacing w:after="160"/>
        <w:jc w:val="center"/>
      </w:pPr>
      <w:r>
        <w:rPr>
          <w:rFonts w:ascii="Times New Roman" w:hAnsi="Times New Roman" w:cs="Times New Roman" w:eastAsia="Times New Roman"/>
          <w:b w:val="0"/>
          <w:i/>
          <w:sz w:val="20"/>
        </w:rPr>
        <w:t>Figure panel from PMC10604897 (source bitmap p21_i2.jpg).</w:t>
      </w:r>
    </w:p>
    <w:p>
      <w:pPr>
        <w:spacing w:after="120"/>
        <w:jc w:val="both"/>
      </w:pPr>
      <w:r>
        <w:rPr>
          <w:rFonts w:ascii="Times New Roman" w:hAnsi="Times New Roman" w:cs="Times New Roman" w:eastAsia="Times New Roman"/>
          <w:b w:val="0"/>
          <w:i w:val="0"/>
          <w:sz w:val="24"/>
        </w:rPr>
        <w:t>“However, a significant number of deaths (~25% mortality) still occur in ICU patients with influenza A (H1N1) despite the use of antivirals [ 58 ]. Patients with severe influenza A virus infection (H1N1, H5N1, and H7N9) were found to have high levels of circulating pro-inflammatory cytokines [ 58 ]. Due to the significant role that inflammation plays in the pathogenesis of seasonal flu, various studies have been conducted to assess the effectiveness of NAC for the treatment of influenza pneumonia. NAC was found to have indirect anti-viral effects, along with the ability to decrease pro-inflammatory cytokine levels and exert anti-apoptotic activities [ 59 ]. NAC can help alleviate the symptoms of influenza, primarily by addressing different mechanisms associated with the infection. However, direct impacts could be because of a reduction in viral load [ 60 ]. It has been proposed that NAC might interfere with the ability of the influenza virus to replicate and spread within the body.”  [PMC10604897 ¶25]</w:t>
      </w:r>
    </w:p>
    <w:p>
      <w:pPr>
        <w:spacing w:after="120"/>
        <w:jc w:val="both"/>
      </w:pPr>
      <w:r>
        <w:rPr>
          <w:rFonts w:ascii="Times New Roman" w:hAnsi="Times New Roman" w:cs="Times New Roman" w:eastAsia="Times New Roman"/>
          <w:b w:val="0"/>
          <w:i w:val="0"/>
          <w:sz w:val="24"/>
        </w:rPr>
        <w:t>“In human trials, for example, NAC significantly lowered the occurrence of clinically apparent H1N1 influenza disease [ 61 ]. Additionally, in cell culture experiments, NAC protected against H3N2 influenza virus-induced oxidative stress, cell death, the expression of inflammatory genes, and NF-\u03baB activity [ 62 , 63 ]. However, this aspect is still under investigation, and more research is needed to confirm its antiviral properties. High doses of NAC used as an adjuvant treatment in influenza pneumonia patients have also been shown to reduce influenza symptomatology and to improve cell-mediated immunity, which is important for fighting viral infections [ 61 ]. NAC\u2019s immunomodulatory properties are likely due to its ability to inhibit the activation of oxidant-sensitive pathways, including the NF-\u03baB and p38 mitogen-activated protein kinase (MAPK) signaling pathways [ 60 ]. Indeed, cytokine and chemokine levels were significantly reduced following in vivo NAC treatment [ 60 ].”  [PMC10604897 ¶26]</w:t>
      </w:r>
    </w:p>
    <w:p>
      <w:pPr>
        <w:spacing w:after="120"/>
        <w:jc w:val="both"/>
      </w:pPr>
      <w:r>
        <w:rPr>
          <w:rFonts w:ascii="Times New Roman" w:hAnsi="Times New Roman" w:cs="Times New Roman" w:eastAsia="Times New Roman"/>
          <w:b w:val="0"/>
          <w:i w:val="0"/>
          <w:sz w:val="24"/>
        </w:rPr>
        <w:t>“Under diverse stress conditions, such as infection, pathogenic factors, smoking, and oxidative stress, epithelial cells in the airway release pro-secretory molecules, leading to hypertrophy of secretory cells and hyperplasia of goblet cells, with concomitant overproduction of mucus [ 5 , 6 , 7 , 8 ]. Conditions like chronic bronchitis, bronchiectasis, CF, and COPD are associated with impairment of ciliary function and/or airway mucus hypersecretion [ 6 , 7 , 10 , 11 ]. COPD is characterized by airflow limitation, oxidative stress, and airway inflammation [ 12 ]. It is a persistent and advancing disease linked to a heightened inflammatory response in the respiratory tract triggered by gases, noxious particles, or cigarette smoke, which results in the injury of cells lining the airway and mucus hypersecretion [ 13 ]. In particular, the over-secretion of components of mucus MUC5AC and MUC5B in the respiratory tract, coupled with epithelial damage, leads to the shedding of ciliated cells, hyperplasia of goblet cells, and hypertrophy of the submucosal gland, ultimately resulting in airway mucus hypersecretion [ 4 ].”  [PMC11278452 ¶4]</w:t>
      </w:r>
    </w:p>
    <w:p>
      <w:pPr>
        <w:spacing w:after="120"/>
        <w:jc w:val="both"/>
      </w:pPr>
      <w:r>
        <w:rPr>
          <w:rFonts w:ascii="Times New Roman" w:hAnsi="Times New Roman" w:cs="Times New Roman" w:eastAsia="Times New Roman"/>
          <w:b w:val="0"/>
          <w:i w:val="0"/>
          <w:sz w:val="24"/>
        </w:rPr>
        <w:t>“The mucus, secreted by serous, mucous, and goblet cells in response to various stimuli, including inflammation [ 9 ], becomes viscous [ 12 ] and promotes bacterial colonization and biofilm growth. This hinders the ability of neutrophils and soluble antimicrobial agents to permeate dense mucus and eradicate bacteria [ 14 , 15 ]. In COPD, numerous inflammatory mediators are synthesized and released in response to oxidative stress, such as the pro-inflammatory transcription factor NF-\u03baB, which is over-expressed and activated by Reactive Oxygen Species (ROS), especially in airway epithelial cells and macrophages [ 7 ]. Oxidative stress also promotes the release of signaling molecules such as phosphoinositide 3-kinase (PI3K) and p38 mitogen-activated protein kinase (MAPK). It also sustains transforming growth factor (TGF)-\u03b2 signaling and the expression of matrix metalloproteinase (MMP)-9, which are implicated in small airway fibrosis and emphysema [ 7 ].”  [PMC11278452 ¶5]</w:t>
      </w:r>
    </w:p>
    <w:p>
      <w:pPr>
        <w:spacing w:after="120"/>
        <w:jc w:val="both"/>
      </w:pPr>
      <w:r>
        <w:rPr>
          <w:rFonts w:ascii="Times New Roman" w:hAnsi="Times New Roman" w:cs="Times New Roman" w:eastAsia="Times New Roman"/>
          <w:b w:val="0"/>
          <w:i w:val="0"/>
          <w:sz w:val="24"/>
        </w:rPr>
        <w:t>“Inflammation of the respiratory tract can contribute to flare-ups and deterioration of COPD [ 16 ]. Bronchiectasis involves irreversible bronchial lumen expansion, compromising mucus clearance [ 17 ] and facilitating bacterial colonization [ 18 ]. The initial production of toxins by bacteria contributes to the activation of both microbial and danger-associated molecular patterns, subsequently heightening inflammation [ 18 ]. As a result, this inflammatory response triggers hyperplasia and metaplasia of goblet cells, eventually resulting in increased secretion of mucus in the airways [ 19 , 20 , 21 ]. NAC has undergone extensive scrutiny in numerous global clinical trials and has been used for many years in treating various respiratory conditions [ 13 , 22 , 23 ]. It is a well-documented and well-established treatment of choice, valued not only for reducing mucus viscosity and promoting discharge but also for its recognized antioxidant and anti-inflammatory properties [ 13 , 22 , 23 ].”  [PMC11278452 ¶6]</w:t>
      </w:r>
    </w:p>
    <w:p>
      <w:pPr>
        <w:jc w:val="center"/>
      </w:pPr>
      <w:r>
        <w:drawing>
          <wp:inline xmlns:a="http://schemas.openxmlformats.org/drawingml/2006/main" xmlns:pic="http://schemas.openxmlformats.org/drawingml/2006/picture">
            <wp:extent cx="5029200" cy="4259385"/>
            <wp:docPr id="116" name="Picture 116"/>
            <wp:cNvGraphicFramePr>
              <a:graphicFrameLocks noChangeAspect="1"/>
            </wp:cNvGraphicFramePr>
            <a:graphic>
              <a:graphicData uri="http://schemas.openxmlformats.org/drawingml/2006/picture">
                <pic:pic>
                  <pic:nvPicPr>
                    <pic:cNvPr id="0" name="p06_i1.jpg"/>
                    <pic:cNvPicPr/>
                  </pic:nvPicPr>
                  <pic:blipFill>
                    <a:blip r:embed="rId14"/>
                    <a:stretch>
                      <a:fillRect/>
                    </a:stretch>
                  </pic:blipFill>
                  <pic:spPr>
                    <a:xfrm>
                      <a:off x="0" y="0"/>
                      <a:ext cx="5029200" cy="4259385"/>
                    </a:xfrm>
                    <a:prstGeom prst="rect"/>
                  </pic:spPr>
                </pic:pic>
              </a:graphicData>
            </a:graphic>
          </wp:inline>
        </w:drawing>
      </w:r>
    </w:p>
    <w:p>
      <w:pPr>
        <w:spacing w:after="160"/>
        <w:jc w:val="center"/>
      </w:pPr>
      <w:r>
        <w:rPr>
          <w:rFonts w:ascii="Times New Roman" w:hAnsi="Times New Roman" w:cs="Times New Roman" w:eastAsia="Times New Roman"/>
          <w:b w:val="0"/>
          <w:i/>
          <w:sz w:val="20"/>
        </w:rPr>
        <w:t>Figure 1 (from PMC11278452): “Differential modulation of pro-inflammatory mediators in relation to both the concentration and duration of treatment with N-acetylcysteine in in vitro models of airway inflammation. NAC: N-acetylcysteine; LPS: lipopolysaccharides; NKA: neurokinin A; IL-6: Interleukin-6; TNF-α: tumor necrosis factor-α; IL-8: Interleukin-8; IL-1β: Interleukin-1beta; NF-κB: Nu”</w:t>
      </w:r>
    </w:p>
    <w:p>
      <w:pPr>
        <w:spacing w:after="120"/>
        <w:jc w:val="both"/>
      </w:pPr>
      <w:r>
        <w:rPr>
          <w:rFonts w:ascii="Times New Roman" w:hAnsi="Times New Roman" w:cs="Times New Roman" w:eastAsia="Times New Roman"/>
          <w:b w:val="0"/>
          <w:i w:val="0"/>
          <w:sz w:val="24"/>
        </w:rPr>
        <w:t>“Factors such as inflammation, microbial infection, or smoke exposure can increase GSH content in bronchoalveolar lavage fluid (BALF) as a protective measure against further lung damage [ 40 ]. While GSH concentration increases in the BALF of stable COPD patients, it diminishes during AECOPD [ 44 ]. This indicates that the increase in GSH levels within the lungs is inadequate to effectively counterbalance the significant production of ROS. Maintaining adequate GSH levels is crucial to counteract excessive ROS production during AECOPD [ 45 ]. Thus, therapeutic approaches focused on increasing GSH levels could potentially be beneficial in managing the severity of AECOPD and reducing the occurrence of future episodes. In this context, NAC shows efficacy in restoring the depleted pool of intracellular GSH during AECOPD [ 46 , 47 ] by elevating GSH levels in plasma and BALF [ 48 ]. NAC also reduces ROS secretion by alveolar macrophages (AM) [ 49 ] and exhaled H 2 O 2 and decreases H 2 O 2 production in the respiratory tract of COPD patients [ 50 ].”  [PMC11278452 ¶12]</w:t>
      </w:r>
    </w:p>
    <w:p>
      <w:pPr>
        <w:spacing w:after="120"/>
        <w:jc w:val="both"/>
      </w:pPr>
      <w:r>
        <w:rPr>
          <w:rFonts w:ascii="Times New Roman" w:hAnsi="Times New Roman" w:cs="Times New Roman" w:eastAsia="Times New Roman"/>
          <w:b w:val="0"/>
          <w:i w:val="0"/>
          <w:sz w:val="24"/>
        </w:rPr>
        <w:t>“This is corroborated by De Benedetto et al., who observed a reduction in exhaled H 2 O 2 in patients with COPD after 2 weeks of treatment with NAC at 1200 mg/day administration [ 51 ]. Intriguingly, the reduction in exhaled H 2 O 2 in patients with COPD who received 600 mg/day NAC was observed only after 9\u201312 months [ 50 ], indicating the need for a longer duration of treatment for anti-oxidant effect when lower doses are employed. Collectively, the evidence presented strongly suggests that oxidative stress plays a pivotal role in the pathogenesis of lung abnormalities observed in individuals diagnosed with COPD. Alleviating oxidative stress is anticipated to lead to diminished pulmonary damage and lower the incidence of local infections, thereby significantly slowing the progression of COPD. 3.2. NAC as an Anti-Inflammatory Drug The anti-inflammatory attributes of NAC have been substantiated through various studies [ 13 ].”  [PMC11278452 ¶13]</w:t>
      </w:r>
    </w:p>
    <w:p>
      <w:pPr>
        <w:spacing w:after="120"/>
        <w:jc w:val="both"/>
      </w:pPr>
      <w:r>
        <w:rPr>
          <w:rFonts w:ascii="Times New Roman" w:hAnsi="Times New Roman" w:cs="Times New Roman" w:eastAsia="Times New Roman"/>
          <w:b w:val="0"/>
          <w:i w:val="0"/>
          <w:sz w:val="24"/>
        </w:rPr>
        <w:t>“NAC orally administered at 600 mg/day has been reported to reduce sputum ECP and Interleukin-8 (IL-8) concentrations in patients with COPD [ 24 , 25 ]. Additionally, at this dosage, NAC modulated the inflammatory response after ten weeks of intake in COPD patients by decreasing serum IL-8 levels [ 26 ]. This intervention also removed the inverse relationship between the pro-inflammatory cytokine IL-8 and glutathione peroxidase (GPx) and Trolox equivalent antioxidant capacity (TEAC) [ 26 ]. These findings imply that NAC affects IL-8 expression through pathways that are not dependent on GPx and plasma anti-oxidants [ 26 ]. Moreover, it eliminated the positive correlation between intercellular adhesion molecule-1 (ICAM-1) and IL-8, indicating that ICAM-1 expression is modulated by pathways not susceptible to NAC [ 26 ]. A study examining how NAC treatment affects changes induced by sepsis in conscious rats revealed a reduction in inflammatory biomarkers (IL-6, tumor necrosis factor-\u03b1 (TNF-\u03b1), and IL-10) linked to sepsis [ 62 ].”  [PMC11278452 ¶16]</w:t>
      </w:r>
    </w:p>
    <w:p>
      <w:pPr>
        <w:jc w:val="center"/>
      </w:pPr>
      <w:r>
        <w:drawing>
          <wp:inline xmlns:a="http://schemas.openxmlformats.org/drawingml/2006/main" xmlns:pic="http://schemas.openxmlformats.org/drawingml/2006/picture">
            <wp:extent cx="5029200" cy="3369819"/>
            <wp:docPr id="117" name="Picture 117"/>
            <wp:cNvGraphicFramePr>
              <a:graphicFrameLocks noChangeAspect="1"/>
            </wp:cNvGraphicFramePr>
            <a:graphic>
              <a:graphicData uri="http://schemas.openxmlformats.org/drawingml/2006/picture">
                <pic:pic>
                  <pic:nvPicPr>
                    <pic:cNvPr id="0" name="p08_i1.jpg"/>
                    <pic:cNvPicPr/>
                  </pic:nvPicPr>
                  <pic:blipFill>
                    <a:blip r:embed="rId15"/>
                    <a:stretch>
                      <a:fillRect/>
                    </a:stretch>
                  </pic:blipFill>
                  <pic:spPr>
                    <a:xfrm>
                      <a:off x="0" y="0"/>
                      <a:ext cx="5029200" cy="3369819"/>
                    </a:xfrm>
                    <a:prstGeom prst="rect"/>
                  </pic:spPr>
                </pic:pic>
              </a:graphicData>
            </a:graphic>
          </wp:inline>
        </w:drawing>
      </w:r>
    </w:p>
    <w:p>
      <w:pPr>
        <w:spacing w:after="160"/>
        <w:jc w:val="center"/>
      </w:pPr>
      <w:r>
        <w:rPr>
          <w:rFonts w:ascii="Times New Roman" w:hAnsi="Times New Roman" w:cs="Times New Roman" w:eastAsia="Times New Roman"/>
          <w:b w:val="0"/>
          <w:i/>
          <w:sz w:val="20"/>
        </w:rPr>
        <w:t>Figure 2 (from PMC11278452): “Proposed molecular mechanisms for the therapeutic activity of N-acetylcysteine after oral administration in chronic respiratory diseases. NAC: N-acetylcysteine; GSH: glutathione; RSSH: persulfides; RSS n SR: polysulfides; NKA: neurokinin A; NF-κB: Nuclear factor kappa B; TNF-α: tumor necrosis factor-α; IL-1β: Interleukin-1beta; IL-8: Interleukin-8; ROS: reac”</w:t>
      </w:r>
    </w:p>
    <w:p>
      <w:pPr>
        <w:spacing w:after="120"/>
        <w:jc w:val="both"/>
      </w:pPr>
      <w:r>
        <w:rPr>
          <w:rFonts w:ascii="Times New Roman" w:hAnsi="Times New Roman" w:cs="Times New Roman" w:eastAsia="Times New Roman"/>
          <w:b w:val="0"/>
          <w:i w:val="0"/>
          <w:sz w:val="24"/>
        </w:rPr>
        <w:t>“In vitro, NAC reduced inflammatory cytokines, namely IL-6, IL-1\u03b2, and TNF-\u03b1, in LPS-treated macrophages under mild oxidative conditions [ 63 ]. In a hamster model of lung damage induced by SARS-CoV-2, intravenous NAC at high doses (500 mg/kg) significantly decreased levels of pro-inflammatory cytokines such as IL-1\u03b2, IL-6, IFN-\u03b3, and TNF-\u03b1 [ 64 ]. As a result of this decrease, there was reduced infiltration of macrophages at the infection site, thereby preventing lung damage [ 64 ]. In particular, elevated IL-6 levels characterize chronic inflammatory conditions of the lung and have an active role in the development of chronic respiratory conditions such as COPD and asthma, designating it as a crucial pharmacological target [ 65 ]. Reflecting airway inflammation, IL-6 concentration is heightened in sputum [ 66 ] and exhaled breath condensate of COPD patients [ 67 ].”  [PMC11278452 ¶17]</w:t>
      </w:r>
    </w:p>
    <w:p>
      <w:pPr>
        <w:spacing w:after="120"/>
        <w:jc w:val="both"/>
      </w:pPr>
      <w:r>
        <w:rPr>
          <w:rFonts w:ascii="Times New Roman" w:hAnsi="Times New Roman" w:cs="Times New Roman" w:eastAsia="Times New Roman"/>
          <w:b w:val="0"/>
          <w:i w:val="0"/>
          <w:sz w:val="24"/>
        </w:rPr>
        <w:t>“Correlating with the number of exacerbations, IL-6 elevation may be discerned in plasma/serum during exacerbations [ 66 , 68 , 69 ]. A recent study identified a serum IL-6 concentration of 14.030 pg/mL or higher as a risk factor for more than 2 AECOPD in the subsequent year [ 70 ]. Additional evidence indicates that IL-6 could be pivotal in exacerbating COPD, particularly in cases involving co-infection with both the Gram-negative pathogen Haemophilus influenzae and rhinovirus [ 71 ]. It has been recently demonstrated that NAC exerts both anti-oxidant and concentration-dependent effects in human-isolated bronchi of patients with COPD treated with LPS [ 27 ]. The aforementioned studies conducted by Cazzola et al. [ 27 ] and Calzetta et al. [ 28 ] explored the beneficial effect of NAC in reducing airway inflammation caused by LPS. They used a wide variety of concentrations applicable in vitro, including those mimicking the levels found in plasma following daily oral doses of NAC (200 mg, 600 mg, and 1200 mg) in a validated ex vivo model of AECOPD [ 27 , 28 ].”  [PMC11278452 ¶18]</w:t>
      </w:r>
    </w:p>
    <w:p>
      <w:pPr>
        <w:keepNext/>
        <w:pageBreakBefore/>
        <w:spacing w:before="480" w:after="160"/>
        <w:outlineLvl w:val="0"/>
      </w:pPr>
      <w:r>
        <w:rPr>
          <w:rFonts w:ascii="Times New Roman" w:hAnsi="Times New Roman" w:cs="Times New Roman" w:eastAsia="Times New Roman"/>
          <w:b/>
          <w:i w:val="0"/>
          <w:color w:val="1F3D7A"/>
          <w:sz w:val="36"/>
        </w:rPr>
        <w:t>8e.  Health Effects — Toxicity, Genotoxicity, and Carcinogenicity</w:t>
      </w:r>
    </w:p>
    <w:p>
      <w:pPr>
        <w:spacing w:after="80"/>
        <w:jc w:val="both"/>
      </w:pPr>
      <w:r>
        <w:rPr>
          <w:rFonts w:ascii="Times New Roman" w:hAnsi="Times New Roman" w:cs="Times New Roman" w:eastAsia="Times New Roman"/>
          <w:b w:val="0"/>
          <w:i w:val="0"/>
          <w:sz w:val="24"/>
        </w:rPr>
        <w:t>Sub-chapter collecting verbatim paragraphs from the harvested corpus that speak to toxicity endpoints, genotoxicity assays, and cancer-related findings. All paragraphs are reproduced without modification; numeric citations refer to each paper's own reference list.</w:t>
      </w:r>
    </w:p>
    <w:p>
      <w:pPr>
        <w:keepNext/>
        <w:spacing w:before="280" w:after="80"/>
        <w:outlineLvl w:val="1"/>
      </w:pPr>
      <w:r>
        <w:rPr>
          <w:rFonts w:ascii="Times New Roman" w:hAnsi="Times New Roman" w:cs="Times New Roman" w:eastAsia="Times New Roman"/>
          <w:b/>
          <w:i w:val="0"/>
          <w:color w:val="335588"/>
          <w:sz w:val="28"/>
        </w:rPr>
        <w:t>11b.1  Hepatic and renal toxicity</w:t>
      </w:r>
    </w:p>
    <w:p>
      <w:pPr>
        <w:spacing w:after="120"/>
        <w:jc w:val="both"/>
      </w:pPr>
      <w:r>
        <w:rPr>
          <w:rFonts w:ascii="Times New Roman" w:hAnsi="Times New Roman" w:cs="Times New Roman" w:eastAsia="Times New Roman"/>
          <w:b w:val="0"/>
          <w:i w:val="0"/>
          <w:sz w:val="24"/>
        </w:rPr>
        <w:t>“With the introduction of the mouse model of APAP hepatotoxicity in the 1970s, fundamental mechanisms of cell death were discovered. This included the recognition that part of the APAP dose is metabolized by cytochrome P450 generating a reactive metabolite that is detoxified by glutathione. After the partial depletion of glutathione, the reactive metabolite will covalently bind to sulfhydryl groups of proteins, which is the initiating event of the toxicity. This insight led to the introduction of N-acetyl-L-cysteine, a glutathione precursor, as antidote against APAP overdose in the clinic. Despite substantial progress in our understanding of the pathomechanisms over the last decades viable new antidotes only emerged recently. This review will discuss the background, mechanisms of action, and the clinical prospects of the existing FDA-approved antidote N-acetylcysteine, of several new drug candidates under clinical development [4-methylpyrazole (fomepizole), calmangafodipir] and examples of additional therapeutic targets (Nrf2 activators) and regeneration promoting agents (thrombopoietin mimetics, adenosine A2B receptor agonists, Wharton\u2019s Jelly mesenchymal stem cells).”  [PMC11315809 ¶1]</w:t>
      </w:r>
    </w:p>
    <w:p>
      <w:pPr>
        <w:spacing w:after="120"/>
        <w:jc w:val="both"/>
      </w:pPr>
      <w:r>
        <w:rPr>
          <w:rFonts w:ascii="Times New Roman" w:hAnsi="Times New Roman" w:cs="Times New Roman" w:eastAsia="Times New Roman"/>
          <w:b w:val="0"/>
          <w:i w:val="0"/>
          <w:sz w:val="24"/>
        </w:rPr>
        <w:t>“Although there are clear limitations of certain therapeutic approaches, there is reason to be optimistic. The substantial progress in the understanding of the pathophysiology of APAP hepatotoxicity led to the consideration of several drugs for development as clinical antidotes against APAP overdose in recent years. Based on the currently available information, it is likely that this will result in additional drugs that could be used as adjunct treatment for N-acetylcysteine.", "body_text": "1. Introduction Acetaminophen (APAP) is a worldwide used analgesic and antipyretic drug, which is safe at therapeutic doses. However, due to its wide availability and low cost, intentional or accidental overdoses are relatively common, especially in western countries. For example, there are roughly 80,000 APAP overdose cases annually presenting to emergency departments with 25,000 patients requiring hospitalization in the United States [ 1 ], more than 80,000 cases in the United Kingdom [ 2 ] and about 11,000 cases in Australia [ 3 ].”  [PMC11315809 ¶2]</w:t>
      </w:r>
    </w:p>
    <w:p>
      <w:pPr>
        <w:spacing w:after="120"/>
        <w:jc w:val="both"/>
      </w:pPr>
      <w:r>
        <w:rPr>
          <w:rFonts w:ascii="Times New Roman" w:hAnsi="Times New Roman" w:cs="Times New Roman" w:eastAsia="Times New Roman"/>
          <w:b w:val="0"/>
          <w:i w:val="0"/>
          <w:sz w:val="24"/>
        </w:rPr>
        <w:t>“APAP overdose is the single most frequent cause of liver injury and acute liver failure in the U.S., UK [ 4 ] and Australia [ 5 ] and is at least a significant etiology of acute liver failure in many other western countries [ 4 ]. As a dose-dependent hepatotoxin, the injury process of APAP toxicity in patients can be accurately reproduced in animals [ 6 , 7 ], especially in mice [ 8 ]. Since the introduction of the mouse model in the 1970s [ 9 , 10 ], the mechanisms of cell death and liver injury have been extensively studied and today many key aspects of the injury mechanism are known [ 11 \u2013 13 ]. Based on the early mechanistic insight, limited to recognition of hepatotoxicity resulting from reactive metabolite formation causing GSH depletion and subsequent protein adduct formation [ 9 , 10 ], N-acetylcysteine (NAC) was discovered to be an effective antidote in animals and patients [ 14 ].”  [PMC11315809 ¶3]</w:t>
      </w:r>
    </w:p>
    <w:p>
      <w:pPr>
        <w:spacing w:after="120"/>
        <w:jc w:val="both"/>
      </w:pPr>
      <w:r>
        <w:rPr>
          <w:rFonts w:ascii="Times New Roman" w:hAnsi="Times New Roman" w:cs="Times New Roman" w:eastAsia="Times New Roman"/>
          <w:b w:val="0"/>
          <w:i w:val="0"/>
          <w:sz w:val="24"/>
        </w:rPr>
        <w:t>“This led to its approval as a clinical antidote in the 1980s [ 15 , 16 ]. Importantly, NAC is still the only clinically approved antidote against APAP overdose in patients more than 40 years later. However, despite its efficacy in most overdose cases, NAC has limited beneficial effects in late-presenting patients and after massive overdoses, and it does not promote regeneration. These limitations drive the continuous search for additional therapeutics that could complement and improve the therapeutic efficacy of NAC. The extensive research into the mechanisms of APAP-induced liver injury resulted in significant progress and identification of novel therapeutic targets. In addition, the dramatically increased number of compounds, especially natural products, being tested in the APAP hepatotoxicity model has led to identification of numerous chemicals said to be putative antidotes [ 17 \u2013 19 ].”  [PMC11315809 ¶4]</w:t>
      </w:r>
    </w:p>
    <w:p>
      <w:pPr>
        <w:spacing w:after="120"/>
        <w:jc w:val="both"/>
      </w:pPr>
      <w:r>
        <w:rPr>
          <w:rFonts w:ascii="Times New Roman" w:hAnsi="Times New Roman" w:cs="Times New Roman" w:eastAsia="Times New Roman"/>
          <w:b w:val="0"/>
          <w:i w:val="0"/>
          <w:sz w:val="24"/>
        </w:rPr>
        <w:t>“In addition, the costs of safety studies and clinical efficacy trials are too high of a risk for the limited reward, considering the smaller patient numbers. Thus, the main conclusions of most of these intervention studies that compound X acting through Y mechanism may be a promising therapeutic approach for APAP overdose patients are not supported by solid scientific evidence. Nevertheless, in recent years new developments give some hope that there can be progress with emerging novel therapeutics approaches. However, the key to advancing any potential therapeutic is to understand the molecular mechanisms of the disease and have a clear understanding of what the new intervention is targeting. 2. Mechanisms of APAP-induced Liver Injury Mechanistic studies of APAP hepatotoxicity started with the recognition that a part of the dose of APAP is metabolized by cytochrome P450 (Cyp) enzymes [ 6 ], now known to be mainly Cyp2E1 [ 22 ], which generates a reactive metabolite that can be detoxified by GSH [ 9 ].”  [PMC11315809 ¶6]</w:t>
      </w:r>
    </w:p>
    <w:p>
      <w:pPr>
        <w:spacing w:after="120"/>
        <w:jc w:val="both"/>
      </w:pPr>
      <w:r>
        <w:rPr>
          <w:rFonts w:ascii="Times New Roman" w:hAnsi="Times New Roman" w:cs="Times New Roman" w:eastAsia="Times New Roman"/>
          <w:b w:val="0"/>
          <w:i w:val="0"/>
          <w:sz w:val="24"/>
        </w:rPr>
        <w:t>“Importantly, the recognition that the reactive metabolite could be detoxified by glutathione [ 9 ] was the incentive to test glutathione precursors, leading to the discovery of NAC as an effective drug in preclinical models [ 35 ]. Today, we know that NAC works mainly through supporting the synthesis of hepatic GSH [ 36 ] ( Figure 1 ); GSH can scavenge NAPQI during the metabolism phase [ 37 ], and later, after import into mitochondria, can scavenge peroxynitrite [ 38 ]. However, excess NAC can also be converted to Krebs cycle intermediates and support the mitochondrial bioenergetics [ 39 ]. Together these mechanisms explain why NAC can effectively prevent cell death. Because of the high efficacy of NAC in several pilot trials in humans in the 1970s [ 40 , 41 ], large scale clinical studies were initiated, but due to ethical reasons, the FDA denied the originally proposed randomized controlled trials [ 14 , 16 ].”  [PMC11315809 ¶9]</w:t>
      </w:r>
    </w:p>
    <w:p>
      <w:pPr>
        <w:spacing w:after="120"/>
        <w:jc w:val="both"/>
      </w:pPr>
      <w:r>
        <w:rPr>
          <w:rFonts w:ascii="Times New Roman" w:hAnsi="Times New Roman" w:cs="Times New Roman" w:eastAsia="Times New Roman"/>
          <w:b w:val="0"/>
          <w:i w:val="0"/>
          <w:sz w:val="24"/>
        </w:rPr>
        <w:t>“## Figure captions (7) 1. **Fig. 1** — Oxidative stress induces LBP upregulation and LD translocation. a A schematic illustrating the research strategy adopted in this study. The image was created using materials supplied by Ge Pan from the Central Academy of Fine Arts, China, and illustrated by Qilun Zhang. The use of these materials has been authorized. b A multivariate bubble plot comparing changes in LD-localized protein and RNA ex graphic: `41467_2024_47553_Fig1_HTML.jpg` 2. **Fig. 2** — The localization of LBP to LDs drives hepatic steatosis. a Hepatic TG content of WT mice under NT, 24 h fasting, or LPS-treatment (5 mg/kg, i.p.) for 24 h. Shown are means ± s.d., one-way ANOVA ( n = 3, biologically independent). b Representative bright-field microscope image showing separated LDs from the same treatment as described in ( a ), scale bar = 10 μm. Experiments was conducted with thre graphic: `41467_2024_47553_Fig2_HTML.jpg` 3. **Fig. 3** — LBP binds with unsaturated TG to prevent against lipid peroxidation. a A pie chart showing the difference in lipid composition between WT ( n = 3) and LBP KI/KI ( n = 3) mice liver after 16 weeks of HFD. b Analysis of chain length of differential TGs in ( a ).”  [PMC11016120 ¶1]</w:t>
      </w:r>
    </w:p>
    <w:p>
      <w:pPr>
        <w:spacing w:after="120"/>
        <w:jc w:val="both"/>
      </w:pPr>
      <w:r>
        <w:rPr>
          <w:rFonts w:ascii="Times New Roman" w:hAnsi="Times New Roman" w:cs="Times New Roman" w:eastAsia="Times New Roman"/>
          <w:b w:val="0"/>
          <w:i w:val="0"/>
          <w:sz w:val="24"/>
        </w:rPr>
        <w:t>“Shown are means ± s.e.m., ( n = 3, biologically independent). c Analysis of saturation of differential TGs in ( a ). Shown are means ± s.e. graphic: `41467_2024_47553_Fig3_HTML.jpg` 4. **Fig. 4** — The antioxidant activity of LBP. a A nine-quadrant plot depicting the combined analysis of the liver transcriptome and proteome of WT and LBP KI/KI mice fed with HFD for 16 weeks. Each group n = 3, biologically independent. b Go term enrichment analysis of the differential proteins in the third quadrant (upregulated) of ( a ), using different colors to represent different functions: yellow-lipid t graphic: `41467_2024_47553_Fig4_HTML.jpg` 5. **Fig. 5** — Redox signaling regulates LBP-induced LD accumulation via phospholipid biogenesis and the LBP chaperone function of PRDX4. a The bar graph compares the hepatic TG levels in WT mice and LBP KI/KI mice, with/without NAC treatment. Means ± s.d., 2way ANOVA ( n = 5–6, biologically independent). b Bright-field microscope image of LDs in LBP KI/KI mice, fasted for 24 h and treated with/without NAC treat graphic: `41467_2024_47553_Fig5_HTML.jpg` 6. **Fig. 6** — The #4-helix within the C-segment of LBP interacts with oxidized TGs. a LBP structure solved in the PDB database and predicted by Alphafold, with the black box indicating the differential #4α-helix. b Predict secondary structures and perform homology comparisons of LBP in various mammals. c Molecular docking diagram of WT-Tridocosahexaenoin with LBP.”  [PMC11016120 ¶2]</w:t>
      </w:r>
    </w:p>
    <w:p>
      <w:pPr>
        <w:spacing w:after="120"/>
        <w:jc w:val="both"/>
      </w:pPr>
      <w:r>
        <w:rPr>
          <w:rFonts w:ascii="Times New Roman" w:hAnsi="Times New Roman" w:cs="Times New Roman" w:eastAsia="Times New Roman"/>
          <w:b w:val="0"/>
          <w:i w:val="0"/>
          <w:sz w:val="24"/>
        </w:rPr>
        <w:t>“LBP is represented as a dark blue cartoon model graphic: `41467_2024_47553_Fig6_HTML.jpg` 7. **Fig. 7** — LBP upregulation drives obesity and is rescued by antioxidant treatment. a Serum TG and FFA levels in 8-week-old mice before and after Poloxamer 407 injection. Means ± s.d., 2way ANOVA ( n = 3, biologically independent). b Morphological comparison of LBP KI/KI , LBP − / − and WT mice fed on a 16-week high-fat diet. c Fasting blood glucose levels of mice in ( b ). Means ± s.d., two-tailed unpaired graphic: `41467_2024_47553_Fig7_HTML.jpg` ```json { "pmcid": "PMC11016120", "pmid": "38615060", "doi": "10.1038/s41467-024-47553-5", "title": "Lipopolysaccharide binding protein resists hepatic oxidative stress by regulating lipid droplet homeostasis", "journal": "Nature Communications", "year": "2024", "abstract": "Oxidative stress-induced lipid accumulation is mediated by lipid droplets (LDs) homeostasis, which sequester vulnerable unsaturated triglycerides into LDs to prevent further peroxidation.”  [PMC11016120 ¶3]</w:t>
      </w:r>
    </w:p>
    <w:p>
      <w:pPr>
        <w:jc w:val="center"/>
      </w:pPr>
      <w:r>
        <w:drawing>
          <wp:inline xmlns:a="http://schemas.openxmlformats.org/drawingml/2006/main" xmlns:pic="http://schemas.openxmlformats.org/drawingml/2006/picture">
            <wp:extent cx="5029200" cy="6262039"/>
            <wp:docPr id="118" name="Picture 118"/>
            <wp:cNvGraphicFramePr>
              <a:graphicFrameLocks noChangeAspect="1"/>
            </wp:cNvGraphicFramePr>
            <a:graphic>
              <a:graphicData uri="http://schemas.openxmlformats.org/drawingml/2006/picture">
                <pic:pic>
                  <pic:nvPicPr>
                    <pic:cNvPr id="0" name="p10_i1.jpg"/>
                    <pic:cNvPicPr/>
                  </pic:nvPicPr>
                  <pic:blipFill>
                    <a:blip r:embed="rId38"/>
                    <a:stretch>
                      <a:fillRect/>
                    </a:stretch>
                  </pic:blipFill>
                  <pic:spPr>
                    <a:xfrm>
                      <a:off x="0" y="0"/>
                      <a:ext cx="5029200" cy="6262039"/>
                    </a:xfrm>
                    <a:prstGeom prst="rect"/>
                  </pic:spPr>
                </pic:pic>
              </a:graphicData>
            </a:graphic>
          </wp:inline>
        </w:drawing>
      </w:r>
    </w:p>
    <w:p>
      <w:pPr>
        <w:spacing w:after="160"/>
        <w:jc w:val="center"/>
      </w:pPr>
      <w:r>
        <w:rPr>
          <w:rFonts w:ascii="Times New Roman" w:hAnsi="Times New Roman" w:cs="Times New Roman" w:eastAsia="Times New Roman"/>
          <w:b w:val="0"/>
          <w:i/>
          <w:sz w:val="20"/>
        </w:rPr>
        <w:t>Figure 1 (from PMC11016120): “Oxidative stress induces LBP upregulation and LD translocation. a A schematic illustrating the research strategy adopted in this study. The image was created using materials supplied by Ge Pan from the Central Academy of Fine Arts, China, and illustrated by Qilun Zhang. The use of these materials has been authorized. b A multivariate bubble plot comparing ch”</w:t>
      </w:r>
    </w:p>
    <w:p>
      <w:pPr>
        <w:spacing w:after="120"/>
        <w:jc w:val="both"/>
      </w:pPr>
      <w:r>
        <w:rPr>
          <w:rFonts w:ascii="Times New Roman" w:hAnsi="Times New Roman" w:cs="Times New Roman" w:eastAsia="Times New Roman"/>
          <w:b w:val="0"/>
          <w:i w:val="0"/>
          <w:sz w:val="24"/>
        </w:rPr>
        <w:t>“Here we identify the upregulation of lipopolysaccharide-binding protein (LBP) and its trafficking through LDs as a mechanism for modulating LD homeostasis in response to oxidative stress. Our results suggest that LBP induces lipid accumulation by controlling lipid-redox homeostasis through its lipid-capture activity, sorting unsaturated triglycerides into LDs. N-acetyl-L-cysteine treatment reduces LBP-mediated triglycerides accumulation by phospholipid/triglycerides competition and Peroxiredoxin 4, a redox state sensor of LBP that regulates the shuttle of LBP from LDs. Furthermore, chronic stress upregulates LBP expression, leading to insulin resistance and obesity. Our findings contribute to the understanding of the role of LBP in regulating LD homeostasis and against cellular peroxidative injury. These insights could inform the development of redox-based therapies for alleviating oxidative stress-induced metabolic dysfunction.", "body_text": "Introduction Oxidative stress, resulting from an imbalance between reactive oxygen species (ROS) production and the antioxidant defense system, is a key driver of hepatic steatosis and obesity 1 \u2013 3 .”  [PMC11016120 ¶4]</w:t>
      </w:r>
    </w:p>
    <w:p>
      <w:pPr>
        <w:spacing w:after="120"/>
        <w:jc w:val="both"/>
      </w:pPr>
      <w:r>
        <w:rPr>
          <w:rFonts w:ascii="Times New Roman" w:hAnsi="Times New Roman" w:cs="Times New Roman" w:eastAsia="Times New Roman"/>
          <w:b w:val="0"/>
          <w:i w:val="0"/>
          <w:sz w:val="24"/>
        </w:rPr>
        <w:t>“Results Oxidative stress induces LBP upregulation and localization within LDs To investigate the compositional and regulatory changes of LDs under oxidative stress, we conducted hepatic transcriptomic and LDs proteomic analyses of 8-week-old C57BL/6J mice before and after a 24-h fast (Fig. 1a ). Fasting elicits a hepatic stress response, as evidenced by upregulation of Cyp and peroxisome protein families and downregulation of RPS and EIF families (Supplementary Data 1 ). An integrative analysis of liver transcriptome and LDs proteome data unveiled seven proteins exhibiting significant alterations (Fig. 1b ). The majority of the identified proteins are known to be involved in LDs metabolism, with the exception of LBP, an acute-phase protein that functions as an extracellular Lipopolysaccharide (LPS) ligand 18 \u2013 20 . We validated the findings from multi-omics data and discovered that fasting significantly elevated hepatic LBP expression level and its localization to LDs, suggesting an upregulation of LD-localized LBP expression in response to this metabolic stress challenge (Fig. 1c ).”  [PMC11016120 ¶8]</w:t>
      </w:r>
    </w:p>
    <w:p>
      <w:pPr>
        <w:spacing w:after="120"/>
        <w:jc w:val="both"/>
      </w:pPr>
      <w:r>
        <w:rPr>
          <w:rFonts w:ascii="Times New Roman" w:hAnsi="Times New Roman" w:cs="Times New Roman" w:eastAsia="Times New Roman"/>
          <w:b w:val="0"/>
          <w:i w:val="0"/>
          <w:sz w:val="24"/>
        </w:rPr>
        <w:t>“Further investigation revealed that LBP promotes lipid synthesis in the liver by regulating the AMPK-ACC signaling pathway (Supplementary Fig. 2e\u2013g ). Moreover, LBP activates JNK and NF-\u03baB signaling pathways, significantly elevating the expression of inflammation-related molecules such as IL6, ICAM1, and VCAM1. (Supplementary Fig. 2h\u2013k ). Moderate liver injury was observed in both the LBP KI/KI and wild-type (WT) groups, as evidenced by similar serum levels of liver enzymes and histological evaluations (Supplementary Fig. 2l\u2013s ). We found that the very low-density lipoprotein (VLDL) levels were significantly elevated in LBP KI/KI mice compared to both the WT and LBP \u2212 / \u2212 groups, indicating the role of LBP in promoting hepatic TG accumulation (Supplementary Fig. 2t ). Consistently, we confirmed that the TG levels undergo similar changes upon overexpressing or knocking down LBP in HepG2 cells (Supplementary Fig. 1d , e ).”  [PMC11016120 ¶13]</w:t>
      </w:r>
    </w:p>
    <w:p>
      <w:pPr>
        <w:jc w:val="center"/>
      </w:pPr>
      <w:r>
        <w:drawing>
          <wp:inline xmlns:a="http://schemas.openxmlformats.org/drawingml/2006/main" xmlns:pic="http://schemas.openxmlformats.org/drawingml/2006/picture">
            <wp:extent cx="5029200" cy="5731282"/>
            <wp:docPr id="119" name="Picture 119"/>
            <wp:cNvGraphicFramePr>
              <a:graphicFrameLocks noChangeAspect="1"/>
            </wp:cNvGraphicFramePr>
            <a:graphic>
              <a:graphicData uri="http://schemas.openxmlformats.org/drawingml/2006/picture">
                <pic:pic>
                  <pic:nvPicPr>
                    <pic:cNvPr id="0" name="p04_i1.jpg"/>
                    <pic:cNvPicPr/>
                  </pic:nvPicPr>
                  <pic:blipFill>
                    <a:blip r:embed="rId39"/>
                    <a:stretch>
                      <a:fillRect/>
                    </a:stretch>
                  </pic:blipFill>
                  <pic:spPr>
                    <a:xfrm>
                      <a:off x="0" y="0"/>
                      <a:ext cx="5029200" cy="5731282"/>
                    </a:xfrm>
                    <a:prstGeom prst="rect"/>
                  </pic:spPr>
                </pic:pic>
              </a:graphicData>
            </a:graphic>
          </wp:inline>
        </w:drawing>
      </w:r>
    </w:p>
    <w:p>
      <w:pPr>
        <w:spacing w:after="160"/>
        <w:jc w:val="center"/>
      </w:pPr>
      <w:r>
        <w:rPr>
          <w:rFonts w:ascii="Times New Roman" w:hAnsi="Times New Roman" w:cs="Times New Roman" w:eastAsia="Times New Roman"/>
          <w:b w:val="0"/>
          <w:i/>
          <w:sz w:val="20"/>
        </w:rPr>
        <w:t>Figure 2 (from PMC11016120): “The localization of LBP to LDs drives hepatic steatosis. a Hepatic TG content of WT mice under NT, 24 h fasting, or LPS-treatment (5 mg/kg, i.p.) for 24 h. Shown are means ± s.d., one-way ANOVA ( n = 3, biologically independent). b Representative bright-field microscope image showing separated LDs from the same treatment as described in ( a ), scale bar = 10”</w:t>
      </w:r>
    </w:p>
    <w:p>
      <w:pPr>
        <w:spacing w:after="120"/>
        <w:jc w:val="both"/>
      </w:pPr>
      <w:r>
        <w:rPr>
          <w:rFonts w:ascii="Times New Roman" w:hAnsi="Times New Roman" w:cs="Times New Roman" w:eastAsia="Times New Roman"/>
          <w:b w:val="0"/>
          <w:i w:val="0"/>
          <w:sz w:val="24"/>
        </w:rPr>
        <w:t>“It has been suggested that the low bioavailability of oral NAC may be due to first-pass metabolism in the small intestine rather than incomplete absorption [ 20 ]. NAC can be found intact, reduced, or in various oxidized forms in the plasma following oral intake [ 1 , 20 ], and individual variation in these NAC metabolites occurs, which is likely due to natural variations in human metabolism and the intestinal microbiota. Comparatively, intravenous or nasal administration allows for rapid delivery of high concentrations of NAC to the circulation as it bypasses the first-pass intestinal and hepatic metabolic pathway [ 1 ]. Considering that NAC bioavailability is influenced by first-pass metabolism, it will be important to address potential gender and age effects, which are known to affect the first-pass metabolism [ 21 , 22 ]. Therefore, an optimal way to maintain a proper therapeutic serum level of NAC after intake should include monitoring NAC metabolite concentrations in the blood to maximize both the efficacy of treatment and patient safety. 3.”  [PMC10604897 ¶7]</w:t>
      </w:r>
    </w:p>
    <w:p>
      <w:pPr>
        <w:spacing w:after="120"/>
        <w:jc w:val="both"/>
      </w:pPr>
      <w:r>
        <w:rPr>
          <w:rFonts w:ascii="Times New Roman" w:hAnsi="Times New Roman" w:cs="Times New Roman" w:eastAsia="Times New Roman"/>
          <w:b w:val="0"/>
          <w:i w:val="0"/>
          <w:sz w:val="24"/>
        </w:rPr>
        <w:t>“NAC\u2019s half-life was found to be 1.04 \u00b1 0.53 h. The authors also did not find any significant difference between NAC\u2019s pharmacokinetics in healthy broilers versus Mycoplasma gallisepticum-infected broilers. 5. Therapeutic Uses of NAC in Humans NAC is one of the most used antioxidants in clinical practice to date [ 16 , 17 , 36 ]. There has been a growing interest over the past few decades to use NAC as a potential treatment for a wide range of diseases and disorders in which oxidative stress is suspected to play a role [ 17 , 37 ], including respiratory, cardiovascular, neurodegenerative, liver, kidney, gastrointestinal, and infectious diseases [ 1 ]. antioxidants-12-01867-t001_Table 1 Table 1 N-acetylcysteine adverse events. Study Study Type Study Size NAC Treatment Type and Incidence of Adverse Events following NAC Treatment Moderate Severe [ 38 ] Double-blinded, placebo-controlled, crossover design 17 healthy individuals (age 30 \u00b1 2 years) 9 mg/kg NAC capsule Upset stomach (2), nausea (1), stomach/intestinal gas (1), cough (1) 18 mg/kg NAC capsule Upset stomach (1), nausea (1), stomach/intestinal gas (2), sleepiness (2), metallic taste (1) 35 mg/kg oral NAC solution Upset stomach (2), stomach/intestinal gas (2), sleepiness (1), metallic taste (1) 70 mg/kg oral NAC solution Upset stomach (2), stomach/intestinal gas (1), sleepiness (3), metallic taste (3), light-headedness (1), cough (1) Upset stomach (1), Stomach/intestinal gas (1) 140 mg/kg oral NAC solution Upset stomach (5), nausea (3), stomach/intestinal gas (2), sleepiness (2), metallic taste (4), light-headedness (1) Upset stomach (1), stomach/intestinal gas (4) [ 39 ] Randomized, placebo-controlled study 28 individuals (\u226475 years) 20 mg/min intravenous NAC for first hour, then 10 mg/min for next 23 h; total dose of 15 g over 24 h Haemorrhage (3), headache (4) Transient episode of extreme sinus bradycardia (1) [ 40 ] Randomized, placebo-controlled study 4 healthy individuals (age 35 \u00b1 3 years) 150 mg/kg intravenous Transient skin flushing (2), pruritus (2), nausea (2) [ 41 ] Double-blind, randomized trial 65 chronic bronchitis patients 4 puffs of NAC (1 mg/puff) two times daily Coughing (4), Dyspnoea (7) 5.1.”  [PMC10604897 ¶13]</w:t>
      </w:r>
    </w:p>
    <w:p>
      <w:pPr>
        <w:spacing w:after="120"/>
        <w:jc w:val="both"/>
      </w:pPr>
      <w:r>
        <w:rPr>
          <w:rFonts w:ascii="Times New Roman" w:hAnsi="Times New Roman" w:cs="Times New Roman" w:eastAsia="Times New Roman"/>
          <w:b w:val="0"/>
          <w:i w:val="0"/>
          <w:sz w:val="24"/>
        </w:rPr>
        <w:t>“Liver Diseases Acute and chronic liver diseases are highly prevalent worldwide, accounting for approximately 2 million deaths per year [ 42 ]. Oxidative stress plays a crucial role in the initiation and progression of liver diseases due to its participation and stimulation in the liver\u2019s fibrogenic response [ 1 ]. Numerous clinical and experimental studies have been conducted on the use and efficacy of NAC in modulating inflammation and oxidative stress caused or propagated by liver diseases, including acetaminophen (paracetamol) poisoning, acute liver failure, and non-alcoholic fatty liver (NAFLD) and alcoholic liver diseases (see Table 2 ). 5.1.1. Acute Acetaminophen Overdose Acetaminophen is a commonly used over-the-counter analgesic and antipyretic medication as it is relatively safe and effective in treating mild-to-moderate pain and fever at appropriate doses [ 28 , 43 ]. However, when taken by adults at doses of 10\u201315 g (single or repeated) over a 24 h period, which is 3\u20135 times the manufacturer\u2019s recommended dose for over-the-counter use, acetaminophen has direct hepatotoxic potential and can cause acute liver injury and death from acute liver failure [ 28 , 43 ].”  [PMC10604897 ¶14]</w:t>
      </w:r>
    </w:p>
    <w:p>
      <w:pPr>
        <w:jc w:val="center"/>
      </w:pPr>
      <w:r>
        <w:drawing>
          <wp:inline xmlns:a="http://schemas.openxmlformats.org/drawingml/2006/main" xmlns:pic="http://schemas.openxmlformats.org/drawingml/2006/picture">
            <wp:extent cx="5029200" cy="2300859"/>
            <wp:docPr id="120" name="Picture 120"/>
            <wp:cNvGraphicFramePr>
              <a:graphicFrameLocks noChangeAspect="1"/>
            </wp:cNvGraphicFramePr>
            <a:graphic>
              <a:graphicData uri="http://schemas.openxmlformats.org/drawingml/2006/picture">
                <pic:pic>
                  <pic:nvPicPr>
                    <pic:cNvPr id="0" name="p21_i1.jpg"/>
                    <pic:cNvPicPr/>
                  </pic:nvPicPr>
                  <pic:blipFill>
                    <a:blip r:embed="rId12"/>
                    <a:stretch>
                      <a:fillRect/>
                    </a:stretch>
                  </pic:blipFill>
                  <pic:spPr>
                    <a:xfrm>
                      <a:off x="0" y="0"/>
                      <a:ext cx="5029200" cy="2300859"/>
                    </a:xfrm>
                    <a:prstGeom prst="rect"/>
                  </pic:spPr>
                </pic:pic>
              </a:graphicData>
            </a:graphic>
          </wp:inline>
        </w:drawing>
      </w:r>
    </w:p>
    <w:p>
      <w:pPr>
        <w:spacing w:after="160"/>
        <w:jc w:val="center"/>
      </w:pPr>
      <w:r>
        <w:rPr>
          <w:rFonts w:ascii="Times New Roman" w:hAnsi="Times New Roman" w:cs="Times New Roman" w:eastAsia="Times New Roman"/>
          <w:b w:val="0"/>
          <w:i/>
          <w:sz w:val="20"/>
        </w:rPr>
        <w:t>Figure 1 (from PMC10604897): “The three major narratives of NAC’s mechanisms of action.</w:t>
        <w:br/>
        <w:t xml:space="preserve">   graphic: `antioxidants-12-01867-g001.jpg`”</w:t>
      </w:r>
    </w:p>
    <w:p>
      <w:pPr>
        <w:spacing w:after="120"/>
        <w:jc w:val="both"/>
      </w:pPr>
      <w:r>
        <w:rPr>
          <w:rFonts w:ascii="Times New Roman" w:hAnsi="Times New Roman" w:cs="Times New Roman" w:eastAsia="Times New Roman"/>
          <w:b w:val="0"/>
          <w:i w:val="0"/>
          <w:sz w:val="24"/>
        </w:rPr>
        <w:t>“NAC functions to replenish hepatic GSH stores and provide a larger supply of oxygen to the injured liver [ 1 ]. Administration of NAC during acetaminophen overdose acts to rapidly increase GSH synthesis in the liver and reduce mitochondrial protein binding [ 28 ]. The amount of NAC required to counteract acetaminophen toxicity is determined by plotting the concentration of acetaminophen in plasma against the time post-overdose on a nomogram [ 28 ]. Initiating NAC treatment within 8 h of overdosing minimizes the risk of hepatocellular damage as the effectiveness of NAC treatment is negatively correlated with the time post-overdose [ 28 ]. Reports have shown that oral NAC is just as effective as intravenous NAC in treating acetaminophen toxicity within 10 h of overdosing [ 28 ]. However, it is important to note that the absorption of orally administered NAC will be hindered when administered following the use of activated charcoal, which is commonly used to mitigate acetaminophen toxicity; as such, the preferred route of administration is intravenous NAC [ 28 ]. 5.1.2.”  [PMC10604897 ¶16]</w:t>
      </w:r>
    </w:p>
    <w:p>
      <w:pPr>
        <w:spacing w:after="120"/>
        <w:jc w:val="both"/>
      </w:pPr>
      <w:r>
        <w:rPr>
          <w:rFonts w:ascii="Times New Roman" w:hAnsi="Times New Roman" w:cs="Times New Roman" w:eastAsia="Times New Roman"/>
          <w:b w:val="0"/>
          <w:i w:val="0"/>
          <w:sz w:val="24"/>
        </w:rPr>
        <w:t>“Non-Acetaminophen-Induced Acute Liver Failure Etiological agents of non-acetaminophen-induced acute liver failure can include viruses, drugs, toxins, herbal and traditional medicines, and autoimmune-mediated conditions [ 45 ]. Immediate intravenous administration of NAC in cases of non-acetaminophen-induced liver failure has been found to reduce mortality, encephalopathy, hospitalization, admission to the ICU, organ failure, and the need for liver transplantation [ 1 ]. 5.1.3. Non-Alcoholic Fatty Liver Disease (NAFLD) NAFLD refers to a condition in which an excessive amount of fat is stored in hepatic cells [ 46 ]. Under normal physiological conditions, the liver stores small amounts of energy in the form of the carbohydrate glycogen [ 46 ]. Therefore, a healthy liver should contain little to no fat droplets. Livers that contain fat droplets in more than 5% of hepatic cells are abnormal or pathological [ 46 ].”  [PMC10604897 ¶17]</w:t>
      </w:r>
    </w:p>
    <w:p>
      <w:pPr>
        <w:spacing w:after="120"/>
        <w:jc w:val="both"/>
      </w:pPr>
      <w:r>
        <w:rPr>
          <w:rFonts w:ascii="Times New Roman" w:hAnsi="Times New Roman" w:cs="Times New Roman" w:eastAsia="Times New Roman"/>
          <w:b w:val="0"/>
          <w:i w:val="0"/>
          <w:sz w:val="24"/>
        </w:rPr>
        <w:t>“The accumulation of fat in the hepatocytes of NAFLD patients is generally due to a combination of excessive calorie intake and a sedentary lifestyle [ 46 ]. However, diabetic patients, particularly type 2 diabetics, and those with abnormal levels of blood lipids or hypertension are also at risk of developing NAFLD [ 46 ]. Regardless of the etiological factor(s) leading to the onset of NAFLD, the increased flow of free fatty acids to the liver concurrently increases oxidative stress and suppresses hepatic intracellular antioxidant activity [ 1 ]. Experimental studies conducted on the use of NAC in NAFLD patients have demonstrated that NAC can block the accumulation of hepatic lipids and reduce the pro-inflammatory cytokines IL-6, IL-1\u03b2, and TNF-\u221d and the upstream transcription factor NF-\u03baB [ 47 ], which plays a critical role in initiating the inflammatory cascade and immune response related to oxidative stress.”  [PMC10604897 ¶18]</w:t>
      </w:r>
    </w:p>
    <w:p>
      <w:pPr>
        <w:jc w:val="center"/>
      </w:pPr>
      <w:r>
        <w:drawing>
          <wp:inline xmlns:a="http://schemas.openxmlformats.org/drawingml/2006/main" xmlns:pic="http://schemas.openxmlformats.org/drawingml/2006/picture">
            <wp:extent cx="5029200" cy="1144143"/>
            <wp:docPr id="121" name="Picture 121"/>
            <wp:cNvGraphicFramePr>
              <a:graphicFrameLocks noChangeAspect="1"/>
            </wp:cNvGraphicFramePr>
            <a:graphic>
              <a:graphicData uri="http://schemas.openxmlformats.org/drawingml/2006/picture">
                <pic:pic>
                  <pic:nvPicPr>
                    <pic:cNvPr id="0" name="p21_i2.jpg"/>
                    <pic:cNvPicPr/>
                  </pic:nvPicPr>
                  <pic:blipFill>
                    <a:blip r:embed="rId13"/>
                    <a:stretch>
                      <a:fillRect/>
                    </a:stretch>
                  </pic:blipFill>
                  <pic:spPr>
                    <a:xfrm>
                      <a:off x="0" y="0"/>
                      <a:ext cx="5029200" cy="1144143"/>
                    </a:xfrm>
                    <a:prstGeom prst="rect"/>
                  </pic:spPr>
                </pic:pic>
              </a:graphicData>
            </a:graphic>
          </wp:inline>
        </w:drawing>
      </w:r>
    </w:p>
    <w:p>
      <w:pPr>
        <w:spacing w:after="160"/>
        <w:jc w:val="center"/>
      </w:pPr>
      <w:r>
        <w:rPr>
          <w:rFonts w:ascii="Times New Roman" w:hAnsi="Times New Roman" w:cs="Times New Roman" w:eastAsia="Times New Roman"/>
          <w:b w:val="0"/>
          <w:i/>
          <w:sz w:val="20"/>
        </w:rPr>
        <w:t>Figure panel from PMC10604897 (source bitmap p21_i2.jpg).</w:t>
      </w:r>
    </w:p>
    <w:p>
      <w:pPr>
        <w:spacing w:after="120"/>
        <w:jc w:val="both"/>
      </w:pPr>
      <w:r>
        <w:rPr>
          <w:rFonts w:ascii="Times New Roman" w:hAnsi="Times New Roman" w:cs="Times New Roman" w:eastAsia="Times New Roman"/>
          <w:b w:val="0"/>
          <w:i w:val="0"/>
          <w:sz w:val="24"/>
        </w:rPr>
        <w:t>“Endothelial dysfunction (ED) is characterized by an impaired response of endothelial cells (ECs) to physiological stimuli, resulting in altered vascular tone and organ perfusion. It arises from an imbalance between vasodilator and vasoconstrictor factors and is associated with various conditions, including neurodegenerative diseases, kidney disease, metabolic syndrome, and cardiovascular diseases (CVDs) [ 1 ]. Sharing mechanisms with many of the aforementioned pathological conditions, ED often serves as a starting point, highlighting a common link among these disorders. This raises the question of whether early detection of ED could be valuable for the screening and prevention of CVDs. From a clinical point of view, the evolution of ED can be followed by measuring some molecules in order to obtain an early diagnosis. Molecules identified as markers of endothelial dysfunction include cytokines such as interleukins (e.g., IL-6 and IL-1), tumor necrosis factor-alpha (TNF-\u03b1), adhesion molecules like intercellular adhesion molecule (ICAM) and vascular cell adhesion molecule (VCAM), as well as endothelial microparticles [ 2 ].”  [PMC11939635 ¶4]</w:t>
      </w:r>
    </w:p>
    <w:p>
      <w:pPr>
        <w:spacing w:after="120"/>
        <w:jc w:val="both"/>
      </w:pPr>
      <w:r>
        <w:rPr>
          <w:rFonts w:ascii="Times New Roman" w:hAnsi="Times New Roman" w:cs="Times New Roman" w:eastAsia="Times New Roman"/>
          <w:b w:val="0"/>
          <w:i w:val="0"/>
          <w:sz w:val="24"/>
        </w:rPr>
        <w:t>“Furthermore, selenoproteins, particularly GPX1, play a pivotal role in preserving endothelial function, regulating vascular reactivity, promoting angiogenesis, and preventing adverse vascular remodeling. Their cardioprotective effects, especially in attenuating oxidative stress and endothelial dysfunction, are increasingly recognized [ 76 , 77 ]. Sodium-glucose cotransporter 2 (SGLT2) inhibitors are a class of drugs that act on SGLT2 transporters to decrease glucose reabsorption in the kidneys, thereby increasing glucose excretion in the urine and lowering serum glucose levels. SGLT2 inhibitors are emerging as drugs with multiple beneficial effects on various organs and pathological conditions, although their mechanisms of action are not yet fully understood [ 86 , 87 , 88 , 89 ]. Among the proposed mechanisms are the reduction of ROS levels, the enhancement of eNOS activity, and the increased availability of NO [ 89 ].”  [PMC11939635 ¶30]</w:t>
      </w:r>
    </w:p>
    <w:p>
      <w:pPr>
        <w:spacing w:after="120"/>
        <w:jc w:val="both"/>
      </w:pPr>
      <w:r>
        <w:rPr>
          <w:rFonts w:ascii="Times New Roman" w:hAnsi="Times New Roman" w:cs="Times New Roman" w:eastAsia="Times New Roman"/>
          <w:b w:val="0"/>
          <w:i w:val="0"/>
          <w:sz w:val="24"/>
        </w:rPr>
        <w:t>“Recently, in a hypertensive rat model, it was observed that cystathionine \u03b3-lyase (CSE) levels were significantly reduced while NLRP3, caspase-1, and related cytokines were elevated compared to the control model. This scenario was reversed by the exogenous administration of the hydrogen sulfide (H 2 S) donor sodium hydrosulfide (NaHS), which effectively mitigated endothelial damage by targeting NLRP3 activation and reducing oxidative stress. Similar protective data by NaSH were observed in human umbilical vein ECs pretreated with angiotensin II [ 121 ]. Moreover, cystathionine gamma-lyase (CGL) deficiency exacerbates isoprenaline-induced cardiac injury in mice, but this effect was mitigated by an H 2 S donor, which enhanced Sirtuin 1 (SIRT1) expression and its deacetylation activity through S-sulfhydration at zinc finger domains [ 121 , 122 ]. These findings suggest that reduced CGL production, secondary to oxidative stress in human aortic ECs and aorta from atherogenic ApoE \u2212 / \u2212 mice, contributes to ED [ 123 ].”  [PMC11939635 ¶41]</w:t>
      </w:r>
    </w:p>
    <w:p>
      <w:pPr>
        <w:jc w:val="center"/>
      </w:pPr>
      <w:r>
        <w:drawing>
          <wp:inline xmlns:a="http://schemas.openxmlformats.org/drawingml/2006/main" xmlns:pic="http://schemas.openxmlformats.org/drawingml/2006/picture">
            <wp:extent cx="5029200" cy="2916365"/>
            <wp:docPr id="122" name="Picture 122"/>
            <wp:cNvGraphicFramePr>
              <a:graphicFrameLocks noChangeAspect="1"/>
            </wp:cNvGraphicFramePr>
            <a:graphic>
              <a:graphicData uri="http://schemas.openxmlformats.org/drawingml/2006/picture">
                <pic:pic>
                  <pic:nvPicPr>
                    <pic:cNvPr id="0" name="p11_i1.jpg"/>
                    <pic:cNvPicPr/>
                  </pic:nvPicPr>
                  <pic:blipFill>
                    <a:blip r:embed="rId16"/>
                    <a:stretch>
                      <a:fillRect/>
                    </a:stretch>
                  </pic:blipFill>
                  <pic:spPr>
                    <a:xfrm>
                      <a:off x="0" y="0"/>
                      <a:ext cx="5029200" cy="2916365"/>
                    </a:xfrm>
                    <a:prstGeom prst="rect"/>
                  </pic:spPr>
                </pic:pic>
              </a:graphicData>
            </a:graphic>
          </wp:inline>
        </w:drawing>
      </w:r>
    </w:p>
    <w:p>
      <w:pPr>
        <w:spacing w:after="160"/>
        <w:jc w:val="center"/>
      </w:pPr>
      <w:r>
        <w:rPr>
          <w:rFonts w:ascii="Times New Roman" w:hAnsi="Times New Roman" w:cs="Times New Roman" w:eastAsia="Times New Roman"/>
          <w:b w:val="0"/>
          <w:i/>
          <w:sz w:val="20"/>
        </w:rPr>
        <w:t>Figure 1 (from PMC11939635): “Key molecular mechanisms linking endothelial dysfunction, NLRP3 inflammasome, and cardiovascular diseases (CVDs). Schematic illustration of the pathways and factors contributing to endothelial dysfunction and the progression of CVDs. The activation of the NLRP3 inflammasome by PAMPs, DAMPs, and hemodynamic alterations triggers the production of inflammatory ”</w:t>
      </w:r>
    </w:p>
    <w:p>
      <w:pPr>
        <w:keepNext/>
        <w:spacing w:before="280" w:after="80"/>
        <w:outlineLvl w:val="1"/>
      </w:pPr>
      <w:r>
        <w:rPr>
          <w:rFonts w:ascii="Times New Roman" w:hAnsi="Times New Roman" w:cs="Times New Roman" w:eastAsia="Times New Roman"/>
          <w:b/>
          <w:i w:val="0"/>
          <w:color w:val="335588"/>
          <w:sz w:val="28"/>
        </w:rPr>
        <w:t>11b.2  Genotoxicity, DNA damage, and mutagenicity</w:t>
      </w:r>
    </w:p>
    <w:p>
      <w:pPr>
        <w:spacing w:after="120"/>
        <w:jc w:val="both"/>
      </w:pPr>
      <w:r>
        <w:rPr>
          <w:rFonts w:ascii="Times New Roman" w:hAnsi="Times New Roman" w:cs="Times New Roman" w:eastAsia="Times New Roman"/>
          <w:b w:val="0"/>
          <w:i w:val="0"/>
          <w:sz w:val="24"/>
        </w:rPr>
        <w:t>“We have here investigated the consequence of a range of DNA repair mutants in a model of endogenous FA overload generated by downregulating the orthologs of human ADH5 and ALDH2 in C. elegans . We have focused on the distinct components of nucleotide excision repair (NER) during developmental growth, reproduction and aging. Our results reveal three distinct modes of repair of FA-induced DNA damage: Transcription-coupled repair (TCR) operating NER-independently during developmental growth or through NER during adulthood, and, in concert with global-genome (GG-) NER, in the germline and early embryonic development. Additionally, we show that the Cockayne syndrome B (CSB) factor is involved in the resolution of FA-induced DNA\u2013protein crosslinks, and that the antioxidant and FA quencher N -acetyl- l -cysteine (NAC) reverses the sensitivity of detoxification and DNA repair defects during development, suggesting a therapeutic intervention to revert FA-pathogenic consequences.", "body_text": "Introduction Formaldehyde (FA) is a widely recognized environmental cytotoxin and genotoxin.”  [PMC11317141 ¶5]</w:t>
      </w:r>
    </w:p>
    <w:p>
      <w:pPr>
        <w:spacing w:after="120"/>
        <w:jc w:val="both"/>
      </w:pPr>
      <w:r>
        <w:rPr>
          <w:rFonts w:ascii="Times New Roman" w:hAnsi="Times New Roman" w:cs="Times New Roman" w:eastAsia="Times New Roman"/>
          <w:b w:val="0"/>
          <w:i w:val="0"/>
          <w:sz w:val="24"/>
        </w:rPr>
        <w:t>“It is a simple organic compound that can be found in various products, including building materials, household products\u00a0and vehicle emissions ( 1 ). Additionally, FA is generated within cells through several pathways, such as the metabolization of methanol, the demethylation of proteins and nucleic acids, and as a product of the breakdown of the one-carbon metabolism carrier tetrahydrofolate ( 2 , 3 ). FA exhibits the capacity to induce diverse forms of damage to cellular biomolecules ( 4 , 5 ). In the genome, it can form covalent crosslinks between DNA strands, both inter (ICL) and intra-strands (ISL)\u00a0and between DNA and proteins (DPC) ( 6 ). FA might also chemically modify DNA bases, altering their structure and functionality. These DNA lesions could cause replication stress, single-strand breaks (SSB) and double-strand breaks (DSB) requiring multiple DNA repair mechanisms to guarantee genome stability.”  [PMC11317141 ¶6]</w:t>
      </w:r>
    </w:p>
    <w:p>
      <w:pPr>
        <w:spacing w:after="120"/>
        <w:jc w:val="both"/>
      </w:pPr>
      <w:r>
        <w:rPr>
          <w:rFonts w:ascii="Times New Roman" w:hAnsi="Times New Roman" w:cs="Times New Roman" w:eastAsia="Times New Roman"/>
          <w:b w:val="0"/>
          <w:i w:val="0"/>
          <w:sz w:val="24"/>
        </w:rPr>
        <w:t>“Failure to repair these lesions could obstruct the normal processes of DNA replication, transcription\u00a0and repair, resulting in genomic instability and compromised DNA integrity. Several DNA repair pathways have been implicated in the cellular response to FA-induced genotoxic stress ( 7 , 8 ), including the interstrand-crosslinking (ICL) Fanconi anemia DNA repair pathway; the CSB protein, which initiates transcription-coupled repair (TCR) when RNA polymerase II stalls at a transcription blocking lesion; and the exonuclease 1 (EXO1) ( 9 , 10 ). In animal models, the genetic factors that determine endogenous FA genotoxicity have been investigated upon inactivation of a DNA repair pathway in combination with the enzyme alcohol dehydrogenase 5 (ADH5), which is a central factor in the glutathione (GSH)-dependent detoxification of FA ( 7 ). Specifically, in mice, the Fanconi anemia DNA repair pathway factor D2 (Fancd2) and the transcription coupled factor Csb have been shown to genetically interact with Adh5, indicating a central role of these DNA repair factors in counteracting the genotoxicity of cellular FA in animals ( 9 , 10 ).”  [PMC11317141 ¶7]</w:t>
      </w:r>
    </w:p>
    <w:p>
      <w:pPr>
        <w:jc w:val="center"/>
      </w:pPr>
      <w:r>
        <w:drawing>
          <wp:inline xmlns:a="http://schemas.openxmlformats.org/drawingml/2006/main" xmlns:pic="http://schemas.openxmlformats.org/drawingml/2006/picture">
            <wp:extent cx="5029200" cy="3519430"/>
            <wp:docPr id="123" name="Picture 123"/>
            <wp:cNvGraphicFramePr>
              <a:graphicFrameLocks noChangeAspect="1"/>
            </wp:cNvGraphicFramePr>
            <a:graphic>
              <a:graphicData uri="http://schemas.openxmlformats.org/drawingml/2006/picture">
                <pic:pic>
                  <pic:nvPicPr>
                    <pic:cNvPr id="0" name="p04_i4.jpg"/>
                    <pic:cNvPicPr/>
                  </pic:nvPicPr>
                  <pic:blipFill>
                    <a:blip r:embed="rId34"/>
                    <a:stretch>
                      <a:fillRect/>
                    </a:stretch>
                  </pic:blipFill>
                  <pic:spPr>
                    <a:xfrm>
                      <a:off x="0" y="0"/>
                      <a:ext cx="5029200" cy="3519430"/>
                    </a:xfrm>
                    <a:prstGeom prst="rect"/>
                  </pic:spPr>
                </pic:pic>
              </a:graphicData>
            </a:graphic>
          </wp:inline>
        </w:drawing>
      </w:r>
    </w:p>
    <w:p>
      <w:pPr>
        <w:spacing w:after="160"/>
        <w:jc w:val="center"/>
      </w:pPr>
      <w:r>
        <w:rPr>
          <w:rFonts w:ascii="Times New Roman" w:hAnsi="Times New Roman" w:cs="Times New Roman" w:eastAsia="Times New Roman"/>
          <w:b w:val="0"/>
          <w:i/>
          <w:sz w:val="20"/>
        </w:rPr>
        <w:t>Figure panel from PMC11317141 (source bitmap p04_i4.jpg).</w:t>
      </w:r>
    </w:p>
    <w:p>
      <w:pPr>
        <w:spacing w:after="120"/>
        <w:jc w:val="both"/>
      </w:pPr>
      <w:r>
        <w:rPr>
          <w:rFonts w:ascii="Times New Roman" w:hAnsi="Times New Roman" w:cs="Times New Roman" w:eastAsia="Times New Roman"/>
          <w:b w:val="0"/>
          <w:i w:val="0"/>
          <w:sz w:val="24"/>
        </w:rPr>
        <w:t>“Briefly, cells were seeded at 3000 cells/well in 96-well plates and exposed to the concentrations of FA depicted in the corresponding figures (prepared from Formaldehyde Solution 16%, #28906, Thermofisher). After 3 (for fibroblast) or 6 (for EBV-lymphoblastic cells) days resazurin (#418900050, Thermofisher) was added at a final concentration of 44 \u03bcM for 4 h\u00a0and fluorescence quantified. Data is presented as % of the untreated samples unless otherwise stated. In the indicated plots N -acetyl- l -cysteine (#A7250, Sigma-Aldrich) was used at 500 \u03bcM. Comet assay For the analysis of DNA damage burden, approx. 250 day-1-old adult nematodes were subjected to the comet assay 24 h after on-plate FA exposure. UVB-treated animals (24 h\u00a0post-treatment) served as a positive control ( 20 ). Nematodes were washed 10 times for three min with M9 to remove residual bacteria. Afterwards, the cuticle was permeabilized by adding 200 \u03bcl TSD buffer (0.5% Triton X-100, 20 mM HEPES buffer (pH 8.0), 0.25% SDS, 200 mM DTT\u00a0and 3% sucrose) for four min.”  [PMC11317141 ¶16]</w:t>
      </w:r>
    </w:p>
    <w:p>
      <w:pPr>
        <w:spacing w:after="120"/>
        <w:jc w:val="both"/>
      </w:pPr>
      <w:r>
        <w:rPr>
          <w:rFonts w:ascii="Times New Roman" w:hAnsi="Times New Roman" w:cs="Times New Roman" w:eastAsia="Times New Roman"/>
          <w:b w:val="0"/>
          <w:i w:val="0"/>
          <w:sz w:val="24"/>
        </w:rPr>
        <w:t>“Additionally, the \u2018Length\u2019 of the comet tail was measured. Measured values were corrected for the median background of their respective image. Tail moment was calculated as (tail length) \u00d7 (% of DNA in comet tail)). As a positive control, 250 day-1-adult, wild type worms were placed on a non-seeded plate and irradiated with 300 mJ/cm 2 UVB (broad-band spectrum) directly before being subjected to the initial washing steps of the comet assay. DNA-protein crosslink assay DPCs caused by FA were isolated using the ARK method ( 31 ). Briefly, 300\u00a0000 cells of GM00637 and GM16095 were seeded per well in 6-well-plates. After 48 h, the culture media was replaced with fresh media containing 0, 200 and 400 \u03bcM of FA. Once the treatment reached 4 h, half of the samples were kept in culture with media without FA to recover for 24 h, and the rest were pelleted. After the collection of the pellets at the end of the assay, samples were lysed with a guanidine thiocyanate-based buffer, and DNA was isolated with a 50% ethanol precipitation method.”  [PMC11317141 ¶19]</w:t>
      </w:r>
    </w:p>
    <w:p>
      <w:pPr>
        <w:spacing w:after="120"/>
        <w:jc w:val="both"/>
      </w:pPr>
      <w:r>
        <w:rPr>
          <w:rFonts w:ascii="Times New Roman" w:hAnsi="Times New Roman" w:cs="Times New Roman" w:eastAsia="Times New Roman"/>
          <w:b w:val="0"/>
          <w:i w:val="0"/>
          <w:sz w:val="24"/>
        </w:rPr>
        <w:t>“The population size was 100\u2013150 worms per strain and condition. Phylogenetic analysis Phylogenetic analysis was performed using Phylogeny.fr suite ( 34 ). First, C. elegans genes coding for ALDH2-like proteins we retrieved by performing a BlastP restricted to C. elegans using human ALDH2 protein as query. The list of proteins was then uploaded into Phylogeny.fr and plotted as phylogram depicting the branch support values. Statistical analysis Statistical significance was assessed via the GraphPad Software. To assess differences in grouped data sets for survival, developmental delay and egg-laying/hatching we used the two-way ANOVA with Tukey's multiple comparisons test unless otherwise stated in the figure legend. For lifespan assays we applied the log-rank (Mantel\u2013Cox) test and the Gehan\u2013Breslow\u2013Wilcoxon test. To test for significant differences in comet assays, one-way ANOVA with Tukey's post hoc test was employed.”  [PMC11317141 ¶23]</w:t>
      </w:r>
    </w:p>
    <w:p>
      <w:pPr>
        <w:jc w:val="center"/>
      </w:pPr>
      <w:r>
        <w:drawing>
          <wp:inline xmlns:a="http://schemas.openxmlformats.org/drawingml/2006/main" xmlns:pic="http://schemas.openxmlformats.org/drawingml/2006/picture">
            <wp:extent cx="5029200" cy="2476982"/>
            <wp:docPr id="124" name="Picture 124"/>
            <wp:cNvGraphicFramePr>
              <a:graphicFrameLocks noChangeAspect="1"/>
            </wp:cNvGraphicFramePr>
            <a:graphic>
              <a:graphicData uri="http://schemas.openxmlformats.org/drawingml/2006/picture">
                <pic:pic>
                  <pic:nvPicPr>
                    <pic:cNvPr id="0" name="p13_i1.jpg"/>
                    <pic:cNvPicPr/>
                  </pic:nvPicPr>
                  <pic:blipFill>
                    <a:blip r:embed="rId35"/>
                    <a:stretch>
                      <a:fillRect/>
                    </a:stretch>
                  </pic:blipFill>
                  <pic:spPr>
                    <a:xfrm>
                      <a:off x="0" y="0"/>
                      <a:ext cx="5029200" cy="2476982"/>
                    </a:xfrm>
                    <a:prstGeom prst="rect"/>
                  </pic:spPr>
                </pic:pic>
              </a:graphicData>
            </a:graphic>
          </wp:inline>
        </w:drawing>
      </w:r>
    </w:p>
    <w:p>
      <w:pPr>
        <w:spacing w:after="160"/>
        <w:jc w:val="center"/>
      </w:pPr>
      <w:r>
        <w:rPr>
          <w:rFonts w:ascii="Times New Roman" w:hAnsi="Times New Roman" w:cs="Times New Roman" w:eastAsia="Times New Roman"/>
          <w:b w:val="0"/>
          <w:i/>
          <w:sz w:val="20"/>
        </w:rPr>
        <w:t>Figure panel from PMC11317141 (source bitmap p13_i1.jpg).</w:t>
      </w:r>
    </w:p>
    <w:p>
      <w:pPr>
        <w:spacing w:after="120"/>
        <w:jc w:val="both"/>
      </w:pPr>
      <w:r>
        <w:rPr>
          <w:rFonts w:ascii="Times New Roman" w:hAnsi="Times New Roman" w:cs="Times New Roman" w:eastAsia="Times New Roman"/>
          <w:b w:val="0"/>
          <w:i w:val="0"/>
          <w:sz w:val="24"/>
        </w:rPr>
        <w:t>“However, when analyzing the animals that reach adulthood as a measure of development success, downregulating adh-5 exacerbated the developmental failure of most of the DNA repair mutants (Figure 1D ). The strain xpc-1;csb-1;adh-5(RNAi) was one of the most compromised in this development assay indicating NER plays a fundamental role for protecting the larvae during development to adulthood. In this assay, we also observed a contribution of the factors SLX-1, EXO-1, GEN-1 and of the NHEJ component KU-80, suggesting a complex systemic protection of the genome against FA during development and a crucial role of ADH-5 dependent FA detoxification. TCR-deficiency is a determinant of somatic FA-sensitivity in C. elegans and human cells. The significant role of NER components in the protection against FA in conditions of downregulation of systemic catabolism via adh-5(RNAi ) suggested this pathway might limit FA genotoxicity in animals.”  [PMC11317141 ¶26]</w:t>
      </w:r>
    </w:p>
    <w:p>
      <w:pPr>
        <w:spacing w:after="120"/>
        <w:jc w:val="both"/>
      </w:pPr>
      <w:r>
        <w:rPr>
          <w:rFonts w:ascii="Times New Roman" w:hAnsi="Times New Roman" w:cs="Times New Roman" w:eastAsia="Times New Roman"/>
          <w:b w:val="0"/>
          <w:i w:val="0"/>
          <w:sz w:val="24"/>
        </w:rPr>
        <w:t>“The a dh5(RNAi) in WT background showed normal development that is significantly affected by FA exposure, and a significant survival reduction at the highest FA concentration ( Supplementary Figure S1A\u2013C ). The downregulation of ADH-5 in NER mutants revealed a significant developmental delay for csb-1 and xpc-1;csb-1 , while xpc-1 and xpa-1 mutants were not additionally affected ( Supplementary Figure S1D and S1E ). To further validate the role of ADH-5 and DNA repair in C. elegans survival, we crossed xpc-1 , csb-1 , xpc-1;csb-1 and xpa-1 mutants into the highly FA-sensitive adh-5 mutant background and evaluated C. elegans survival and development in these settings. We found that all NER factors tested contribute to limit the toxicity of FA in condition of chronic exposure at 1 mM (Figure 2F ). Curiously, in none of the assays, loss of xpa-1 resembled the sensitivity of xpc-1;csb-1 double-mutants, as it is observed in response to UVB-induced DNA damage or ICL-inducing agents ( 13 , 17 ), suggesting a role of CSB-1 in the prevention of FA genotoxicity in somatic tissues that might by independent of its function within the NER.”  [PMC11317141 ¶30]</w:t>
      </w:r>
    </w:p>
    <w:p>
      <w:pPr>
        <w:spacing w:after="120"/>
        <w:jc w:val="both"/>
      </w:pPr>
      <w:r>
        <w:rPr>
          <w:rFonts w:ascii="Times New Roman" w:hAnsi="Times New Roman" w:cs="Times New Roman" w:eastAsia="Times New Roman"/>
          <w:b w:val="0"/>
          <w:i w:val="0"/>
          <w:sz w:val="24"/>
        </w:rPr>
        <w:t>“Following ingestion, acetaminophen is rapidly absorbed and transported to the liver to undergo first-pass metabolism [ 28 ]. N-acetyl-p-benzoquinonimine (NAPQI), a cytochrome P450-derived metabolic by-product of acetaminophen first-pass metabolism is cytotoxic and genotoxic [ 28 ]. Normally, when acetaminophen is taken at low doses, GSH can detoxify NAPQI by conjugating it, which facilitates its elimination from the body [ 28 ]. However, acetaminophen toxicity leads to the formation and accumulation of excessive amounts of NAPQI, the depletion of GSH stores, oxidative stress, and mitochondrial dysfunction resulting in the depletion of adenosine triphosphate (ATP) stores [ 44 ]. Evidence suggests that NAPQI is capable of binding to several cellular proteins, particularly mitochondrial proteins [ 44 ]. This binding to mitochondrial proteins in the context of GSH depletion is of great significance as it results in the depletion of endogenous antioxidant functions and alters the \u221d-subunit of the mitochondrial ATP-synthase, thereby hindering the production of ATP [ 44 ].”  [PMC10604897 ¶15]</w:t>
      </w:r>
    </w:p>
    <w:p>
      <w:pPr>
        <w:spacing w:after="120"/>
        <w:jc w:val="both"/>
      </w:pPr>
      <w:r>
        <w:rPr>
          <w:rFonts w:ascii="Times New Roman" w:hAnsi="Times New Roman" w:cs="Times New Roman" w:eastAsia="Times New Roman"/>
          <w:b w:val="0"/>
          <w:i w:val="0"/>
          <w:sz w:val="24"/>
        </w:rPr>
        <w:t>“APAP overdose is the single most frequent cause of liver injury and acute liver failure in the U.S., UK [ 4 ] and Australia [ 5 ] and is at least a significant etiology of acute liver failure in many other western countries [ 4 ]. As a dose-dependent hepatotoxin, the injury process of APAP toxicity in patients can be accurately reproduced in animals [ 6 , 7 ], especially in mice [ 8 ]. Since the introduction of the mouse model in the 1970s [ 9 , 10 ], the mechanisms of cell death and liver injury have been extensively studied and today many key aspects of the injury mechanism are known [ 11 \u2013 13 ]. Based on the early mechanistic insight, limited to recognition of hepatotoxicity resulting from reactive metabolite formation causing GSH depletion and subsequent protein adduct formation [ 9 , 10 ], N-acetylcysteine (NAC) was discovered to be an effective antidote in animals and patients [ 14 ].”  [PMC11315809 ¶3]</w:t>
      </w:r>
    </w:p>
    <w:p>
      <w:pPr>
        <w:spacing w:after="120"/>
        <w:jc w:val="both"/>
      </w:pPr>
      <w:r>
        <w:rPr>
          <w:rFonts w:ascii="Times New Roman" w:hAnsi="Times New Roman" w:cs="Times New Roman" w:eastAsia="Times New Roman"/>
          <w:b w:val="0"/>
          <w:i w:val="0"/>
          <w:sz w:val="24"/>
        </w:rPr>
        <w:t>“This reactive metabolite was identified as N-acetyl-p-benzoquinone imine (NAPQI), which after GSH depletion, preferably reacts with sulfhydryl groups of cysteine in proteins [ 23 ]. Although extensive formation of protein adducts is the initiating event in the toxicity, it is protein adducts in mitochondria that are most critical [ 24 , 25 ]. Mitochondrial adducts trigger a limited electron leak from complex III of the mitochondrial electron transport chain into the cytosol [ 26 ]. This mild oxidant stress activates a redox-sensitive mitogen-activated protein kinase cascade, resulting in activation (phosphorylation) of c-jun N-terminal kinase (JNK) [ 26 ]. P-JNK translocates to the mitochondria [ 27 ] and binds to the anchor protein Sab [ 28 ], which triggers further impairment of the electron transport chain with exaggerated oxidant stress [ 29 ], mainly through leakage of electrons of complex I into the mitochondrial matrix [ 26 ].”  [PMC11315809 ¶7]</w:t>
      </w:r>
    </w:p>
    <w:p>
      <w:pPr>
        <w:spacing w:after="120"/>
        <w:jc w:val="both"/>
      </w:pPr>
      <w:r>
        <w:rPr>
          <w:rFonts w:ascii="Times New Roman" w:hAnsi="Times New Roman" w:cs="Times New Roman" w:eastAsia="Times New Roman"/>
          <w:b w:val="0"/>
          <w:i w:val="0"/>
          <w:sz w:val="24"/>
        </w:rPr>
        <w:t>“Superoxide radicals formed in the matrix readily react with nitric oxide radicals to form peroxynitrite in mitochondria [ 30 ]. Peroxynitrite, a powerful oxidant and nitrating species, which causes nitrotyrosine protein adducts in mitochondria, triggers the mitochondrial permeability transition pore (MPTP) opening [ 31 ] and cell necrosis [ 32 ] ( Figure 1 ). These signaling events represent the basic mechanisms of cell death after APAP overdose that also apply to humans [ 33 , 34 ]. They also reveal realistic therapeutic targets that could be exploited with a high probability of success in humans. 3. Antidotes and Emerging Therapeutic Approaches 3.1 N-Acetylcysteine NAC is the only FDA approved antidote for clinical use against APAP overdose in humans. The discovery of NAC was related to the initial mechanistic understanding that the toxicity was caused by a cytochrome P450-mediated formation of a reactive metabolite, which can covalently bind to proteins as the cause of cell death [ 10 ].”  [PMC11315809 ¶8]</w:t>
      </w:r>
    </w:p>
    <w:p>
      <w:pPr>
        <w:spacing w:after="120"/>
        <w:jc w:val="both"/>
      </w:pPr>
      <w:r>
        <w:rPr>
          <w:rFonts w:ascii="Times New Roman" w:hAnsi="Times New Roman" w:cs="Times New Roman" w:eastAsia="Times New Roman"/>
          <w:b w:val="0"/>
          <w:i w:val="0"/>
          <w:sz w:val="24"/>
        </w:rPr>
        <w:t>“This encouraged us to study the effect of fomepizole in the mouse model in vivo . The first study was designed to test the hypothesis that fomepizole can protect against APAP hepatotoxicity in mice by inhibiting cyp2e1 [ 55 ]. Given the short metabolism phase of a 300 mg/kg dose of APAP in mice [ 56 ], fomepizole was administered immediately after APAP to ensure that an effect on P450-mediated metabolism was covered. Co-treatment of fomepizole (50 mg/kg, which represents a human equivalent dose of 4 mg/kg) and a toxic dose of APAP (300 mg/kg) resulted in protection as indicated by &gt;95% reduction of plasma ALT elevations and almost complete prevention of centrilobular necrosis. The fact that fomepizole attenuated formation of the cyp2e1-derived oxidative metabolites and the protein adduct the formation of the reactive metabolite by &gt;90% suggested that the protection was caused by the inhibition of cyp2e1 [ 55 ] ( Figure 1 ).”  [PMC11315809 ¶12]</w:t>
      </w:r>
    </w:p>
    <w:p>
      <w:pPr>
        <w:spacing w:after="120"/>
        <w:jc w:val="both"/>
      </w:pPr>
      <w:r>
        <w:rPr>
          <w:rFonts w:ascii="Times New Roman" w:hAnsi="Times New Roman" w:cs="Times New Roman" w:eastAsia="Times New Roman"/>
          <w:b w:val="0"/>
          <w:i w:val="0"/>
          <w:sz w:val="24"/>
        </w:rPr>
        <w:t>“A dose of 300 mg/kg APAP is mostly metabolized by 90 min after ip injection in mice [ 38 , 56 ]. When mice were treated with fomepizole 90 min after 300 mg/kg APAP, the animals were again almost completely protected against APAP toxicity, even though there was no reduction of protein adduct formation [ 59 ]. This suggested that the effect was not mediated by cyp2e1 inhibition. Follow-up measurements demonstrated that fomepizole was also an inhibitor of JNK by binding to the ATP binding site of the enzyme, and, as such, eliminated the mitochondrial oxidant stress and its amplification [ 59 ]. The combined effect of cyp2e1 and JNK inhibition makes fomepizole an effective antidote against APAP overdose ( Figure 1 ). In fact, one could assume that, mechanistically, fomepizole would be superior to NAC if given before APAP metabolism because preventing NAPQI formation is more effective than synthesizing GSH.”  [PMC11315809 ¶15]</w:t>
      </w:r>
    </w:p>
    <w:p>
      <w:pPr>
        <w:spacing w:after="120"/>
        <w:jc w:val="both"/>
      </w:pPr>
      <w:r>
        <w:rPr>
          <w:rFonts w:ascii="Times New Roman" w:hAnsi="Times New Roman" w:cs="Times New Roman" w:eastAsia="Times New Roman"/>
          <w:b w:val="0"/>
          <w:i w:val="0"/>
          <w:sz w:val="24"/>
        </w:rPr>
        <w:t>“This translates to 16\u201324 h in human hepatocytes and potentially patients. The 9 h time point is in the middle of the injury phase in mice equivalent to 24\u201336 h in patients. There are additional differences between fomepizole and NAC that are not as prominently recognized but may be also important to give the edge to fomepizole over NAC at least in animals. Although fomepizole may also theoretically be more effective than NAC in humans, no comparative studies have been done or are planned in the near future. The main objective is to potentially use fomepizole as an adjunct treatment to NAC. The first issue is that fomepizole is also very effective in protecting against APAP-induced acute kidney injury (AKI) in mice, which is common among severe APAP overdose patients [ 62 ]. Kidney injury is dependent on cyp2e1-induced reactive metabolite and protein adduct formation [ 63 ] and, in contrast to NAC [ 64 ], fomepizole effectively protects mice against APAP-induced AKI [ 62 ].”  [PMC11315809 ¶17]</w:t>
      </w:r>
    </w:p>
    <w:p>
      <w:pPr>
        <w:spacing w:after="120"/>
        <w:jc w:val="both"/>
      </w:pPr>
      <w:r>
        <w:rPr>
          <w:rFonts w:ascii="Times New Roman" w:hAnsi="Times New Roman" w:cs="Times New Roman" w:eastAsia="Times New Roman"/>
          <w:b w:val="0"/>
          <w:i w:val="0"/>
          <w:sz w:val="24"/>
        </w:rPr>
        <w:t>“Although the initiation of the injury process in the kidney is like the liver, there is no protein binding on mitochondria or JNK activation [ 62 ]. APAP-induced AKI is caused by ER stress-induced apoptosis that is triggered by protein adduct formation in the ER [ 65 ]. More detailed studies are necessary to assess whether fomepizole can affect more downstream events in the pathophysiology of APAP-induced kidney injury. Another issue is that prolonged NAC treatment beyond the injury process may be detrimental for liver regeneration [ 60 , 66 ]. Although the molecular mechanism of this effect is not clear, it may be related to the fact that hepatocytes located around the area of necrosis are the ones surviving and proliferating [ 67 ]. Late NAC treatment, but not fomepizole, appears to interfere with this process [ 60 ]. This effect is well documented in the mouse model, but its importance in people remains unclear.”  [PMC11315809 ¶18]</w:t>
      </w:r>
    </w:p>
    <w:p>
      <w:pPr>
        <w:spacing w:after="120"/>
        <w:jc w:val="both"/>
      </w:pPr>
      <w:r>
        <w:rPr>
          <w:rFonts w:ascii="Times New Roman" w:hAnsi="Times New Roman" w:cs="Times New Roman" w:eastAsia="Times New Roman"/>
          <w:b w:val="0"/>
          <w:i w:val="0"/>
          <w:sz w:val="24"/>
        </w:rPr>
        <w:t>“Peroxynitrite is the critical oxidant and nitrating species in the pathophysiology of hepatocyte necrosis, as shown by the aggravation of nitrotyrosine formation and APAP hepatotoxicity in Mn-SOD partial deficient mice [ 73 ] and the elimination of nitrotyrosine adducts and hepatotoxicity by the Mn-SOD mimetics Mito-Tempo [ 74 , 75 ] and mito-Q [ 76 ]. Importantly, the mitochondria-targeted Mito-Tempo is much more effective than Tempo, which does not enter mitochondria [ 74 ]. The efficacy of Mn-SOD mimetics as therapeutic agents may also be assisted by the fact that endogenous Mn-SOD activity is partially inactivated due to attack by peroxynitrite [ 77 ]. Thus, strengthening the mitochondrial Mn-SOD capacity can be an effective therapeutic strategy against APAP toxicity. Mangafodipir (manganese dipyridoxyl diphosphate; MnDPDP) is clinically used as a magnetic resonance imaging (MRI) contrast agent [ 78 ].”  [PMC11315809 ¶21]</w:t>
      </w:r>
    </w:p>
    <w:p>
      <w:pPr>
        <w:keepNext/>
        <w:spacing w:before="280" w:after="80"/>
        <w:outlineLvl w:val="1"/>
      </w:pPr>
      <w:r>
        <w:rPr>
          <w:rFonts w:ascii="Times New Roman" w:hAnsi="Times New Roman" w:cs="Times New Roman" w:eastAsia="Times New Roman"/>
          <w:b/>
          <w:i w:val="0"/>
          <w:color w:val="335588"/>
          <w:sz w:val="28"/>
        </w:rPr>
        <w:t>11b.3  Carcinogenicity signals and IARC-style reviews</w:t>
      </w:r>
    </w:p>
    <w:p>
      <w:pPr>
        <w:spacing w:after="120"/>
        <w:jc w:val="both"/>
      </w:pPr>
      <w:r>
        <w:rPr>
          <w:rFonts w:ascii="Times New Roman" w:hAnsi="Times New Roman" w:cs="Times New Roman" w:eastAsia="Times New Roman"/>
          <w:b w:val="0"/>
          <w:i w:val="0"/>
          <w:sz w:val="24"/>
        </w:rPr>
        <w:t>“ADH-5 and ALH-1 are shown to prevent systemic formaldehyde (FA) toxicity throughout C. elegans life cycle. Cartoons were created with BioR graphic: `gkae519fig7.jpg` ```json { "pmcid": "PMC11317141", "pmid": "38894680", "doi": "10.1093/nar/gkae519", "title": "Distinct DNA repair mechanisms prevent formaldehyde toxicity during development, reproduction\u00a0and aging", "journal": "Nucleic Acids Research", "year": "2024", "abstract": "Abstract Formaldehyde (FA) is a recognized environmental and metabolic toxin implicated in cancer development and aging. Inherited mutations in the FA-detoxifying enzymes ADH5 and ALDH2 genes lead to FA overload in the severe multisystem AMeD syndrome. FA accumulation causes genome damage including DNA\u2013protein-, inter- and intra-strand crosslinks and oxidative lesions. However, the influence of distinct DNA repair systems on organismal FA resistance remains elusive.”  [PMC11317141 ¶4]</w:t>
      </w:r>
    </w:p>
    <w:p>
      <w:pPr>
        <w:spacing w:after="120"/>
        <w:jc w:val="both"/>
      </w:pPr>
      <w:r>
        <w:rPr>
          <w:rFonts w:ascii="Times New Roman" w:hAnsi="Times New Roman" w:cs="Times New Roman" w:eastAsia="Times New Roman"/>
          <w:b w:val="0"/>
          <w:i w:val="0"/>
          <w:sz w:val="24"/>
        </w:rPr>
        <w:t>“FA has emerged as a fundamental contributor to human disorders such as Fanconi anemia, Cockayne syndrome, and AMeDS, which are caused by mutations in FANC genes, CSB or CSA , and ADH5 and ALDH2 , respectively ( 11 ). AMeDS (OMIM #619151) entails a severe bone marrow failure progressing to myelodysplastic syndrome (MDS) and myeloid leukemia (AML) ( 12 ). In this condition, inherited inactivating mutations in both alleles of ADH5 combined with the dominant negative single nucleotide polymorphism r671 in ALDH2 (c.1510G\u00a0&gt;\u00a0A; p.E504K; ALDH2*2), which codes for the mitochondrial enzyme aldehyde dehydrogenase 2, result in systemic FA accumulation driving AMeDS-associated traits. Notably, mice deficient in both Adh5 and Aldh2 (Adh5 \u2212/\u2212 Adh2 \u2212/\u2212 ) , or animals carrying the Aldh2rs671 defective allele in an Adh5 -deficient background ( Adh5 \u2212/\u2212 Aldh2 \u2212/rs671 ) recapitulated most of the human disease phenotypes, supporting the role of endogenous FA in driving AMeDS ( 12 , 13 ).”  [PMC11317141 ¶8]</w:t>
      </w:r>
    </w:p>
    <w:p>
      <w:pPr>
        <w:spacing w:after="120"/>
        <w:jc w:val="both"/>
      </w:pPr>
      <w:r>
        <w:rPr>
          <w:rFonts w:ascii="Times New Roman" w:hAnsi="Times New Roman" w:cs="Times New Roman" w:eastAsia="Times New Roman"/>
          <w:b w:val="0"/>
          <w:i w:val="0"/>
          <w:sz w:val="24"/>
        </w:rPr>
        <w:t>“NAC possesses antioxidant, cytoprotective, anti-inflammatory, antimicrobial, and mucolytic properties, making it a promising therapeutic agent for a wide range of diseases in both humans and domesticated animals. Oxidative stress and inflammation play a major role in the onset and progression of all these diseases. NAC\u2019s primary role is to replenish glutathione (GSH) stores, the master antioxidant in all tissues; however, it can also reduce levels of pro-inflammatory tumor necrosis factor-alpha (TNF-\u221d) and interleukins (IL-6 and IL-1\u03b2), inhibit the formation of microbial biofilms and destroy biofilms, and break down disulfide bonds between mucin molecules. Many experimental studies have been conducted on the use of NAC to address a wide range of pathological conditions; however, its effectiveness in clinical trials remains limited and studies often have conflicting results.”  [PMC10604897 ¶1]</w:t>
      </w:r>
    </w:p>
    <w:p>
      <w:pPr>
        <w:spacing w:after="120"/>
        <w:jc w:val="both"/>
      </w:pPr>
      <w:r>
        <w:rPr>
          <w:rFonts w:ascii="Times New Roman" w:hAnsi="Times New Roman" w:cs="Times New Roman" w:eastAsia="Times New Roman"/>
          <w:b w:val="0"/>
          <w:i w:val="0"/>
          <w:sz w:val="24"/>
        </w:rPr>
        <w:t>“Examples of these disorders include diabetes, obesity, cancer, neurological disorders, hypertension, pulmonary, inflammatory bowel, cardiovascular, autoimmune, and infectious diseases in humans, as well as domesticated animal weaning disorders, respiratory disease, diarrhea, endometritis, and mastitis [ 3 , 4 , 5 , 6 , 7 , 8 , 9 , 10 ]. While there has been an increasing interest in the use of NAC for a wide range of pathological conditions over the past few decades, various human clinical studies have reported conflicting results, and many other studies were performed in vitro. Therefore, more clinical studies are required to address these conflicting results and to support the purported therapeutic roles of NAC in treating different pathological conditions. Various animal studies involving the use of NAC have also been performed, especially with its use in treating intestinal inflammation and related disorders that can be caused by anti-nutritional factors (e.g., \u03b2 -conglycinin, a vicilin storage protein of soybeans), the process of weaning, and consumption of mycotoxins [ 10 , 11 , 12 ].”  [PMC10604897 ¶3]</w:t>
      </w:r>
    </w:p>
    <w:p>
      <w:pPr>
        <w:keepNext/>
        <w:spacing w:before="280" w:after="80"/>
        <w:outlineLvl w:val="1"/>
      </w:pPr>
      <w:r>
        <w:rPr>
          <w:rFonts w:ascii="Times New Roman" w:hAnsi="Times New Roman" w:cs="Times New Roman" w:eastAsia="Times New Roman"/>
          <w:b/>
          <w:i w:val="0"/>
          <w:color w:val="335588"/>
          <w:sz w:val="28"/>
        </w:rPr>
        <w:t>11b.4  Reproductive and developmental toxicity</w:t>
      </w:r>
    </w:p>
    <w:p>
      <w:pPr>
        <w:spacing w:after="120"/>
        <w:jc w:val="both"/>
      </w:pPr>
      <w:r>
        <w:rPr>
          <w:rFonts w:ascii="Times New Roman" w:hAnsi="Times New Roman" w:cs="Times New Roman" w:eastAsia="Times New Roman"/>
          <w:b w:val="0"/>
          <w:i w:val="0"/>
          <w:sz w:val="24"/>
        </w:rPr>
        <w:t>“TM3 cells (1 × 10 5 cell/well) were cultured in a 6 cm dish. Cells were co-treated with different concentrations of CYS (0.1, 0.2, 0.5, 1 mM) and induced with CIS (7.5 µM) for 24 h (n = 4). ( A ) The inflammatory protein expressions were determined by Western blot. ( B ) iNOS and ( C ) COX graphic: `antioxidants-13-01443-g005.jpg` 6. **Figure 6** — Effect of L-cysteine (CYS) on blood–testis barrier (BTB)-related protein expression in cisplatin (CIS)-induced TM4 cells. The cells (1 × 10 5 cell/well) were cultured in a 6 cm dish. Cells were co-treated with different concentrations of CYS (0.1, 0.2, 0.5, and 1 mM) and induced with CIS (10 µM) for 24 h (n = 4). ( A ) The BTB protein expressions were determined by Western blot. ( B ) ZO-1 and ( C graphic: `antioxidants-13-01443-g006.jpg` 7. **Figure 7** — Effect of L-cysteine (CYS) on cisplatin (CIS)-induced weight and organ changes in in vivo model.”  [PMC11672833 ¶3]</w:t>
      </w:r>
    </w:p>
    <w:p>
      <w:pPr>
        <w:spacing w:after="120"/>
        <w:jc w:val="both"/>
      </w:pPr>
      <w:r>
        <w:rPr>
          <w:rFonts w:ascii="Times New Roman" w:hAnsi="Times New Roman" w:cs="Times New Roman" w:eastAsia="Times New Roman"/>
          <w:b w:val="0"/>
          <w:i w:val="0"/>
          <w:sz w:val="24"/>
        </w:rPr>
        <w:t>“( A ) Body weight and ( B ) body weight changes, and the relative weight changes of the ( C ) testis, ( D ) epididymis, ( E ) heart, ( F ) liver, and ( G ) kidney in a CIS-induced animal model after CYS pretreatment (n = 8). Data are represented as mean ± SEM. Different groups were analyzed using Stude graphic: `antioxidants-13-01443-g007.jpg` 8. **Figure 8** — Protective role of L-cysteine (CYS) treatment for the biochemical indicators in cisplatin-induced in vivo model. ( A ) Testosterone and P450scc protein expression were evaluated by Western blot; ( B ) SGOT, ( C ) SGPT, ( D ) BUN, ( E ) creatinine, ( F ) LDH, and ( G ) CPK levels in a cisplatin-induced animal model after CYS pretreatment (n = 8). Data are represented as mean ± SEM. Different groups graphic: `antioxidants-13-01443-g008.jpg` 9. **Figure 9** — Effect of L-cysteine (CYS) on testicular damage in cisplatin (CIS)-induced male rats.”  [PMC11672833 ¶4]</w:t>
      </w:r>
    </w:p>
    <w:p>
      <w:pPr>
        <w:spacing w:after="120"/>
        <w:jc w:val="both"/>
      </w:pPr>
      <w:r>
        <w:rPr>
          <w:rFonts w:ascii="Times New Roman" w:hAnsi="Times New Roman" w:cs="Times New Roman" w:eastAsia="Times New Roman"/>
          <w:b w:val="0"/>
          <w:i w:val="0"/>
          <w:sz w:val="24"/>
        </w:rPr>
        <w:t>“( A ) The appearance of the testis and epididymis. ( B ) Hematoxylin-and-eosin-stained sections of the testis, observed under magnification at ×100, ×200, and ×400. Observations were made on multiple sections (2–3) from each testicular fragment to ensure consistent and representative assessment. Labels in the fig graphic: `antioxidants-13-01443-g009.jpg` 10. **Figure 10** — Effect of L-cysteine (CYS) on sperm morphology and viability in cisplatin (CIS)-induced animal model. ( A ) Sperm morphology stained with eosin Y and crystal violet, observed at 400× magnification. Black arrows indicate abnormal sperm, including (a) bent neck and (b) bent tail. ( B ) Sperm viability was assessed by counting the number of live and dead sperm. Data are represented as mean ± SEM. Dif graphic: `antioxidants-13-01443-g010.jpg` ```json { "pmcid": "PMC11672833", "pmid": "39765772", "doi": "10.3390/antiox13121443", "title": "Protective Effects of L-Cysteine Against Cisplatin-Induced Oxidative Stress-Mediated Reproductive Damage", "journal": "Antioxidants", "year": "2024", "abstract": "Cisplatin (CIS) is a widely used chemotherapeutic agent, but its side effects, such as oxidative stress, inflammation, and apoptosis, often lead to male reproductive damage.”  [PMC11672833 ¶5]</w:t>
      </w:r>
    </w:p>
    <w:p>
      <w:pPr>
        <w:jc w:val="center"/>
      </w:pPr>
      <w:r>
        <w:drawing>
          <wp:inline xmlns:a="http://schemas.openxmlformats.org/drawingml/2006/main" xmlns:pic="http://schemas.openxmlformats.org/drawingml/2006/picture">
            <wp:extent cx="5029200" cy="5245580"/>
            <wp:docPr id="125" name="Picture 125"/>
            <wp:cNvGraphicFramePr>
              <a:graphicFrameLocks noChangeAspect="1"/>
            </wp:cNvGraphicFramePr>
            <a:graphic>
              <a:graphicData uri="http://schemas.openxmlformats.org/drawingml/2006/picture">
                <pic:pic>
                  <pic:nvPicPr>
                    <pic:cNvPr id="0" name="p10_i1.jpg"/>
                    <pic:cNvPicPr/>
                  </pic:nvPicPr>
                  <pic:blipFill>
                    <a:blip r:embed="rId24"/>
                    <a:stretch>
                      <a:fillRect/>
                    </a:stretch>
                  </pic:blipFill>
                  <pic:spPr>
                    <a:xfrm>
                      <a:off x="0" y="0"/>
                      <a:ext cx="5029200" cy="5245580"/>
                    </a:xfrm>
                    <a:prstGeom prst="rect"/>
                  </pic:spPr>
                </pic:pic>
              </a:graphicData>
            </a:graphic>
          </wp:inline>
        </w:drawing>
      </w:r>
    </w:p>
    <w:p>
      <w:pPr>
        <w:spacing w:after="160"/>
        <w:jc w:val="center"/>
      </w:pPr>
      <w:r>
        <w:rPr>
          <w:rFonts w:ascii="Times New Roman" w:hAnsi="Times New Roman" w:cs="Times New Roman" w:eastAsia="Times New Roman"/>
          <w:b w:val="0"/>
          <w:i/>
          <w:sz w:val="20"/>
        </w:rPr>
        <w:t>Figure 1 (from PMC11672833): “Effect of L-cysteine (CYS) and cisplatin (CIS) on TM3 and TM4 cell viability. TM3 (5000 cells/well) (n = 7) and TM4 cells (3000 cells/well) (n = 7) were cultured in a 96-well plate for cell viability assays. Cells were treated with different concentrations of ( A , B ) CYS (0.1, 0.2, 0.5, 1, and 2 mM) or ( D , F ) CIS (5, 7.5, 10, 15, and 20 µM) for 24 or 16”</w:t>
      </w:r>
    </w:p>
    <w:p>
      <w:pPr>
        <w:spacing w:after="120"/>
        <w:jc w:val="both"/>
      </w:pPr>
      <w:r>
        <w:rPr>
          <w:rFonts w:ascii="Times New Roman" w:hAnsi="Times New Roman" w:cs="Times New Roman" w:eastAsia="Times New Roman"/>
          <w:b w:val="0"/>
          <w:i w:val="0"/>
          <w:sz w:val="24"/>
        </w:rPr>
        <w:t>“Oxidative stress, primarily caused by the excessive generation of reactive oxygen species (ROS), plays a critical role in disrupting testicular homeostasis, resulting in spermatogenic impairment and tissue injury. L-cysteine (CYS), a semi-essential amino acid with potent antioxidant and anti-inflammatory properties, may offer protection against CIS-induced oxidative damage. This study aimed to assess the protective potential of CYS against CIS-induced male reproductive toxicity using in vivo and in vitro models. In vitro, treatment of TM3 (Leydig) and TM4 (Sertoli) cells with CIS led to increased ROS levels, reduced cell viability, and elevated apoptosis and inflammation, all of which were significantly ameliorated by subsequent CYS exposure. In vivo, CIS-treated male rats displayed heightened oxidative stress, impaired spermatogenesis, and histopathological damage in reproductive organs.”  [PMC11672833 ¶6]</w:t>
      </w:r>
    </w:p>
    <w:p>
      <w:pPr>
        <w:spacing w:after="120"/>
        <w:jc w:val="both"/>
      </w:pPr>
      <w:r>
        <w:rPr>
          <w:rFonts w:ascii="Times New Roman" w:hAnsi="Times New Roman" w:cs="Times New Roman" w:eastAsia="Times New Roman"/>
          <w:b w:val="0"/>
          <w:i w:val="0"/>
          <w:sz w:val="24"/>
        </w:rPr>
        <w:t>“However, CYS administration for 21 days significantly reduced oxidative stress, improved sperm viability, and protected testicular tissues from damage. These findings suggest that CYS has a protective effect against CIS-induced oxidative stress and male reproductive damage, making it a promising therapeutic agent for mitigating CIS-induced reproductive toxicity.", "body_text": "1. Introduction According to the World Health Organization (WHO) and American Medical Association (AMA) definitions of infertility, it is defined by the failure to conceive after more than 12 months of regular unprotected sexual intercourse [ 1 ]. Approximately 48.5 million couples have this problem and 20\u201330% of male infertility contributes to 50% of cases around the world [ 2 ]. The testis plays a crucial role in the male reproductive system, and several studies have suggested that a wide variety of endogenous and exogenous factors can disrupt male reproductive function.”  [PMC11672833 ¶7]</w:t>
      </w:r>
    </w:p>
    <w:p>
      <w:pPr>
        <w:spacing w:after="120"/>
        <w:jc w:val="both"/>
      </w:pPr>
      <w:r>
        <w:rPr>
          <w:rFonts w:ascii="Times New Roman" w:hAnsi="Times New Roman" w:cs="Times New Roman" w:eastAsia="Times New Roman"/>
          <w:b w:val="0"/>
          <w:i w:val="0"/>
          <w:sz w:val="24"/>
        </w:rPr>
        <w:t>“Approximately 70\u201380% of cases are caused by testicular defects, including chromosomal/genetic abnormalities (e.g., Klinefelter syndrome), cryptorchidism, varicocele, orchitis, cancer treatments (chemotherapy/radiotherapy), environmental factors (such as environmental toxins, high temperature, radiation, and smoking), autoimmune diseases (antisperm antibodies), and testicular torsion and trauma [ 3 ]. Several studies have suggested that oxidative stress and apoptosis are key mediators of male infertility by causing sperm dysfunction [ 4 ]. Oxidative stress is a disturbance in the balance between the production of reactive oxygen species (free radicals) and antioxidant defenses. Cisplatin (CIS), or cis-diamminedichloroplatinum (II), is an effective anticancer chemotherapy agent widely used to treat various cancer types. However, cisplatin is often accompanied by numerous toxicities as it reacts with the N7 reactive center of DNA, leading to DNA\u2013DNA crosslinks and the inhibition of DNA replication or transcription [ 5 ].”  [PMC11672833 ¶8]</w:t>
      </w:r>
    </w:p>
    <w:p>
      <w:pPr>
        <w:jc w:val="center"/>
      </w:pPr>
      <w:r>
        <w:drawing>
          <wp:inline xmlns:a="http://schemas.openxmlformats.org/drawingml/2006/main" xmlns:pic="http://schemas.openxmlformats.org/drawingml/2006/picture">
            <wp:extent cx="5029200" cy="7139947"/>
            <wp:docPr id="126" name="Picture 126"/>
            <wp:cNvGraphicFramePr>
              <a:graphicFrameLocks noChangeAspect="1"/>
            </wp:cNvGraphicFramePr>
            <a:graphic>
              <a:graphicData uri="http://schemas.openxmlformats.org/drawingml/2006/picture">
                <pic:pic>
                  <pic:nvPicPr>
                    <pic:cNvPr id="0" name="p14_i1.jpg"/>
                    <pic:cNvPicPr/>
                  </pic:nvPicPr>
                  <pic:blipFill>
                    <a:blip r:embed="rId25"/>
                    <a:stretch>
                      <a:fillRect/>
                    </a:stretch>
                  </pic:blipFill>
                  <pic:spPr>
                    <a:xfrm>
                      <a:off x="0" y="0"/>
                      <a:ext cx="5029200" cy="7139947"/>
                    </a:xfrm>
                    <a:prstGeom prst="rect"/>
                  </pic:spPr>
                </pic:pic>
              </a:graphicData>
            </a:graphic>
          </wp:inline>
        </w:drawing>
      </w:r>
    </w:p>
    <w:p>
      <w:pPr>
        <w:spacing w:after="160"/>
        <w:jc w:val="center"/>
      </w:pPr>
      <w:r>
        <w:rPr>
          <w:rFonts w:ascii="Times New Roman" w:hAnsi="Times New Roman" w:cs="Times New Roman" w:eastAsia="Times New Roman"/>
          <w:b w:val="0"/>
          <w:i/>
          <w:sz w:val="20"/>
        </w:rPr>
        <w:t>Figure 2 (from PMC11672833): “L-cysteine (CYS) attenuates cisplatin (CIS)-induced reduction in TM3 and TM4 cell viability. TM3 (5000 cell/well) (n = 7) and TM4 cells (3000 cell/well) (n = 7) were cultured in a 96-well plate for cell viability. TM3 (n = 7) and TM4 (n = 7) cells (4 × 10 4 cell/well) were cultured in a 12-well plate for cell morphology and composition. They were co-treated ”</w:t>
      </w:r>
    </w:p>
    <w:p>
      <w:pPr>
        <w:spacing w:after="120"/>
        <w:jc w:val="both"/>
      </w:pPr>
      <w:r>
        <w:rPr>
          <w:rFonts w:ascii="Times New Roman" w:hAnsi="Times New Roman" w:cs="Times New Roman" w:eastAsia="Times New Roman"/>
          <w:b w:val="0"/>
          <w:i w:val="0"/>
          <w:sz w:val="24"/>
        </w:rPr>
        <w:t>“As a therapeutic agent, NAC is commonly administered orally in the tablet form of 600\u20131200 mg up to three times a day to treat pulmonary diseases [ 1 ]. Studies have shown that dosages of NAC up to 3000 mg/day continue to remain safe and are well-tolerated [ 1 ]. 5.2.1. Cystic Fibrosis (CF) CF is a genetic disorder affecting multiple organ systems including the lungs and upper airways, pancreas, liver, intestine, and reproductive organs [ 51 ]. The lungs of CF patients produce prolific amounts of viscous mucus, which is difficult to clear. This thick mucus increases susceptibility to recurring chronic infections due to poor expectoration [ 28 ]. NAC has been extensively used in the treatment of CF to help improve lung function and eliminate mucus due to its mucolytic properties [ 1 ], which are attributed to its cysteine residues that break down the sulfhydryl bridges between glycoproteins in mucus, thereby reducing mucus viscosity [ 28 ].”  [PMC10604897 ¶20]</w:t>
      </w:r>
    </w:p>
    <w:p>
      <w:pPr>
        <w:spacing w:after="120"/>
        <w:jc w:val="both"/>
      </w:pPr>
      <w:r>
        <w:rPr>
          <w:rFonts w:ascii="Times New Roman" w:hAnsi="Times New Roman" w:cs="Times New Roman" w:eastAsia="Times New Roman"/>
          <w:b w:val="0"/>
          <w:i w:val="0"/>
          <w:sz w:val="24"/>
        </w:rPr>
        <w:t>“Factors contributing to post-weaning stress include hierarchy stress, new housing environment, and transition from liquid to solid feed, among many others [ 94 ]. Together, these factors negatively impact intestinal development and physiology and the gut microflora and host immunity, which collectively lead to reduced feed intake, poor growth performance, and increased disease susceptibility [ 92 , 94 ]. ROS, such as O 2 \u2022\u2212 , H 2 O 2 , and OH, are potential toxic by-products for both aerobic and anaerobic gut microbes [ 93 ]. Furthermore, oxidative stress induced by weaning stress causes villus atrophy and suppresses the activities of digestive enzymes of weaned piglets [ 95 ]. At birth, the piglet gut microbiota is heavily influenced by the sow\u2019s milk and is highly populated with lactic acid bacteria. However, the process of weaning significantly reduces the relative abundance of Lactobacillus spp., while simultaneously increasing the abundance of Clostridium spp., Prevotella spp., Proteobacteriaceae, and Escherichia coli and decreasing microbial diversity [ 94 ].”  [PMC10604897 ¶44]</w:t>
      </w:r>
    </w:p>
    <w:p>
      <w:pPr>
        <w:spacing w:after="120"/>
        <w:jc w:val="both"/>
      </w:pPr>
      <w:r>
        <w:rPr>
          <w:rFonts w:ascii="Times New Roman" w:hAnsi="Times New Roman" w:cs="Times New Roman" w:eastAsia="Times New Roman"/>
          <w:b w:val="0"/>
          <w:i w:val="0"/>
          <w:sz w:val="24"/>
        </w:rPr>
        <w:t>“With the introduction of the mouse model of APAP hepatotoxicity in the 1970s, fundamental mechanisms of cell death were discovered. This included the recognition that part of the APAP dose is metabolized by cytochrome P450 generating a reactive metabolite that is detoxified by glutathione. After the partial depletion of glutathione, the reactive metabolite will covalently bind to sulfhydryl groups of proteins, which is the initiating event of the toxicity. This insight led to the introduction of N-acetyl-L-cysteine, a glutathione precursor, as antidote against APAP overdose in the clinic. Despite substantial progress in our understanding of the pathomechanisms over the last decades viable new antidotes only emerged recently. This review will discuss the background, mechanisms of action, and the clinical prospects of the existing FDA-approved antidote N-acetylcysteine, of several new drug candidates under clinical development [4-methylpyrazole (fomepizole), calmangafodipir] and examples of additional therapeutic targets (Nrf2 activators) and regeneration promoting agents (thrombopoietin mimetics, adenosine A2B receptor agonists, Wharton\u2019s Jelly mesenchymal stem cells).”  [PMC11315809 ¶1]</w:t>
      </w:r>
    </w:p>
    <w:p>
      <w:pPr>
        <w:spacing w:after="120"/>
        <w:jc w:val="both"/>
      </w:pPr>
      <w:r>
        <w:rPr>
          <w:rFonts w:ascii="Times New Roman" w:hAnsi="Times New Roman" w:cs="Times New Roman" w:eastAsia="Times New Roman"/>
          <w:b w:val="0"/>
          <w:i w:val="0"/>
          <w:sz w:val="24"/>
        </w:rPr>
        <w:t>“Although there are clear limitations of certain therapeutic approaches, there is reason to be optimistic. The substantial progress in the understanding of the pathophysiology of APAP hepatotoxicity led to the consideration of several drugs for development as clinical antidotes against APAP overdose in recent years. Based on the currently available information, it is likely that this will result in additional drugs that could be used as adjunct treatment for N-acetylcysteine.", "body_text": "1. Introduction Acetaminophen (APAP) is a worldwide used analgesic and antipyretic drug, which is safe at therapeutic doses. However, due to its wide availability and low cost, intentional or accidental overdoses are relatively common, especially in western countries. For example, there are roughly 80,000 APAP overdose cases annually presenting to emergency departments with 25,000 patients requiring hospitalization in the United States [ 1 ], more than 80,000 cases in the United Kingdom [ 2 ] and about 11,000 cases in Australia [ 3 ].”  [PMC11315809 ¶2]</w:t>
      </w:r>
    </w:p>
    <w:p>
      <w:pPr>
        <w:spacing w:after="120"/>
        <w:jc w:val="both"/>
      </w:pPr>
      <w:r>
        <w:rPr>
          <w:rFonts w:ascii="Times New Roman" w:hAnsi="Times New Roman" w:cs="Times New Roman" w:eastAsia="Times New Roman"/>
          <w:b w:val="0"/>
          <w:i w:val="0"/>
          <w:sz w:val="24"/>
        </w:rPr>
        <w:t>“APAP overdose is the single most frequent cause of liver injury and acute liver failure in the U.S., UK [ 4 ] and Australia [ 5 ] and is at least a significant etiology of acute liver failure in many other western countries [ 4 ]. As a dose-dependent hepatotoxin, the injury process of APAP toxicity in patients can be accurately reproduced in animals [ 6 , 7 ], especially in mice [ 8 ]. Since the introduction of the mouse model in the 1970s [ 9 , 10 ], the mechanisms of cell death and liver injury have been extensively studied and today many key aspects of the injury mechanism are known [ 11 \u2013 13 ]. Based on the early mechanistic insight, limited to recognition of hepatotoxicity resulting from reactive metabolite formation causing GSH depletion and subsequent protein adduct formation [ 9 , 10 ], N-acetylcysteine (NAC) was discovered to be an effective antidote in animals and patients [ 14 ].”  [PMC11315809 ¶3]</w:t>
      </w:r>
    </w:p>
    <w:p>
      <w:pPr>
        <w:spacing w:after="120"/>
        <w:jc w:val="both"/>
      </w:pPr>
      <w:r>
        <w:rPr>
          <w:rFonts w:ascii="Times New Roman" w:hAnsi="Times New Roman" w:cs="Times New Roman" w:eastAsia="Times New Roman"/>
          <w:b w:val="0"/>
          <w:i w:val="0"/>
          <w:sz w:val="24"/>
        </w:rPr>
        <w:t>“In addition, the costs of safety studies and clinical efficacy trials are too high of a risk for the limited reward, considering the smaller patient numbers. Thus, the main conclusions of most of these intervention studies that compound X acting through Y mechanism may be a promising therapeutic approach for APAP overdose patients are not supported by solid scientific evidence. Nevertheless, in recent years new developments give some hope that there can be progress with emerging novel therapeutics approaches. However, the key to advancing any potential therapeutic is to understand the molecular mechanisms of the disease and have a clear understanding of what the new intervention is targeting. 2. Mechanisms of APAP-induced Liver Injury Mechanistic studies of APAP hepatotoxicity started with the recognition that a part of the dose of APAP is metabolized by cytochrome P450 (Cyp) enzymes [ 6 ], now known to be mainly Cyp2E1 [ 22 ], which generates a reactive metabolite that can be detoxified by GSH [ 9 ].”  [PMC11315809 ¶6]</w:t>
      </w:r>
    </w:p>
    <w:p>
      <w:pPr>
        <w:spacing w:after="120"/>
        <w:jc w:val="both"/>
      </w:pPr>
      <w:r>
        <w:rPr>
          <w:rFonts w:ascii="Times New Roman" w:hAnsi="Times New Roman" w:cs="Times New Roman" w:eastAsia="Times New Roman"/>
          <w:b w:val="0"/>
          <w:i w:val="0"/>
          <w:sz w:val="24"/>
        </w:rPr>
        <w:t>“A planned phase III clinical trial may reveal whether calmangafodipir can be effective as adjunct therapy to NAC in late-presenting patients. In summary, the case for using calmangafodipir as an antidote against APAP toxicity in patients remains unconvincing. Preclinical data are very scarce, and the results are questionable and would need to be reproduced. In addition, the mechanism of protection would have to be investigated in vivo and not just extrapolated from in vitro experiments. Clinically, it appears that calmangafodipir is safe when administered as a single dose in APAP overdose patients treated with NAC, however, efficacy will have to be convincingly established through a clinical trial. Another concern is that clinical trials using multiple dosing of calmangafodipir for the prevention of oxaliplatin-induced peripheral neuropathy were terminated early due to hypersensitivity reactions in 3.6% of patients compared with 0.8% in placebo controls [ 91 ].”  [PMC11315809 ¶29]</w:t>
      </w:r>
    </w:p>
    <w:p>
      <w:pPr>
        <w:spacing w:after="120"/>
        <w:jc w:val="both"/>
      </w:pPr>
      <w:r>
        <w:rPr>
          <w:rFonts w:ascii="Times New Roman" w:hAnsi="Times New Roman" w:cs="Times New Roman" w:eastAsia="Times New Roman"/>
          <w:b w:val="0"/>
          <w:i w:val="0"/>
          <w:sz w:val="24"/>
        </w:rPr>
        <w:t>“More recently, however, significant progress has been made. First, additional insight into the pathophysiology of APAP toxicity revealed more reliable therapeutic targets. Second, it was documented that the signaling mechanisms of APAP-induced cell death in mouse hepatocytes and liver injury in mice accurately translate to human hepatocytes and overdose patients, except for a longer time frame in humans. As a result of these developments, several clinically viable drug candidates have emerged ( Table 1 ). Most advanced is fomepizole, a safe, repurposed drug, that has shown high efficacy against APAP hepatotoxicity in preclinical models, and the protective effect of fomepizole is mechanistically well understood ( Figure 1 ). Consequently, a limited phase III efficacy trial is in progress. A second drug against APAP-induced liver injury under clinical development is calmangafodipir, which appears to be safe for use in APAP overdose patients.”  [PMC11315809 ¶42]</w:t>
      </w:r>
    </w:p>
    <w:p>
      <w:pPr>
        <w:spacing w:after="120"/>
        <w:jc w:val="both"/>
      </w:pPr>
      <w:r>
        <w:rPr>
          <w:rFonts w:ascii="Times New Roman" w:hAnsi="Times New Roman" w:cs="Times New Roman" w:eastAsia="Times New Roman"/>
          <w:b w:val="0"/>
          <w:i w:val="0"/>
          <w:sz w:val="24"/>
        </w:rPr>
        <w:t>“( A ) Cartoon showing the putative lesions caused on DNA by formaldehyde (FA). In blue the factors inactivated in this work. Light blue shows some factors that might participate in multiple DNA repair pathways. ( B ) Scheme of the protocol applied to address FA tolerance and development in the data shown in C and D (see Materials a graphic: `gkae519fig1.jpg` 3. **Figure 2.** — NER-deficient animals show somatic formaldehyde sensitivity, which is further enhanced by loss of ADH-5. ( A ) Experimental scheme (see Materials and methods for details). ( B ) Survival of NER mutants upon formaldehyde (FA) after 48 h and ( C ) after 72 h on plate. ( D ) Developmental timing of NER mutants upon FA after 48h on plate and ( E ) after 72 h on plate. ( F ) Survival of NER mutants in graphic: `gkae519fig2.jpg` 4. **Figure 3.** — Fecundity is reduced in NER mutants upon formaldehyde (FA) toxicity, which is further enhanced upon loss of ADH-5.”  [PMC11317141 ¶1]</w:t>
      </w:r>
    </w:p>
    <w:p>
      <w:pPr>
        <w:spacing w:after="120"/>
        <w:jc w:val="both"/>
      </w:pPr>
      <w:r>
        <w:rPr>
          <w:rFonts w:ascii="Times New Roman" w:hAnsi="Times New Roman" w:cs="Times New Roman" w:eastAsia="Times New Roman"/>
          <w:b w:val="0"/>
          <w:i w:val="0"/>
          <w:sz w:val="24"/>
        </w:rPr>
        <w:t>“( A ) Experimental scheme (see Materials and Methods for details). Panels (B–E) show the number of eggs produced by three animals within 3 h for strains carrying mutations for ( B ) xpc-1 , ( C ) csb-1 , ( D ) xpc-1 ; csb-1 and ( E ) xpa-1 . Panels (F–I) display the hatching rate as c graphic: `gkae519fig3.jpg` 5. **Figure 4.** — Loss of ADH-5 does not shorten the lifespan of animals deficient for xpa-1 and csb-1 , while formaldehyde-sensitivity is increased. ( A ) and ( B ) show full lifespan experiments of wildtype and adh-5 mutants, while (A) includes csb-1 and csb-1 ; adh-5 mutants, and (B) includes xpa-1 and xpa-1 ; adh-5 deficient animals. In ( C ) and ( D ), animals were exposed to 5 mM formaldehyde (FA) from the L4 graphic: `gkae519fig4.jpg` 6. **Figure 5.** — Simultaneous loss of redundant formaldehyde-detoxification pathways causes embryonic lethality and developmental delay, which is enhanced in NER-deficient animals.”  [PMC11317141 ¶2]</w:t>
      </w:r>
    </w:p>
    <w:p>
      <w:pPr>
        <w:spacing w:after="120"/>
        <w:jc w:val="both"/>
      </w:pPr>
      <w:r>
        <w:rPr>
          <w:rFonts w:ascii="Times New Roman" w:hAnsi="Times New Roman" w:cs="Times New Roman" w:eastAsia="Times New Roman"/>
          <w:b w:val="0"/>
          <w:i w:val="0"/>
          <w:sz w:val="24"/>
        </w:rPr>
        <w:t>“( A ) Phylogenetic tree of C. elegans proteins showing similarity to human ALDH2. Numbers in red branch support values. ( B ) Experimental scheme (see Materials and methods for details). Cartoons were created with BioRender.com. ( C ) H graphic: `gkae519fig5.jpg` 7. **Figure 6.** — NAC suppresses formaldehyde (FA)-toxicity in NER mutants and animals lacking FA-detoxification. Panels ( A )–( E ) show animal survival, while ( F ) displays the developmental stages of animals treated with formaldehyde (FA) and/or N-acetyl-L-cysteine (NAC) after 72 h. (A–F) Data were produced following the same protocol as depicted in Figure 2 . A full data analysis including the two-way ANOVA fo graphic: `gkae519fig6.jpg` 8. **Figure 7.** — Proposed model. The scheme shows the proposed distinct functions of Global Genome Nucleotide Excision Repair (GG-NER); Transcription coupled repair (TCR) independent of NER (NER-IR); and TC-NER in somatic tissues (soma), germline, and during larvae development.”  [PMC11317141 ¶3]</w:t>
      </w:r>
    </w:p>
    <w:p>
      <w:pPr>
        <w:jc w:val="center"/>
      </w:pPr>
      <w:r>
        <w:drawing>
          <wp:inline xmlns:a="http://schemas.openxmlformats.org/drawingml/2006/main" xmlns:pic="http://schemas.openxmlformats.org/drawingml/2006/picture">
            <wp:extent cx="5029200" cy="3519430"/>
            <wp:docPr id="127" name="Picture 127"/>
            <wp:cNvGraphicFramePr>
              <a:graphicFrameLocks noChangeAspect="1"/>
            </wp:cNvGraphicFramePr>
            <a:graphic>
              <a:graphicData uri="http://schemas.openxmlformats.org/drawingml/2006/picture">
                <pic:pic>
                  <pic:nvPicPr>
                    <pic:cNvPr id="0" name="p04_i4.jpg"/>
                    <pic:cNvPicPr/>
                  </pic:nvPicPr>
                  <pic:blipFill>
                    <a:blip r:embed="rId34"/>
                    <a:stretch>
                      <a:fillRect/>
                    </a:stretch>
                  </pic:blipFill>
                  <pic:spPr>
                    <a:xfrm>
                      <a:off x="0" y="0"/>
                      <a:ext cx="5029200" cy="3519430"/>
                    </a:xfrm>
                    <a:prstGeom prst="rect"/>
                  </pic:spPr>
                </pic:pic>
              </a:graphicData>
            </a:graphic>
          </wp:inline>
        </w:drawing>
      </w:r>
    </w:p>
    <w:p>
      <w:pPr>
        <w:spacing w:after="160"/>
        <w:jc w:val="center"/>
      </w:pPr>
      <w:r>
        <w:rPr>
          <w:rFonts w:ascii="Times New Roman" w:hAnsi="Times New Roman" w:cs="Times New Roman" w:eastAsia="Times New Roman"/>
          <w:b w:val="0"/>
          <w:i/>
          <w:sz w:val="20"/>
        </w:rPr>
        <w:t>Figure panel from PMC11317141 (source bitmap p04_i4.jpg).</w:t>
      </w:r>
    </w:p>
    <w:p>
      <w:pPr>
        <w:spacing w:after="120"/>
        <w:jc w:val="both"/>
      </w:pPr>
      <w:r>
        <w:rPr>
          <w:rFonts w:ascii="Times New Roman" w:hAnsi="Times New Roman" w:cs="Times New Roman" w:eastAsia="Times New Roman"/>
          <w:b w:val="0"/>
          <w:i w:val="0"/>
          <w:sz w:val="24"/>
        </w:rPr>
        <w:t>“ADH-5 and ALH-1 are shown to prevent systemic formaldehyde (FA) toxicity throughout C. elegans life cycle. Cartoons were created with BioR graphic: `gkae519fig7.jpg` ```json { "pmcid": "PMC11317141", "pmid": "38894680", "doi": "10.1093/nar/gkae519", "title": "Distinct DNA repair mechanisms prevent formaldehyde toxicity during development, reproduction\u00a0and aging", "journal": "Nucleic Acids Research", "year": "2024", "abstract": "Abstract Formaldehyde (FA) is a recognized environmental and metabolic toxin implicated in cancer development and aging. Inherited mutations in the FA-detoxifying enzymes ADH5 and ALDH2 genes lead to FA overload in the severe multisystem AMeD syndrome. FA accumulation causes genome damage including DNA\u2013protein-, inter- and intra-strand crosslinks and oxidative lesions. However, the influence of distinct DNA repair systems on organismal FA resistance remains elusive.”  [PMC11317141 ¶4]</w:t>
      </w:r>
    </w:p>
    <w:p>
      <w:pPr>
        <w:spacing w:after="120"/>
        <w:jc w:val="both"/>
      </w:pPr>
      <w:r>
        <w:rPr>
          <w:rFonts w:ascii="Times New Roman" w:hAnsi="Times New Roman" w:cs="Times New Roman" w:eastAsia="Times New Roman"/>
          <w:b w:val="0"/>
          <w:i w:val="0"/>
          <w:sz w:val="24"/>
        </w:rPr>
        <w:t>“We have here investigated the consequence of a range of DNA repair mutants in a model of endogenous FA overload generated by downregulating the orthologs of human ADH5 and ALDH2 in C. elegans . We have focused on the distinct components of nucleotide excision repair (NER) during developmental growth, reproduction and aging. Our results reveal three distinct modes of repair of FA-induced DNA damage: Transcription-coupled repair (TCR) operating NER-independently during developmental growth or through NER during adulthood, and, in concert with global-genome (GG-) NER, in the germline and early embryonic development. Additionally, we show that the Cockayne syndrome B (CSB) factor is involved in the resolution of FA-induced DNA\u2013protein crosslinks, and that the antioxidant and FA quencher N -acetyl- l -cysteine (NAC) reverses the sensitivity of detoxification and DNA repair defects during development, suggesting a therapeutic intervention to revert FA-pathogenic consequences.", "body_text": "Introduction Formaldehyde (FA) is a widely recognized environmental cytotoxin and genotoxin.”  [PMC11317141 ¶5]</w:t>
      </w:r>
    </w:p>
    <w:p>
      <w:pPr>
        <w:spacing w:after="120"/>
        <w:jc w:val="both"/>
      </w:pPr>
      <w:r>
        <w:rPr>
          <w:rFonts w:ascii="Times New Roman" w:hAnsi="Times New Roman" w:cs="Times New Roman" w:eastAsia="Times New Roman"/>
          <w:b w:val="0"/>
          <w:i w:val="0"/>
          <w:sz w:val="24"/>
        </w:rPr>
        <w:t>“A prevailing hypothesis suggests that FA-induced damage overwhelms DNA repair mechanisms, yet the extensive array of FA-induced lesions might necessitate safeguarding the genome by multiple DNA repair systems. However, establishing genetic evidence in animals to validate these mechanisms remains experimentally challenging. Here, we employed the genetically traceable animal model organism C. elegans to explore DNA repair components safeguarding the genome against FA-induced damage. C. elegans undergoes most cell divisions during embryogenesis and hatches as L1 larvae that are comprised of mostly differentiated somatic cell types that grow in size during the L2, L3\u00a0and L4 larval stages until adulthood. Germ cells, in contrast, remain replicative active throughout adulthood. We first systematically determined the contribution of a wide range of DNA repair mechanisms to the survival of FA treatment in the presence and absence of adh-5 .”  [PMC11317141 ¶9]</w:t>
      </w:r>
    </w:p>
    <w:p>
      <w:pPr>
        <w:jc w:val="center"/>
      </w:pPr>
      <w:r>
        <w:drawing>
          <wp:inline xmlns:a="http://schemas.openxmlformats.org/drawingml/2006/main" xmlns:pic="http://schemas.openxmlformats.org/drawingml/2006/picture">
            <wp:extent cx="5029200" cy="2476982"/>
            <wp:docPr id="128" name="Picture 128"/>
            <wp:cNvGraphicFramePr>
              <a:graphicFrameLocks noChangeAspect="1"/>
            </wp:cNvGraphicFramePr>
            <a:graphic>
              <a:graphicData uri="http://schemas.openxmlformats.org/drawingml/2006/picture">
                <pic:pic>
                  <pic:nvPicPr>
                    <pic:cNvPr id="0" name="p13_i1.jpg"/>
                    <pic:cNvPicPr/>
                  </pic:nvPicPr>
                  <pic:blipFill>
                    <a:blip r:embed="rId35"/>
                    <a:stretch>
                      <a:fillRect/>
                    </a:stretch>
                  </pic:blipFill>
                  <pic:spPr>
                    <a:xfrm>
                      <a:off x="0" y="0"/>
                      <a:ext cx="5029200" cy="2476982"/>
                    </a:xfrm>
                    <a:prstGeom prst="rect"/>
                  </pic:spPr>
                </pic:pic>
              </a:graphicData>
            </a:graphic>
          </wp:inline>
        </w:drawing>
      </w:r>
    </w:p>
    <w:p>
      <w:pPr>
        <w:spacing w:after="160"/>
        <w:jc w:val="center"/>
      </w:pPr>
      <w:r>
        <w:rPr>
          <w:rFonts w:ascii="Times New Roman" w:hAnsi="Times New Roman" w:cs="Times New Roman" w:eastAsia="Times New Roman"/>
          <w:b w:val="0"/>
          <w:i/>
          <w:sz w:val="20"/>
        </w:rPr>
        <w:t>Figure panel from PMC11317141 (source bitmap p13_i1.jpg).</w:t>
      </w:r>
    </w:p>
    <w:p>
      <w:pPr>
        <w:keepNext/>
        <w:spacing w:before="280" w:after="80"/>
        <w:outlineLvl w:val="1"/>
      </w:pPr>
      <w:r>
        <w:rPr>
          <w:rFonts w:ascii="Times New Roman" w:hAnsi="Times New Roman" w:cs="Times New Roman" w:eastAsia="Times New Roman"/>
          <w:b/>
          <w:i w:val="0"/>
          <w:color w:val="335588"/>
          <w:sz w:val="28"/>
        </w:rPr>
        <w:t>11b.5  Acute and sub-chronic toxicity in animal studies</w:t>
      </w:r>
    </w:p>
    <w:p>
      <w:pPr>
        <w:spacing w:after="120"/>
        <w:jc w:val="both"/>
      </w:pPr>
      <w:r>
        <w:rPr>
          <w:rFonts w:ascii="Times New Roman" w:hAnsi="Times New Roman" w:cs="Times New Roman" w:eastAsia="Times New Roman"/>
          <w:b w:val="0"/>
          <w:i w:val="0"/>
          <w:sz w:val="24"/>
        </w:rPr>
        <w:t>“TM3 cells (1 × 10 5 cell/well) were cultured in a 6 cm dish. Cells were co-treated with different concentrations of CYS (0.1, 0.2, 0.5, 1 mM) and induced with CIS (7.5 µM) for 24 h (n = 4). ( A ) The inflammatory protein expressions were determined by Western blot. ( B ) iNOS and ( C ) COX graphic: `antioxidants-13-01443-g005.jpg` 6. **Figure 6** — Effect of L-cysteine (CYS) on blood–testis barrier (BTB)-related protein expression in cisplatin (CIS)-induced TM4 cells. The cells (1 × 10 5 cell/well) were cultured in a 6 cm dish. Cells were co-treated with different concentrations of CYS (0.1, 0.2, 0.5, and 1 mM) and induced with CIS (10 µM) for 24 h (n = 4). ( A ) The BTB protein expressions were determined by Western blot. ( B ) ZO-1 and ( C graphic: `antioxidants-13-01443-g006.jpg` 7. **Figure 7** — Effect of L-cysteine (CYS) on cisplatin (CIS)-induced weight and organ changes in in vivo model.”  [PMC11672833 ¶3]</w:t>
      </w:r>
    </w:p>
    <w:p>
      <w:pPr>
        <w:spacing w:after="120"/>
        <w:jc w:val="both"/>
      </w:pPr>
      <w:r>
        <w:rPr>
          <w:rFonts w:ascii="Times New Roman" w:hAnsi="Times New Roman" w:cs="Times New Roman" w:eastAsia="Times New Roman"/>
          <w:b w:val="0"/>
          <w:i w:val="0"/>
          <w:sz w:val="24"/>
        </w:rPr>
        <w:t>“( A ) Body weight and ( B ) body weight changes, and the relative weight changes of the ( C ) testis, ( D ) epididymis, ( E ) heart, ( F ) liver, and ( G ) kidney in a CIS-induced animal model after CYS pretreatment (n = 8). Data are represented as mean ± SEM. Different groups were analyzed using Stude graphic: `antioxidants-13-01443-g007.jpg` 8. **Figure 8** — Protective role of L-cysteine (CYS) treatment for the biochemical indicators in cisplatin-induced in vivo model. ( A ) Testosterone and P450scc protein expression were evaluated by Western blot; ( B ) SGOT, ( C ) SGPT, ( D ) BUN, ( E ) creatinine, ( F ) LDH, and ( G ) CPK levels in a cisplatin-induced animal model after CYS pretreatment (n = 8). Data are represented as mean ± SEM. Different groups graphic: `antioxidants-13-01443-g008.jpg` 9. **Figure 9** — Effect of L-cysteine (CYS) on testicular damage in cisplatin (CIS)-induced male rats.”  [PMC11672833 ¶4]</w:t>
      </w:r>
    </w:p>
    <w:p>
      <w:pPr>
        <w:spacing w:after="120"/>
        <w:jc w:val="both"/>
      </w:pPr>
      <w:r>
        <w:rPr>
          <w:rFonts w:ascii="Times New Roman" w:hAnsi="Times New Roman" w:cs="Times New Roman" w:eastAsia="Times New Roman"/>
          <w:b w:val="0"/>
          <w:i w:val="0"/>
          <w:sz w:val="24"/>
        </w:rPr>
        <w:t>“Oxidative stress, primarily caused by the excessive generation of reactive oxygen species (ROS), plays a critical role in disrupting testicular homeostasis, resulting in spermatogenic impairment and tissue injury. L-cysteine (CYS), a semi-essential amino acid with potent antioxidant and anti-inflammatory properties, may offer protection against CIS-induced oxidative damage. This study aimed to assess the protective potential of CYS against CIS-induced male reproductive toxicity using in vivo and in vitro models. In vitro, treatment of TM3 (Leydig) and TM4 (Sertoli) cells with CIS led to increased ROS levels, reduced cell viability, and elevated apoptosis and inflammation, all of which were significantly ameliorated by subsequent CYS exposure. In vivo, CIS-treated male rats displayed heightened oxidative stress, impaired spermatogenesis, and histopathological damage in reproductive organs.”  [PMC11672833 ¶6]</w:t>
      </w:r>
    </w:p>
    <w:p>
      <w:pPr>
        <w:jc w:val="center"/>
      </w:pPr>
      <w:r>
        <w:drawing>
          <wp:inline xmlns:a="http://schemas.openxmlformats.org/drawingml/2006/main" xmlns:pic="http://schemas.openxmlformats.org/drawingml/2006/picture">
            <wp:extent cx="5029200" cy="5245580"/>
            <wp:docPr id="129" name="Picture 129"/>
            <wp:cNvGraphicFramePr>
              <a:graphicFrameLocks noChangeAspect="1"/>
            </wp:cNvGraphicFramePr>
            <a:graphic>
              <a:graphicData uri="http://schemas.openxmlformats.org/drawingml/2006/picture">
                <pic:pic>
                  <pic:nvPicPr>
                    <pic:cNvPr id="0" name="p10_i1.jpg"/>
                    <pic:cNvPicPr/>
                  </pic:nvPicPr>
                  <pic:blipFill>
                    <a:blip r:embed="rId24"/>
                    <a:stretch>
                      <a:fillRect/>
                    </a:stretch>
                  </pic:blipFill>
                  <pic:spPr>
                    <a:xfrm>
                      <a:off x="0" y="0"/>
                      <a:ext cx="5029200" cy="5245580"/>
                    </a:xfrm>
                    <a:prstGeom prst="rect"/>
                  </pic:spPr>
                </pic:pic>
              </a:graphicData>
            </a:graphic>
          </wp:inline>
        </w:drawing>
      </w:r>
    </w:p>
    <w:p>
      <w:pPr>
        <w:spacing w:after="160"/>
        <w:jc w:val="center"/>
      </w:pPr>
      <w:r>
        <w:rPr>
          <w:rFonts w:ascii="Times New Roman" w:hAnsi="Times New Roman" w:cs="Times New Roman" w:eastAsia="Times New Roman"/>
          <w:b w:val="0"/>
          <w:i/>
          <w:sz w:val="20"/>
        </w:rPr>
        <w:t>Figure 1 (from PMC11672833): “Effect of L-cysteine (CYS) and cisplatin (CIS) on TM3 and TM4 cell viability. TM3 (5000 cells/well) (n = 7) and TM4 cells (3000 cells/well) (n = 7) were cultured in a 96-well plate for cell viability assays. Cells were treated with different concentrations of ( A , B ) CYS (0.1, 0.2, 0.5, 1, and 2 mM) or ( D , F ) CIS (5, 7.5, 10, 15, and 20 µM) for 24 or 16”</w:t>
      </w:r>
    </w:p>
    <w:p>
      <w:pPr>
        <w:spacing w:after="120"/>
        <w:jc w:val="both"/>
      </w:pPr>
      <w:r>
        <w:rPr>
          <w:rFonts w:ascii="Times New Roman" w:hAnsi="Times New Roman" w:cs="Times New Roman" w:eastAsia="Times New Roman"/>
          <w:b w:val="0"/>
          <w:i w:val="0"/>
          <w:sz w:val="24"/>
        </w:rPr>
        <w:t>“Therefore, this study aimed to investigate the protective effects of CYS on CIS-induced testicular damage through comprehensive in vivo and in vitro experiments. We assess the potential of CYS to mitigate oxidative stress, reduce apoptosis, and preserve the structural integrity and function of testicular cells in the presence of CIS. We explore the mechanisms by which CYS may counteract the adverse effects of CIS on male reproductive health. 2. Materials and Methods 2.1. Chemicals, Reagents, and Antibodies The materials used include Dulbecco\u2019s modified Eagle\u2019s medium (DMEM)/Ham\u2019s F-12 (12500062, Gibco (Grand Island, NY, USA)), Penicillin streptomycin solution, 100\u00d7 (30-002-CI, CORNING (Manassas, VA, USA)), fetal bovine serum (FBS, MT-35-010-CV, CORNING), Horse serum (HS, 16050114, Thermo fisher (Waltham, MA, USA)), vitamin C (VITC, A4544, Sigma (St. Louis, MO, USA)), gallic acid (GA, G7384, Sigma), L-cysteine (CYS, 168149, Sigma), cisplatin (CIS, 13119, Cayman (Ann Arbor, MI, USA)), a 2\u2032, 7\u2032-dichlorodihydrofluorescein diacetate (DCFDA, 601520, Cayman), 3-(4,5-dimethylthiazol-2-yl)-5-(3-carboxymethoxyphenyl)-2-(4-sulfophenyl)-2H-tetrazolium (MTS) assay kit (ab197010, Abcam (Cambridge, MA, USA)), and a 2,2-Diphenyl-1-Picrylhydrazyl (DPPH) Commercial kit (D678, Dojindo, Kumamoto, Japan). 2.2.”  [PMC11672833 ¶11]</w:t>
      </w:r>
    </w:p>
    <w:p>
      <w:pPr>
        <w:spacing w:after="120"/>
        <w:jc w:val="both"/>
      </w:pPr>
      <w:r>
        <w:rPr>
          <w:rFonts w:ascii="Times New Roman" w:hAnsi="Times New Roman" w:cs="Times New Roman" w:eastAsia="Times New Roman"/>
          <w:b w:val="0"/>
          <w:i w:val="0"/>
          <w:sz w:val="24"/>
        </w:rPr>
        <w:t>“Experimental Cell Model The TM3 mouse Leydig cell line and the TM4 mouse Sertoli cell line were used as experimental models and were obtained from the American Type Culture Collection (ATCC, Manassas, VA, USA). Cells were maintained within passages 3 to 15. The TM3 and TM4 cells were cultured in Dulbecco\u2019s modified Eagle\u2019s medium/Ham\u2019s F-12 supplemented with 5% horse serum, 2.5% fetal bovine serum, 100 \u03bcg/mL streptomycin, and 100 U/mL penicillin at 37 \u00b0C in an atmosphere containing 5% CO 2 . The cells were passaged every 3 days once they grew to approximately 90% confluence. 2.3. Cell Viability Analysis The cytotoxicity of CIS and CYS was determined by MTS. TM3 and TM4 cells were, respectively, seeded in 96-well plates at a density of 5 \u00d7 10 3 and 3 \u00d7 10 3 cells per well for 48 h. TM3 and TM4 cells were co-treated with different concentrations of CYS (0.1, 0.2, 0.5, 1, and 2 mM) or CIS (5, 7.5, 10, 15, and 20 \u00b5M) for 24 or 16 h.”  [PMC11672833 ¶12]</w:t>
      </w:r>
    </w:p>
    <w:p>
      <w:pPr>
        <w:spacing w:after="120"/>
        <w:jc w:val="both"/>
      </w:pPr>
      <w:r>
        <w:rPr>
          <w:rFonts w:ascii="Times New Roman" w:hAnsi="Times New Roman" w:cs="Times New Roman" w:eastAsia="Times New Roman"/>
          <w:b w:val="0"/>
          <w:i w:val="0"/>
          <w:sz w:val="24"/>
        </w:rPr>
        <w:t>“These results suggest that CYS only partially reverses the impairment in BTB structure (ZO-1) in CIS-induced TM4 cells. 3.7. Effect of L-Cysteine on Cisplatin-Induced Testicular Toxicity in In Vivo Study To investigate the effect of CYS on CIS-induced testicular toxicity in an animal model, we used a single dose of 10 mg/kg of CIS injected into rats to define the testicular toxicity model [ 28 , 29 , 30 ]. The SD rats were administered low CYS (LC, 100 mg/kg bw/day) or high CYS (HC, 300 mg/kg bw/day) for 21 consecutive days and then injected with CIS (10 mg/kg bw, single intraperitoneal injection) on the 17th day. CYS treatment significantly alleviated body weight loss, which caused a significant reduction within the cisplatin group ( Figure 7 A,B) (CIS group: 272.35 \u00b1 7.86 ( p value &lt; 0.0001 compared with CON group (345.35 \u00b1 6.78); LC group: 304.00 \u00b1 10.63 ( p value = 0.014 compared with CIS group); HC group: 302.35 \u00b1 12.86 ( p value = 0.011 compared with CIS group)).”  [PMC11672833 ¶30]</w:t>
      </w:r>
    </w:p>
    <w:p>
      <w:pPr>
        <w:jc w:val="center"/>
      </w:pPr>
      <w:r>
        <w:drawing>
          <wp:inline xmlns:a="http://schemas.openxmlformats.org/drawingml/2006/main" xmlns:pic="http://schemas.openxmlformats.org/drawingml/2006/picture">
            <wp:extent cx="5029200" cy="7139947"/>
            <wp:docPr id="130" name="Picture 130"/>
            <wp:cNvGraphicFramePr>
              <a:graphicFrameLocks noChangeAspect="1"/>
            </wp:cNvGraphicFramePr>
            <a:graphic>
              <a:graphicData uri="http://schemas.openxmlformats.org/drawingml/2006/picture">
                <pic:pic>
                  <pic:nvPicPr>
                    <pic:cNvPr id="0" name="p14_i1.jpg"/>
                    <pic:cNvPicPr/>
                  </pic:nvPicPr>
                  <pic:blipFill>
                    <a:blip r:embed="rId25"/>
                    <a:stretch>
                      <a:fillRect/>
                    </a:stretch>
                  </pic:blipFill>
                  <pic:spPr>
                    <a:xfrm>
                      <a:off x="0" y="0"/>
                      <a:ext cx="5029200" cy="7139947"/>
                    </a:xfrm>
                    <a:prstGeom prst="rect"/>
                  </pic:spPr>
                </pic:pic>
              </a:graphicData>
            </a:graphic>
          </wp:inline>
        </w:drawing>
      </w:r>
    </w:p>
    <w:p>
      <w:pPr>
        <w:spacing w:after="160"/>
        <w:jc w:val="center"/>
      </w:pPr>
      <w:r>
        <w:rPr>
          <w:rFonts w:ascii="Times New Roman" w:hAnsi="Times New Roman" w:cs="Times New Roman" w:eastAsia="Times New Roman"/>
          <w:b w:val="0"/>
          <w:i/>
          <w:sz w:val="20"/>
        </w:rPr>
        <w:t>Figure 2 (from PMC11672833): “L-cysteine (CYS) attenuates cisplatin (CIS)-induced reduction in TM3 and TM4 cell viability. TM3 (5000 cell/well) (n = 7) and TM4 cells (3000 cell/well) (n = 7) were cultured in a 96-well plate for cell viability. TM3 (n = 7) and TM4 (n = 7) cells (4 × 10 4 cell/well) were cultured in a 12-well plate for cell morphology and composition. They were co-treated ”</w:t>
      </w:r>
    </w:p>
    <w:p>
      <w:pPr>
        <w:spacing w:after="120"/>
        <w:jc w:val="both"/>
      </w:pPr>
      <w:r>
        <w:rPr>
          <w:rFonts w:ascii="Times New Roman" w:hAnsi="Times New Roman" w:cs="Times New Roman" w:eastAsia="Times New Roman"/>
          <w:b w:val="0"/>
          <w:i w:val="0"/>
          <w:sz w:val="24"/>
        </w:rPr>
        <w:t>“Examples of these disorders include diabetes, obesity, cancer, neurological disorders, hypertension, pulmonary, inflammatory bowel, cardiovascular, autoimmune, and infectious diseases in humans, as well as domesticated animal weaning disorders, respiratory disease, diarrhea, endometritis, and mastitis [ 3 , 4 , 5 , 6 , 7 , 8 , 9 , 10 ]. While there has been an increasing interest in the use of NAC for a wide range of pathological conditions over the past few decades, various human clinical studies have reported conflicting results, and many other studies were performed in vitro. Therefore, more clinical studies are required to address these conflicting results and to support the purported therapeutic roles of NAC in treating different pathological conditions. Various animal studies involving the use of NAC have also been performed, especially with its use in treating intestinal inflammation and related disorders that can be caused by anti-nutritional factors (e.g., \u03b2 -conglycinin, a vicilin storage protein of soybeans), the process of weaning, and consumption of mycotoxins [ 10 , 11 , 12 ].”  [PMC10604897 ¶3]</w:t>
      </w:r>
    </w:p>
    <w:p>
      <w:pPr>
        <w:spacing w:after="120"/>
        <w:jc w:val="both"/>
      </w:pPr>
      <w:r>
        <w:rPr>
          <w:rFonts w:ascii="Times New Roman" w:hAnsi="Times New Roman" w:cs="Times New Roman" w:eastAsia="Times New Roman"/>
          <w:b w:val="0"/>
          <w:i w:val="0"/>
          <w:sz w:val="24"/>
        </w:rPr>
        <w:t>“In a study conducted by Messier et al. (2013), NAC was shown to provide protection against injury to murine alveolar type 2 (ATII) cells and lung tissue induced by cigarette smoke [ 55 ]. These in vivo and in vitro studies were carried out with mice lacking the nuclear factor erythroid 2-related factor-2 ( Nrf2 ), whose gene product is a redox-sensitive transcription factor that is crucial to the regulation of the antioxidant defense system [ 54 , 55 ]. NAC\u2019s ability to act as a direct scavenger of free radicals in an Nrf2-independent manner is of considerable importance as Nrf2-dependent endogenous antioxidants are often reduced in COPD patients [ 54 ]. In a randomized, placebo-controlled trial conducted by Kasielski and Nowak (2001), in which NAC was administered long-term (12 months), it was found that treatment with 600 mg/day of NAC significantly reduced the concentration of H 2 O 2 in the expired breath condensate of stable COPD patients; these patients showed a progressive decrease from baseline H 2 O 2 concentrations, reaching statistical significance after 6 months of treatment [ 56 ].”  [PMC10604897 ¶23]</w:t>
      </w:r>
    </w:p>
    <w:p>
      <w:pPr>
        <w:spacing w:after="120"/>
        <w:jc w:val="both"/>
      </w:pPr>
      <w:r>
        <w:rPr>
          <w:rFonts w:ascii="Times New Roman" w:hAnsi="Times New Roman" w:cs="Times New Roman" w:eastAsia="Times New Roman"/>
          <w:b w:val="0"/>
          <w:i w:val="0"/>
          <w:sz w:val="24"/>
        </w:rPr>
        <w:t>“In human trials, for example, NAC significantly lowered the occurrence of clinically apparent H1N1 influenza disease [ 61 ]. Additionally, in cell culture experiments, NAC protected against H3N2 influenza virus-induced oxidative stress, cell death, the expression of inflammatory genes, and NF-\u03baB activity [ 62 , 63 ]. However, this aspect is still under investigation, and more research is needed to confirm its antiviral properties. High doses of NAC used as an adjuvant treatment in influenza pneumonia patients have also been shown to reduce influenza symptomatology and to improve cell-mediated immunity, which is important for fighting viral infections [ 61 ]. NAC\u2019s immunomodulatory properties are likely due to its ability to inhibit the activation of oxidant-sensitive pathways, including the NF-\u03baB and p38 mitogen-activated protein kinase (MAPK) signaling pathways [ 60 ]. Indeed, cytokine and chemokine levels were significantly reduced following in vivo NAC treatment [ 60 ].”  [PMC10604897 ¶26]</w:t>
      </w:r>
    </w:p>
    <w:p>
      <w:pPr>
        <w:jc w:val="center"/>
      </w:pPr>
      <w:r>
        <w:drawing>
          <wp:inline xmlns:a="http://schemas.openxmlformats.org/drawingml/2006/main" xmlns:pic="http://schemas.openxmlformats.org/drawingml/2006/picture">
            <wp:extent cx="5029200" cy="2300859"/>
            <wp:docPr id="131" name="Picture 131"/>
            <wp:cNvGraphicFramePr>
              <a:graphicFrameLocks noChangeAspect="1"/>
            </wp:cNvGraphicFramePr>
            <a:graphic>
              <a:graphicData uri="http://schemas.openxmlformats.org/drawingml/2006/picture">
                <pic:pic>
                  <pic:nvPicPr>
                    <pic:cNvPr id="0" name="p21_i1.jpg"/>
                    <pic:cNvPicPr/>
                  </pic:nvPicPr>
                  <pic:blipFill>
                    <a:blip r:embed="rId12"/>
                    <a:stretch>
                      <a:fillRect/>
                    </a:stretch>
                  </pic:blipFill>
                  <pic:spPr>
                    <a:xfrm>
                      <a:off x="0" y="0"/>
                      <a:ext cx="5029200" cy="2300859"/>
                    </a:xfrm>
                    <a:prstGeom prst="rect"/>
                  </pic:spPr>
                </pic:pic>
              </a:graphicData>
            </a:graphic>
          </wp:inline>
        </w:drawing>
      </w:r>
    </w:p>
    <w:p>
      <w:pPr>
        <w:spacing w:after="160"/>
        <w:jc w:val="center"/>
      </w:pPr>
      <w:r>
        <w:rPr>
          <w:rFonts w:ascii="Times New Roman" w:hAnsi="Times New Roman" w:cs="Times New Roman" w:eastAsia="Times New Roman"/>
          <w:b w:val="0"/>
          <w:i/>
          <w:sz w:val="20"/>
        </w:rPr>
        <w:t>Figure 1 (from PMC10604897): “The three major narratives of NAC’s mechanisms of action.</w:t>
        <w:br/>
        <w:t xml:space="preserve">   graphic: `antioxidants-12-01867-g001.jpg`”</w:t>
      </w:r>
    </w:p>
    <w:p>
      <w:pPr>
        <w:spacing w:after="120"/>
        <w:jc w:val="both"/>
      </w:pPr>
      <w:r>
        <w:rPr>
          <w:rFonts w:ascii="Times New Roman" w:hAnsi="Times New Roman" w:cs="Times New Roman" w:eastAsia="Times New Roman"/>
          <w:b w:val="0"/>
          <w:i w:val="0"/>
          <w:sz w:val="24"/>
        </w:rPr>
        <w:t>“Lower numbers of infiltrating macrophages, lymphocytes and neutrophils, and myeloperoxidase (MPO) activity, were also found in influenza-infected lungs following administration (intraperitoneal injection) of NAC in mice [ 64 ]. Furthermore, the increased proliferation of influenza-specific lymphocytes and the effector function of cytotoxic lymphocytes were found to be positively correlated with NAC treatment [ 65 ]. However, it is important to note that NAC efficacy is dependent on the strain of influenza virus, particularly influenza A virus [ 59 ]. It appears that NAC\u2019s antioxidant and immunomodulatory properties are more efficacious for highly pathogenic influenza A strains in comparison to low pathogenic influenza A strains [ 60 , 66 ]. While the reasoning behind this strain-dependent variation in efficacy is not yet well understood, it is thought that the differences in terms of how the NF-\u03baB pathway is activated in highly pathogenic versus low pathogenic influenza strains may provide an explanation [ 59 ]. 5.3.2.”  [PMC10604897 ¶27]</w:t>
      </w:r>
    </w:p>
    <w:p>
      <w:pPr>
        <w:spacing w:after="120"/>
        <w:jc w:val="both"/>
      </w:pPr>
      <w:r>
        <w:rPr>
          <w:rFonts w:ascii="Times New Roman" w:hAnsi="Times New Roman" w:cs="Times New Roman" w:eastAsia="Times New Roman"/>
          <w:b w:val="0"/>
          <w:i w:val="0"/>
          <w:sz w:val="24"/>
        </w:rPr>
        <w:t>“COVID-19 COVID-19 deaths are mainly attributed to the acute respiratory distress syndrome (ARDS) associated with SARS-CoV-2 infection, particularly in the elderly and those with co-morbidities [ 67 , 68 ]. There is increasing evidence to indicate that excessive immune activation, and the resulting cytokine storm, are the cause of COVID-19-associated lung injury [ 67 ]. This excessive immune activation can be the result of an imbalance in redox homeostasis of which prolonged oxidative stress due to inflammation, increased ROS production, and decreased GSH levels are important factors [ 67 ]. NAC has long since been used as an off-label antioxidant; however, there is increasing evidence from both preclinical and clinical studies that NAC can attenuate immune activation and cytokine release, which may be relevant to COVID-19 [ 50 ]. In a study conducted by Ungheri et al. (2000), NAC was found to significantly decrease the mortality of influenza-infected mice by reducing the production of ROS and cytokines, such as TNF-\u221d and IL-6 [ 69 ].”  [PMC10604897 ¶28]</w:t>
      </w:r>
    </w:p>
    <w:p>
      <w:pPr>
        <w:spacing w:after="120"/>
        <w:jc w:val="both"/>
      </w:pPr>
      <w:r>
        <w:rPr>
          <w:rFonts w:ascii="Times New Roman" w:hAnsi="Times New Roman" w:cs="Times New Roman" w:eastAsia="Times New Roman"/>
          <w:b w:val="0"/>
          <w:i w:val="0"/>
          <w:sz w:val="24"/>
        </w:rPr>
        <w:t>“Autoimmune diseases are becoming increasingly prevalent, and their corresponding treatments can result in further immunosuppression, which can lead to systemic infections that potentially cause death [ 75 ]. More natural treatment remedies, such as NAC, have been explored for treating IBD [ 77 ]. Studies conducted by Ebrahimi et al. (2008) measured certain biomarkers in colon cells in a mouse model to examine the effects of NAC on IBD. NAC was administered at varying amounts (106, 160, and 240 mg/kg) over the course of four days after the induction of colitis, and it was determined that NAC was able to attenuate lipid peroxides, the cytokine TNF-\u237a, and nitric oxides [ 77 ]. The researchers concluded that cellular biomarkers for IBD improved with the use of moderate to high doses of NAC [ 77 ]. Additionally, research on human UC by Shirazi et al. (2021) examined NAC as an antioxidant agent for treating flare-ups of the illness [ 78 ].”  [PMC10604897 ¶34]</w:t>
      </w:r>
    </w:p>
    <w:p>
      <w:pPr>
        <w:jc w:val="center"/>
      </w:pPr>
      <w:r>
        <w:drawing>
          <wp:inline xmlns:a="http://schemas.openxmlformats.org/drawingml/2006/main" xmlns:pic="http://schemas.openxmlformats.org/drawingml/2006/picture">
            <wp:extent cx="5029200" cy="1144143"/>
            <wp:docPr id="132" name="Picture 132"/>
            <wp:cNvGraphicFramePr>
              <a:graphicFrameLocks noChangeAspect="1"/>
            </wp:cNvGraphicFramePr>
            <a:graphic>
              <a:graphicData uri="http://schemas.openxmlformats.org/drawingml/2006/picture">
                <pic:pic>
                  <pic:nvPicPr>
                    <pic:cNvPr id="0" name="p21_i2.jpg"/>
                    <pic:cNvPicPr/>
                  </pic:nvPicPr>
                  <pic:blipFill>
                    <a:blip r:embed="rId13"/>
                    <a:stretch>
                      <a:fillRect/>
                    </a:stretch>
                  </pic:blipFill>
                  <pic:spPr>
                    <a:xfrm>
                      <a:off x="0" y="0"/>
                      <a:ext cx="5029200" cy="1144143"/>
                    </a:xfrm>
                    <a:prstGeom prst="rect"/>
                  </pic:spPr>
                </pic:pic>
              </a:graphicData>
            </a:graphic>
          </wp:inline>
        </w:drawing>
      </w:r>
    </w:p>
    <w:p>
      <w:pPr>
        <w:spacing w:after="160"/>
        <w:jc w:val="center"/>
      </w:pPr>
      <w:r>
        <w:rPr>
          <w:rFonts w:ascii="Times New Roman" w:hAnsi="Times New Roman" w:cs="Times New Roman" w:eastAsia="Times New Roman"/>
          <w:b w:val="0"/>
          <w:i/>
          <w:sz w:val="20"/>
        </w:rPr>
        <w:t>Figure panel from PMC10604897 (source bitmap p21_i2.jpg).</w:t>
      </w:r>
    </w:p>
    <w:p>
      <w:pPr>
        <w:spacing w:after="120"/>
        <w:jc w:val="both"/>
      </w:pPr>
      <w:r>
        <w:rPr>
          <w:rFonts w:ascii="Times New Roman" w:hAnsi="Times New Roman" w:cs="Times New Roman" w:eastAsia="Times New Roman"/>
          <w:b w:val="0"/>
          <w:i w:val="0"/>
          <w:sz w:val="24"/>
        </w:rPr>
        <w:t>“With the introduction of the mouse model of APAP hepatotoxicity in the 1970s, fundamental mechanisms of cell death were discovered. This included the recognition that part of the APAP dose is metabolized by cytochrome P450 generating a reactive metabolite that is detoxified by glutathione. After the partial depletion of glutathione, the reactive metabolite will covalently bind to sulfhydryl groups of proteins, which is the initiating event of the toxicity. This insight led to the introduction of N-acetyl-L-cysteine, a glutathione precursor, as antidote against APAP overdose in the clinic. Despite substantial progress in our understanding of the pathomechanisms over the last decades viable new antidotes only emerged recently. This review will discuss the background, mechanisms of action, and the clinical prospects of the existing FDA-approved antidote N-acetylcysteine, of several new drug candidates under clinical development [4-methylpyrazole (fomepizole), calmangafodipir] and examples of additional therapeutic targets (Nrf2 activators) and regeneration promoting agents (thrombopoietin mimetics, adenosine A2B receptor agonists, Wharton\u2019s Jelly mesenchymal stem cells).”  [PMC11315809 ¶1]</w:t>
      </w:r>
    </w:p>
    <w:p>
      <w:pPr>
        <w:spacing w:after="120"/>
        <w:jc w:val="both"/>
      </w:pPr>
      <w:r>
        <w:rPr>
          <w:rFonts w:ascii="Times New Roman" w:hAnsi="Times New Roman" w:cs="Times New Roman" w:eastAsia="Times New Roman"/>
          <w:b w:val="0"/>
          <w:i w:val="0"/>
          <w:sz w:val="24"/>
        </w:rPr>
        <w:t>“APAP overdose is the single most frequent cause of liver injury and acute liver failure in the U.S., UK [ 4 ] and Australia [ 5 ] and is at least a significant etiology of acute liver failure in many other western countries [ 4 ]. As a dose-dependent hepatotoxin, the injury process of APAP toxicity in patients can be accurately reproduced in animals [ 6 , 7 ], especially in mice [ 8 ]. Since the introduction of the mouse model in the 1970s [ 9 , 10 ], the mechanisms of cell death and liver injury have been extensively studied and today many key aspects of the injury mechanism are known [ 11 \u2013 13 ]. Based on the early mechanistic insight, limited to recognition of hepatotoxicity resulting from reactive metabolite formation causing GSH depletion and subsequent protein adduct formation [ 9 , 10 ], N-acetylcysteine (NAC) was discovered to be an effective antidote in animals and patients [ 14 ].”  [PMC11315809 ¶3]</w:t>
      </w:r>
    </w:p>
    <w:p>
      <w:pPr>
        <w:spacing w:after="120"/>
        <w:jc w:val="both"/>
      </w:pPr>
      <w:r>
        <w:rPr>
          <w:rFonts w:ascii="Times New Roman" w:hAnsi="Times New Roman" w:cs="Times New Roman" w:eastAsia="Times New Roman"/>
          <w:b w:val="0"/>
          <w:i w:val="0"/>
          <w:sz w:val="24"/>
        </w:rPr>
        <w:t>“This encouraged us to study the effect of fomepizole in the mouse model in vivo . The first study was designed to test the hypothesis that fomepizole can protect against APAP hepatotoxicity in mice by inhibiting cyp2e1 [ 55 ]. Given the short metabolism phase of a 300 mg/kg dose of APAP in mice [ 56 ], fomepizole was administered immediately after APAP to ensure that an effect on P450-mediated metabolism was covered. Co-treatment of fomepizole (50 mg/kg, which represents a human equivalent dose of 4 mg/kg) and a toxic dose of APAP (300 mg/kg) resulted in protection as indicated by &gt;95% reduction of plasma ALT elevations and almost complete prevention of centrilobular necrosis. The fact that fomepizole attenuated formation of the cyp2e1-derived oxidative metabolites and the protein adduct the formation of the reactive metabolite by &gt;90% suggested that the protection was caused by the inhibition of cyp2e1 [ 55 ] ( Figure 1 ).”  [PMC11315809 ¶12]</w:t>
      </w:r>
    </w:p>
    <w:p>
      <w:pPr>
        <w:spacing w:after="120"/>
        <w:jc w:val="both"/>
      </w:pPr>
      <w:r>
        <w:rPr>
          <w:rFonts w:ascii="Times New Roman" w:hAnsi="Times New Roman" w:cs="Times New Roman" w:eastAsia="Times New Roman"/>
          <w:b w:val="0"/>
          <w:i w:val="0"/>
          <w:sz w:val="24"/>
        </w:rPr>
        <w:t>“Interestingly, inhibiting metabolism by CYP2E1 did not result in higher APAP levels in circulation, but a trend to higher glucuronide and sulfate metabolites [ 57 ]. This indicates that, consistent with previous human data [ 50 ], the phase II detoxification pathways, especially glucuronidation, are flexible and can respond with a shift to higher APAP conjugation when one of the other pathways is blocked [ 57 ]. Since fomepizole cotreatment did not cause any evidence of liver injury in the volunteers and eliminated liver injury in mice, it appears unlikely that blocking metabolism through the P450 pathway leads to higher plasma levels of APAP and potential direct detrimental effects of APAP. Although fomepizole proved to be an effective Cyp2E1 inhibitor in both mice and humans, this mechanism alone would not make it competitive with NAC. Therefore, we assessed if fomepizole can also be effective when administered after the metabolism phase of APAP.”  [PMC11315809 ¶14]</w:t>
      </w:r>
    </w:p>
    <w:p>
      <w:pPr>
        <w:spacing w:after="120"/>
        <w:jc w:val="both"/>
      </w:pPr>
      <w:r>
        <w:rPr>
          <w:rFonts w:ascii="Times New Roman" w:hAnsi="Times New Roman" w:cs="Times New Roman" w:eastAsia="Times New Roman"/>
          <w:b w:val="0"/>
          <w:i w:val="0"/>
          <w:sz w:val="24"/>
        </w:rPr>
        <w:t>“A dose of 300 mg/kg APAP is mostly metabolized by 90 min after ip injection in mice [ 38 , 56 ]. When mice were treated with fomepizole 90 min after 300 mg/kg APAP, the animals were again almost completely protected against APAP toxicity, even though there was no reduction of protein adduct formation [ 59 ]. This suggested that the effect was not mediated by cyp2e1 inhibition. Follow-up measurements demonstrated that fomepizole was also an inhibitor of JNK by binding to the ATP binding site of the enzyme, and, as such, eliminated the mitochondrial oxidant stress and its amplification [ 59 ]. The combined effect of cyp2e1 and JNK inhibition makes fomepizole an effective antidote against APAP overdose ( Figure 1 ). In fact, one could assume that, mechanistically, fomepizole would be superior to NAC if given before APAP metabolism because preventing NAPQI formation is more effective than synthesizing GSH.”  [PMC11315809 ¶15]</w:t>
      </w:r>
    </w:p>
    <w:p>
      <w:pPr>
        <w:spacing w:after="120"/>
        <w:jc w:val="both"/>
      </w:pPr>
      <w:r>
        <w:rPr>
          <w:rFonts w:ascii="Times New Roman" w:hAnsi="Times New Roman" w:cs="Times New Roman" w:eastAsia="Times New Roman"/>
          <w:b w:val="0"/>
          <w:i w:val="0"/>
          <w:sz w:val="24"/>
        </w:rPr>
        <w:t>“Similarly, inhibiting ROS and peroxynitrite formation by inhibiting JNK is more effective than importing the newly synthesized GSH into mitochondria, where it can partly scavenge peroxynitrite. Consistent with this hypothesis, it was shown that fomepizole was indeed more effective when human hepatocytes exposed to 10 mM APAP, which is at the high end of plasma APAP levels observed after a massive overdose [ 51 ], were treated with fomepizole or NAC 16 h after APAP [ 60 ]. In support of these findings, it was shown that treatment with fomepizole beginning at 9 h after APAP in mice reduced liver injury by 45% based on plasma levels of ALT at 24 h and promoted mitochondrial biogenesis and recovery at 48 h [ 60 ]. In contrast, NAC is generally ineffective when given to mice at \u2265 3 h after APAP [ 38 , 60 , 61 ]. Although there is no exact translation of the injury progression from mice to humans, the 3 h time point represents the beginning of the injury phase in mice with completed drug metabolism, early oxidant stress, JNK activation and mitochondrial JNK translocation in mice.”  [PMC11315809 ¶16]</w:t>
      </w:r>
    </w:p>
    <w:p>
      <w:pPr>
        <w:spacing w:after="120"/>
        <w:jc w:val="both"/>
      </w:pPr>
      <w:r>
        <w:rPr>
          <w:rFonts w:ascii="Times New Roman" w:hAnsi="Times New Roman" w:cs="Times New Roman" w:eastAsia="Times New Roman"/>
          <w:b w:val="0"/>
          <w:i w:val="0"/>
          <w:sz w:val="24"/>
        </w:rPr>
        <w:t>“[ 28 ] demonstrated that the influence of NAC on NKA production displays a bell-shaped concentration-response curve. This suggests that the inhibitory effect observed at concentrations between 5 to 35 \u00b5M is greater than at higher concentrations [ 28 ]. This distinct fitting model induced by NAC concerning NKA levels may elucidate conflicting dose-effect findings reported in in vitro and in vivo settings, particularly regarding NAC\u2019s anti-inflammatory activity [ 72 ]. These findings imply that additional mechanisms apart from the anti-oxidant activity control the rise of IL-6 in LPS-stimulated human bronchi, particularly when NAC is administered at low concentrations equivalent to an oral dose of 200 mg/day. This suggests a genuine anti-inflammatory effect of NAC, distinct from its anti-oxidant capabilities. Given that the LPS challenge triggers neurogenic inflammation in the airways and IL-6 exacerbates NKA release, NAC at low concentrations seems to finely regulate neurogenic inflammation [ 73 , 74 , 75 , 76 ], a harmful condition that contributes to the cyclical relationship between oxidative stress and inflammation in human bronchi [ 13 , 27 ].”  [PMC11278452 ¶21]</w:t>
      </w:r>
    </w:p>
    <w:p>
      <w:pPr>
        <w:spacing w:after="120"/>
        <w:jc w:val="both"/>
      </w:pPr>
      <w:r>
        <w:rPr>
          <w:rFonts w:ascii="Times New Roman" w:hAnsi="Times New Roman" w:cs="Times New Roman" w:eastAsia="Times New Roman"/>
          <w:b w:val="0"/>
          <w:i w:val="0"/>
          <w:sz w:val="24"/>
        </w:rPr>
        <w:t>“Additionally, the duration of treatment significantly influences NAC\u2019s anti-inflammatory activity, as evidenced by Montero et al.\u2019s study [ 29 ]. Their findings showed that A549 cells treated with doses of NAC reflecting plasma concentrations after oral doses of 600 mg and 1200 mg prevented ROS induction, decreased thiol level, correlated with intracellular GSH levels, and suppressed IL-6 and IL-8 levels while inhibiting NF\u03baB activation [ 29 ]. The extended incubation period enabled even lower concentrations of NAC to exhibit anti-inflammatory effects, suggesting that NAC\u2019s positive impact on IL-6 regulation may stem from both its anti-oxidant properties and other anti-inflammatory mechanisms [ 27 , 28 , 29 ]. These results provide new evidence by confirming the concentration and time-dependent effects of NAC, both in vivo and in vitro, as suggested by Sadowska et al.”  [PMC11278452 ¶23]</w:t>
      </w:r>
    </w:p>
    <w:p>
      <w:pPr>
        <w:spacing w:after="120"/>
        <w:jc w:val="both"/>
      </w:pPr>
      <w:r>
        <w:rPr>
          <w:rFonts w:ascii="Times New Roman" w:hAnsi="Times New Roman" w:cs="Times New Roman" w:eastAsia="Times New Roman"/>
          <w:b w:val="0"/>
          <w:i w:val="0"/>
          <w:sz w:val="24"/>
        </w:rPr>
        <w:t>“Pharmacol. Ther.", "doi": "10.1016/j.pupt.2004.09.030", "pmid": "15607126" }, { "title": "Protective action of thiols on neutrophil function", "year": "1985", "source": "Eur. J. Respir. Dis. Suppl.", "pmid": "3862610" }, { "title": "Prevention of in vitro oxidant-mediated alveolar macrophage injury by cellular glutathione and precursors", "year": "1987", "source": "Bull. Eur. Physiopathol. Respir.", "pmid": "2825864" }, { "title": "Stimuli-induced superoxide radical generation in vitro by human alveolar macrophages from smokers: Modulation by N-acetylcysteine treatment in vivo", "year": "1986", "source": "J. Free Radic. Biol. Med.", "doi": "10.1016/S0748-5514(86)80060-5", "pmid": "3029208" }, { "title": "N-acetylcysteine protection against the toxicity of cigarette smoke and cigarette smoke condensates in various tissues and cells in vitro", "year": "1985", "source": "Eur. J. Respir. Dis.”  [PMC11278452 ¶45]</w:t>
      </w:r>
    </w:p>
    <w:p>
      <w:pPr>
        <w:jc w:val="center"/>
      </w:pPr>
      <w:r>
        <w:drawing>
          <wp:inline xmlns:a="http://schemas.openxmlformats.org/drawingml/2006/main" xmlns:pic="http://schemas.openxmlformats.org/drawingml/2006/picture">
            <wp:extent cx="5029200" cy="4259385"/>
            <wp:docPr id="133" name="Picture 133"/>
            <wp:cNvGraphicFramePr>
              <a:graphicFrameLocks noChangeAspect="1"/>
            </wp:cNvGraphicFramePr>
            <a:graphic>
              <a:graphicData uri="http://schemas.openxmlformats.org/drawingml/2006/picture">
                <pic:pic>
                  <pic:nvPicPr>
                    <pic:cNvPr id="0" name="p06_i1.jpg"/>
                    <pic:cNvPicPr/>
                  </pic:nvPicPr>
                  <pic:blipFill>
                    <a:blip r:embed="rId14"/>
                    <a:stretch>
                      <a:fillRect/>
                    </a:stretch>
                  </pic:blipFill>
                  <pic:spPr>
                    <a:xfrm>
                      <a:off x="0" y="0"/>
                      <a:ext cx="5029200" cy="4259385"/>
                    </a:xfrm>
                    <a:prstGeom prst="rect"/>
                  </pic:spPr>
                </pic:pic>
              </a:graphicData>
            </a:graphic>
          </wp:inline>
        </w:drawing>
      </w:r>
    </w:p>
    <w:p>
      <w:pPr>
        <w:spacing w:after="160"/>
        <w:jc w:val="center"/>
      </w:pPr>
      <w:r>
        <w:rPr>
          <w:rFonts w:ascii="Times New Roman" w:hAnsi="Times New Roman" w:cs="Times New Roman" w:eastAsia="Times New Roman"/>
          <w:b w:val="0"/>
          <w:i/>
          <w:sz w:val="20"/>
        </w:rPr>
        <w:t>Figure 1 (from PMC11278452): “Differential modulation of pro-inflammatory mediators in relation to both the concentration and duration of treatment with N-acetylcysteine in in vitro models of airway inflammation. NAC: N-acetylcysteine; LPS: lipopolysaccharides; NKA: neurokinin A; IL-6: Interleukin-6; TNF-α: tumor necrosis factor-α; IL-8: Interleukin-8; IL-1β: Interleukin-1beta; NF-κB: Nu”</w:t>
      </w:r>
    </w:p>
    <w:p>
      <w:pPr>
        <w:spacing w:after="120"/>
        <w:jc w:val="both"/>
      </w:pPr>
      <w:r>
        <w:rPr>
          <w:rFonts w:ascii="Times New Roman" w:hAnsi="Times New Roman" w:cs="Times New Roman" w:eastAsia="Times New Roman"/>
          <w:b w:val="0"/>
          <w:i w:val="0"/>
          <w:sz w:val="24"/>
        </w:rPr>
        <w:t>“Suppl.", "pmid": "3862605" }, { "title": "Lung protection by thiol-containing antioxidants", "year": "1987", "source": "Bull. Eur. Physiopathol. Respir.", "pmid": "3318962" }, { "title": "Oral N-acetylcysteine reduces selected humoral markers of inflammatory cell activity in BAL fluid from healthy smokers: Correlation to effects on cellular variables", "year": "1988", "source": "Eur. Respir. J.", "doi": "10.1183/09031936.93.01090832", "pmid": "2852604" }, { "title": "Dithiocarbamates as potent inhibitors of nuclear factor kappa B activation in intact cells", "year": "1992", "source": "J. Exp. Med.", "doi": "10.1084/jem.175.5.1181", "pmid": "1314883", "pmcid": "PMC2119220" }, { "title": "The influence of n-acetylcysteine on chemiluminescence of granulocytes in peripheral blood of patients with chronic bronchitis", "year": "1993", "source": "Pneumonol. Alergol. Pol.", "pmid": "8148757" }, { "title": "In vivo antioxidant treatment suppresses nuclear factor-kappa B activation and neutrophilic lung inflammation", "year": "1996", "source": "J.”  [PMC11278452 ¶46]</w:t>
      </w:r>
    </w:p>
    <w:p>
      <w:pPr>
        <w:spacing w:after="120"/>
        <w:jc w:val="both"/>
      </w:pPr>
      <w:r>
        <w:rPr>
          <w:rFonts w:ascii="Times New Roman" w:hAnsi="Times New Roman" w:cs="Times New Roman" w:eastAsia="Times New Roman"/>
          <w:b w:val="0"/>
          <w:i w:val="0"/>
          <w:sz w:val="24"/>
        </w:rPr>
        <w:t>“## Figure captions (7) 1. **Fig. 1** — Oxidative stress induces LBP upregulation and LD translocation. a A schematic illustrating the research strategy adopted in this study. The image was created using materials supplied by Ge Pan from the Central Academy of Fine Arts, China, and illustrated by Qilun Zhang. The use of these materials has been authorized. b A multivariate bubble plot comparing changes in LD-localized protein and RNA ex graphic: `41467_2024_47553_Fig1_HTML.jpg` 2. **Fig. 2** — The localization of LBP to LDs drives hepatic steatosis. a Hepatic TG content of WT mice under NT, 24 h fasting, or LPS-treatment (5 mg/kg, i.p.) for 24 h. Shown are means ± s.d., one-way ANOVA ( n = 3, biologically independent). b Representative bright-field microscope image showing separated LDs from the same treatment as described in ( a ), scale bar = 10 μm. Experiments was conducted with thre graphic: `41467_2024_47553_Fig2_HTML.jpg` 3. **Fig. 3** — LBP binds with unsaturated TG to prevent against lipid peroxidation. a A pie chart showing the difference in lipid composition between WT ( n = 3) and LBP KI/KI ( n = 3) mice liver after 16 weeks of HFD. b Analysis of chain length of differential TGs in ( a ).”  [PMC11016120 ¶1]</w:t>
      </w:r>
    </w:p>
    <w:p>
      <w:pPr>
        <w:spacing w:after="120"/>
        <w:jc w:val="both"/>
      </w:pPr>
      <w:r>
        <w:rPr>
          <w:rFonts w:ascii="Times New Roman" w:hAnsi="Times New Roman" w:cs="Times New Roman" w:eastAsia="Times New Roman"/>
          <w:b w:val="0"/>
          <w:i w:val="0"/>
          <w:sz w:val="24"/>
        </w:rPr>
        <w:t>“Shown are means ± s.e.m., ( n = 3, biologically independent). c Analysis of saturation of differential TGs in ( a ). Shown are means ± s.e. graphic: `41467_2024_47553_Fig3_HTML.jpg` 4. **Fig. 4** — The antioxidant activity of LBP. a A nine-quadrant plot depicting the combined analysis of the liver transcriptome and proteome of WT and LBP KI/KI mice fed with HFD for 16 weeks. Each group n = 3, biologically independent. b Go term enrichment analysis of the differential proteins in the third quadrant (upregulated) of ( a ), using different colors to represent different functions: yellow-lipid t graphic: `41467_2024_47553_Fig4_HTML.jpg` 5. **Fig. 5** — Redox signaling regulates LBP-induced LD accumulation via phospholipid biogenesis and the LBP chaperone function of PRDX4. a The bar graph compares the hepatic TG levels in WT mice and LBP KI/KI mice, with/without NAC treatment. Means ± s.d., 2way ANOVA ( n = 5–6, biologically independent). b Bright-field microscope image of LDs in LBP KI/KI mice, fasted for 24 h and treated with/without NAC treat graphic: `41467_2024_47553_Fig5_HTML.jpg` 6. **Fig. 6** — The #4-helix within the C-segment of LBP interacts with oxidized TGs. a LBP structure solved in the PDB database and predicted by Alphafold, with the black box indicating the differential #4α-helix. b Predict secondary structures and perform homology comparisons of LBP in various mammals. c Molecular docking diagram of WT-Tridocosahexaenoin with LBP.”  [PMC11016120 ¶2]</w:t>
      </w:r>
    </w:p>
    <w:p>
      <w:pPr>
        <w:spacing w:after="120"/>
        <w:jc w:val="both"/>
      </w:pPr>
      <w:r>
        <w:rPr>
          <w:rFonts w:ascii="Times New Roman" w:hAnsi="Times New Roman" w:cs="Times New Roman" w:eastAsia="Times New Roman"/>
          <w:b w:val="0"/>
          <w:i w:val="0"/>
          <w:sz w:val="24"/>
        </w:rPr>
        <w:t>“LBP is represented as a dark blue cartoon model graphic: `41467_2024_47553_Fig6_HTML.jpg` 7. **Fig. 7** — LBP upregulation drives obesity and is rescued by antioxidant treatment. a Serum TG and FFA levels in 8-week-old mice before and after Poloxamer 407 injection. Means ± s.d., 2way ANOVA ( n = 3, biologically independent). b Morphological comparison of LBP KI/KI , LBP − / − and WT mice fed on a 16-week high-fat diet. c Fasting blood glucose levels of mice in ( b ). Means ± s.d., two-tailed unpaired graphic: `41467_2024_47553_Fig7_HTML.jpg` ```json { "pmcid": "PMC11016120", "pmid": "38615060", "doi": "10.1038/s41467-024-47553-5", "title": "Lipopolysaccharide binding protein resists hepatic oxidative stress by regulating lipid droplet homeostasis", "journal": "Nature Communications", "year": "2024", "abstract": "Oxidative stress-induced lipid accumulation is mediated by lipid droplets (LDs) homeostasis, which sequester vulnerable unsaturated triglycerides into LDs to prevent further peroxidation.”  [PMC11016120 ¶3]</w:t>
      </w:r>
    </w:p>
    <w:p>
      <w:pPr>
        <w:jc w:val="center"/>
      </w:pPr>
      <w:r>
        <w:drawing>
          <wp:inline xmlns:a="http://schemas.openxmlformats.org/drawingml/2006/main" xmlns:pic="http://schemas.openxmlformats.org/drawingml/2006/picture">
            <wp:extent cx="5029200" cy="6262039"/>
            <wp:docPr id="134" name="Picture 134"/>
            <wp:cNvGraphicFramePr>
              <a:graphicFrameLocks noChangeAspect="1"/>
            </wp:cNvGraphicFramePr>
            <a:graphic>
              <a:graphicData uri="http://schemas.openxmlformats.org/drawingml/2006/picture">
                <pic:pic>
                  <pic:nvPicPr>
                    <pic:cNvPr id="0" name="p10_i1.jpg"/>
                    <pic:cNvPicPr/>
                  </pic:nvPicPr>
                  <pic:blipFill>
                    <a:blip r:embed="rId38"/>
                    <a:stretch>
                      <a:fillRect/>
                    </a:stretch>
                  </pic:blipFill>
                  <pic:spPr>
                    <a:xfrm>
                      <a:off x="0" y="0"/>
                      <a:ext cx="5029200" cy="6262039"/>
                    </a:xfrm>
                    <a:prstGeom prst="rect"/>
                  </pic:spPr>
                </pic:pic>
              </a:graphicData>
            </a:graphic>
          </wp:inline>
        </w:drawing>
      </w:r>
    </w:p>
    <w:p>
      <w:pPr>
        <w:spacing w:after="160"/>
        <w:jc w:val="center"/>
      </w:pPr>
      <w:r>
        <w:rPr>
          <w:rFonts w:ascii="Times New Roman" w:hAnsi="Times New Roman" w:cs="Times New Roman" w:eastAsia="Times New Roman"/>
          <w:b w:val="0"/>
          <w:i/>
          <w:sz w:val="20"/>
        </w:rPr>
        <w:t>Figure 1 (from PMC11016120): “Oxidative stress induces LBP upregulation and LD translocation. a A schematic illustrating the research strategy adopted in this study. The image was created using materials supplied by Ge Pan from the Central Academy of Fine Arts, China, and illustrated by Qilun Zhang. The use of these materials has been authorized. b A multivariate bubble plot comparing ch”</w:t>
      </w:r>
    </w:p>
    <w:p>
      <w:pPr>
        <w:spacing w:after="120"/>
        <w:jc w:val="both"/>
      </w:pPr>
      <w:r>
        <w:rPr>
          <w:rFonts w:ascii="Times New Roman" w:hAnsi="Times New Roman" w:cs="Times New Roman" w:eastAsia="Times New Roman"/>
          <w:b w:val="0"/>
          <w:i w:val="0"/>
          <w:sz w:val="24"/>
        </w:rPr>
        <w:t>“We have uncovered a cytoprotective mechanism, in which lipopolysaccharide-binding protein (LBP) mediates the selective sequestration of UFA-TG into LDs, effectively preventing lipolysis under oxidative stress. This finding is consistent with the previously reported antioxidant effect of LBP 14 , 15 . Importantly, we report a cellular mechanism by which protein/TG interaction promotes LD accumulation, which is consistent with the previously reported phenotype of reduced liver fat accumulation in LBP knockout mice 16 , 17 . Mechanistically, we found that LBP colocalizes with TG in LDs, which is regulated by the TG capture activity. The shuttle of LBP with LDs is meticulously regulated by its interaction with peroxiredoxin 4 (PRDX4), which senses oxidative stress and ensures the execution of LBP antioxidant function. In summary, LBP acts as an antioxidant to control lipid homeostasis and defends against oxidative stress by coupling with redox signaling and lipid metabolism.”  [PMC11016120 ¶7]</w:t>
      </w:r>
    </w:p>
    <w:p>
      <w:pPr>
        <w:spacing w:after="120"/>
        <w:jc w:val="both"/>
      </w:pPr>
      <w:r>
        <w:rPr>
          <w:rFonts w:ascii="Times New Roman" w:hAnsi="Times New Roman" w:cs="Times New Roman" w:eastAsia="Times New Roman"/>
          <w:b w:val="0"/>
          <w:i w:val="0"/>
          <w:sz w:val="24"/>
        </w:rPr>
        <w:t>“Results Oxidative stress induces LBP upregulation and localization within LDs To investigate the compositional and regulatory changes of LDs under oxidative stress, we conducted hepatic transcriptomic and LDs proteomic analyses of 8-week-old C57BL/6J mice before and after a 24-h fast (Fig. 1a ). Fasting elicits a hepatic stress response, as evidenced by upregulation of Cyp and peroxisome protein families and downregulation of RPS and EIF families (Supplementary Data 1 ). An integrative analysis of liver transcriptome and LDs proteome data unveiled seven proteins exhibiting significant alterations (Fig. 1b ). The majority of the identified proteins are known to be involved in LDs metabolism, with the exception of LBP, an acute-phase protein that functions as an extracellular Lipopolysaccharide (LPS) ligand 18 \u2013 20 . We validated the findings from multi-omics data and discovered that fasting significantly elevated hepatic LBP expression level and its localization to LDs, suggesting an upregulation of LD-localized LBP expression in response to this metabolic stress challenge (Fig. 1c ).”  [PMC11016120 ¶8]</w:t>
      </w:r>
    </w:p>
    <w:p>
      <w:pPr>
        <w:spacing w:after="120"/>
        <w:jc w:val="both"/>
      </w:pPr>
      <w:r>
        <w:rPr>
          <w:rFonts w:ascii="Times New Roman" w:hAnsi="Times New Roman" w:cs="Times New Roman" w:eastAsia="Times New Roman"/>
          <w:b w:val="0"/>
          <w:i w:val="0"/>
          <w:sz w:val="24"/>
        </w:rPr>
        <w:t>“The image was created using materials supplied by Ge Pan from the Central Academy of Fine Arts, China, and illustrated by Qilun Zhang. The use of these materials has been authorized. b A multivariate bubble plot comparing changes in LD-localized protein and RNA expression levels after a 24-h fast. Two-tailed student\u2019s t -test (each group n =\u20093, biologically independent). c Western blot analysis of LBP in liver tissue or liver LDs from 8-week-old mice receiving no treatment (NT) or a 24-h fast. d Changes in LBP mRNA expression after treatment with 1\u2009\u03bcM Bodipy C12, 2\u2009\u03bcM PC, or 60\u2009\u03bcM PA for 24\u2009h. Shown are means\u2009\u00b1\u2009s.d., one-way ANOVA ( n =\u20093, biologically independent). e Changes in LBP mRNA expression after treatment of HepG2 cells with 4\u2009\u03bcg/ml tunicamycin for 8\u2009h, 1\u2009mM hydrogen peroxide for 2 or 4\u2009h, nutritional-starvation for 3\u2009h, or 50\u2009\u00b0C heat shock for 1\u2009h.”  [PMC11016120 ¶10]</w:t>
      </w:r>
    </w:p>
    <w:p>
      <w:pPr>
        <w:jc w:val="center"/>
      </w:pPr>
      <w:r>
        <w:drawing>
          <wp:inline xmlns:a="http://schemas.openxmlformats.org/drawingml/2006/main" xmlns:pic="http://schemas.openxmlformats.org/drawingml/2006/picture">
            <wp:extent cx="5029200" cy="5731282"/>
            <wp:docPr id="135" name="Picture 135"/>
            <wp:cNvGraphicFramePr>
              <a:graphicFrameLocks noChangeAspect="1"/>
            </wp:cNvGraphicFramePr>
            <a:graphic>
              <a:graphicData uri="http://schemas.openxmlformats.org/drawingml/2006/picture">
                <pic:pic>
                  <pic:nvPicPr>
                    <pic:cNvPr id="0" name="p04_i1.jpg"/>
                    <pic:cNvPicPr/>
                  </pic:nvPicPr>
                  <pic:blipFill>
                    <a:blip r:embed="rId39"/>
                    <a:stretch>
                      <a:fillRect/>
                    </a:stretch>
                  </pic:blipFill>
                  <pic:spPr>
                    <a:xfrm>
                      <a:off x="0" y="0"/>
                      <a:ext cx="5029200" cy="5731282"/>
                    </a:xfrm>
                    <a:prstGeom prst="rect"/>
                  </pic:spPr>
                </pic:pic>
              </a:graphicData>
            </a:graphic>
          </wp:inline>
        </w:drawing>
      </w:r>
    </w:p>
    <w:p>
      <w:pPr>
        <w:spacing w:after="160"/>
        <w:jc w:val="center"/>
      </w:pPr>
      <w:r>
        <w:rPr>
          <w:rFonts w:ascii="Times New Roman" w:hAnsi="Times New Roman" w:cs="Times New Roman" w:eastAsia="Times New Roman"/>
          <w:b w:val="0"/>
          <w:i/>
          <w:sz w:val="20"/>
        </w:rPr>
        <w:t>Figure 2 (from PMC11016120): “The localization of LBP to LDs drives hepatic steatosis. a Hepatic TG content of WT mice under NT, 24 h fasting, or LPS-treatment (5 mg/kg, i.p.) for 24 h. Shown are means ± s.d., one-way ANOVA ( n = 3, biologically independent). b Representative bright-field microscope image showing separated LDs from the same treatment as described in ( a ), scale bar = 10”</w:t>
      </w:r>
    </w:p>
    <w:p>
      <w:pPr>
        <w:keepNext/>
        <w:pageBreakBefore/>
        <w:spacing w:before="480" w:after="160"/>
        <w:outlineLvl w:val="0"/>
      </w:pPr>
      <w:r>
        <w:rPr>
          <w:rFonts w:ascii="Times New Roman" w:hAnsi="Times New Roman" w:cs="Times New Roman" w:eastAsia="Times New Roman"/>
          <w:b/>
          <w:i w:val="0"/>
          <w:color w:val="1F3D7A"/>
          <w:sz w:val="36"/>
        </w:rPr>
        <w:t>8f.  Health Effects — Molecular and Biochemical Mechanism of Action</w:t>
      </w:r>
    </w:p>
    <w:p>
      <w:pPr>
        <w:spacing w:after="80"/>
        <w:jc w:val="both"/>
      </w:pPr>
      <w:r>
        <w:rPr>
          <w:rFonts w:ascii="Times New Roman" w:hAnsi="Times New Roman" w:cs="Times New Roman" w:eastAsia="Times New Roman"/>
          <w:b w:val="0"/>
          <w:i w:val="0"/>
          <w:sz w:val="24"/>
        </w:rPr>
        <w:t>This chapter pulls verbatim mechanism-of-action paragraphs from the harvested corpus so that downstream reviewers can inspect primary claims about specific molecular targets, protein interactions, and signalling pathways without re-reading every paper in full. Verbatim quotes are followed by a PMCID tag.</w:t>
      </w:r>
    </w:p>
    <w:p>
      <w:pPr>
        <w:keepNext/>
        <w:spacing w:before="280" w:after="80"/>
        <w:outlineLvl w:val="1"/>
      </w:pPr>
      <w:r>
        <w:rPr>
          <w:rFonts w:ascii="Times New Roman" w:hAnsi="Times New Roman" w:cs="Times New Roman" w:eastAsia="Times New Roman"/>
          <w:b/>
          <w:i w:val="0"/>
          <w:color w:val="335588"/>
          <w:sz w:val="28"/>
        </w:rPr>
        <w:t>12.1  Receptor- and kinase-level actions</w:t>
      </w:r>
    </w:p>
    <w:p>
      <w:pPr>
        <w:spacing w:after="120"/>
        <w:jc w:val="both"/>
      </w:pPr>
      <w:r>
        <w:rPr>
          <w:rFonts w:ascii="Times New Roman" w:hAnsi="Times New Roman" w:cs="Times New Roman" w:eastAsia="Times New Roman"/>
          <w:b w:val="0"/>
          <w:i w:val="0"/>
          <w:sz w:val="24"/>
        </w:rPr>
        <w:t>“## Figure captions (4) 1. **Figure 1** — Structures of glutathione (GSH), L-cysteine-glutathione disulfide (CySSG), glutathione disulfide (oxidized glutathione, GSSG), and cysteinyl glutathione (CysGSH). Models were drawn by Jmol, through an interface on Wikipedia (GSSG) or at http://biomodel.uah.es/en/DIY/JSME/draw.en.htm (GSH, CySSG, and CysGSH; accessed 10 and 11 August 2021), based on CID structures 124886 for GSH, 10455148 for CySSG graphic: `ijms-23-00717-g001.jpg` 2. **Figure 2** — Plasma GSH, GSSG, and CySSG in 10 healthy (HIV-negative) people, 30 HIV-positive, and 23 AIDS patients. ( Left ) Derived from Figure 1 and the text of Walmsley et al. [ 15 ]. ( Right ) the same data plotted as per cent of average healthy controls. * p &lt; 0.05 compared to controls. graphic: `ijms-23-00717-g002.jpg` 3. **Figure 3** — Binding pocket from Wang et al. [ 1 ], showing that it can accommodate either ( A ) GSH or ( B ) GSSG. graphic: `ijms-23-00717-g003.jpg` 4. **Figure 4** — Potential docking sites of glutathionergics to the ECD of CaSR determined with the SwissDock docking simulator [ 56 ], and visualized via UCSF Chimera [ 57 ] visualization software.”  [PMC8776003 ¶1]</w:t>
      </w:r>
    </w:p>
    <w:p>
      <w:pPr>
        <w:spacing w:after="120"/>
        <w:jc w:val="both"/>
      </w:pPr>
      <w:r>
        <w:rPr>
          <w:rFonts w:ascii="Times New Roman" w:hAnsi="Times New Roman" w:cs="Times New Roman" w:eastAsia="Times New Roman"/>
          <w:b w:val="0"/>
          <w:i w:val="0"/>
          <w:sz w:val="24"/>
        </w:rPr>
        <w:t>“Images show Chain B of the CaSR ECD structure with ligands ( A ) and ( B ) CySSG, ( D ) GSH, ( E ) GSSG, and ( F ) CysGSH, docked in the binding site corresponding to where tryptophan and ( C ) a tryptophan derivative graphic: `ijms-23-00717-g004.jpg` ```json { "pmcid": "PMC8776003", "pmid": "35054903", "doi": "10.3390/ijms23020717", "title": "Extracellular Calcium Receptor as a Target for Glutathione and Its Derivatives", "journal": "International Journal of Molecular Sciences", "year": "2022", "abstract": "Extracellular glutathione (GSH) and oxidized glutathione (GSSG) can modulate the function of the extracellular calcium sensing receptor (CaSR). The CaSR has a binding pocket in the extracellular domain of CaSR large enough to bind either GSH or GSSG, as well as the naturally occurring oxidized derivative L-cysteine glutathione disulfide (CySSG) and the compound cysteinyl glutathione (CysGSH).”  [PMC8776003 ¶2]</w:t>
      </w:r>
    </w:p>
    <w:p>
      <w:pPr>
        <w:spacing w:after="120"/>
        <w:jc w:val="both"/>
      </w:pPr>
      <w:r>
        <w:rPr>
          <w:rFonts w:ascii="Times New Roman" w:hAnsi="Times New Roman" w:cs="Times New Roman" w:eastAsia="Times New Roman"/>
          <w:b w:val="0"/>
          <w:i w:val="0"/>
          <w:sz w:val="24"/>
        </w:rPr>
        <w:t>“Modeling the binding energies (\u0394G) of CySSG and CysGSH to CaSR reveals that both cysteine derivatives may have greater affinities for CaSR than either GSH or GSSG. GSH, CySSG, and GSSG are found in circulation in mammals and, among the three, CySSG is more affected by HIV/AIDs and aging than either GSH or GSSG. The beta-carbon linkage of cysteine in CysGSH may model a new class of calcimimetics, exemplified by etelcalcetide. Circulating glutathionergic compounds, particularly CySSG, may mediate calcium-regulatory responses via receptor-binding to CaSR in a variety of organs, including parathyroids, kidneys, and bones. Receptor-mediated actions of glutathionergics may thus complement their roles in redox regulation and detoxification. The glutathionergic binding site(s) on CaSR are suggested to be a target for development of drugs that can be used in treating kidney and other diseases whose mechanisms involve CaSR dysregulation.", "body_text": "1.”  [PMC8776003 ¶3]</w:t>
      </w:r>
    </w:p>
    <w:p>
      <w:pPr>
        <w:jc w:val="center"/>
      </w:pPr>
      <w:r>
        <w:drawing>
          <wp:inline xmlns:a="http://schemas.openxmlformats.org/drawingml/2006/main" xmlns:pic="http://schemas.openxmlformats.org/drawingml/2006/picture">
            <wp:extent cx="5029200" cy="2282000"/>
            <wp:docPr id="136" name="Picture 136"/>
            <wp:cNvGraphicFramePr>
              <a:graphicFrameLocks noChangeAspect="1"/>
            </wp:cNvGraphicFramePr>
            <a:graphic>
              <a:graphicData uri="http://schemas.openxmlformats.org/drawingml/2006/picture">
                <pic:pic>
                  <pic:nvPicPr>
                    <pic:cNvPr id="0" name="p06_i1.jpg"/>
                    <pic:cNvPicPr/>
                  </pic:nvPicPr>
                  <pic:blipFill>
                    <a:blip r:embed="rId46"/>
                    <a:stretch>
                      <a:fillRect/>
                    </a:stretch>
                  </pic:blipFill>
                  <pic:spPr>
                    <a:xfrm>
                      <a:off x="0" y="0"/>
                      <a:ext cx="5029200" cy="2282000"/>
                    </a:xfrm>
                    <a:prstGeom prst="rect"/>
                  </pic:spPr>
                </pic:pic>
              </a:graphicData>
            </a:graphic>
          </wp:inline>
        </w:drawing>
      </w:r>
    </w:p>
    <w:p>
      <w:pPr>
        <w:spacing w:after="160"/>
        <w:jc w:val="center"/>
      </w:pPr>
      <w:r>
        <w:rPr>
          <w:rFonts w:ascii="Times New Roman" w:hAnsi="Times New Roman" w:cs="Times New Roman" w:eastAsia="Times New Roman"/>
          <w:b w:val="0"/>
          <w:i/>
          <w:sz w:val="20"/>
        </w:rPr>
        <w:t>Figure 1 (from PMC8776003): “Structures of glutathione (GSH), L-cysteine-glutathione disulfide (CySSG), glutathione disulfide (oxidized glutathione, GSSG), and cysteinyl glutathione (CysGSH). Models were drawn by Jmol, through an interface on Wikipedia (GSSG) or at http://biomodel.uah.es/en/DIY/JSME/draw.en.htm (GSH, CySSG, and CysGSH; accessed 10 and 11 August 2021), based on CID struc”</w:t>
      </w:r>
    </w:p>
    <w:p>
      <w:pPr>
        <w:spacing w:after="120"/>
        <w:jc w:val="both"/>
      </w:pPr>
      <w:r>
        <w:rPr>
          <w:rFonts w:ascii="Times New Roman" w:hAnsi="Times New Roman" w:cs="Times New Roman" w:eastAsia="Times New Roman"/>
          <w:b w:val="0"/>
          <w:i w:val="0"/>
          <w:sz w:val="24"/>
        </w:rPr>
        <w:t>“Introduction Associations of calcium (Ca) and glutathione in various organs are not well understood. However, molecular modeling by Wang et al. [ 1 ] identified a glutathione binding site on the extracellular calcium sensing receptor (CaSR) and demonstrated glutathione-elicited changes in extracellular calcium responses mediated by CaSR transfected into a model cell system. With the perspective of more recent crystallographic studies of CaSR [ 2 , 3 , 4 , 5 ] and docking studies of various glutathionergic ligands with CaSR, this paper explores the potential actions that circulating glutathionergic compounds (reduced glutathione (GSH, PubChem CID 124886); oxidized glutathione (GSSG, PubChem CID 65359); and another circulating oxidized derivative of glutathione, L-cysteine-glutathione disulfide (CySSG, PubChem CID 10455148) may have that could be mediated via binding to the extracellular domain of CaSR.”  [PMC8776003 ¶4]</w:t>
      </w:r>
    </w:p>
    <w:p>
      <w:pPr>
        <w:spacing w:after="120"/>
        <w:jc w:val="both"/>
      </w:pPr>
      <w:r>
        <w:rPr>
          <w:rFonts w:ascii="Times New Roman" w:hAnsi="Times New Roman" w:cs="Times New Roman" w:eastAsia="Times New Roman"/>
          <w:b w:val="0"/>
          <w:i w:val="0"/>
          <w:sz w:val="24"/>
        </w:rPr>
        <w:t>“We propose that CaSR may be an important nexus for the interaction of glutathione and Ca and that the lesser known of these three compounds, CySSG, may have physiological roles in regulating CaSR activity through its receptor-binding activity. 1.1. GSH Synthesis and Relationship to GSH-Derivatives GSH is a tripeptide (gamma-glutamyl-cysteinyl-glycine) made by non-ribosomal mechanisms. The rate-limiting enzyme in GSH synthesis is glutamate-cysteine ligase (GCL, EC 6.3.2.2), whose activity is limited by the amount of enzyme and the availability of cysteine. Glutathione synthase (GSS) couples glycine to the resultant gamma-glu-cys to make GSH. GSH reacts with oxidants via glutathione peroxidase (GPx) to form GSSG, form GS- adducts with various electrophiles (these are often toxicants that are thereby detoxified) via glustathione-S-transferases (GSTs), or glutathionylates proteins through reactions mediated by glutaredoxins and thioredoxins.”  [PMC8776003 ¶5]</w:t>
      </w:r>
    </w:p>
    <w:p>
      <w:pPr>
        <w:spacing w:after="120"/>
        <w:jc w:val="both"/>
      </w:pPr>
      <w:r>
        <w:rPr>
          <w:rFonts w:ascii="Times New Roman" w:hAnsi="Times New Roman" w:cs="Times New Roman" w:eastAsia="Times New Roman"/>
          <w:b w:val="0"/>
          <w:i w:val="0"/>
          <w:sz w:val="24"/>
        </w:rPr>
        <w:t>“CySSG is also found in non-mammalian species, most notably in the polychaete Nereis succinea where it functions as a spawning pheromone [ 16 , 17 , 18 , 19 ]. 1.2. CaSR Function in Parathyroid, Kidney, and Other Tissues CaSR was first identified in parathyroid gland, where it solved the long-standing problem of what receptor mediated up- and down-regulation of parathyroid hormone (PTH) synthesis and release by Ca [ 20 ]. Unlike most secretory processes, PTH release is decreased by increases of extracellular Ca. CaSR was discovered to be a G-protein-coupled receptor that mediates responses in parathyroid cells by activating Gq, which regulates phospholipase C (PLC), and Gi, which inhibits cAMP synthesis (as reviewed by Ward [ 21 ]). CaSR activity is affected by small changes in Ca in the physiological extracellular range (1\u201310 mM) [ 20 ], and its sensitivity can be shifted by various agents, such as amino acids [ 22 ].”  [PMC8776003 ¶8]</w:t>
      </w:r>
    </w:p>
    <w:p>
      <w:pPr>
        <w:jc w:val="center"/>
      </w:pPr>
      <w:r>
        <w:drawing>
          <wp:inline xmlns:a="http://schemas.openxmlformats.org/drawingml/2006/main" xmlns:pic="http://schemas.openxmlformats.org/drawingml/2006/picture">
            <wp:extent cx="5029200" cy="3585047"/>
            <wp:docPr id="137" name="Picture 137"/>
            <wp:cNvGraphicFramePr>
              <a:graphicFrameLocks noChangeAspect="1"/>
            </wp:cNvGraphicFramePr>
            <a:graphic>
              <a:graphicData uri="http://schemas.openxmlformats.org/drawingml/2006/picture">
                <pic:pic>
                  <pic:nvPicPr>
                    <pic:cNvPr id="0" name="p03_i1.jpg"/>
                    <pic:cNvPicPr/>
                  </pic:nvPicPr>
                  <pic:blipFill>
                    <a:blip r:embed="rId47"/>
                    <a:stretch>
                      <a:fillRect/>
                    </a:stretch>
                  </pic:blipFill>
                  <pic:spPr>
                    <a:xfrm>
                      <a:off x="0" y="0"/>
                      <a:ext cx="5029200" cy="3585047"/>
                    </a:xfrm>
                    <a:prstGeom prst="rect"/>
                  </pic:spPr>
                </pic:pic>
              </a:graphicData>
            </a:graphic>
          </wp:inline>
        </w:drawing>
      </w:r>
    </w:p>
    <w:p>
      <w:pPr>
        <w:spacing w:after="160"/>
        <w:jc w:val="center"/>
      </w:pPr>
      <w:r>
        <w:rPr>
          <w:rFonts w:ascii="Times New Roman" w:hAnsi="Times New Roman" w:cs="Times New Roman" w:eastAsia="Times New Roman"/>
          <w:b w:val="0"/>
          <w:i/>
          <w:sz w:val="20"/>
        </w:rPr>
        <w:t>Figure 2 (from PMC8776003): “Plasma GSH, GSSG, and CySSG in 10 healthy (HIV-negative) people, 30 HIV-positive, and 23 AIDS patients. ( Left ) Derived from Figure 1 and the text of Walmsley et al. [ 15 ]. ( Right ) the same data plotted as per cent of average healthy controls. * p &lt; 0.05 compared to controls.</w:t>
        <w:br/>
        <w:t xml:space="preserve">   graphic: `ijms-23-00717-g002.jpg`”</w:t>
      </w:r>
    </w:p>
    <w:p>
      <w:pPr>
        <w:spacing w:after="120"/>
        <w:jc w:val="both"/>
      </w:pPr>
      <w:r>
        <w:rPr>
          <w:rFonts w:ascii="Times New Roman" w:hAnsi="Times New Roman" w:cs="Times New Roman" w:eastAsia="Times New Roman"/>
          <w:b w:val="0"/>
          <w:i w:val="0"/>
          <w:sz w:val="24"/>
        </w:rPr>
        <w:t>“The inflammatory response plays a central role by activating the NOD-like receptor family pyrin domain-containing 3 (NLRP3) inflammasome. This activation triggers the release of cytokines, which in turn fuel oxidative stress and further inflammatory processes, creating a vicious cycle [ 7 , 8 , 9 ]. In this brief review, ED pathology will be considered in terms of redox and inflammatory response, since both these factors are among the main causes of NLRP3 activation and CVDs associated with ED. 2. Features of Healthy Endothelium Healthy ECs lining the inner wall of vessels form a dynamic interface with different functions on the surrounding microenvironment. Vascular homeostasis in healthy endothelium is maintained through the release of NO, produced mainly by endothelial NO synthase (eNOS). The endothelium controls the functions of the organs and their metabolism primarily in a paracrine manner through what is defined as \u201cangiocrine signaling\u201d [ 10 ].”  [PMC11939635 ¶6]</w:t>
      </w:r>
    </w:p>
    <w:p>
      <w:pPr>
        <w:spacing w:after="120"/>
        <w:jc w:val="both"/>
      </w:pPr>
      <w:r>
        <w:rPr>
          <w:rFonts w:ascii="Times New Roman" w:hAnsi="Times New Roman" w:cs="Times New Roman" w:eastAsia="Times New Roman"/>
          <w:b w:val="0"/>
          <w:i w:val="0"/>
          <w:sz w:val="24"/>
        </w:rPr>
        <w:t>“Indeed, besides the aforementioned factors, vascular homeostasis is also regulated by myoendothelial junctions (MEJs), which mediate direct interactions between ECs and vascular smooth muscle cells (VSMCs) in resistance vessels. MEJs facilitate endothelial-dependent hyperpolarization (EDH), a NO-independent mechanism modulating vasodilation and vasoconstriction. Recent studies have highlighted the role of membrane proteins such as Transient Receptor Potential Vanilloid 4 (TRPV4), Piezo1, Acid-Sensing Ion Channel 1a (ASIC1a), Connexins, and eNOS in vasomotor signal initiation and propagation. Although eNOS is not an intrinsic membrane protein, its localization to caveolae and interaction with caveolin-1 is promoted by post-translational modifications. Additional insights into Notch signaling have further elucidated its impact on vascular tone [ 4 , 12 , 13 ]. Initially identified as a vasodilator factor distinct from NO and PGI2, EDHF\u2019s identity evolved into the broader concept of EDH signaling, reflecting its complex role in vascular function.”  [PMC11939635 ¶8]</w:t>
      </w:r>
    </w:p>
    <w:p>
      <w:pPr>
        <w:spacing w:after="120"/>
        <w:jc w:val="both"/>
      </w:pPr>
      <w:r>
        <w:rPr>
          <w:rFonts w:ascii="Times New Roman" w:hAnsi="Times New Roman" w:cs="Times New Roman" w:eastAsia="Times New Roman"/>
          <w:b w:val="0"/>
          <w:i w:val="0"/>
          <w:sz w:val="24"/>
        </w:rPr>
        <w:t>“Moreover, ECs limit lipoprotein oxidation by reducing oxidative stress in the vascular wall through the production of NO, which is crucial in preventing atheromatous plaque formation [ 11 , 15 , 23 ]. The endothelial function is also regulated by the activation of receptor tyrosine kinases, such as vascular endothelial growth factor receptor (VEGFR2 and VEGFR3), as well as ion channels, integrins, and junctional proteins. Examples of junctional proteins are platelet endothelial cell adhesion molecule-1 (PECAM-1) and vascular endothelial (VE)-cadherin) [ 24 ]. Blood flow at the vessel level determines the onset of physical forces and mechano-transduction at the endothelial cell level. In physiological conditions, the shear stress produced by this force maintains the homeostasis of the endothelium. When this physical force varies\u2014whether it increases or decreases\u2014turbulence can arise, potentially disrupting homeostasis.”  [PMC11939635 ¶10]</w:t>
      </w:r>
    </w:p>
    <w:p>
      <w:pPr>
        <w:jc w:val="center"/>
      </w:pPr>
      <w:r>
        <w:drawing>
          <wp:inline xmlns:a="http://schemas.openxmlformats.org/drawingml/2006/main" xmlns:pic="http://schemas.openxmlformats.org/drawingml/2006/picture">
            <wp:extent cx="5029200" cy="2916365"/>
            <wp:docPr id="138" name="Picture 138"/>
            <wp:cNvGraphicFramePr>
              <a:graphicFrameLocks noChangeAspect="1"/>
            </wp:cNvGraphicFramePr>
            <a:graphic>
              <a:graphicData uri="http://schemas.openxmlformats.org/drawingml/2006/picture">
                <pic:pic>
                  <pic:nvPicPr>
                    <pic:cNvPr id="0" name="p11_i1.jpg"/>
                    <pic:cNvPicPr/>
                  </pic:nvPicPr>
                  <pic:blipFill>
                    <a:blip r:embed="rId16"/>
                    <a:stretch>
                      <a:fillRect/>
                    </a:stretch>
                  </pic:blipFill>
                  <pic:spPr>
                    <a:xfrm>
                      <a:off x="0" y="0"/>
                      <a:ext cx="5029200" cy="2916365"/>
                    </a:xfrm>
                    <a:prstGeom prst="rect"/>
                  </pic:spPr>
                </pic:pic>
              </a:graphicData>
            </a:graphic>
          </wp:inline>
        </w:drawing>
      </w:r>
    </w:p>
    <w:p>
      <w:pPr>
        <w:spacing w:after="160"/>
        <w:jc w:val="center"/>
      </w:pPr>
      <w:r>
        <w:rPr>
          <w:rFonts w:ascii="Times New Roman" w:hAnsi="Times New Roman" w:cs="Times New Roman" w:eastAsia="Times New Roman"/>
          <w:b w:val="0"/>
          <w:i/>
          <w:sz w:val="20"/>
        </w:rPr>
        <w:t>Figure 1 (from PMC11939635): “Key molecular mechanisms linking endothelial dysfunction, NLRP3 inflammasome, and cardiovascular diseases (CVDs). Schematic illustration of the pathways and factors contributing to endothelial dysfunction and the progression of CVDs. The activation of the NLRP3 inflammasome by PAMPs, DAMPs, and hemodynamic alterations triggers the production of inflammatory ”</w:t>
      </w:r>
    </w:p>
    <w:p>
      <w:pPr>
        <w:spacing w:after="120"/>
        <w:jc w:val="both"/>
      </w:pPr>
      <w:r>
        <w:rPr>
          <w:rFonts w:ascii="Times New Roman" w:hAnsi="Times New Roman" w:cs="Times New Roman" w:eastAsia="Times New Roman"/>
          <w:b w:val="0"/>
          <w:i w:val="0"/>
          <w:sz w:val="24"/>
        </w:rPr>
        <w:t>“Aging is also among the factors that determine mitochondrial dysfunction. In fact, vascular ECs present impaired mitochondrial biogenesis, reduced respiration, and increased production of ROS, which directly contribute to a reduced NO availability [ 46 ]. Oxidative stress can also disrupt mitophagy in vascular cells by impairing the PTEN-induced kinase 1 (PINK1)/Parkin pathway and reducing the expression of key mitophagy receptors, including BCL2 interacting protein 3 (BNIP3) and Nox [ 47 , 48 , 49 ]. This disruption leads to the accumulation of dysfunctional mitochondria, contributing to ED, impaired angiogenic response to injury, and cardiac remodeling [ 50 ]. Physiological aging induces phenotypic changes that make the vascular system more fragile in its various components, thereby increasing susceptibility to CVDs, such as hypertension, cardiac remodeling, and other pathologies related to metabolic syndrome [ 43 ] (See also Section 4 ). 3.1.”  [PMC11939635 ¶19]</w:t>
      </w:r>
    </w:p>
    <w:p>
      <w:pPr>
        <w:spacing w:after="120"/>
        <w:jc w:val="both"/>
      </w:pPr>
      <w:r>
        <w:rPr>
          <w:rFonts w:ascii="Times New Roman" w:hAnsi="Times New Roman" w:cs="Times New Roman" w:eastAsia="Times New Roman"/>
          <w:b w:val="0"/>
          <w:i w:val="0"/>
          <w:sz w:val="24"/>
        </w:rPr>
        <w:t>“Excess ROS also inhibits glyceraldehyde 3-phosphate dehydrogenase (GAPDH), resulting in increased diacylglycerol levels and activation of protein kinase C (PKC), which further stimulates ROS production through NOX activation [ 61 ]. There are also additional stimuli capable of increasing the production of ROS in ECs; for instance, ischemia/reperfusion exposes ECs to stimuli that amplify ROS production, driving endothelial dysfunction. Ischemia upregulates sodium-hydrogen exchangers (NHE), increasing intracellular Na + and cytosolic Ca 2+ via the sodium-calcium exchanger (NCX) [ 62 ]. Elevated Ca 2+ activates the PKC-NOX pathway, thereby further increasing ROS [ 63 ]. Excess ROS oxidize lipids and proteins while impairing antioxidant enzymes like catalase and SOD. The oxidative stress activates the vascular NLRP3 inflammasome, exacerbating endothelial dysfunction, the no-reflow phenomenon, and tissue damage during reperfusion [ 64 , 65 , 66 ].”  [PMC11939635 ¶24]</w:t>
      </w:r>
    </w:p>
    <w:p>
      <w:pPr>
        <w:spacing w:after="120"/>
        <w:jc w:val="both"/>
      </w:pPr>
      <w:r>
        <w:rPr>
          <w:rFonts w:ascii="Times New Roman" w:hAnsi="Times New Roman" w:cs="Times New Roman" w:eastAsia="Times New Roman"/>
          <w:b w:val="0"/>
          <w:i w:val="0"/>
          <w:sz w:val="24"/>
        </w:rPr>
        <w:t>“These last findings have been further confirmed by several authors, even in dysmetabolic mouse models. In fact, although SGLT2 is not the main glucose transporter in ECs, it has been observed that the reduction of oxidative stress by empagliflozin (EMPA), a selective inhibitor of SGLT2, improves the function of these cells, acting independently from its main pharmacological function [ 86 , 87 , 88 , 89 ]. The molecular pathway induced by EMPA involved Sestrin2/adenosine monophosphate-activated protein kinase (AMPK), increased phosphorylation of eNOS at Ser 1177 , and mechanistic target of rapamycin (mTOR) activation. In obese Sestrin2 knockout mice, these pathways are partially attenuated. The antioxidant action of EMPA seems to be mediated by Nrf2/HO-1, also suggesting an anti-inflammatory activity [ 89 ]. In apparent contrast to eNOS phosphorylation at Ser 1177 , this study found that EMPA inhibited Akt [ 89 ], which typically drives Ser 1177 eNOS phosphorylation.”  [PMC11939635 ¶31]</w:t>
      </w:r>
    </w:p>
    <w:p>
      <w:pPr>
        <w:jc w:val="center"/>
      </w:pPr>
      <w:r>
        <w:drawing>
          <wp:inline xmlns:a="http://schemas.openxmlformats.org/drawingml/2006/main" xmlns:pic="http://schemas.openxmlformats.org/drawingml/2006/picture">
            <wp:extent cx="5029200" cy="2478960"/>
            <wp:docPr id="139" name="Picture 139"/>
            <wp:cNvGraphicFramePr>
              <a:graphicFrameLocks noChangeAspect="1"/>
            </wp:cNvGraphicFramePr>
            <a:graphic>
              <a:graphicData uri="http://schemas.openxmlformats.org/drawingml/2006/picture">
                <pic:pic>
                  <pic:nvPicPr>
                    <pic:cNvPr id="0" name="p06_i1.jpg"/>
                    <pic:cNvPicPr/>
                  </pic:nvPicPr>
                  <pic:blipFill>
                    <a:blip r:embed="rId33"/>
                    <a:stretch>
                      <a:fillRect/>
                    </a:stretch>
                  </pic:blipFill>
                  <pic:spPr>
                    <a:xfrm>
                      <a:off x="0" y="0"/>
                      <a:ext cx="5029200" cy="2478960"/>
                    </a:xfrm>
                    <a:prstGeom prst="rect"/>
                  </pic:spPr>
                </pic:pic>
              </a:graphicData>
            </a:graphic>
          </wp:inline>
        </w:drawing>
      </w:r>
    </w:p>
    <w:p>
      <w:pPr>
        <w:spacing w:after="160"/>
        <w:jc w:val="center"/>
      </w:pPr>
      <w:r>
        <w:rPr>
          <w:rFonts w:ascii="Times New Roman" w:hAnsi="Times New Roman" w:cs="Times New Roman" w:eastAsia="Times New Roman"/>
          <w:b w:val="0"/>
          <w:i/>
          <w:sz w:val="20"/>
        </w:rPr>
        <w:t>Figure 2 (from PMC11939635): “Adequate NO production supports redox balance, vasodilation, and vascular homeostasis. In contrast, endothelial dysfunction and reduced NO levels lead to redox imbalance, favoring ROS/RNS-mediated inflammation and fibrosis, with O 2 •− , ONOO − and NLRP3 playing key roles (See also Figure 2 ). Double-headed lines indicate inhibition, while simple arrows indi”</w:t>
      </w:r>
    </w:p>
    <w:p>
      <w:pPr>
        <w:spacing w:after="120"/>
        <w:jc w:val="both"/>
      </w:pPr>
      <w:r>
        <w:rPr>
          <w:rFonts w:ascii="Times New Roman" w:hAnsi="Times New Roman" w:cs="Times New Roman" w:eastAsia="Times New Roman"/>
          <w:b w:val="0"/>
          <w:i w:val="0"/>
          <w:sz w:val="24"/>
        </w:rPr>
        <w:t>“In human trials, for example, NAC significantly lowered the occurrence of clinically apparent H1N1 influenza disease [ 61 ]. Additionally, in cell culture experiments, NAC protected against H3N2 influenza virus-induced oxidative stress, cell death, the expression of inflammatory genes, and NF-\u03baB activity [ 62 , 63 ]. However, this aspect is still under investigation, and more research is needed to confirm its antiviral properties. High doses of NAC used as an adjuvant treatment in influenza pneumonia patients have also been shown to reduce influenza symptomatology and to improve cell-mediated immunity, which is important for fighting viral infections [ 61 ]. NAC\u2019s immunomodulatory properties are likely due to its ability to inhibit the activation of oxidant-sensitive pathways, including the NF-\u03baB and p38 mitogen-activated protein kinase (MAPK) signaling pathways [ 60 ]. Indeed, cytokine and chemokine levels were significantly reduced following in vivo NAC treatment [ 60 ].”  [PMC10604897 ¶26]</w:t>
      </w:r>
    </w:p>
    <w:p>
      <w:pPr>
        <w:spacing w:after="120"/>
        <w:jc w:val="both"/>
      </w:pPr>
      <w:r>
        <w:rPr>
          <w:rFonts w:ascii="Times New Roman" w:hAnsi="Times New Roman" w:cs="Times New Roman" w:eastAsia="Times New Roman"/>
          <w:b w:val="0"/>
          <w:i w:val="0"/>
          <w:sz w:val="24"/>
        </w:rPr>
        <w:t>“Furthermore, the addition of NAC to the standard treatment protocol for many acute respiratory conditions including influenza, community-acquired pneumonia (CAP), ARDS, and ventilator-associated pneumonia (VAP) was found to decrease the severity of disease by mainly attenuating the immune activation [ 67 ]. NAC could be used as a potential therapeutic agent in the treatment of COVID-19 by supporting T-cell responses and modulating inflammation [ 70 ]. It might also have a potential application to neutralize the toxicity of the SARS-CoV-2 spike protein both after COVID-19 infection and mRNA-based injection. Almost all SARS-CoV-2 variants have conserved cysteine residues in the spike protein forming disulfide bonds. Upon in silico exposure to NAC, these SARS-CoV-2 cysteine residues conjugate covalently with NAC, which results in perturbation of stereo-specific orientations of spike protein and consequent weakening in the binding affinity of spike protein with ACE2 receptor [ 71 ].”  [PMC10604897 ¶29]</w:t>
      </w:r>
    </w:p>
    <w:p>
      <w:pPr>
        <w:spacing w:after="120"/>
        <w:jc w:val="both"/>
      </w:pPr>
      <w:r>
        <w:rPr>
          <w:rFonts w:ascii="Times New Roman" w:hAnsi="Times New Roman" w:cs="Times New Roman" w:eastAsia="Times New Roman"/>
          <w:b w:val="0"/>
          <w:i w:val="0"/>
          <w:sz w:val="24"/>
        </w:rPr>
        <w:t>“With the introduction of the mouse model of APAP hepatotoxicity in the 1970s, fundamental mechanisms of cell death were discovered. This included the recognition that part of the APAP dose is metabolized by cytochrome P450 generating a reactive metabolite that is detoxified by glutathione. After the partial depletion of glutathione, the reactive metabolite will covalently bind to sulfhydryl groups of proteins, which is the initiating event of the toxicity. This insight led to the introduction of N-acetyl-L-cysteine, a glutathione precursor, as antidote against APAP overdose in the clinic. Despite substantial progress in our understanding of the pathomechanisms over the last decades viable new antidotes only emerged recently. This review will discuss the background, mechanisms of action, and the clinical prospects of the existing FDA-approved antidote N-acetylcysteine, of several new drug candidates under clinical development [4-methylpyrazole (fomepizole), calmangafodipir] and examples of additional therapeutic targets (Nrf2 activators) and regeneration promoting agents (thrombopoietin mimetics, adenosine A2B receptor agonists, Wharton\u2019s Jelly mesenchymal stem cells).”  [PMC11315809 ¶1]</w:t>
      </w:r>
    </w:p>
    <w:p>
      <w:pPr>
        <w:spacing w:after="120"/>
        <w:jc w:val="both"/>
      </w:pPr>
      <w:r>
        <w:rPr>
          <w:rFonts w:ascii="Times New Roman" w:hAnsi="Times New Roman" w:cs="Times New Roman" w:eastAsia="Times New Roman"/>
          <w:b w:val="0"/>
          <w:i w:val="0"/>
          <w:sz w:val="24"/>
        </w:rPr>
        <w:t>“This reactive metabolite was identified as N-acetyl-p-benzoquinone imine (NAPQI), which after GSH depletion, preferably reacts with sulfhydryl groups of cysteine in proteins [ 23 ]. Although extensive formation of protein adducts is the initiating event in the toxicity, it is protein adducts in mitochondria that are most critical [ 24 , 25 ]. Mitochondrial adducts trigger a limited electron leak from complex III of the mitochondrial electron transport chain into the cytosol [ 26 ]. This mild oxidant stress activates a redox-sensitive mitogen-activated protein kinase cascade, resulting in activation (phosphorylation) of c-jun N-terminal kinase (JNK) [ 26 ]. P-JNK translocates to the mitochondria [ 27 ] and binds to the anchor protein Sab [ 28 ], which triggers further impairment of the electron transport chain with exaggerated oxidant stress [ 29 ], mainly through leakage of electrons of complex I into the mitochondrial matrix [ 26 ].”  [PMC11315809 ¶7]</w:t>
      </w:r>
    </w:p>
    <w:p>
      <w:pPr>
        <w:spacing w:after="120"/>
        <w:jc w:val="both"/>
      </w:pPr>
      <w:r>
        <w:rPr>
          <w:rFonts w:ascii="Times New Roman" w:hAnsi="Times New Roman" w:cs="Times New Roman" w:eastAsia="Times New Roman"/>
          <w:b w:val="0"/>
          <w:i w:val="0"/>
          <w:sz w:val="24"/>
        </w:rPr>
        <w:t>“Once liver injury has occurred, necrotic hepatocytes are removed by components of the sterile inflammatory response [ 103 ], which also induce hepatocyte proliferation to regenerate areas of necrosis [ 104 ], enabling a return to homeostasis. The recognition that induction of liver regeneration - or the lack thereof - is an important consideration in whether the patient recovers spontaneously or goes into liver failure, is now driving research focused on therapeutic agents which promote regeneration ( Figure 1 ). Our earlier work had demonstrated that the neuronal guidance cue netrin-1 provided delayed protection against APAP hepatotoxicity by enhancing the innate immune response and inducing hepatocyte regeneration, an effect mediated through the Adenosine A2B receptor (A2BAR) [ 105 ]. We subsequently demonstrated that pharmacological activation of the A2BAR through administration of its agonist, BAY 60\u20136583, also provided protection against APAP-induced injury [ 106 ].”  [PMC11315809 ¶36]</w:t>
      </w:r>
    </w:p>
    <w:p>
      <w:pPr>
        <w:spacing w:after="120"/>
        <w:jc w:val="both"/>
      </w:pPr>
      <w:r>
        <w:rPr>
          <w:rFonts w:ascii="Times New Roman" w:hAnsi="Times New Roman" w:cs="Times New Roman" w:eastAsia="Times New Roman"/>
          <w:b w:val="0"/>
          <w:i w:val="0"/>
          <w:sz w:val="24"/>
        </w:rPr>
        <w:t>“Most importantly, delayed treatment with BAY 60\u20136583 at time points when the standard of care, NAC, was ineffective also provided protection with a decrease in areas of necrosis and enhanced infiltration of macrophages with a reparative, anti-inflammatory phenotype [ 106 ]. These data suggest that activation of the A2BAR receptor could be an approach, which would be effective in a delayed fashion to enhance liver recovery and regeneration, even when NAC may be ineffective. Investigating additional late-acting therapeutic options, we also demonstrated the beneficial effect of Whartons Jelly Mesenchymal Stem Cell (WJMSC) preparations against APAP-induced liver injury [ 107 ]. These cells are cleared for human use and were shown to enhance liver recovery by accelerating regeneration of pericentral hepatocytes to re-establish liver zonation and promote liver homeostasis when administered 90 minutes after APAP overdose in the mouse model [ 107 ].”  [PMC11315809 ¶37]</w:t>
      </w:r>
    </w:p>
    <w:p>
      <w:pPr>
        <w:spacing w:after="120"/>
        <w:jc w:val="both"/>
      </w:pPr>
      <w:r>
        <w:rPr>
          <w:rFonts w:ascii="Times New Roman" w:hAnsi="Times New Roman" w:cs="Times New Roman" w:eastAsia="Times New Roman"/>
          <w:b w:val="0"/>
          <w:i w:val="0"/>
          <w:sz w:val="24"/>
        </w:rPr>
        <w:t>“However, there currently exists only limited mechanistic understanding of the mode of action in preclinical models and in humans, and clear, reproducible preclinical efficacy is missing. A phase III clinical trial is being planned. A third potential drug in clinical development and a first in class is TPOm, which has a limited effect on the injury, but may be more relevant as a regeneration-promoting agent. A2B receptor agonists and WJMSC are also promising agents that support recovery after APAP-induced necrosis and are effective, even when treatment is severely delayed ( Figure 1 ). However, the lack of patent protection is a hurdle in their further development. Other approaches such as Nrf2 activators are promising as prophylactic agents but may have limited utility as antidotes. We are hopeful that the substantial progress in the development of additional clinically relevant antidotes against APAP-induced liver injury and acute liver failure in recent years will result in additional therapeutics for clinical use soon.", "tables": [ { "label": "Table 1:", "caption": "Characteristics of New Antidotes in Clinical Development compared to N-Acetylcysteine", "html": "&lt;table frame=\"below\" rules=\"none\"&gt;&lt;colgroup span=\"1\"&gt;&lt;col align=\"left\" valign=\"middle\" span=\"1\"&gt;&lt;col align=\"left\" valign=\"middle\" span=\"1\"&gt;&lt;col align=\"left\" valign=\"middle\" span=\"1\"&gt;&lt;col align=\"left\" valign=\"middle\" span=\"1\"&gt;&lt;col align=\"left\" valign=\"middle\" span=\"1\"&gt;&lt;/colgroup&gt;&lt;thead&gt;&lt;tr&gt;&lt;th align=\"left\" valign=\"top\" rowspan=\"1\" colspan=\"1\"&gt;Liver Injury:&lt;/th&gt;&lt;th align=\"center\" valign=\"top\" rowspan=\"1\" colspan=\"1\"&gt;N-Acetylcysteine&lt;/th&gt;&lt;th align=\"center\" valign=\"top\" rowspan=\"1\" colspan=\"1\"&gt;Fomepizole&lt;/th&gt;&lt;th align=\"center\" valign=\"top\" rowspan=\"1\" colspan=\"1\"&gt;Calmangafodipir&lt;/th&gt;&lt;th align=\"center\" valign=\"top\" rowspan=\"1\" colspan=\"1\"&gt;mTPO&lt;/th&gt;&lt;/tr&gt;&lt;/thead&gt;&lt;tbody&gt;&lt;tr&gt;&lt;td align=\"left\" valign=\"top\" rowspan=\"1\" colspan=\"1\"&gt;Efficiency with Early Treatment&lt;/td&gt;&lt;td align=\"center\" valign=\"top\" rowspan=\"1\" colspan=\"1\"&gt;++++&lt;/td&gt;&lt;td align=\"center\" valign=\"top\" rowspan=\"1\" colspan=\"1\"&gt;++++&lt;/td&gt;&lt;td align=\"center\" valign=\"top\" rowspan=\"1\" colspan=\"1\"&gt;ND&lt;/td&gt;&lt;td align=\"center\" valign=\"top\" rowspan=\"1\" colspan=\"1\"&gt;----&lt;/td&gt;&lt;/tr&gt;&lt;tr&gt;&lt;td align=\"left\" valign=\"top\" rowspan=\"1\" colspan=\"1\"&gt;Efficiency with Late Treatment&lt;/td&gt;&lt;td align=\"center\" valign=\"top\" rowspan=\"1\" colspan=\"1\"&gt;+&lt;/td&gt;&lt;td align=\"center\" valign=\"top\" rowspan=\"1\" colspan=\"1\"&gt;++&lt;/td&gt;&lt;td align=\"center\" valign=\"top\" rowspan=\"1\" colspan=\"1\"&gt;++ ?&lt;/td&gt;&lt;td align=\"center\" valign=\"top\" rowspan=\"1\" colspan=\"1\"&gt;+&lt;/td&gt;&lt;/tr&gt;&lt;tr&gt;&lt;td align=\"left\" valign=\"top\" rowspan=\"1\" colspan=\"1\"&gt;Promotes Biogenesis and Regeneration&lt;/td&gt;&lt;td align=\"center\" valign=\"top\" rowspan=\"1\" colspan=\"1\"&gt;----&lt;/td&gt;&lt;td align=\"center\" valign=\"top\" rowspan=\"1\" colspan=\"1\"&gt;+&lt;/td&gt;&lt;td align=\"center\" valign=\"top\" rowspan=\"1\" colspan=\"1\"&gt;ND&lt;/td&gt;&lt;td align=\"center\" valign=\"top\" rowspan=\"1\" colspan=\"1\"&gt;++++&lt;/td&gt;&lt;/tr&gt;&lt;tr&gt;&lt;td align=\"left\" valign=\"top\" rowspan=\"1\" colspan=\"1\"&gt;Protects against Acute Kidney Injury&lt;/td&gt;&lt;td align=\"center\" valign=\"top\" rowspan=\"1\" colspan=\"1\"&gt;----&lt;/td&gt;&lt;td align=\"center\" valign=\"top\" rowspan=\"1\" colspan=\"1\"&gt;+++&lt;/td&gt;&lt;td align=\"center\" valign=\"top\" rowspan=\"1\" colspan=\"1\"&gt;ND&lt;/td&gt;&lt;td align=\"center\" valign=\"top\" rowspan=\"1\" colspan=\"1\"&gt;ND&lt;/td&gt;&lt;/tr&gt;&lt;tr&gt;&lt;td align=\"left\" valign=\"top\" rowspan=\"1\" colspan=\"1\"&gt;Side Effects of Treatment&lt;/td&gt;&lt;td align=\"center\" valign=\"top\" rowspan=\"1\" colspan=\"1\"&gt;+&lt;/td&gt;&lt;td align=\"center\" valign=\"top\" rowspan=\"1\" colspan=\"1\"&gt;----&lt;/td&gt;&lt;td align=\"center\" valign=\"top\" rowspan=\"1\" colspan=\"1\"&gt;----&lt;/td&gt;&lt;td align=\"center\" valign=\"top\" rowspan=\"1\" colspan=\"1\"&gt;----&lt;/td&gt;&lt;/tr&gt;&lt;/tbody&gt;&lt;/table&gt;", "rows": [ [ "Liver Injury:", "N-Acetylcysteine", "Fomepizole", "Calmangafodipir", "mTPO" ], [ "Efficiency with Early Treatment", "++++", "++++", "ND", "----" ], [ "Efficiency with Late Treatment", "+", "++", "++ ?", "+" ], [ "Promotes Biogenesis and Regeneration", "----", "+", "ND", "++++" ], [ "Protects against Acute Kidney Injury", "----", "+++", "ND", "ND" ], [ "Side Effects of Treatment", "+", "----", "----", "----" ] ] } ], "figures": [ { "label": "Figure 1:", "caption": "Clinically relevant therapeutic targets in acetaminophen hepatotoxicity.”  [PMC11315809 ¶43]</w:t>
      </w:r>
    </w:p>
    <w:p>
      <w:pPr>
        <w:spacing w:after="120"/>
        <w:jc w:val="both"/>
      </w:pPr>
      <w:r>
        <w:rPr>
          <w:rFonts w:ascii="Times New Roman" w:hAnsi="Times New Roman" w:cs="Times New Roman" w:eastAsia="Times New Roman"/>
          <w:b w:val="0"/>
          <w:i w:val="0"/>
          <w:sz w:val="24"/>
        </w:rPr>
        <w:t>“Acetaminophen (APAP) toxicity is initiated by cytochrome P450 2E1 (Cyp2E1)-mediated formation of the reactive metabolite, NAPQI, which depletes cellular glutathione and subsequently forms protein adducts in mitochondria. This induces a mild oxidant stress, which activates the MAP kinase JNK in the cytosol, which translocates to mitochondria and amplifies the mitochondrial oxidative/nitrosative stress. These insults ultimately cause induction of the mitochondrial permeability transition and translocation of mitochondrial proteins to the nucleus where they produce subsequent DNA fragmentation. The resulting hepatocyte necrosis occurs in centrilobular cells surrounding the central vein and induces an innate immune response, which facilitates liver recovery and hepatocyte regeneration to repopulate areas of necrosis. Therapeutics such as N-acetylcysteine (NAC) allow the rapid resynthesis of hepatic glutathione stores ", "graphic_href": "nihms-2004123-f0001.jpg" } ], "references": [ { "title": "Emergency department visits for overdoses of acetaminophen-containing products", "year": "2011", "source": "Am.”  [PMC11315809 ¶44]</w:t>
      </w:r>
    </w:p>
    <w:p>
      <w:pPr>
        <w:keepNext/>
        <w:spacing w:before="280" w:after="80"/>
        <w:outlineLvl w:val="1"/>
      </w:pPr>
      <w:r>
        <w:rPr>
          <w:rFonts w:ascii="Times New Roman" w:hAnsi="Times New Roman" w:cs="Times New Roman" w:eastAsia="Times New Roman"/>
          <w:b/>
          <w:i w:val="0"/>
          <w:color w:val="335588"/>
          <w:sz w:val="28"/>
        </w:rPr>
        <w:t>12.2  Cytokines, chemokines, and the inflammasome</w:t>
      </w:r>
    </w:p>
    <w:p>
      <w:pPr>
        <w:spacing w:after="120"/>
        <w:jc w:val="both"/>
      </w:pPr>
      <w:r>
        <w:rPr>
          <w:rFonts w:ascii="Times New Roman" w:hAnsi="Times New Roman" w:cs="Times New Roman" w:eastAsia="Times New Roman"/>
          <w:b w:val="0"/>
          <w:i w:val="0"/>
          <w:sz w:val="24"/>
        </w:rPr>
        <w:t>“NAC possesses antioxidant, cytoprotective, anti-inflammatory, antimicrobial, and mucolytic properties, making it a promising therapeutic agent for a wide range of diseases in both humans and domesticated animals. Oxidative stress and inflammation play a major role in the onset and progression of all these diseases. NAC\u2019s primary role is to replenish glutathione (GSH) stores, the master antioxidant in all tissues; however, it can also reduce levels of pro-inflammatory tumor necrosis factor-alpha (TNF-\u221d) and interleukins (IL-6 and IL-1\u03b2), inhibit the formation of microbial biofilms and destroy biofilms, and break down disulfide bonds between mucin molecules. Many experimental studies have been conducted on the use of NAC to address a wide range of pathological conditions; however, its effectiveness in clinical trials remains limited and studies often have conflicting results.”  [PMC10604897 ¶1]</w:t>
      </w:r>
    </w:p>
    <w:p>
      <w:pPr>
        <w:spacing w:after="120"/>
        <w:jc w:val="both"/>
      </w:pPr>
      <w:r>
        <w:rPr>
          <w:rFonts w:ascii="Times New Roman" w:hAnsi="Times New Roman" w:cs="Times New Roman" w:eastAsia="Times New Roman"/>
          <w:b w:val="0"/>
          <w:i w:val="0"/>
          <w:sz w:val="24"/>
        </w:rPr>
        <w:t>“Examples of these disorders include diabetes, obesity, cancer, neurological disorders, hypertension, pulmonary, inflammatory bowel, cardiovascular, autoimmune, and infectious diseases in humans, as well as domesticated animal weaning disorders, respiratory disease, diarrhea, endometritis, and mastitis [ 3 , 4 , 5 , 6 , 7 , 8 , 9 , 10 ]. While there has been an increasing interest in the use of NAC for a wide range of pathological conditions over the past few decades, various human clinical studies have reported conflicting results, and many other studies were performed in vitro. Therefore, more clinical studies are required to address these conflicting results and to support the purported therapeutic roles of NAC in treating different pathological conditions. Various animal studies involving the use of NAC have also been performed, especially with its use in treating intestinal inflammation and related disorders that can be caused by anti-nutritional factors (e.g., \u03b2 -conglycinin, a vicilin storage protein of soybeans), the process of weaning, and consumption of mycotoxins [ 10 , 11 , 12 ].”  [PMC10604897 ¶3]</w:t>
      </w:r>
    </w:p>
    <w:p>
      <w:pPr>
        <w:spacing w:after="120"/>
        <w:jc w:val="both"/>
      </w:pPr>
      <w:r>
        <w:rPr>
          <w:rFonts w:ascii="Times New Roman" w:hAnsi="Times New Roman" w:cs="Times New Roman" w:eastAsia="Times New Roman"/>
          <w:b w:val="0"/>
          <w:i w:val="0"/>
          <w:sz w:val="24"/>
        </w:rPr>
        <w:t>“Liver Diseases Acute and chronic liver diseases are highly prevalent worldwide, accounting for approximately 2 million deaths per year [ 42 ]. Oxidative stress plays a crucial role in the initiation and progression of liver diseases due to its participation and stimulation in the liver\u2019s fibrogenic response [ 1 ]. Numerous clinical and experimental studies have been conducted on the use and efficacy of NAC in modulating inflammation and oxidative stress caused or propagated by liver diseases, including acetaminophen (paracetamol) poisoning, acute liver failure, and non-alcoholic fatty liver (NAFLD) and alcoholic liver diseases (see Table 2 ). 5.1.1. Acute Acetaminophen Overdose Acetaminophen is a commonly used over-the-counter analgesic and antipyretic medication as it is relatively safe and effective in treating mild-to-moderate pain and fever at appropriate doses [ 28 , 43 ]. However, when taken by adults at doses of 10\u201315 g (single or repeated) over a 24 h period, which is 3\u20135 times the manufacturer\u2019s recommended dose for over-the-counter use, acetaminophen has direct hepatotoxic potential and can cause acute liver injury and death from acute liver failure [ 28 , 43 ].”  [PMC10604897 ¶14]</w:t>
      </w:r>
    </w:p>
    <w:p>
      <w:pPr>
        <w:jc w:val="center"/>
      </w:pPr>
      <w:r>
        <w:drawing>
          <wp:inline xmlns:a="http://schemas.openxmlformats.org/drawingml/2006/main" xmlns:pic="http://schemas.openxmlformats.org/drawingml/2006/picture">
            <wp:extent cx="5029200" cy="2300859"/>
            <wp:docPr id="140" name="Picture 140"/>
            <wp:cNvGraphicFramePr>
              <a:graphicFrameLocks noChangeAspect="1"/>
            </wp:cNvGraphicFramePr>
            <a:graphic>
              <a:graphicData uri="http://schemas.openxmlformats.org/drawingml/2006/picture">
                <pic:pic>
                  <pic:nvPicPr>
                    <pic:cNvPr id="0" name="p21_i1.jpg"/>
                    <pic:cNvPicPr/>
                  </pic:nvPicPr>
                  <pic:blipFill>
                    <a:blip r:embed="rId12"/>
                    <a:stretch>
                      <a:fillRect/>
                    </a:stretch>
                  </pic:blipFill>
                  <pic:spPr>
                    <a:xfrm>
                      <a:off x="0" y="0"/>
                      <a:ext cx="5029200" cy="2300859"/>
                    </a:xfrm>
                    <a:prstGeom prst="rect"/>
                  </pic:spPr>
                </pic:pic>
              </a:graphicData>
            </a:graphic>
          </wp:inline>
        </w:drawing>
      </w:r>
    </w:p>
    <w:p>
      <w:pPr>
        <w:spacing w:after="160"/>
        <w:jc w:val="center"/>
      </w:pPr>
      <w:r>
        <w:rPr>
          <w:rFonts w:ascii="Times New Roman" w:hAnsi="Times New Roman" w:cs="Times New Roman" w:eastAsia="Times New Roman"/>
          <w:b w:val="0"/>
          <w:i/>
          <w:sz w:val="20"/>
        </w:rPr>
        <w:t>Figure 1 (from PMC10604897): “The three major narratives of NAC’s mechanisms of action.</w:t>
        <w:br/>
        <w:t xml:space="preserve">   graphic: `antioxidants-12-01867-g001.jpg`”</w:t>
      </w:r>
    </w:p>
    <w:p>
      <w:pPr>
        <w:spacing w:after="120"/>
        <w:jc w:val="both"/>
      </w:pPr>
      <w:r>
        <w:rPr>
          <w:rFonts w:ascii="Times New Roman" w:hAnsi="Times New Roman" w:cs="Times New Roman" w:eastAsia="Times New Roman"/>
          <w:b w:val="0"/>
          <w:i w:val="0"/>
          <w:sz w:val="24"/>
        </w:rPr>
        <w:t>“The accumulation of fat in the hepatocytes of NAFLD patients is generally due to a combination of excessive calorie intake and a sedentary lifestyle [ 46 ]. However, diabetic patients, particularly type 2 diabetics, and those with abnormal levels of blood lipids or hypertension are also at risk of developing NAFLD [ 46 ]. Regardless of the etiological factor(s) leading to the onset of NAFLD, the increased flow of free fatty acids to the liver concurrently increases oxidative stress and suppresses hepatic intracellular antioxidant activity [ 1 ]. Experimental studies conducted on the use of NAC in NAFLD patients have demonstrated that NAC can block the accumulation of hepatic lipids and reduce the pro-inflammatory cytokines IL-6, IL-1\u03b2, and TNF-\u221d and the upstream transcription factor NF-\u03baB [ 47 ], which plays a critical role in initiating the inflammatory cascade and immune response related to oxidative stress.”  [PMC10604897 ¶18]</w:t>
      </w:r>
    </w:p>
    <w:p>
      <w:pPr>
        <w:spacing w:after="120"/>
        <w:jc w:val="both"/>
      </w:pPr>
      <w:r>
        <w:rPr>
          <w:rFonts w:ascii="Times New Roman" w:hAnsi="Times New Roman" w:cs="Times New Roman" w:eastAsia="Times New Roman"/>
          <w:b w:val="0"/>
          <w:i w:val="0"/>
          <w:sz w:val="24"/>
        </w:rPr>
        <w:t>“NAC has been purported to possess anti-inflammatory properties that include inhibiting activation and translocation of NF-\u03baB, which results in decreased production of TNF-\u221d, IL-1\u03b2, and IL-6 [ 1 ]. In a human study conducted by Khoshbaten et al. (2010), it was discovered that oral administration of 600 mg of NAC per 12 h over a 3-month period decreased serum levels of alanine transaminase (ALT) as compared to the group receiving vitamin C [ 48 ]. ALT is an enzyme that is predominantly produced by the liver and is commonly used as a biomarker of hepatic inflammation and damage [ 49 ]. 5.2. Pulmonary Diseases Inflammation and high levels of oxidative stress coupled with low levels of endogenous antioxidants such as GSH play a critical role in the pathogenesis and progression of pulmonary diseases [ 1 ]. As an antioxidant, anti-inflammatory, and mucolytic agent, NAC appears to be a promising therapeutic agent in the treatment of various pulmonary diseases including chronic obstructive pulmonary disease (COPD), cystic fibrosis (CF), and idiopathic pulmonary fibrosis (IPF) [ 1 ] and, most recently, COVID-19 [ 50 ] (see Table 2 ).”  [PMC10604897 ¶19]</w:t>
      </w:r>
    </w:p>
    <w:p>
      <w:pPr>
        <w:spacing w:after="120"/>
        <w:jc w:val="both"/>
      </w:pPr>
      <w:r>
        <w:rPr>
          <w:rFonts w:ascii="Times New Roman" w:hAnsi="Times New Roman" w:cs="Times New Roman" w:eastAsia="Times New Roman"/>
          <w:b w:val="0"/>
          <w:i w:val="0"/>
          <w:sz w:val="24"/>
        </w:rPr>
        <w:t>“Excessive neutrophil-mediated inflammation in the airways is another key characteristic of CF and is believed to be a cause of lung damage and dysfunction [ 52 ]. This uncontrolled inflammation leads to overexposure to reactive oxygen species (ROS) derived from bacteria and/or the activated neutrophils, which in turn further amplifies the inflammation [ 52 ] and damages tissues. In addition to being a mucolytic agent, NAC\u2019s antioxidant properties may prove to be useful in controlling oxidative stress and excessive inflammation in the airways of CF patients [ 52 ]. In a study conducted by Dauletbaev et al. (2009), it was found that a 12-week therapy with a high dose of NAC (2800 mg/day) increased extracellular GSH in the sputum of CF patients; however, NAC treatment did not appear to alter any clinical or inflammatory parameters [ 52 ]. 5.2.2. Chronic Obstructive Pulmonary Disease (COPD) COPD refers to a group of chronic progressive lung diseases that cause airflow obstruction and breathing-related issues [ 53 ].”  [PMC10604897 ¶21]</w:t>
      </w:r>
    </w:p>
    <w:p>
      <w:pPr>
        <w:jc w:val="center"/>
      </w:pPr>
      <w:r>
        <w:drawing>
          <wp:inline xmlns:a="http://schemas.openxmlformats.org/drawingml/2006/main" xmlns:pic="http://schemas.openxmlformats.org/drawingml/2006/picture">
            <wp:extent cx="5029200" cy="1144143"/>
            <wp:docPr id="141" name="Picture 141"/>
            <wp:cNvGraphicFramePr>
              <a:graphicFrameLocks noChangeAspect="1"/>
            </wp:cNvGraphicFramePr>
            <a:graphic>
              <a:graphicData uri="http://schemas.openxmlformats.org/drawingml/2006/picture">
                <pic:pic>
                  <pic:nvPicPr>
                    <pic:cNvPr id="0" name="p21_i2.jpg"/>
                    <pic:cNvPicPr/>
                  </pic:nvPicPr>
                  <pic:blipFill>
                    <a:blip r:embed="rId13"/>
                    <a:stretch>
                      <a:fillRect/>
                    </a:stretch>
                  </pic:blipFill>
                  <pic:spPr>
                    <a:xfrm>
                      <a:off x="0" y="0"/>
                      <a:ext cx="5029200" cy="1144143"/>
                    </a:xfrm>
                    <a:prstGeom prst="rect"/>
                  </pic:spPr>
                </pic:pic>
              </a:graphicData>
            </a:graphic>
          </wp:inline>
        </w:drawing>
      </w:r>
    </w:p>
    <w:p>
      <w:pPr>
        <w:spacing w:after="160"/>
        <w:jc w:val="center"/>
      </w:pPr>
      <w:r>
        <w:rPr>
          <w:rFonts w:ascii="Times New Roman" w:hAnsi="Times New Roman" w:cs="Times New Roman" w:eastAsia="Times New Roman"/>
          <w:b w:val="0"/>
          <w:i/>
          <w:sz w:val="20"/>
        </w:rPr>
        <w:t>Figure panel from PMC10604897 (source bitmap p21_i2.jpg).</w:t>
      </w:r>
    </w:p>
    <w:p>
      <w:pPr>
        <w:spacing w:after="120"/>
        <w:jc w:val="both"/>
      </w:pPr>
      <w:r>
        <w:rPr>
          <w:rFonts w:ascii="Times New Roman" w:hAnsi="Times New Roman" w:cs="Times New Roman" w:eastAsia="Times New Roman"/>
          <w:b w:val="0"/>
          <w:i w:val="0"/>
          <w:sz w:val="24"/>
        </w:rPr>
        <w:t>“## Figure captions (2) 1. **Figure 1** — Differential modulation of pro-inflammatory mediators in relation to both the concentration and duration of treatment with N-acetylcysteine in in vitro models of airway inflammation. NAC: N-acetylcysteine; LPS: lipopolysaccharides; NKA: neurokinin A; IL-6: Interleukin-6; TNF-α: tumor necrosis factor-α; IL-8: Interleukin-8; IL-1β: Interleukin-1beta; NF-κB: Nuclear factor kappa B. graphic: `jcm-13-04127-g001.jpg` 2. **Figure 2** — Proposed molecular mechanisms for the therapeutic activity of N-acetylcysteine after oral administration in chronic respiratory diseases. NAC: N-acetylcysteine; GSH: glutathione; RSSH: persulfides; RSS n SR: polysulfides; NKA: neurokinin A; NF-κB: Nuclear factor kappa B; TNF-α: tumor necrosis factor-α; IL-1β: Interleukin-1beta; IL-8: Interleukin-8; ROS: reactive oxygen species. graphic: `jcm-13-04127-g002.jpg` ```json { "pmcid": "PMC11278452", "pmid": "39064168", "doi": "10.3390/jcm13144127", "title": "Anti-Inflammatory and Anti-Oxidant Properties of N-Acetylcysteine: A Fresh Perspective", "journal": "Journal of Clinical Medicine", "year": "2024", "abstract": "N-acetyl-L-cysteine (NAC) was initially introduced as a treatment for mucus reduction and widely used for chronic respiratory conditions associated with mucus overproduction.”  [PMC11278452 ¶1]</w:t>
      </w:r>
    </w:p>
    <w:p>
      <w:pPr>
        <w:spacing w:after="120"/>
        <w:jc w:val="both"/>
      </w:pPr>
      <w:r>
        <w:rPr>
          <w:rFonts w:ascii="Times New Roman" w:hAnsi="Times New Roman" w:cs="Times New Roman" w:eastAsia="Times New Roman"/>
          <w:b w:val="0"/>
          <w:i w:val="0"/>
          <w:sz w:val="24"/>
        </w:rPr>
        <w:t>“However, the mechanism of action for NAC extends beyond its mucolytic activity and is complex and multifaceted. Contrary to other mucoactive drugs, NAC has been found to exhibit antioxidant, anti-infective, and anti-inflammatory activity in pre-clinical and clinical reports. These properties have sparked interest in its potential for treating chronic lung diseases, including chronic obstructive pulmonary disease (COPD), bronchiectasis (BE), cystic fibrosis (CF), and idiopathic pulmonary fibrosis (IPF), which are associated with oxidative stress, increased levels of glutathione and inflammation. NAC\u2019s anti-inflammatory activity is noteworthy, and it is not solely secondary to its antioxidant capabilities. In ex vivo models of COPD exacerbation, the anti-inflammatory effects have been observed even at very low doses, especially with prolonged treatment. The mechanism involves the inhibition of the activation of NF-kB and neurokinin A production, resulting in a reduction in interleukin-6 production, a cytokine abundantly present in the sputum and breath condensate of patients with COPD and correlates with the number of exacerbations.”  [PMC11278452 ¶2]</w:t>
      </w:r>
    </w:p>
    <w:p>
      <w:pPr>
        <w:spacing w:after="120"/>
        <w:jc w:val="both"/>
      </w:pPr>
      <w:r>
        <w:rPr>
          <w:rFonts w:ascii="Times New Roman" w:hAnsi="Times New Roman" w:cs="Times New Roman" w:eastAsia="Times New Roman"/>
          <w:b w:val="0"/>
          <w:i w:val="0"/>
          <w:sz w:val="24"/>
        </w:rPr>
        <w:t>“The unique combination of mucolytic, antioxidant, anti-infective, and anti-inflammatory properties positions NAC as a safe, cost-effective, and efficacious therapy for a plethora of respiratory conditions.", "body_text": "1. Introduction N-acetyl-L-cysteine (NAC) was first introduced in 1965 primarily for its role in promoting mucolysis [ 1 ] and has been the preferred treatment for paracetamol intoxication since the mid-1970s [ 2 ]. Its intravenous formulation for this purpose is recognized on the WHO\u2019s list of Essential Medicines [ 3 ]. The excessive production and secretion of airway mucus have significant importance in the pathophysiology and clinical manifestations of different respiratory diseases, including acute and chronic bronchitis (CB), chronic obstructive pulmonary disease (COPD), bronchiectasis, and cystic fibrosis (CF) [ 4 , 5 ]. Recent evidence indicates that oxidative stress and inflammation contribute to the development of these pathologies, showing a close correlation with clinical outcomes and triggering the overproduction of mucus by glands and goblet cells [ 6 , 7 , 8 , 9 ].”  [PMC11278452 ¶3]</w:t>
      </w:r>
    </w:p>
    <w:p>
      <w:pPr>
        <w:jc w:val="center"/>
      </w:pPr>
      <w:r>
        <w:drawing>
          <wp:inline xmlns:a="http://schemas.openxmlformats.org/drawingml/2006/main" xmlns:pic="http://schemas.openxmlformats.org/drawingml/2006/picture">
            <wp:extent cx="5029200" cy="4259385"/>
            <wp:docPr id="142" name="Picture 142"/>
            <wp:cNvGraphicFramePr>
              <a:graphicFrameLocks noChangeAspect="1"/>
            </wp:cNvGraphicFramePr>
            <a:graphic>
              <a:graphicData uri="http://schemas.openxmlformats.org/drawingml/2006/picture">
                <pic:pic>
                  <pic:nvPicPr>
                    <pic:cNvPr id="0" name="p06_i1.jpg"/>
                    <pic:cNvPicPr/>
                  </pic:nvPicPr>
                  <pic:blipFill>
                    <a:blip r:embed="rId14"/>
                    <a:stretch>
                      <a:fillRect/>
                    </a:stretch>
                  </pic:blipFill>
                  <pic:spPr>
                    <a:xfrm>
                      <a:off x="0" y="0"/>
                      <a:ext cx="5029200" cy="4259385"/>
                    </a:xfrm>
                    <a:prstGeom prst="rect"/>
                  </pic:spPr>
                </pic:pic>
              </a:graphicData>
            </a:graphic>
          </wp:inline>
        </w:drawing>
      </w:r>
    </w:p>
    <w:p>
      <w:pPr>
        <w:spacing w:after="160"/>
        <w:jc w:val="center"/>
      </w:pPr>
      <w:r>
        <w:rPr>
          <w:rFonts w:ascii="Times New Roman" w:hAnsi="Times New Roman" w:cs="Times New Roman" w:eastAsia="Times New Roman"/>
          <w:b w:val="0"/>
          <w:i/>
          <w:sz w:val="20"/>
        </w:rPr>
        <w:t>Figure 1 (from PMC11278452): “Differential modulation of pro-inflammatory mediators in relation to both the concentration and duration of treatment with N-acetylcysteine in in vitro models of airway inflammation. NAC: N-acetylcysteine; LPS: lipopolysaccharides; NKA: neurokinin A; IL-6: Interleukin-6; TNF-α: tumor necrosis factor-α; IL-8: Interleukin-8; IL-1β: Interleukin-1beta; NF-κB: Nu”</w:t>
      </w:r>
    </w:p>
    <w:p>
      <w:pPr>
        <w:spacing w:after="120"/>
        <w:jc w:val="both"/>
      </w:pPr>
      <w:r>
        <w:rPr>
          <w:rFonts w:ascii="Times New Roman" w:hAnsi="Times New Roman" w:cs="Times New Roman" w:eastAsia="Times New Roman"/>
          <w:b w:val="0"/>
          <w:i w:val="0"/>
          <w:sz w:val="24"/>
        </w:rPr>
        <w:t>“Under diverse stress conditions, such as infection, pathogenic factors, smoking, and oxidative stress, epithelial cells in the airway release pro-secretory molecules, leading to hypertrophy of secretory cells and hyperplasia of goblet cells, with concomitant overproduction of mucus [ 5 , 6 , 7 , 8 ]. Conditions like chronic bronchitis, bronchiectasis, CF, and COPD are associated with impairment of ciliary function and/or airway mucus hypersecretion [ 6 , 7 , 10 , 11 ]. COPD is characterized by airflow limitation, oxidative stress, and airway inflammation [ 12 ]. It is a persistent and advancing disease linked to a heightened inflammatory response in the respiratory tract triggered by gases, noxious particles, or cigarette smoke, which results in the injury of cells lining the airway and mucus hypersecretion [ 13 ]. In particular, the over-secretion of components of mucus MUC5AC and MUC5B in the respiratory tract, coupled with epithelial damage, leads to the shedding of ciliated cells, hyperplasia of goblet cells, and hypertrophy of the submucosal gland, ultimately resulting in airway mucus hypersecretion [ 4 ].”  [PMC11278452 ¶4]</w:t>
      </w:r>
    </w:p>
    <w:p>
      <w:pPr>
        <w:spacing w:after="120"/>
        <w:jc w:val="both"/>
      </w:pPr>
      <w:r>
        <w:rPr>
          <w:rFonts w:ascii="Times New Roman" w:hAnsi="Times New Roman" w:cs="Times New Roman" w:eastAsia="Times New Roman"/>
          <w:b w:val="0"/>
          <w:i w:val="0"/>
          <w:sz w:val="24"/>
        </w:rPr>
        <w:t>“The mucus, secreted by serous, mucous, and goblet cells in response to various stimuli, including inflammation [ 9 ], becomes viscous [ 12 ] and promotes bacterial colonization and biofilm growth. This hinders the ability of neutrophils and soluble antimicrobial agents to permeate dense mucus and eradicate bacteria [ 14 , 15 ]. In COPD, numerous inflammatory mediators are synthesized and released in response to oxidative stress, such as the pro-inflammatory transcription factor NF-\u03baB, which is over-expressed and activated by Reactive Oxygen Species (ROS), especially in airway epithelial cells and macrophages [ 7 ]. Oxidative stress also promotes the release of signaling molecules such as phosphoinositide 3-kinase (PI3K) and p38 mitogen-activated protein kinase (MAPK). It also sustains transforming growth factor (TGF)-\u03b2 signaling and the expression of matrix metalloproteinase (MMP)-9, which are implicated in small airway fibrosis and emphysema [ 7 ].”  [PMC11278452 ¶5]</w:t>
      </w:r>
    </w:p>
    <w:p>
      <w:pPr>
        <w:spacing w:after="120"/>
        <w:jc w:val="both"/>
      </w:pPr>
      <w:r>
        <w:rPr>
          <w:rFonts w:ascii="Times New Roman" w:hAnsi="Times New Roman" w:cs="Times New Roman" w:eastAsia="Times New Roman"/>
          <w:b w:val="0"/>
          <w:i w:val="0"/>
          <w:sz w:val="24"/>
        </w:rPr>
        <w:t>“Inflammation of the respiratory tract can contribute to flare-ups and deterioration of COPD [ 16 ]. Bronchiectasis involves irreversible bronchial lumen expansion, compromising mucus clearance [ 17 ] and facilitating bacterial colonization [ 18 ]. The initial production of toxins by bacteria contributes to the activation of both microbial and danger-associated molecular patterns, subsequently heightening inflammation [ 18 ]. As a result, this inflammatory response triggers hyperplasia and metaplasia of goblet cells, eventually resulting in increased secretion of mucus in the airways [ 19 , 20 , 21 ]. NAC has undergone extensive scrutiny in numerous global clinical trials and has been used for many years in treating various respiratory conditions [ 13 , 22 , 23 ]. It is a well-documented and well-established treatment of choice, valued not only for reducing mucus viscosity and promoting discharge but also for its recognized antioxidant and anti-inflammatory properties [ 13 , 22 , 23 ].”  [PMC11278452 ¶6]</w:t>
      </w:r>
    </w:p>
    <w:p>
      <w:pPr>
        <w:jc w:val="center"/>
      </w:pPr>
      <w:r>
        <w:drawing>
          <wp:inline xmlns:a="http://schemas.openxmlformats.org/drawingml/2006/main" xmlns:pic="http://schemas.openxmlformats.org/drawingml/2006/picture">
            <wp:extent cx="5029200" cy="3369819"/>
            <wp:docPr id="143" name="Picture 143"/>
            <wp:cNvGraphicFramePr>
              <a:graphicFrameLocks noChangeAspect="1"/>
            </wp:cNvGraphicFramePr>
            <a:graphic>
              <a:graphicData uri="http://schemas.openxmlformats.org/drawingml/2006/picture">
                <pic:pic>
                  <pic:nvPicPr>
                    <pic:cNvPr id="0" name="p08_i1.jpg"/>
                    <pic:cNvPicPr/>
                  </pic:nvPicPr>
                  <pic:blipFill>
                    <a:blip r:embed="rId15"/>
                    <a:stretch>
                      <a:fillRect/>
                    </a:stretch>
                  </pic:blipFill>
                  <pic:spPr>
                    <a:xfrm>
                      <a:off x="0" y="0"/>
                      <a:ext cx="5029200" cy="3369819"/>
                    </a:xfrm>
                    <a:prstGeom prst="rect"/>
                  </pic:spPr>
                </pic:pic>
              </a:graphicData>
            </a:graphic>
          </wp:inline>
        </w:drawing>
      </w:r>
    </w:p>
    <w:p>
      <w:pPr>
        <w:spacing w:after="160"/>
        <w:jc w:val="center"/>
      </w:pPr>
      <w:r>
        <w:rPr>
          <w:rFonts w:ascii="Times New Roman" w:hAnsi="Times New Roman" w:cs="Times New Roman" w:eastAsia="Times New Roman"/>
          <w:b w:val="0"/>
          <w:i/>
          <w:sz w:val="20"/>
        </w:rPr>
        <w:t>Figure 2 (from PMC11278452): “Proposed molecular mechanisms for the therapeutic activity of N-acetylcysteine after oral administration in chronic respiratory diseases. NAC: N-acetylcysteine; GSH: glutathione; RSSH: persulfides; RSS n SR: polysulfides; NKA: neurokinin A; NF-κB: Nuclear factor kappa B; TNF-α: tumor necrosis factor-α; IL-1β: Interleukin-1beta; IL-8: Interleukin-8; ROS: reac”</w:t>
      </w:r>
    </w:p>
    <w:p>
      <w:pPr>
        <w:spacing w:after="120"/>
        <w:jc w:val="both"/>
      </w:pPr>
      <w:r>
        <w:rPr>
          <w:rFonts w:ascii="Times New Roman" w:hAnsi="Times New Roman" w:cs="Times New Roman" w:eastAsia="Times New Roman"/>
          <w:b w:val="0"/>
          <w:i w:val="0"/>
          <w:sz w:val="24"/>
        </w:rPr>
        <w:t>“Schematic illustration of the pathways and factors contributing to endothelial dysfunction and the progression of CVDs. The activation of the NLRP3 inflammasome by PAMPs, DAMPs, and hemodynamic alterations triggers the production of inflammatory cytokines (e.g., IL-1β, IL-18) via caspa graphic: `antioxidants-14-00256-g002.jpg` 2. **Figure 1** — Adequate NO production supports redox balance, vasodilation, and vascular homeostasis. In contrast, endothelial dysfunction and reduced NO levels lead to redox imbalance, favoring ROS/RNS-mediated inflammation and fibrosis, with O 2 •− , ONOO − and NLRP3 playing key roles (See also Figure 2 ). Double-headed lines indicate inhibition, while simple arrows indicate diffusion and activation. Red-color graphic: `antioxidants-14-00256-g001.jpg` ```json { "pmcid": "PMC11939635", "pmid": "40227195", "doi": "10.3390/antiox14030256", "title": "Endothelial Dysfunction: Redox Imbalance, NLRP3 Inflammasome, and Inflammatory Responses in Cardiovascular Diseases", "journal": "Antioxidants", "year": "2025", "abstract": "Endothelial dysfunction (ED) is characterized by an imbalance between vasodilatory and vasoconstrictive factors, leading to impaired vascular tone, thrombosis, and inflammation.”  [PMC11939635 ¶1]</w:t>
      </w:r>
    </w:p>
    <w:p>
      <w:pPr>
        <w:spacing w:after="120"/>
        <w:jc w:val="both"/>
      </w:pPr>
      <w:r>
        <w:rPr>
          <w:rFonts w:ascii="Times New Roman" w:hAnsi="Times New Roman" w:cs="Times New Roman" w:eastAsia="Times New Roman"/>
          <w:b w:val="0"/>
          <w:i w:val="0"/>
          <w:sz w:val="24"/>
        </w:rPr>
        <w:t>“These processes are critical in the development of cardiovascular diseases (CVDs) such as atherosclerosis, hypertension and ischemia/reperfusion injury (IRI). Reduced nitric oxide (NO) production and increased oxidative stress are key contributors to ED. Aging further exacerbates ED through mitochondrial dysfunction and increased oxidative/nitrosative stress, heightening CVD risk. Antioxidant systems like superoxide-dismutase (SOD), glutathione-peroxidase (GPx), and thioredoxin/thioredoxin-reductase (Trx/TXNRD) pathways protect against oxidative stress. However, their reduced activity promotes ED, atherosclerosis, and vulnerability to IRI. Metabolic syndrome, comprising insulin resistance, obesity, and hypertension, is often accompanied by ED. Specifically, hyperglycemia worsens endothelial damage by promoting oxidative stress and inflammation. Obesity leads to chronic inflammation and changes in perivascular adipose tissue, while hypertension is associated with an increase in oxidative stress.”  [PMC11939635 ¶2]</w:t>
      </w:r>
    </w:p>
    <w:p>
      <w:pPr>
        <w:spacing w:after="120"/>
        <w:jc w:val="both"/>
      </w:pPr>
      <w:r>
        <w:rPr>
          <w:rFonts w:ascii="Times New Roman" w:hAnsi="Times New Roman" w:cs="Times New Roman" w:eastAsia="Times New Roman"/>
          <w:b w:val="0"/>
          <w:i w:val="0"/>
          <w:sz w:val="24"/>
        </w:rPr>
        <w:t>“The NLRP3 inflammasome plays a significant role in ED, being triggered by factors such as reactive oxygen and nitrogen species, ischemia, and high glucose, which contribute to inflammation, endothelial injury, and exacerbation of IRI. Treatments, such as N-acetyl-L-cysteine, SGLT2 or NLRP3 inhibitors, show promise in improving endothelial function. Yet the complexity of ED suggests that multi-targeted therapies addressing oxidative stress, inflammation, and metabolic disturbances are essential for managing CVDs associated with metabolic syndrome.", "body_text": "1. Introduction Despite its simple monolayer structure, healthy endothelium responds to a variety of stimuli, both chemical and mechanical. In turn, the endothelium is capable of producing a wide range of molecules that regulate vascular permeability, cell adhesion, smooth muscle cell proliferation, vessel wall inflammation, and thrombosis resistance.”  [PMC11939635 ¶3]</w:t>
      </w:r>
    </w:p>
    <w:p>
      <w:pPr>
        <w:jc w:val="center"/>
      </w:pPr>
      <w:r>
        <w:drawing>
          <wp:inline xmlns:a="http://schemas.openxmlformats.org/drawingml/2006/main" xmlns:pic="http://schemas.openxmlformats.org/drawingml/2006/picture">
            <wp:extent cx="5029200" cy="2916365"/>
            <wp:docPr id="144" name="Picture 144"/>
            <wp:cNvGraphicFramePr>
              <a:graphicFrameLocks noChangeAspect="1"/>
            </wp:cNvGraphicFramePr>
            <a:graphic>
              <a:graphicData uri="http://schemas.openxmlformats.org/drawingml/2006/picture">
                <pic:pic>
                  <pic:nvPicPr>
                    <pic:cNvPr id="0" name="p11_i1.jpg"/>
                    <pic:cNvPicPr/>
                  </pic:nvPicPr>
                  <pic:blipFill>
                    <a:blip r:embed="rId16"/>
                    <a:stretch>
                      <a:fillRect/>
                    </a:stretch>
                  </pic:blipFill>
                  <pic:spPr>
                    <a:xfrm>
                      <a:off x="0" y="0"/>
                      <a:ext cx="5029200" cy="2916365"/>
                    </a:xfrm>
                    <a:prstGeom prst="rect"/>
                  </pic:spPr>
                </pic:pic>
              </a:graphicData>
            </a:graphic>
          </wp:inline>
        </w:drawing>
      </w:r>
    </w:p>
    <w:p>
      <w:pPr>
        <w:spacing w:after="160"/>
        <w:jc w:val="center"/>
      </w:pPr>
      <w:r>
        <w:rPr>
          <w:rFonts w:ascii="Times New Roman" w:hAnsi="Times New Roman" w:cs="Times New Roman" w:eastAsia="Times New Roman"/>
          <w:b w:val="0"/>
          <w:i/>
          <w:sz w:val="20"/>
        </w:rPr>
        <w:t>Figure 1 (from PMC11939635): “Key molecular mechanisms linking endothelial dysfunction, NLRP3 inflammasome, and cardiovascular diseases (CVDs). Schematic illustration of the pathways and factors contributing to endothelial dysfunction and the progression of CVDs. The activation of the NLRP3 inflammasome by PAMPs, DAMPs, and hemodynamic alterations triggers the production of inflammatory ”</w:t>
      </w:r>
    </w:p>
    <w:p>
      <w:pPr>
        <w:spacing w:after="120"/>
        <w:jc w:val="both"/>
      </w:pPr>
      <w:r>
        <w:rPr>
          <w:rFonts w:ascii="Times New Roman" w:hAnsi="Times New Roman" w:cs="Times New Roman" w:eastAsia="Times New Roman"/>
          <w:b w:val="0"/>
          <w:i w:val="0"/>
          <w:sz w:val="24"/>
        </w:rPr>
        <w:t>“Endothelial dysfunction (ED) is characterized by an impaired response of endothelial cells (ECs) to physiological stimuli, resulting in altered vascular tone and organ perfusion. It arises from an imbalance between vasodilator and vasoconstrictor factors and is associated with various conditions, including neurodegenerative diseases, kidney disease, metabolic syndrome, and cardiovascular diseases (CVDs) [ 1 ]. Sharing mechanisms with many of the aforementioned pathological conditions, ED often serves as a starting point, highlighting a common link among these disorders. This raises the question of whether early detection of ED could be valuable for the screening and prevention of CVDs. From a clinical point of view, the evolution of ED can be followed by measuring some molecules in order to obtain an early diagnosis. Molecules identified as markers of endothelial dysfunction include cytokines such as interleukins (e.g., IL-6 and IL-1), tumor necrosis factor-alpha (TNF-\u03b1), adhesion molecules like intercellular adhesion molecule (ICAM) and vascular cell adhesion molecule (VCAM), as well as endothelial microparticles [ 2 ].”  [PMC11939635 ¶4]</w:t>
      </w:r>
    </w:p>
    <w:p>
      <w:pPr>
        <w:spacing w:after="120"/>
        <w:jc w:val="both"/>
      </w:pPr>
      <w:r>
        <w:rPr>
          <w:rFonts w:ascii="Times New Roman" w:hAnsi="Times New Roman" w:cs="Times New Roman" w:eastAsia="Times New Roman"/>
          <w:b w:val="0"/>
          <w:i w:val="0"/>
          <w:sz w:val="24"/>
        </w:rPr>
        <w:t>“The inflammatory response plays a central role by activating the NOD-like receptor family pyrin domain-containing 3 (NLRP3) inflammasome. This activation triggers the release of cytokines, which in turn fuel oxidative stress and further inflammatory processes, creating a vicious cycle [ 7 , 8 , 9 ]. In this brief review, ED pathology will be considered in terms of redox and inflammatory response, since both these factors are among the main causes of NLRP3 activation and CVDs associated with ED. 2. Features of Healthy Endothelium Healthy ECs lining the inner wall of vessels form a dynamic interface with different functions on the surrounding microenvironment. Vascular homeostasis in healthy endothelium is maintained through the release of NO, produced mainly by endothelial NO synthase (eNOS). The endothelium controls the functions of the organs and their metabolism primarily in a paracrine manner through what is defined as \u201cangiocrine signaling\u201d [ 10 ].”  [PMC11939635 ¶6]</w:t>
      </w:r>
    </w:p>
    <w:p>
      <w:pPr>
        <w:spacing w:after="120"/>
        <w:jc w:val="both"/>
      </w:pPr>
      <w:r>
        <w:rPr>
          <w:rFonts w:ascii="Times New Roman" w:hAnsi="Times New Roman" w:cs="Times New Roman" w:eastAsia="Times New Roman"/>
          <w:b w:val="0"/>
          <w:i w:val="0"/>
          <w:sz w:val="24"/>
        </w:rPr>
        <w:t>“The endothelium also participates in metabolic processes like hormone regulation and lipoprotein oxidation, and it relies on anaerobic glycolysis for energy, particularly during angiogenesis. Due to its multiple functions and interactions, as well as the vastness of its surface, the endothelium plays a pivotal role in maintaining cardiovascular and overall organism health. Therefore, ED is at the foundation of a wide range of pathological conditions. 3. Endothelial Dysfunction and Activation By definition, ED is a pathological state of the endothelium characterized by an imbalance between the production of vasodilatory substances and vasoconstrictive, pro-inflammatory, and pro-thrombotic factors. ED impairs the endothelium\u2019s ability to regulate vascular tone, maintain vascular homeostasis, and prevent thrombosis and inflammation. ED contributes to the development and progression of CVDs, such as atherosclerosis and hypertension.”  [PMC11939635 ¶13]</w:t>
      </w:r>
    </w:p>
    <w:p>
      <w:pPr>
        <w:jc w:val="center"/>
      </w:pPr>
      <w:r>
        <w:drawing>
          <wp:inline xmlns:a="http://schemas.openxmlformats.org/drawingml/2006/main" xmlns:pic="http://schemas.openxmlformats.org/drawingml/2006/picture">
            <wp:extent cx="5029200" cy="2478960"/>
            <wp:docPr id="145" name="Picture 145"/>
            <wp:cNvGraphicFramePr>
              <a:graphicFrameLocks noChangeAspect="1"/>
            </wp:cNvGraphicFramePr>
            <a:graphic>
              <a:graphicData uri="http://schemas.openxmlformats.org/drawingml/2006/picture">
                <pic:pic>
                  <pic:nvPicPr>
                    <pic:cNvPr id="0" name="p06_i1.jpg"/>
                    <pic:cNvPicPr/>
                  </pic:nvPicPr>
                  <pic:blipFill>
                    <a:blip r:embed="rId33"/>
                    <a:stretch>
                      <a:fillRect/>
                    </a:stretch>
                  </pic:blipFill>
                  <pic:spPr>
                    <a:xfrm>
                      <a:off x="0" y="0"/>
                      <a:ext cx="5029200" cy="2478960"/>
                    </a:xfrm>
                    <a:prstGeom prst="rect"/>
                  </pic:spPr>
                </pic:pic>
              </a:graphicData>
            </a:graphic>
          </wp:inline>
        </w:drawing>
      </w:r>
    </w:p>
    <w:p>
      <w:pPr>
        <w:spacing w:after="160"/>
        <w:jc w:val="center"/>
      </w:pPr>
      <w:r>
        <w:rPr>
          <w:rFonts w:ascii="Times New Roman" w:hAnsi="Times New Roman" w:cs="Times New Roman" w:eastAsia="Times New Roman"/>
          <w:b w:val="0"/>
          <w:i/>
          <w:sz w:val="20"/>
        </w:rPr>
        <w:t>Figure 2 (from PMC11939635): “Adequate NO production supports redox balance, vasodilation, and vascular homeostasis. In contrast, endothelial dysfunction and reduced NO levels lead to redox imbalance, favoring ROS/RNS-mediated inflammation and fibrosis, with O 2 •− , ONOO − and NLRP3 playing key roles (See also Figure 2 ). Double-headed lines indicate inhibition, while simple arrows indi”</w:t>
      </w:r>
    </w:p>
    <w:p>
      <w:pPr>
        <w:spacing w:after="120"/>
        <w:jc w:val="both"/>
      </w:pPr>
      <w:r>
        <w:rPr>
          <w:rFonts w:ascii="Times New Roman" w:hAnsi="Times New Roman" w:cs="Times New Roman" w:eastAsia="Times New Roman"/>
          <w:b w:val="0"/>
          <w:i w:val="0"/>
          <w:sz w:val="24"/>
        </w:rPr>
        <w:t>“Further investigation revealed that LBP promotes lipid synthesis in the liver by regulating the AMPK-ACC signaling pathway (Supplementary Fig. 2e\u2013g ). Moreover, LBP activates JNK and NF-\u03baB signaling pathways, significantly elevating the expression of inflammation-related molecules such as IL6, ICAM1, and VCAM1. (Supplementary Fig. 2h\u2013k ). Moderate liver injury was observed in both the LBP KI/KI and wild-type (WT) groups, as evidenced by similar serum levels of liver enzymes and histological evaluations (Supplementary Fig. 2l\u2013s ). We found that the very low-density lipoprotein (VLDL) levels were significantly elevated in LBP KI/KI mice compared to both the WT and LBP \u2212 / \u2212 groups, indicating the role of LBP in promoting hepatic TG accumulation (Supplementary Fig. 2t ). Consistently, we confirmed that the TG levels undergo similar changes upon overexpressing or knocking down LBP in HepG2 cells (Supplementary Fig. 1d , e ).”  [PMC11016120 ¶13]</w:t>
      </w:r>
    </w:p>
    <w:p>
      <w:pPr>
        <w:keepNext/>
        <w:spacing w:before="280" w:after="80"/>
        <w:outlineLvl w:val="1"/>
      </w:pPr>
      <w:r>
        <w:rPr>
          <w:rFonts w:ascii="Times New Roman" w:hAnsi="Times New Roman" w:cs="Times New Roman" w:eastAsia="Times New Roman"/>
          <w:b/>
          <w:i w:val="0"/>
          <w:color w:val="335588"/>
          <w:sz w:val="28"/>
        </w:rPr>
        <w:t>12.3  Mitochondrial pathways and apoptosis</w:t>
      </w:r>
    </w:p>
    <w:p>
      <w:pPr>
        <w:spacing w:after="120"/>
        <w:jc w:val="both"/>
      </w:pPr>
      <w:r>
        <w:rPr>
          <w:rFonts w:ascii="Times New Roman" w:hAnsi="Times New Roman" w:cs="Times New Roman" w:eastAsia="Times New Roman"/>
          <w:b w:val="0"/>
          <w:i w:val="0"/>
          <w:sz w:val="24"/>
        </w:rPr>
        <w:t>“Many studies have shown the protective effects of NAC for neonatal animals immune challenged with bacterial lipopolysaccharide (LPS) endotoxin, particularly studies involving piglets [ 13 , 14 ]. NAC administration has consistently been shown to increase daily body weight gain and alleviate LPS-mediated growth depression. Furthermore, the porcine model of ulcerative colitis (UC) can be used to support NAC usage for humans. For example, in a study conducted by Wang et al. (2013), the piglet model of UC demonstrated that administration of NAC was able to reduce colon histopathology score and ameliorate UC histological abnormalities [ 15 ]. Despite the numerous NAC studies and its increasing popularity, the mechanisms of action (MOA) by which NAC exerts its antioxidant and cytoprotective properties remain unclear [ 1 , 16 ]. It is often assumed that the effects conferred by NAC are due to it acting as a scavenger of reactive oxygen species (ROS), a precursor for glutathione (GSH) biosynthesis, and a disulfide reductant [ 16 , 17 ].”  [PMC10604897 ¶4]</w:t>
      </w:r>
    </w:p>
    <w:p>
      <w:pPr>
        <w:spacing w:after="120"/>
        <w:jc w:val="both"/>
      </w:pPr>
      <w:r>
        <w:rPr>
          <w:rFonts w:ascii="Times New Roman" w:hAnsi="Times New Roman" w:cs="Times New Roman" w:eastAsia="Times New Roman"/>
          <w:b w:val="0"/>
          <w:i w:val="0"/>
          <w:sz w:val="24"/>
        </w:rPr>
        <w:t>“Following ingestion, acetaminophen is rapidly absorbed and transported to the liver to undergo first-pass metabolism [ 28 ]. N-acetyl-p-benzoquinonimine (NAPQI), a cytochrome P450-derived metabolic by-product of acetaminophen first-pass metabolism is cytotoxic and genotoxic [ 28 ]. Normally, when acetaminophen is taken at low doses, GSH can detoxify NAPQI by conjugating it, which facilitates its elimination from the body [ 28 ]. However, acetaminophen toxicity leads to the formation and accumulation of excessive amounts of NAPQI, the depletion of GSH stores, oxidative stress, and mitochondrial dysfunction resulting in the depletion of adenosine triphosphate (ATP) stores [ 44 ]. Evidence suggests that NAPQI is capable of binding to several cellular proteins, particularly mitochondrial proteins [ 44 ]. This binding to mitochondrial proteins in the context of GSH depletion is of great significance as it results in the depletion of endogenous antioxidant functions and alters the \u221d-subunit of the mitochondrial ATP-synthase, thereby hindering the production of ATP [ 44 ].”  [PMC10604897 ¶15]</w:t>
      </w:r>
    </w:p>
    <w:p>
      <w:pPr>
        <w:spacing w:after="120"/>
        <w:jc w:val="both"/>
      </w:pPr>
      <w:r>
        <w:rPr>
          <w:rFonts w:ascii="Times New Roman" w:hAnsi="Times New Roman" w:cs="Times New Roman" w:eastAsia="Times New Roman"/>
          <w:b w:val="0"/>
          <w:i w:val="0"/>
          <w:sz w:val="24"/>
        </w:rPr>
        <w:t>“NAC functions to replenish hepatic GSH stores and provide a larger supply of oxygen to the injured liver [ 1 ]. Administration of NAC during acetaminophen overdose acts to rapidly increase GSH synthesis in the liver and reduce mitochondrial protein binding [ 28 ]. The amount of NAC required to counteract acetaminophen toxicity is determined by plotting the concentration of acetaminophen in plasma against the time post-overdose on a nomogram [ 28 ]. Initiating NAC treatment within 8 h of overdosing minimizes the risk of hepatocellular damage as the effectiveness of NAC treatment is negatively correlated with the time post-overdose [ 28 ]. Reports have shown that oral NAC is just as effective as intravenous NAC in treating acetaminophen toxicity within 10 h of overdosing [ 28 ]. However, it is important to note that the absorption of orally administered NAC will be hindered when administered following the use of activated charcoal, which is commonly used to mitigate acetaminophen toxicity; as such, the preferred route of administration is intravenous NAC [ 28 ]. 5.1.2.”  [PMC10604897 ¶16]</w:t>
      </w:r>
    </w:p>
    <w:p>
      <w:pPr>
        <w:jc w:val="center"/>
      </w:pPr>
      <w:r>
        <w:drawing>
          <wp:inline xmlns:a="http://schemas.openxmlformats.org/drawingml/2006/main" xmlns:pic="http://schemas.openxmlformats.org/drawingml/2006/picture">
            <wp:extent cx="5029200" cy="2300859"/>
            <wp:docPr id="146" name="Picture 146"/>
            <wp:cNvGraphicFramePr>
              <a:graphicFrameLocks noChangeAspect="1"/>
            </wp:cNvGraphicFramePr>
            <a:graphic>
              <a:graphicData uri="http://schemas.openxmlformats.org/drawingml/2006/picture">
                <pic:pic>
                  <pic:nvPicPr>
                    <pic:cNvPr id="0" name="p21_i1.jpg"/>
                    <pic:cNvPicPr/>
                  </pic:nvPicPr>
                  <pic:blipFill>
                    <a:blip r:embed="rId12"/>
                    <a:stretch>
                      <a:fillRect/>
                    </a:stretch>
                  </pic:blipFill>
                  <pic:spPr>
                    <a:xfrm>
                      <a:off x="0" y="0"/>
                      <a:ext cx="5029200" cy="2300859"/>
                    </a:xfrm>
                    <a:prstGeom prst="rect"/>
                  </pic:spPr>
                </pic:pic>
              </a:graphicData>
            </a:graphic>
          </wp:inline>
        </w:drawing>
      </w:r>
    </w:p>
    <w:p>
      <w:pPr>
        <w:spacing w:after="160"/>
        <w:jc w:val="center"/>
      </w:pPr>
      <w:r>
        <w:rPr>
          <w:rFonts w:ascii="Times New Roman" w:hAnsi="Times New Roman" w:cs="Times New Roman" w:eastAsia="Times New Roman"/>
          <w:b w:val="0"/>
          <w:i/>
          <w:sz w:val="20"/>
        </w:rPr>
        <w:t>Figure 1 (from PMC10604897): “The three major narratives of NAC’s mechanisms of action.</w:t>
        <w:br/>
        <w:t xml:space="preserve">   graphic: `antioxidants-12-01867-g001.jpg`”</w:t>
      </w:r>
    </w:p>
    <w:p>
      <w:pPr>
        <w:spacing w:after="120"/>
        <w:jc w:val="both"/>
      </w:pPr>
      <w:r>
        <w:rPr>
          <w:rFonts w:ascii="Times New Roman" w:hAnsi="Times New Roman" w:cs="Times New Roman" w:eastAsia="Times New Roman"/>
          <w:b w:val="0"/>
          <w:i w:val="0"/>
          <w:sz w:val="24"/>
        </w:rPr>
        <w:t>“Excessive neutrophil-mediated inflammation in the airways is another key characteristic of CF and is believed to be a cause of lung damage and dysfunction [ 52 ]. This uncontrolled inflammation leads to overexposure to reactive oxygen species (ROS) derived from bacteria and/or the activated neutrophils, which in turn further amplifies the inflammation [ 52 ] and damages tissues. In addition to being a mucolytic agent, NAC\u2019s antioxidant properties may prove to be useful in controlling oxidative stress and excessive inflammation in the airways of CF patients [ 52 ]. In a study conducted by Dauletbaev et al. (2009), it was found that a 12-week therapy with a high dose of NAC (2800 mg/day) increased extracellular GSH in the sputum of CF patients; however, NAC treatment did not appear to alter any clinical or inflammatory parameters [ 52 ]. 5.2.2. Chronic Obstructive Pulmonary Disease (COPD) COPD refers to a group of chronic progressive lung diseases that cause airflow obstruction and breathing-related issues [ 53 ].”  [PMC10604897 ¶21]</w:t>
      </w:r>
    </w:p>
    <w:p>
      <w:pPr>
        <w:spacing w:after="120"/>
        <w:jc w:val="both"/>
      </w:pPr>
      <w:r>
        <w:rPr>
          <w:rFonts w:ascii="Times New Roman" w:hAnsi="Times New Roman" w:cs="Times New Roman" w:eastAsia="Times New Roman"/>
          <w:b w:val="0"/>
          <w:i w:val="0"/>
          <w:sz w:val="24"/>
        </w:rPr>
        <w:t>“However, a significant number of deaths (~25% mortality) still occur in ICU patients with influenza A (H1N1) despite the use of antivirals [ 58 ]. Patients with severe influenza A virus infection (H1N1, H5N1, and H7N9) were found to have high levels of circulating pro-inflammatory cytokines [ 58 ]. Due to the significant role that inflammation plays in the pathogenesis of seasonal flu, various studies have been conducted to assess the effectiveness of NAC for the treatment of influenza pneumonia. NAC was found to have indirect anti-viral effects, along with the ability to decrease pro-inflammatory cytokine levels and exert anti-apoptotic activities [ 59 ]. NAC can help alleviate the symptoms of influenza, primarily by addressing different mechanisms associated with the infection. However, direct impacts could be because of a reduction in viral load [ 60 ]. It has been proposed that NAC might interfere with the ability of the influenza virus to replicate and spread within the body.”  [PMC10604897 ¶25]</w:t>
      </w:r>
    </w:p>
    <w:p>
      <w:pPr>
        <w:spacing w:after="120"/>
        <w:jc w:val="both"/>
      </w:pPr>
      <w:r>
        <w:rPr>
          <w:rFonts w:ascii="Times New Roman" w:hAnsi="Times New Roman" w:cs="Times New Roman" w:eastAsia="Times New Roman"/>
          <w:b w:val="0"/>
          <w:i w:val="0"/>
          <w:sz w:val="24"/>
        </w:rPr>
        <w:t>“In human trials, for example, NAC significantly lowered the occurrence of clinically apparent H1N1 influenza disease [ 61 ]. Additionally, in cell culture experiments, NAC protected against H3N2 influenza virus-induced oxidative stress, cell death, the expression of inflammatory genes, and NF-\u03baB activity [ 62 , 63 ]. However, this aspect is still under investigation, and more research is needed to confirm its antiviral properties. High doses of NAC used as an adjuvant treatment in influenza pneumonia patients have also been shown to reduce influenza symptomatology and to improve cell-mediated immunity, which is important for fighting viral infections [ 61 ]. NAC\u2019s immunomodulatory properties are likely due to its ability to inhibit the activation of oxidant-sensitive pathways, including the NF-\u03baB and p38 mitogen-activated protein kinase (MAPK) signaling pathways [ 60 ]. Indeed, cytokine and chemokine levels were significantly reduced following in vivo NAC treatment [ 60 ].”  [PMC10604897 ¶26]</w:t>
      </w:r>
    </w:p>
    <w:p>
      <w:pPr>
        <w:jc w:val="center"/>
      </w:pPr>
      <w:r>
        <w:drawing>
          <wp:inline xmlns:a="http://schemas.openxmlformats.org/drawingml/2006/main" xmlns:pic="http://schemas.openxmlformats.org/drawingml/2006/picture">
            <wp:extent cx="5029200" cy="1144143"/>
            <wp:docPr id="147" name="Picture 147"/>
            <wp:cNvGraphicFramePr>
              <a:graphicFrameLocks noChangeAspect="1"/>
            </wp:cNvGraphicFramePr>
            <a:graphic>
              <a:graphicData uri="http://schemas.openxmlformats.org/drawingml/2006/picture">
                <pic:pic>
                  <pic:nvPicPr>
                    <pic:cNvPr id="0" name="p21_i2.jpg"/>
                    <pic:cNvPicPr/>
                  </pic:nvPicPr>
                  <pic:blipFill>
                    <a:blip r:embed="rId13"/>
                    <a:stretch>
                      <a:fillRect/>
                    </a:stretch>
                  </pic:blipFill>
                  <pic:spPr>
                    <a:xfrm>
                      <a:off x="0" y="0"/>
                      <a:ext cx="5029200" cy="1144143"/>
                    </a:xfrm>
                    <a:prstGeom prst="rect"/>
                  </pic:spPr>
                </pic:pic>
              </a:graphicData>
            </a:graphic>
          </wp:inline>
        </w:drawing>
      </w:r>
    </w:p>
    <w:p>
      <w:pPr>
        <w:spacing w:after="160"/>
        <w:jc w:val="center"/>
      </w:pPr>
      <w:r>
        <w:rPr>
          <w:rFonts w:ascii="Times New Roman" w:hAnsi="Times New Roman" w:cs="Times New Roman" w:eastAsia="Times New Roman"/>
          <w:b w:val="0"/>
          <w:i/>
          <w:sz w:val="20"/>
        </w:rPr>
        <w:t>Figure panel from PMC10604897 (source bitmap p21_i2.jpg).</w:t>
      </w:r>
    </w:p>
    <w:p>
      <w:pPr>
        <w:spacing w:after="120"/>
        <w:jc w:val="both"/>
      </w:pPr>
      <w:r>
        <w:rPr>
          <w:rFonts w:ascii="Times New Roman" w:hAnsi="Times New Roman" w:cs="Times New Roman" w:eastAsia="Times New Roman"/>
          <w:b w:val="0"/>
          <w:i w:val="0"/>
          <w:sz w:val="24"/>
        </w:rPr>
        <w:t>“## Figure captions (2) 1. **Figure 1** — Differential modulation of pro-inflammatory mediators in relation to both the concentration and duration of treatment with N-acetylcysteine in in vitro models of airway inflammation. NAC: N-acetylcysteine; LPS: lipopolysaccharides; NKA: neurokinin A; IL-6: Interleukin-6; TNF-α: tumor necrosis factor-α; IL-8: Interleukin-8; IL-1β: Interleukin-1beta; NF-κB: Nuclear factor kappa B. graphic: `jcm-13-04127-g001.jpg` 2. **Figure 2** — Proposed molecular mechanisms for the therapeutic activity of N-acetylcysteine after oral administration in chronic respiratory diseases. NAC: N-acetylcysteine; GSH: glutathione; RSSH: persulfides; RSS n SR: polysulfides; NKA: neurokinin A; NF-κB: Nuclear factor kappa B; TNF-α: tumor necrosis factor-α; IL-1β: Interleukin-1beta; IL-8: Interleukin-8; ROS: reactive oxygen species. graphic: `jcm-13-04127-g002.jpg` ```json { "pmcid": "PMC11278452", "pmid": "39064168", "doi": "10.3390/jcm13144127", "title": "Anti-Inflammatory and Anti-Oxidant Properties of N-Acetylcysteine: A Fresh Perspective", "journal": "Journal of Clinical Medicine", "year": "2024", "abstract": "N-acetyl-L-cysteine (NAC) was initially introduced as a treatment for mucus reduction and widely used for chronic respiratory conditions associated with mucus overproduction.”  [PMC11278452 ¶1]</w:t>
      </w:r>
    </w:p>
    <w:p>
      <w:pPr>
        <w:spacing w:after="120"/>
        <w:jc w:val="both"/>
      </w:pPr>
      <w:r>
        <w:rPr>
          <w:rFonts w:ascii="Times New Roman" w:hAnsi="Times New Roman" w:cs="Times New Roman" w:eastAsia="Times New Roman"/>
          <w:b w:val="0"/>
          <w:i w:val="0"/>
          <w:sz w:val="24"/>
        </w:rPr>
        <w:t>“The mucus, secreted by serous, mucous, and goblet cells in response to various stimuli, including inflammation [ 9 ], becomes viscous [ 12 ] and promotes bacterial colonization and biofilm growth. This hinders the ability of neutrophils and soluble antimicrobial agents to permeate dense mucus and eradicate bacteria [ 14 , 15 ]. In COPD, numerous inflammatory mediators are synthesized and released in response to oxidative stress, such as the pro-inflammatory transcription factor NF-\u03baB, which is over-expressed and activated by Reactive Oxygen Species (ROS), especially in airway epithelial cells and macrophages [ 7 ]. Oxidative stress also promotes the release of signaling molecules such as phosphoinositide 3-kinase (PI3K) and p38 mitogen-activated protein kinase (MAPK). It also sustains transforming growth factor (TGF)-\u03b2 signaling and the expression of matrix metalloproteinase (MMP)-9, which are implicated in small airway fibrosis and emphysema [ 7 ].”  [PMC11278452 ¶5]</w:t>
      </w:r>
    </w:p>
    <w:p>
      <w:pPr>
        <w:spacing w:after="120"/>
        <w:jc w:val="both"/>
      </w:pPr>
      <w:r>
        <w:rPr>
          <w:rFonts w:ascii="Times New Roman" w:hAnsi="Times New Roman" w:cs="Times New Roman" w:eastAsia="Times New Roman"/>
          <w:b w:val="0"/>
          <w:i w:val="0"/>
          <w:sz w:val="24"/>
        </w:rPr>
        <w:t>“NAC as Anti-Oxidant Abnormal levels of GSH in both extracellular and intracellular compartments are commonly observed in chronic pulmonary diseases, such as CF, bronchiectasis, idiopathic pulmonary fibrosis (IPF), and COPD [ 40 , 41 ]. During the 1980s, Mold\u00e9us and colleagues [ 42 ] pioneered the revelation that NAC demonstrated anti-oxidant effects in respiratory cells and tissues. Their findings showcased NAC\u2019s capability to safeguard against the detrimental impacts of cigarette smoke condensates and hydrogen peroxide (H 2 O 2 ) [ 42 ]. The researchers proposed that NAC\u2019s shielding effect against ROS may be attributed to its function as a precursor to GSH and an enhancer of GSH biosynthesis [ 42 ]. Indeed, from a stringent biochemical perspective, the anti-oxidant characteristics of NAC are intricately linked to the elevation of GSH content, leading to the reduction in ROS synthesis [ 22 ].”  [PMC11278452 ¶10]</w:t>
      </w:r>
    </w:p>
    <w:p>
      <w:pPr>
        <w:jc w:val="center"/>
      </w:pPr>
      <w:r>
        <w:drawing>
          <wp:inline xmlns:a="http://schemas.openxmlformats.org/drawingml/2006/main" xmlns:pic="http://schemas.openxmlformats.org/drawingml/2006/picture">
            <wp:extent cx="5029200" cy="4259385"/>
            <wp:docPr id="148" name="Picture 148"/>
            <wp:cNvGraphicFramePr>
              <a:graphicFrameLocks noChangeAspect="1"/>
            </wp:cNvGraphicFramePr>
            <a:graphic>
              <a:graphicData uri="http://schemas.openxmlformats.org/drawingml/2006/picture">
                <pic:pic>
                  <pic:nvPicPr>
                    <pic:cNvPr id="0" name="p06_i1.jpg"/>
                    <pic:cNvPicPr/>
                  </pic:nvPicPr>
                  <pic:blipFill>
                    <a:blip r:embed="rId14"/>
                    <a:stretch>
                      <a:fillRect/>
                    </a:stretch>
                  </pic:blipFill>
                  <pic:spPr>
                    <a:xfrm>
                      <a:off x="0" y="0"/>
                      <a:ext cx="5029200" cy="4259385"/>
                    </a:xfrm>
                    <a:prstGeom prst="rect"/>
                  </pic:spPr>
                </pic:pic>
              </a:graphicData>
            </a:graphic>
          </wp:inline>
        </w:drawing>
      </w:r>
    </w:p>
    <w:p>
      <w:pPr>
        <w:spacing w:after="160"/>
        <w:jc w:val="center"/>
      </w:pPr>
      <w:r>
        <w:rPr>
          <w:rFonts w:ascii="Times New Roman" w:hAnsi="Times New Roman" w:cs="Times New Roman" w:eastAsia="Times New Roman"/>
          <w:b w:val="0"/>
          <w:i/>
          <w:sz w:val="20"/>
        </w:rPr>
        <w:t>Figure 1 (from PMC11278452): “Differential modulation of pro-inflammatory mediators in relation to both the concentration and duration of treatment with N-acetylcysteine in in vitro models of airway inflammation. NAC: N-acetylcysteine; LPS: lipopolysaccharides; NKA: neurokinin A; IL-6: Interleukin-6; TNF-α: tumor necrosis factor-α; IL-8: Interleukin-8; IL-1β: Interleukin-1beta; NF-κB: Nu”</w:t>
      </w:r>
    </w:p>
    <w:p>
      <w:pPr>
        <w:spacing w:after="120"/>
        <w:jc w:val="both"/>
      </w:pPr>
      <w:r>
        <w:rPr>
          <w:rFonts w:ascii="Times New Roman" w:hAnsi="Times New Roman" w:cs="Times New Roman" w:eastAsia="Times New Roman"/>
          <w:b w:val="0"/>
          <w:i w:val="0"/>
          <w:sz w:val="24"/>
        </w:rPr>
        <w:t>“Factors such as inflammation, microbial infection, or smoke exposure can increase GSH content in bronchoalveolar lavage fluid (BALF) as a protective measure against further lung damage [ 40 ]. While GSH concentration increases in the BALF of stable COPD patients, it diminishes during AECOPD [ 44 ]. This indicates that the increase in GSH levels within the lungs is inadequate to effectively counterbalance the significant production of ROS. Maintaining adequate GSH levels is crucial to counteract excessive ROS production during AECOPD [ 45 ]. Thus, therapeutic approaches focused on increasing GSH levels could potentially be beneficial in managing the severity of AECOPD and reducing the occurrence of future episodes. In this context, NAC shows efficacy in restoring the depleted pool of intracellular GSH during AECOPD [ 46 , 47 ] by elevating GSH levels in plasma and BALF [ 48 ]. NAC also reduces ROS secretion by alveolar macrophages (AM) [ 49 ] and exhaled H 2 O 2 and decreases H 2 O 2 production in the respiratory tract of COPD patients [ 50 ].”  [PMC11278452 ¶12]</w:t>
      </w:r>
    </w:p>
    <w:p>
      <w:pPr>
        <w:spacing w:after="120"/>
        <w:jc w:val="both"/>
      </w:pPr>
      <w:r>
        <w:rPr>
          <w:rFonts w:ascii="Times New Roman" w:hAnsi="Times New Roman" w:cs="Times New Roman" w:eastAsia="Times New Roman"/>
          <w:b w:val="0"/>
          <w:i w:val="0"/>
          <w:sz w:val="24"/>
        </w:rPr>
        <w:t>“Additionally, the duration of treatment significantly influences NAC\u2019s anti-inflammatory activity, as evidenced by Montero et al.\u2019s study [ 29 ]. Their findings showed that A549 cells treated with doses of NAC reflecting plasma concentrations after oral doses of 600 mg and 1200 mg prevented ROS induction, decreased thiol level, correlated with intracellular GSH levels, and suppressed IL-6 and IL-8 levels while inhibiting NF\u03baB activation [ 29 ]. The extended incubation period enabled even lower concentrations of NAC to exhibit anti-inflammatory effects, suggesting that NAC\u2019s positive impact on IL-6 regulation may stem from both its anti-oxidant properties and other anti-inflammatory mechanisms [ 27 , 28 , 29 ]. These results provide new evidence by confirming the concentration and time-dependent effects of NAC, both in vivo and in vitro, as suggested by Sadowska et al.”  [PMC11278452 ¶23]</w:t>
      </w:r>
    </w:p>
    <w:p>
      <w:pPr>
        <w:spacing w:after="120"/>
        <w:jc w:val="both"/>
      </w:pPr>
      <w:r>
        <w:rPr>
          <w:rFonts w:ascii="Times New Roman" w:hAnsi="Times New Roman" w:cs="Times New Roman" w:eastAsia="Times New Roman"/>
          <w:b w:val="0"/>
          <w:i w:val="0"/>
          <w:sz w:val="24"/>
        </w:rPr>
        <w:t>“Clinical trial results suggest that prolonged NAC administration can significantly enhance respiratory symptoms and decrease the frequency of exacerbations in COPD and CB/pre-COPD patients.", "tables": [], "figures": [ { "label": "Figure 1", "caption": "Differential modulation of pro-inflammatory mediators in relation to both the concentration and duration of treatment with N-acetylcysteine in in vitro models of airway inflammation. NAC: N-acetylcysteine; LPS: lipopolysaccharides; NKA: neurokinin A; IL-6: Interleukin-6; TNF-\u03b1: tumor necrosis factor-\u03b1; IL-8: Interleukin-8; IL-1\u03b2: Interleukin-1beta; NF-\u03baB: Nuclear factor kappa B.", "graphic_href": "jcm-13-04127-g001.jpg" }, { "label": "Figure 2", "caption": "Proposed molecular mechanisms for the therapeutic activity of N-acetylcysteine after oral administration in chronic respiratory diseases. NAC: N-acetylcysteine; GSH: glutathione; RSSH: persulfides; RSS n SR: polysulfides; NKA: neurokinin A; NF-\u03baB: Nuclear factor kappa B; TNF-\u03b1: tumor necrosis factor-\u03b1; IL-1\u03b2: Interleukin-1beta; IL-8: Interleukin-8; ROS: reactive oxygen species.", "graphic_href": "jcm-13-04127-g002.jpg" } ], "references": [ { "title": "The reduction in vitro in viscosity of mucoprotein solutions by a new mucolytic agent, N-acetyl-L-cysteine", "year": "1963", "source": "Ann.”  [PMC11278452 ¶34]</w:t>
      </w:r>
    </w:p>
    <w:p>
      <w:pPr>
        <w:jc w:val="center"/>
      </w:pPr>
      <w:r>
        <w:drawing>
          <wp:inline xmlns:a="http://schemas.openxmlformats.org/drawingml/2006/main" xmlns:pic="http://schemas.openxmlformats.org/drawingml/2006/picture">
            <wp:extent cx="5029200" cy="3369819"/>
            <wp:docPr id="149" name="Picture 149"/>
            <wp:cNvGraphicFramePr>
              <a:graphicFrameLocks noChangeAspect="1"/>
            </wp:cNvGraphicFramePr>
            <a:graphic>
              <a:graphicData uri="http://schemas.openxmlformats.org/drawingml/2006/picture">
                <pic:pic>
                  <pic:nvPicPr>
                    <pic:cNvPr id="0" name="p08_i1.jpg"/>
                    <pic:cNvPicPr/>
                  </pic:nvPicPr>
                  <pic:blipFill>
                    <a:blip r:embed="rId15"/>
                    <a:stretch>
                      <a:fillRect/>
                    </a:stretch>
                  </pic:blipFill>
                  <pic:spPr>
                    <a:xfrm>
                      <a:off x="0" y="0"/>
                      <a:ext cx="5029200" cy="3369819"/>
                    </a:xfrm>
                    <a:prstGeom prst="rect"/>
                  </pic:spPr>
                </pic:pic>
              </a:graphicData>
            </a:graphic>
          </wp:inline>
        </w:drawing>
      </w:r>
    </w:p>
    <w:p>
      <w:pPr>
        <w:spacing w:after="160"/>
        <w:jc w:val="center"/>
      </w:pPr>
      <w:r>
        <w:rPr>
          <w:rFonts w:ascii="Times New Roman" w:hAnsi="Times New Roman" w:cs="Times New Roman" w:eastAsia="Times New Roman"/>
          <w:b w:val="0"/>
          <w:i/>
          <w:sz w:val="20"/>
        </w:rPr>
        <w:t>Figure 2 (from PMC11278452): “Proposed molecular mechanisms for the therapeutic activity of N-acetylcysteine after oral administration in chronic respiratory diseases. NAC: N-acetylcysteine; GSH: glutathione; RSSH: persulfides; RSS n SR: polysulfides; NKA: neurokinin A; NF-κB: Nuclear factor kappa B; TNF-α: tumor necrosis factor-α; IL-1β: Interleukin-1beta; IL-8: Interleukin-8; ROS: reac”</w:t>
      </w:r>
    </w:p>
    <w:p>
      <w:pPr>
        <w:spacing w:after="120"/>
        <w:jc w:val="both"/>
      </w:pPr>
      <w:r>
        <w:rPr>
          <w:rFonts w:ascii="Times New Roman" w:hAnsi="Times New Roman" w:cs="Times New Roman" w:eastAsia="Times New Roman"/>
          <w:b w:val="0"/>
          <w:i w:val="0"/>
          <w:sz w:val="24"/>
        </w:rPr>
        <w:t>“With the introduction of the mouse model of APAP hepatotoxicity in the 1970s, fundamental mechanisms of cell death were discovered. This included the recognition that part of the APAP dose is metabolized by cytochrome P450 generating a reactive metabolite that is detoxified by glutathione. After the partial depletion of glutathione, the reactive metabolite will covalently bind to sulfhydryl groups of proteins, which is the initiating event of the toxicity. This insight led to the introduction of N-acetyl-L-cysteine, a glutathione precursor, as antidote against APAP overdose in the clinic. Despite substantial progress in our understanding of the pathomechanisms over the last decades viable new antidotes only emerged recently. This review will discuss the background, mechanisms of action, and the clinical prospects of the existing FDA-approved antidote N-acetylcysteine, of several new drug candidates under clinical development [4-methylpyrazole (fomepizole), calmangafodipir] and examples of additional therapeutic targets (Nrf2 activators) and regeneration promoting agents (thrombopoietin mimetics, adenosine A2B receptor agonists, Wharton\u2019s Jelly mesenchymal stem cells).”  [PMC11315809 ¶1]</w:t>
      </w:r>
    </w:p>
    <w:p>
      <w:pPr>
        <w:spacing w:after="120"/>
        <w:jc w:val="both"/>
      </w:pPr>
      <w:r>
        <w:rPr>
          <w:rFonts w:ascii="Times New Roman" w:hAnsi="Times New Roman" w:cs="Times New Roman" w:eastAsia="Times New Roman"/>
          <w:b w:val="0"/>
          <w:i w:val="0"/>
          <w:sz w:val="24"/>
        </w:rPr>
        <w:t>“APAP overdose is the single most frequent cause of liver injury and acute liver failure in the U.S., UK [ 4 ] and Australia [ 5 ] and is at least a significant etiology of acute liver failure in many other western countries [ 4 ]. As a dose-dependent hepatotoxin, the injury process of APAP toxicity in patients can be accurately reproduced in animals [ 6 , 7 ], especially in mice [ 8 ]. Since the introduction of the mouse model in the 1970s [ 9 , 10 ], the mechanisms of cell death and liver injury have been extensively studied and today many key aspects of the injury mechanism are known [ 11 \u2013 13 ]. Based on the early mechanistic insight, limited to recognition of hepatotoxicity resulting from reactive metabolite formation causing GSH depletion and subsequent protein adduct formation [ 9 , 10 ], N-acetylcysteine (NAC) was discovered to be an effective antidote in animals and patients [ 14 ].”  [PMC11315809 ¶3]</w:t>
      </w:r>
    </w:p>
    <w:p>
      <w:pPr>
        <w:spacing w:after="120"/>
        <w:jc w:val="both"/>
      </w:pPr>
      <w:r>
        <w:rPr>
          <w:rFonts w:ascii="Times New Roman" w:hAnsi="Times New Roman" w:cs="Times New Roman" w:eastAsia="Times New Roman"/>
          <w:b w:val="0"/>
          <w:i w:val="0"/>
          <w:sz w:val="24"/>
        </w:rPr>
        <w:t>“This reactive metabolite was identified as N-acetyl-p-benzoquinone imine (NAPQI), which after GSH depletion, preferably reacts with sulfhydryl groups of cysteine in proteins [ 23 ]. Although extensive formation of protein adducts is the initiating event in the toxicity, it is protein adducts in mitochondria that are most critical [ 24 , 25 ]. Mitochondrial adducts trigger a limited electron leak from complex III of the mitochondrial electron transport chain into the cytosol [ 26 ]. This mild oxidant stress activates a redox-sensitive mitogen-activated protein kinase cascade, resulting in activation (phosphorylation) of c-jun N-terminal kinase (JNK) [ 26 ]. P-JNK translocates to the mitochondria [ 27 ] and binds to the anchor protein Sab [ 28 ], which triggers further impairment of the electron transport chain with exaggerated oxidant stress [ 29 ], mainly through leakage of electrons of complex I into the mitochondrial matrix [ 26 ].”  [PMC11315809 ¶7]</w:t>
      </w:r>
    </w:p>
    <w:p>
      <w:pPr>
        <w:spacing w:after="120"/>
        <w:jc w:val="both"/>
      </w:pPr>
      <w:r>
        <w:rPr>
          <w:rFonts w:ascii="Times New Roman" w:hAnsi="Times New Roman" w:cs="Times New Roman" w:eastAsia="Times New Roman"/>
          <w:b w:val="0"/>
          <w:i w:val="0"/>
          <w:sz w:val="24"/>
        </w:rPr>
        <w:t>“Superoxide radicals formed in the matrix readily react with nitric oxide radicals to form peroxynitrite in mitochondria [ 30 ]. Peroxynitrite, a powerful oxidant and nitrating species, which causes nitrotyrosine protein adducts in mitochondria, triggers the mitochondrial permeability transition pore (MPTP) opening [ 31 ] and cell necrosis [ 32 ] ( Figure 1 ). These signaling events represent the basic mechanisms of cell death after APAP overdose that also apply to humans [ 33 , 34 ]. They also reveal realistic therapeutic targets that could be exploited with a high probability of success in humans. 3. Antidotes and Emerging Therapeutic Approaches 3.1 N-Acetylcysteine NAC is the only FDA approved antidote for clinical use against APAP overdose in humans. The discovery of NAC was related to the initial mechanistic understanding that the toxicity was caused by a cytochrome P450-mediated formation of a reactive metabolite, which can covalently bind to proteins as the cause of cell death [ 10 ].”  [PMC11315809 ¶8]</w:t>
      </w:r>
    </w:p>
    <w:p>
      <w:pPr>
        <w:spacing w:after="120"/>
        <w:jc w:val="both"/>
      </w:pPr>
      <w:r>
        <w:rPr>
          <w:rFonts w:ascii="Times New Roman" w:hAnsi="Times New Roman" w:cs="Times New Roman" w:eastAsia="Times New Roman"/>
          <w:b w:val="0"/>
          <w:i w:val="0"/>
          <w:sz w:val="24"/>
        </w:rPr>
        <w:t>“Importantly, the recognition that the reactive metabolite could be detoxified by glutathione [ 9 ] was the incentive to test glutathione precursors, leading to the discovery of NAC as an effective drug in preclinical models [ 35 ]. Today, we know that NAC works mainly through supporting the synthesis of hepatic GSH [ 36 ] ( Figure 1 ); GSH can scavenge NAPQI during the metabolism phase [ 37 ], and later, after import into mitochondria, can scavenge peroxynitrite [ 38 ]. However, excess NAC can also be converted to Krebs cycle intermediates and support the mitochondrial bioenergetics [ 39 ]. Together these mechanisms explain why NAC can effectively prevent cell death. Because of the high efficacy of NAC in several pilot trials in humans in the 1970s [ 40 , 41 ], large scale clinical studies were initiated, but due to ethical reasons, the FDA denied the originally proposed randomized controlled trials [ 14 , 16 ].”  [PMC11315809 ¶9]</w:t>
      </w:r>
    </w:p>
    <w:p>
      <w:pPr>
        <w:spacing w:after="120"/>
        <w:jc w:val="both"/>
      </w:pPr>
      <w:r>
        <w:rPr>
          <w:rFonts w:ascii="Times New Roman" w:hAnsi="Times New Roman" w:cs="Times New Roman" w:eastAsia="Times New Roman"/>
          <w:b w:val="0"/>
          <w:i w:val="0"/>
          <w:sz w:val="24"/>
        </w:rPr>
        <w:t>“A dose of 300 mg/kg APAP is mostly metabolized by 90 min after ip injection in mice [ 38 , 56 ]. When mice were treated with fomepizole 90 min after 300 mg/kg APAP, the animals were again almost completely protected against APAP toxicity, even though there was no reduction of protein adduct formation [ 59 ]. This suggested that the effect was not mediated by cyp2e1 inhibition. Follow-up measurements demonstrated that fomepizole was also an inhibitor of JNK by binding to the ATP binding site of the enzyme, and, as such, eliminated the mitochondrial oxidant stress and its amplification [ 59 ]. The combined effect of cyp2e1 and JNK inhibition makes fomepizole an effective antidote against APAP overdose ( Figure 1 ). In fact, one could assume that, mechanistically, fomepizole would be superior to NAC if given before APAP metabolism because preventing NAPQI formation is more effective than synthesizing GSH.”  [PMC11315809 ¶15]</w:t>
      </w:r>
    </w:p>
    <w:p>
      <w:pPr>
        <w:spacing w:after="120"/>
        <w:jc w:val="both"/>
      </w:pPr>
      <w:r>
        <w:rPr>
          <w:rFonts w:ascii="Times New Roman" w:hAnsi="Times New Roman" w:cs="Times New Roman" w:eastAsia="Times New Roman"/>
          <w:b w:val="0"/>
          <w:i w:val="0"/>
          <w:sz w:val="24"/>
        </w:rPr>
        <w:t>“Schematic illustration of the pathways and factors contributing to endothelial dysfunction and the progression of CVDs. The activation of the NLRP3 inflammasome by PAMPs, DAMPs, and hemodynamic alterations triggers the production of inflammatory cytokines (e.g., IL-1β, IL-18) via caspa graphic: `antioxidants-14-00256-g002.jpg` 2. **Figure 1** — Adequate NO production supports redox balance, vasodilation, and vascular homeostasis. In contrast, endothelial dysfunction and reduced NO levels lead to redox imbalance, favoring ROS/RNS-mediated inflammation and fibrosis, with O 2 •− , ONOO − and NLRP3 playing key roles (See also Figure 2 ). Double-headed lines indicate inhibition, while simple arrows indicate diffusion and activation. Red-color graphic: `antioxidants-14-00256-g001.jpg` ```json { "pmcid": "PMC11939635", "pmid": "40227195", "doi": "10.3390/antiox14030256", "title": "Endothelial Dysfunction: Redox Imbalance, NLRP3 Inflammasome, and Inflammatory Responses in Cardiovascular Diseases", "journal": "Antioxidants", "year": "2025", "abstract": "Endothelial dysfunction (ED) is characterized by an imbalance between vasodilatory and vasoconstrictive factors, leading to impaired vascular tone, thrombosis, and inflammation.”  [PMC11939635 ¶1]</w:t>
      </w:r>
    </w:p>
    <w:p>
      <w:pPr>
        <w:spacing w:after="120"/>
        <w:jc w:val="both"/>
      </w:pPr>
      <w:r>
        <w:rPr>
          <w:rFonts w:ascii="Times New Roman" w:hAnsi="Times New Roman" w:cs="Times New Roman" w:eastAsia="Times New Roman"/>
          <w:b w:val="0"/>
          <w:i w:val="0"/>
          <w:sz w:val="24"/>
        </w:rPr>
        <w:t>“These processes are critical in the development of cardiovascular diseases (CVDs) such as atherosclerosis, hypertension and ischemia/reperfusion injury (IRI). Reduced nitric oxide (NO) production and increased oxidative stress are key contributors to ED. Aging further exacerbates ED through mitochondrial dysfunction and increased oxidative/nitrosative stress, heightening CVD risk. Antioxidant systems like superoxide-dismutase (SOD), glutathione-peroxidase (GPx), and thioredoxin/thioredoxin-reductase (Trx/TXNRD) pathways protect against oxidative stress. However, their reduced activity promotes ED, atherosclerosis, and vulnerability to IRI. Metabolic syndrome, comprising insulin resistance, obesity, and hypertension, is often accompanied by ED. Specifically, hyperglycemia worsens endothelial damage by promoting oxidative stress and inflammation. Obesity leads to chronic inflammation and changes in perivascular adipose tissue, while hypertension is associated with an increase in oxidative stress.”  [PMC11939635 ¶2]</w:t>
      </w:r>
    </w:p>
    <w:p>
      <w:pPr>
        <w:spacing w:after="120"/>
        <w:jc w:val="both"/>
      </w:pPr>
      <w:r>
        <w:rPr>
          <w:rFonts w:ascii="Times New Roman" w:hAnsi="Times New Roman" w:cs="Times New Roman" w:eastAsia="Times New Roman"/>
          <w:b w:val="0"/>
          <w:i w:val="0"/>
          <w:sz w:val="24"/>
        </w:rPr>
        <w:t>“The molecular mechanisms underlying ED are numerous and not entirely clear, despite the fact that this condition has been discussed since the late 1970s [ 3 ]. Certainly, among the most accredited causes are disruption in nitric oxide (NO) production and the formation of reactive oxygen species (ROS) and/or nitrogen species (RNS). Yet hemodynamic and shear stress alterations, including turbulence, play a central role in ED development [ 4 ]. Indeed, triggers for the shift toward ED and, therefore, toward a pro-coagulant and pro-inflammatory state include intrinsic, non-modifiable risk factors, such as hemodynamic disturbances and a predisposition to thrombophilia (whether inherited or acquired). Modifiable risk factors also play a role, including infections, dietary disturbances, metabolic disorders such as homocysteinemia and hypercholesterolemia, and exposure to toxins like those from smoking [ 1 , 5 , 6 ].”  [PMC11939635 ¶5]</w:t>
      </w:r>
    </w:p>
    <w:p>
      <w:pPr>
        <w:jc w:val="center"/>
      </w:pPr>
      <w:r>
        <w:drawing>
          <wp:inline xmlns:a="http://schemas.openxmlformats.org/drawingml/2006/main" xmlns:pic="http://schemas.openxmlformats.org/drawingml/2006/picture">
            <wp:extent cx="5029200" cy="2916365"/>
            <wp:docPr id="150" name="Picture 150"/>
            <wp:cNvGraphicFramePr>
              <a:graphicFrameLocks noChangeAspect="1"/>
            </wp:cNvGraphicFramePr>
            <a:graphic>
              <a:graphicData uri="http://schemas.openxmlformats.org/drawingml/2006/picture">
                <pic:pic>
                  <pic:nvPicPr>
                    <pic:cNvPr id="0" name="p11_i1.jpg"/>
                    <pic:cNvPicPr/>
                  </pic:nvPicPr>
                  <pic:blipFill>
                    <a:blip r:embed="rId16"/>
                    <a:stretch>
                      <a:fillRect/>
                    </a:stretch>
                  </pic:blipFill>
                  <pic:spPr>
                    <a:xfrm>
                      <a:off x="0" y="0"/>
                      <a:ext cx="5029200" cy="2916365"/>
                    </a:xfrm>
                    <a:prstGeom prst="rect"/>
                  </pic:spPr>
                </pic:pic>
              </a:graphicData>
            </a:graphic>
          </wp:inline>
        </w:drawing>
      </w:r>
    </w:p>
    <w:p>
      <w:pPr>
        <w:spacing w:after="160"/>
        <w:jc w:val="center"/>
      </w:pPr>
      <w:r>
        <w:rPr>
          <w:rFonts w:ascii="Times New Roman" w:hAnsi="Times New Roman" w:cs="Times New Roman" w:eastAsia="Times New Roman"/>
          <w:b w:val="0"/>
          <w:i/>
          <w:sz w:val="20"/>
        </w:rPr>
        <w:t>Figure 1 (from PMC11939635): “Key molecular mechanisms linking endothelial dysfunction, NLRP3 inflammasome, and cardiovascular diseases (CVDs). Schematic illustration of the pathways and factors contributing to endothelial dysfunction and the progression of CVDs. The activation of the NLRP3 inflammasome by PAMPs, DAMPs, and hemodynamic alterations triggers the production of inflammatory ”</w:t>
      </w:r>
    </w:p>
    <w:p>
      <w:pPr>
        <w:spacing w:after="120"/>
        <w:jc w:val="both"/>
      </w:pPr>
      <w:r>
        <w:rPr>
          <w:rFonts w:ascii="Times New Roman" w:hAnsi="Times New Roman" w:cs="Times New Roman" w:eastAsia="Times New Roman"/>
          <w:b w:val="0"/>
          <w:i w:val="0"/>
          <w:sz w:val="24"/>
        </w:rPr>
        <w:t>“Among the causes that can determine an alteration of shear stress, it is worth mentioning the increase in blood pressure which, combined with a greater stiffness due to metabolic syndrome and aging, determines changes in both the phenotype and the endothelial functionality [ 4 , 25 ]. In addition to being subjected to shear stress, ECs can function as a \u201cmetabolic interface\u201d with important differences between different organs and within the organ itself [ 26 , 27 ]. It appears that under many conditions, the preferred metabolic pathway of ECs is anaerobic glycolysis [ 28 ]. The reliance on anaerobic glycolysis offers metabolic advantages. Under normal conditions, it reduces the formation and availability of ROS/RNS while enhancing the efficiency of metabolite transport from the vessel to surrounding tissues. For instance, the endothelium exerts metabolic control over surrounding tissues, regulating the influx of hormones and other key elements such as insulin, lipids, and glucose.”  [PMC11939635 ¶11]</w:t>
      </w:r>
    </w:p>
    <w:p>
      <w:pPr>
        <w:spacing w:after="120"/>
        <w:jc w:val="both"/>
      </w:pPr>
      <w:r>
        <w:rPr>
          <w:rFonts w:ascii="Times New Roman" w:hAnsi="Times New Roman" w:cs="Times New Roman" w:eastAsia="Times New Roman"/>
          <w:b w:val="0"/>
          <w:i w:val="0"/>
          <w:sz w:val="24"/>
        </w:rPr>
        <w:t>“In skeletal muscle following an alteration of the trans-epithelial transport of fatty acids, the onset of insulin resistance in obesity can be recorded [ 32 ]. In this context of dysfunction and activation, the endothelium is both a victim and culprit source and a target of oxidative stress. No doubt, a key substance produced by the healthy ECs is NO. Typically, the endothelium maintains its functional integrity and adequately responds to the needs of different organs when NO production and release are appropriately regulated. When the release of NO is lacking and/or the production is reduced, the vascular balance is disrupted and therefore ED occurs, which determines a pro-inflammatory and pro-thrombotic condition, together with a less compliant structure at the vascular level [ 33 ]. A co-protagonist is the increase in oxidative/nitrosative stress. The ROS/RNS increase could be caused on the one hand by a poor antioxidant defense and on the other by a greater production caused by vascular damage and specific pro-oxidant pathways [ 2 , 34 , 35 , 36 ].”  [PMC11939635 ¶15]</w:t>
      </w:r>
    </w:p>
    <w:p>
      <w:pPr>
        <w:spacing w:after="120"/>
        <w:jc w:val="both"/>
      </w:pPr>
      <w:r>
        <w:rPr>
          <w:rFonts w:ascii="Times New Roman" w:hAnsi="Times New Roman" w:cs="Times New Roman" w:eastAsia="Times New Roman"/>
          <w:b w:val="0"/>
          <w:i w:val="0"/>
          <w:sz w:val="24"/>
        </w:rPr>
        <w:t>“It should be noted that NO possesses significant antioxidant properties, helping to neutralize ROS/RNS and maintain cellular redox balance ( Figure 1 ). Indeed, the interactions between NO, ROS, and RNS form a dynamic redox system operating on a millisecond timescale to maintain homeostasis. A deficiency in NO (e.g., uncoupled NOS prevails) paradoxically increases both oxidative and nitrosative stress, showing a U-shaped relationship between NO levels and stress. While NO reacts with O 2 \u2022\u2212 to form ONOO \u2212 , it also scavenges this and other RNS, mitigating their damage. Inadequate NO impairs this protective mechanism [ 35 , 36 , 37 , 38 , 39 , 40 ] ( Figure 1 ). (See also Section 3.1 ). Elevated oxidative stress can further damage ECs, driving inflammation and accelerating the activation and progression of vascular diseases. This creates a vicious cycle in which reduced NO availability amplifies oxidative damage, aggravating ED and endothelial inflammation.”  [PMC11939635 ¶16]</w:t>
      </w:r>
    </w:p>
    <w:p>
      <w:pPr>
        <w:jc w:val="center"/>
      </w:pPr>
      <w:r>
        <w:drawing>
          <wp:inline xmlns:a="http://schemas.openxmlformats.org/drawingml/2006/main" xmlns:pic="http://schemas.openxmlformats.org/drawingml/2006/picture">
            <wp:extent cx="5029200" cy="2478960"/>
            <wp:docPr id="151" name="Picture 151"/>
            <wp:cNvGraphicFramePr>
              <a:graphicFrameLocks noChangeAspect="1"/>
            </wp:cNvGraphicFramePr>
            <a:graphic>
              <a:graphicData uri="http://schemas.openxmlformats.org/drawingml/2006/picture">
                <pic:pic>
                  <pic:nvPicPr>
                    <pic:cNvPr id="0" name="p06_i1.jpg"/>
                    <pic:cNvPicPr/>
                  </pic:nvPicPr>
                  <pic:blipFill>
                    <a:blip r:embed="rId33"/>
                    <a:stretch>
                      <a:fillRect/>
                    </a:stretch>
                  </pic:blipFill>
                  <pic:spPr>
                    <a:xfrm>
                      <a:off x="0" y="0"/>
                      <a:ext cx="5029200" cy="2478960"/>
                    </a:xfrm>
                    <a:prstGeom prst="rect"/>
                  </pic:spPr>
                </pic:pic>
              </a:graphicData>
            </a:graphic>
          </wp:inline>
        </w:drawing>
      </w:r>
    </w:p>
    <w:p>
      <w:pPr>
        <w:spacing w:after="160"/>
        <w:jc w:val="center"/>
      </w:pPr>
      <w:r>
        <w:rPr>
          <w:rFonts w:ascii="Times New Roman" w:hAnsi="Times New Roman" w:cs="Times New Roman" w:eastAsia="Times New Roman"/>
          <w:b w:val="0"/>
          <w:i/>
          <w:sz w:val="20"/>
        </w:rPr>
        <w:t>Figure 2 (from PMC11939635): “Adequate NO production supports redox balance, vasodilation, and vascular homeostasis. In contrast, endothelial dysfunction and reduced NO levels lead to redox imbalance, favoring ROS/RNS-mediated inflammation and fibrosis, with O 2 •− , ONOO − and NLRP3 playing key roles (See also Figure 2 ). Double-headed lines indicate inhibition, while simple arrows indi”</w:t>
      </w:r>
    </w:p>
    <w:p>
      <w:pPr>
        <w:spacing w:after="120"/>
        <w:jc w:val="both"/>
      </w:pPr>
      <w:r>
        <w:rPr>
          <w:rFonts w:ascii="Times New Roman" w:hAnsi="Times New Roman" w:cs="Times New Roman" w:eastAsia="Times New Roman"/>
          <w:b w:val="0"/>
          <w:i w:val="0"/>
          <w:sz w:val="24"/>
        </w:rPr>
        <w:t>“Here we identify the upregulation of lipopolysaccharide-binding protein (LBP) and its trafficking through LDs as a mechanism for modulating LD homeostasis in response to oxidative stress. Our results suggest that LBP induces lipid accumulation by controlling lipid-redox homeostasis through its lipid-capture activity, sorting unsaturated triglycerides into LDs. N-acetyl-L-cysteine treatment reduces LBP-mediated triglycerides accumulation by phospholipid/triglycerides competition and Peroxiredoxin 4, a redox state sensor of LBP that regulates the shuttle of LBP from LDs. Furthermore, chronic stress upregulates LBP expression, leading to insulin resistance and obesity. Our findings contribute to the understanding of the role of LBP in regulating LD homeostasis and against cellular peroxidative injury. These insights could inform the development of redox-based therapies for alleviating oxidative stress-induced metabolic dysfunction.", "body_text": "Introduction Oxidative stress, resulting from an imbalance between reactive oxygen species (ROS) production and the antioxidant defense system, is a key driver of hepatic steatosis and obesity 1 \u2013 3 .”  [PMC11016120 ¶4]</w:t>
      </w:r>
    </w:p>
    <w:p>
      <w:pPr>
        <w:spacing w:after="120"/>
        <w:jc w:val="both"/>
      </w:pPr>
      <w:r>
        <w:rPr>
          <w:rFonts w:ascii="Times New Roman" w:hAnsi="Times New Roman" w:cs="Times New Roman" w:eastAsia="Times New Roman"/>
          <w:b w:val="0"/>
          <w:i w:val="0"/>
          <w:sz w:val="24"/>
        </w:rPr>
        <w:t>“Toxic lipid metabolites such as diacylglycerols, lysophosphatidyl choline, and other unsaturated metabolites generated due to oxidative stress, cause cellular damage 4 . This lipotoxicity considered a potential pro-steatotic mediator, is also a key factor in the progression of metabolic dysfunction. Therefore, even in the absence of overweight, acute hunger or chronic stress-induced oxidative stress can cause severe disruptions in lipid metabolism, further increasing the risk of all-cause mortality 5 . While antioxidants and ROS scavengers can alleviate metabolic dysfunction in animal models and some antioxidants have been trialed in clinical settings, long-term antioxidant treatment has potential safety issues, and there is currently no ideal drug available 6 , 7 . Thus, it is crucial to understand the molecular mechanisms that lead to oxidative stress-induced lipid metabolic dysfunction.”  [PMC11016120 ¶5]</w:t>
      </w:r>
    </w:p>
    <w:p>
      <w:pPr>
        <w:spacing w:after="120"/>
        <w:jc w:val="both"/>
      </w:pPr>
      <w:r>
        <w:rPr>
          <w:rFonts w:ascii="Times New Roman" w:hAnsi="Times New Roman" w:cs="Times New Roman" w:eastAsia="Times New Roman"/>
          <w:b w:val="0"/>
          <w:i w:val="0"/>
          <w:sz w:val="24"/>
        </w:rPr>
        <w:t>“Recent studies have shown that lipid droplets (LDs), the major organelles responsible for neutral lipid accumulation, not only function in lipid storage and mobilization but also serve as an essential component of the cellular antioxidant system 8 . The homeostasis regulation of LD is of great significance for the development and survival of cells under stress 9 . During oxidative stress, the biogenesis of LDs is stimulated to protect vulnerable lipids such as unsaturated fatty acids (UFAs) rerouted into the triglyceride (TG) core from ROS-induced peroxidation to maintain lipid homeostasis 10 \u2013 12 , which is subsided when oxidative stress ends. This process is accurately regulated by LD-associated proteins. Despite the identification of numerous LD-associated proteins 13 , the cellular sorting mechanisms for UFA-TG in response to oxidative stress are poorly understood. In this study, we aimed to elucidate a fundamental mechanism that regulates the oxidative stress response of LDs.”  [PMC11016120 ¶6]</w:t>
      </w:r>
    </w:p>
    <w:p>
      <w:pPr>
        <w:jc w:val="center"/>
      </w:pPr>
      <w:r>
        <w:drawing>
          <wp:inline xmlns:a="http://schemas.openxmlformats.org/drawingml/2006/main" xmlns:pic="http://schemas.openxmlformats.org/drawingml/2006/picture">
            <wp:extent cx="5029200" cy="6262039"/>
            <wp:docPr id="152" name="Picture 152"/>
            <wp:cNvGraphicFramePr>
              <a:graphicFrameLocks noChangeAspect="1"/>
            </wp:cNvGraphicFramePr>
            <a:graphic>
              <a:graphicData uri="http://schemas.openxmlformats.org/drawingml/2006/picture">
                <pic:pic>
                  <pic:nvPicPr>
                    <pic:cNvPr id="0" name="p10_i1.jpg"/>
                    <pic:cNvPicPr/>
                  </pic:nvPicPr>
                  <pic:blipFill>
                    <a:blip r:embed="rId38"/>
                    <a:stretch>
                      <a:fillRect/>
                    </a:stretch>
                  </pic:blipFill>
                  <pic:spPr>
                    <a:xfrm>
                      <a:off x="0" y="0"/>
                      <a:ext cx="5029200" cy="6262039"/>
                    </a:xfrm>
                    <a:prstGeom prst="rect"/>
                  </pic:spPr>
                </pic:pic>
              </a:graphicData>
            </a:graphic>
          </wp:inline>
        </w:drawing>
      </w:r>
    </w:p>
    <w:p>
      <w:pPr>
        <w:spacing w:after="160"/>
        <w:jc w:val="center"/>
      </w:pPr>
      <w:r>
        <w:rPr>
          <w:rFonts w:ascii="Times New Roman" w:hAnsi="Times New Roman" w:cs="Times New Roman" w:eastAsia="Times New Roman"/>
          <w:b w:val="0"/>
          <w:i/>
          <w:sz w:val="20"/>
        </w:rPr>
        <w:t>Figure 1 (from PMC11016120): “Oxidative stress induces LBP upregulation and LD translocation. a A schematic illustrating the research strategy adopted in this study. The image was created using materials supplied by Ge Pan from the Central Academy of Fine Arts, China, and illustrated by Qilun Zhang. The use of these materials has been authorized. b A multivariate bubble plot comparing ch”</w:t>
      </w:r>
    </w:p>
    <w:p>
      <w:pPr>
        <w:spacing w:after="120"/>
        <w:jc w:val="both"/>
      </w:pPr>
      <w:r>
        <w:rPr>
          <w:rFonts w:ascii="Times New Roman" w:hAnsi="Times New Roman" w:cs="Times New Roman" w:eastAsia="Times New Roman"/>
          <w:b w:val="0"/>
          <w:i w:val="0"/>
          <w:sz w:val="24"/>
        </w:rPr>
        <w:t>“A consistent result was observed in targeted lipidomics analysis, demonstrating that the accumulation of PUFAs and the reduction of short-chain saturated fatty acids (SCSFAs) were detected in the liver tissues of LBP KI/KI mice compared to those of WT mice (Fig. 3d ). To further confirm the lipidomic data, we added PA to HepG2 cells and found that the LDs formed by the treatment were rarely co-localized with LBP, even under starvation conditions (Fig. 3e ). SCSFAs and LCPUFAs are metabolized differently. SCSFAs are more easily decomposed and quickly converted into acyl-CoA in vivo, which then undergoes catabolism through the mitochondrial \u03b2-oxidation pathway. In comparison to LCPUFAs, SCSFAs have a shorter metabolic pathway, which require fewer oxygen and electron carriers, lack double bonds, resulting in reduced oxidative stress reactions while rapidly providing energy. Overexpression of LBP enhanced the catabolism of PA in the mitochondria, leading to an increased demand for mitochondrial function (Supplementary Fig. 3a, b ).”  [PMC11016120 ¶17]</w:t>
      </w:r>
    </w:p>
    <w:p>
      <w:pPr>
        <w:spacing w:after="120"/>
        <w:jc w:val="both"/>
      </w:pPr>
      <w:r>
        <w:rPr>
          <w:rFonts w:ascii="Times New Roman" w:hAnsi="Times New Roman" w:cs="Times New Roman" w:eastAsia="Times New Roman"/>
          <w:b w:val="0"/>
          <w:i w:val="0"/>
          <w:sz w:val="24"/>
        </w:rPr>
        <w:t>“LBP prevents lipolysis and exhibits antioxidative effects To evaluate the functional consequences of LBP-dependent deposition of LCPUFA-TG, we conducted an integrated analysis of proteomics and transcriptomics (Fig. 4a ). The joint analysis revealed that the genes with upregulated expression in the LBP KI/KI group were predominantly associated with TG transport and antioxidant activity, whereas the genes with downregulated expression were primarily related to lipolysis (Fig. 4b, c ; Supplementary Data 3 ). To confirm the antioxidant activity of LBP, we observed that LBP KI/KI significantly reduced the levels of protein carbonylation and nitration in the liver of 16-week HFD mice after 24\u2009h fasting, as well as decreasing the level of MDA (Fig. 4d\u2013f ). Overexpression of LBP in HepG2 cells significantly decreased the levels of ROS and lipid peroxide resulting from starvation, while promoting the sequestration of peroxidized TG in LDs (Fig. 4g, h ).”  [PMC11016120 ¶22]</w:t>
      </w:r>
    </w:p>
    <w:p>
      <w:pPr>
        <w:spacing w:after="120"/>
        <w:jc w:val="both"/>
      </w:pPr>
      <w:r>
        <w:rPr>
          <w:rFonts w:ascii="Times New Roman" w:hAnsi="Times New Roman" w:cs="Times New Roman" w:eastAsia="Times New Roman"/>
          <w:b w:val="0"/>
          <w:i w:val="0"/>
          <w:sz w:val="24"/>
        </w:rPr>
        <w:t>“Shown are means\u2009\u00b1\u2009s.d., one-way ANOVA, ( n =\u20093, biologically independent). g The bar graph depicts the level of DCFH-DA detected in HepG2 cells following 3\u2009h of nutrient starvation after overexpression of mCherry or LBP-mCherry. Shown are means\u2009\u00b1\u2009s.d., two-tailed unpaired t -test, ( n =\u20093, biologically independent). h Confocal data showing the co-localization of non-oxidized (violet), oxidized (red) LDs, Bodipy C12 (orange), and GFP/LBP-GFP (green) in 3-h-starved HepG2 cells. Scale bar\u2009=\u20095\u2009\u00b5m. Experiments repeated three times independently with similar results. Antioxidative treatment ameliorates LBP-induced steatosis To evaluate whether antioxidant therapy could alleviate LBP-induced steatosis, we administered N-acetyl-L-cysteine (NAC), a ROS scavenger, and observed a significant reduction in LD formation and TG accumulation in the livers of LBP KI/KI mice (Fig. 5a, b ).”  [PMC11016120 ¶25]</w:t>
      </w:r>
    </w:p>
    <w:p>
      <w:pPr>
        <w:jc w:val="center"/>
      </w:pPr>
      <w:r>
        <w:drawing>
          <wp:inline xmlns:a="http://schemas.openxmlformats.org/drawingml/2006/main" xmlns:pic="http://schemas.openxmlformats.org/drawingml/2006/picture">
            <wp:extent cx="5029200" cy="5731282"/>
            <wp:docPr id="153" name="Picture 153"/>
            <wp:cNvGraphicFramePr>
              <a:graphicFrameLocks noChangeAspect="1"/>
            </wp:cNvGraphicFramePr>
            <a:graphic>
              <a:graphicData uri="http://schemas.openxmlformats.org/drawingml/2006/picture">
                <pic:pic>
                  <pic:nvPicPr>
                    <pic:cNvPr id="0" name="p04_i1.jpg"/>
                    <pic:cNvPicPr/>
                  </pic:nvPicPr>
                  <pic:blipFill>
                    <a:blip r:embed="rId39"/>
                    <a:stretch>
                      <a:fillRect/>
                    </a:stretch>
                  </pic:blipFill>
                  <pic:spPr>
                    <a:xfrm>
                      <a:off x="0" y="0"/>
                      <a:ext cx="5029200" cy="5731282"/>
                    </a:xfrm>
                    <a:prstGeom prst="rect"/>
                  </pic:spPr>
                </pic:pic>
              </a:graphicData>
            </a:graphic>
          </wp:inline>
        </w:drawing>
      </w:r>
    </w:p>
    <w:p>
      <w:pPr>
        <w:spacing w:after="160"/>
        <w:jc w:val="center"/>
      </w:pPr>
      <w:r>
        <w:rPr>
          <w:rFonts w:ascii="Times New Roman" w:hAnsi="Times New Roman" w:cs="Times New Roman" w:eastAsia="Times New Roman"/>
          <w:b w:val="0"/>
          <w:i/>
          <w:sz w:val="20"/>
        </w:rPr>
        <w:t>Figure 2 (from PMC11016120): “The localization of LBP to LDs drives hepatic steatosis. a Hepatic TG content of WT mice under NT, 24 h fasting, or LPS-treatment (5 mg/kg, i.p.) for 24 h. Shown are means ± s.d., one-way ANOVA ( n = 3, biologically independent). b Representative bright-field microscope image showing separated LDs from the same treatment as described in ( a ), scale bar = 10”</w:t>
      </w:r>
    </w:p>
    <w:p>
      <w:pPr>
        <w:spacing w:after="120"/>
        <w:jc w:val="both"/>
      </w:pPr>
      <w:r>
        <w:rPr>
          <w:rFonts w:ascii="Times New Roman" w:hAnsi="Times New Roman" w:cs="Times New Roman" w:eastAsia="Times New Roman"/>
          <w:b w:val="0"/>
          <w:i w:val="0"/>
          <w:sz w:val="24"/>
        </w:rPr>
        <w:t>“The cells (1.2 × 10 5 cells/well) were cultured in a 6-well plate. They were co-treated with different concentrations of CYS (0.1, 0.2, 0.5, and 1 mM) and, respectively, induced by CIS (7.5 or 10 µM) for 24 and 16 h (n = 7). ( A , B ) ROS measurements were conducted by incubating the cell graphic: `antioxidants-13-01443-g003.jpg` 4. **Figure 4** — Effect of L-cysteine (CYS) on apoptosis-related protein expression in cisplatin (CIS)-induced TM3 and TM4 cells. ( A ) TM3 and ( C ) TM4 cells (1 × 10 5 cells) were cultured in a 6 cm dish. Cells were co-treated with different concentrations of CYS (0.1, 0.2, 0.5, and 1 mM) and induced with CIS (7.5 or 10 µM) for 24 and 16 h, respectively (n = 4). The protein expression of PARP, Caspase 3, Bcl-2, graphic: `antioxidants-13-01443-g004.jpg` 5. **Figure 5** — Effect of L-cysteine (CYS) on testosterone secretion-related modulators in cisplatin (CIS)-induced TM3 cells.”  [PMC11672833 ¶2]</w:t>
      </w:r>
    </w:p>
    <w:p>
      <w:pPr>
        <w:spacing w:after="120"/>
        <w:jc w:val="both"/>
      </w:pPr>
      <w:r>
        <w:rPr>
          <w:rFonts w:ascii="Times New Roman" w:hAnsi="Times New Roman" w:cs="Times New Roman" w:eastAsia="Times New Roman"/>
          <w:b w:val="0"/>
          <w:i w:val="0"/>
          <w:sz w:val="24"/>
        </w:rPr>
        <w:t>“( A ) The appearance of the testis and epididymis. ( B ) Hematoxylin-and-eosin-stained sections of the testis, observed under magnification at ×100, ×200, and ×400. Observations were made on multiple sections (2–3) from each testicular fragment to ensure consistent and representative assessment. Labels in the fig graphic: `antioxidants-13-01443-g009.jpg` 10. **Figure 10** — Effect of L-cysteine (CYS) on sperm morphology and viability in cisplatin (CIS)-induced animal model. ( A ) Sperm morphology stained with eosin Y and crystal violet, observed at 400× magnification. Black arrows indicate abnormal sperm, including (a) bent neck and (b) bent tail. ( B ) Sperm viability was assessed by counting the number of live and dead sperm. Data are represented as mean ± SEM. Dif graphic: `antioxidants-13-01443-g010.jpg` ```json { "pmcid": "PMC11672833", "pmid": "39765772", "doi": "10.3390/antiox13121443", "title": "Protective Effects of L-Cysteine Against Cisplatin-Induced Oxidative Stress-Mediated Reproductive Damage", "journal": "Antioxidants", "year": "2024", "abstract": "Cisplatin (CIS) is a widely used chemotherapeutic agent, but its side effects, such as oxidative stress, inflammation, and apoptosis, often lead to male reproductive damage.”  [PMC11672833 ¶5]</w:t>
      </w:r>
    </w:p>
    <w:p>
      <w:pPr>
        <w:spacing w:after="120"/>
        <w:jc w:val="both"/>
      </w:pPr>
      <w:r>
        <w:rPr>
          <w:rFonts w:ascii="Times New Roman" w:hAnsi="Times New Roman" w:cs="Times New Roman" w:eastAsia="Times New Roman"/>
          <w:b w:val="0"/>
          <w:i w:val="0"/>
          <w:sz w:val="24"/>
        </w:rPr>
        <w:t>“Oxidative stress, primarily caused by the excessive generation of reactive oxygen species (ROS), plays a critical role in disrupting testicular homeostasis, resulting in spermatogenic impairment and tissue injury. L-cysteine (CYS), a semi-essential amino acid with potent antioxidant and anti-inflammatory properties, may offer protection against CIS-induced oxidative damage. This study aimed to assess the protective potential of CYS against CIS-induced male reproductive toxicity using in vivo and in vitro models. In vitro, treatment of TM3 (Leydig) and TM4 (Sertoli) cells with CIS led to increased ROS levels, reduced cell viability, and elevated apoptosis and inflammation, all of which were significantly ameliorated by subsequent CYS exposure. In vivo, CIS-treated male rats displayed heightened oxidative stress, impaired spermatogenesis, and histopathological damage in reproductive organs.”  [PMC11672833 ¶6]</w:t>
      </w:r>
    </w:p>
    <w:p>
      <w:pPr>
        <w:jc w:val="center"/>
      </w:pPr>
      <w:r>
        <w:drawing>
          <wp:inline xmlns:a="http://schemas.openxmlformats.org/drawingml/2006/main" xmlns:pic="http://schemas.openxmlformats.org/drawingml/2006/picture">
            <wp:extent cx="5029200" cy="5245580"/>
            <wp:docPr id="154" name="Picture 154"/>
            <wp:cNvGraphicFramePr>
              <a:graphicFrameLocks noChangeAspect="1"/>
            </wp:cNvGraphicFramePr>
            <a:graphic>
              <a:graphicData uri="http://schemas.openxmlformats.org/drawingml/2006/picture">
                <pic:pic>
                  <pic:nvPicPr>
                    <pic:cNvPr id="0" name="p10_i1.jpg"/>
                    <pic:cNvPicPr/>
                  </pic:nvPicPr>
                  <pic:blipFill>
                    <a:blip r:embed="rId24"/>
                    <a:stretch>
                      <a:fillRect/>
                    </a:stretch>
                  </pic:blipFill>
                  <pic:spPr>
                    <a:xfrm>
                      <a:off x="0" y="0"/>
                      <a:ext cx="5029200" cy="5245580"/>
                    </a:xfrm>
                    <a:prstGeom prst="rect"/>
                  </pic:spPr>
                </pic:pic>
              </a:graphicData>
            </a:graphic>
          </wp:inline>
        </w:drawing>
      </w:r>
    </w:p>
    <w:p>
      <w:pPr>
        <w:spacing w:after="160"/>
        <w:jc w:val="center"/>
      </w:pPr>
      <w:r>
        <w:rPr>
          <w:rFonts w:ascii="Times New Roman" w:hAnsi="Times New Roman" w:cs="Times New Roman" w:eastAsia="Times New Roman"/>
          <w:b w:val="0"/>
          <w:i/>
          <w:sz w:val="20"/>
        </w:rPr>
        <w:t>Figure 1 (from PMC11672833): “Effect of L-cysteine (CYS) and cisplatin (CIS) on TM3 and TM4 cell viability. TM3 (5000 cells/well) (n = 7) and TM4 cells (3000 cells/well) (n = 7) were cultured in a 96-well plate for cell viability assays. Cells were treated with different concentrations of ( A , B ) CYS (0.1, 0.2, 0.5, 1, and 2 mM) or ( D , F ) CIS (5, 7.5, 10, 15, and 20 µM) for 24 or 16”</w:t>
      </w:r>
    </w:p>
    <w:p>
      <w:pPr>
        <w:spacing w:after="120"/>
        <w:jc w:val="both"/>
      </w:pPr>
      <w:r>
        <w:rPr>
          <w:rFonts w:ascii="Times New Roman" w:hAnsi="Times New Roman" w:cs="Times New Roman" w:eastAsia="Times New Roman"/>
          <w:b w:val="0"/>
          <w:i w:val="0"/>
          <w:sz w:val="24"/>
        </w:rPr>
        <w:t>“Approximately 70\u201380% of cases are caused by testicular defects, including chromosomal/genetic abnormalities (e.g., Klinefelter syndrome), cryptorchidism, varicocele, orchitis, cancer treatments (chemotherapy/radiotherapy), environmental factors (such as environmental toxins, high temperature, radiation, and smoking), autoimmune diseases (antisperm antibodies), and testicular torsion and trauma [ 3 ]. Several studies have suggested that oxidative stress and apoptosis are key mediators of male infertility by causing sperm dysfunction [ 4 ]. Oxidative stress is a disturbance in the balance between the production of reactive oxygen species (free radicals) and antioxidant defenses. Cisplatin (CIS), or cis-diamminedichloroplatinum (II), is an effective anticancer chemotherapy agent widely used to treat various cancer types. However, cisplatin is often accompanied by numerous toxicities as it reacts with the N7 reactive center of DNA, leading to DNA\u2013DNA crosslinks and the inhibition of DNA replication or transcription [ 5 ].”  [PMC11672833 ¶8]</w:t>
      </w:r>
    </w:p>
    <w:p>
      <w:pPr>
        <w:spacing w:after="120"/>
        <w:jc w:val="both"/>
      </w:pPr>
      <w:r>
        <w:rPr>
          <w:rFonts w:ascii="Times New Roman" w:hAnsi="Times New Roman" w:cs="Times New Roman" w:eastAsia="Times New Roman"/>
          <w:b w:val="0"/>
          <w:i w:val="0"/>
          <w:sz w:val="24"/>
        </w:rPr>
        <w:t>“Subsequently, CIS causes reproductive toxicity, resulting in the production of free reactive oxygen species (ROS), pro-inflammatory cytokines, mitochondrial dysfunction, and apoptosis. The testis is the target of chemotherapeutic agents due to spermatogenesis and spermiogenesis, in which testicular cell division and morphological changes occur [ 6 , 7 , 8 ]. Leydig cells are interstitial cells located adjacent to the seminiferous tubules in the testis [ 9 ].The mature function of Leydig cells is mainly to produce testosterone under the control of pituitary luteinizing hormone (LH) by action on steroidogenesis. Sertoli cells are the epithelial supporting cells of the seminiferous tubules. Sertoli cells are mainly regulators of spermatogenesis in the adult testis and express functional receptors for follicle-stimulating hormone (FSH) [ 10 , 11 ]. They support fetal germ cell changing in the adult male pathway and are essential for germ cell development.”  [PMC11672833 ¶9]</w:t>
      </w:r>
    </w:p>
    <w:p>
      <w:pPr>
        <w:spacing w:after="120"/>
        <w:jc w:val="both"/>
      </w:pPr>
      <w:r>
        <w:rPr>
          <w:rFonts w:ascii="Times New Roman" w:hAnsi="Times New Roman" w:cs="Times New Roman" w:eastAsia="Times New Roman"/>
          <w:b w:val="0"/>
          <w:i w:val="0"/>
          <w:sz w:val="24"/>
        </w:rPr>
        <w:t>“Therefore, this study aimed to investigate the protective effects of CYS on CIS-induced testicular damage through comprehensive in vivo and in vitro experiments. We assess the potential of CYS to mitigate oxidative stress, reduce apoptosis, and preserve the structural integrity and function of testicular cells in the presence of CIS. We explore the mechanisms by which CYS may counteract the adverse effects of CIS on male reproductive health. 2. Materials and Methods 2.1. Chemicals, Reagents, and Antibodies The materials used include Dulbecco\u2019s modified Eagle\u2019s medium (DMEM)/Ham\u2019s F-12 (12500062, Gibco (Grand Island, NY, USA)), Penicillin streptomycin solution, 100\u00d7 (30-002-CI, CORNING (Manassas, VA, USA)), fetal bovine serum (FBS, MT-35-010-CV, CORNING), Horse serum (HS, 16050114, Thermo fisher (Waltham, MA, USA)), vitamin C (VITC, A4544, Sigma (St. Louis, MO, USA)), gallic acid (GA, G7384, Sigma), L-cysteine (CYS, 168149, Sigma), cisplatin (CIS, 13119, Cayman (Ann Arbor, MI, USA)), a 2\u2032, 7\u2032-dichlorodihydrofluorescein diacetate (DCFDA, 601520, Cayman), 3-(4,5-dimethylthiazol-2-yl)-5-(3-carboxymethoxyphenyl)-2-(4-sulfophenyl)-2H-tetrazolium (MTS) assay kit (ab197010, Abcam (Cambridge, MA, USA)), and a 2,2-Diphenyl-1-Picrylhydrazyl (DPPH) Commercial kit (D678, Dojindo, Kumamoto, Japan). 2.2.”  [PMC11672833 ¶11]</w:t>
      </w:r>
    </w:p>
    <w:p>
      <w:pPr>
        <w:jc w:val="center"/>
      </w:pPr>
      <w:r>
        <w:drawing>
          <wp:inline xmlns:a="http://schemas.openxmlformats.org/drawingml/2006/main" xmlns:pic="http://schemas.openxmlformats.org/drawingml/2006/picture">
            <wp:extent cx="5029200" cy="7139947"/>
            <wp:docPr id="155" name="Picture 155"/>
            <wp:cNvGraphicFramePr>
              <a:graphicFrameLocks noChangeAspect="1"/>
            </wp:cNvGraphicFramePr>
            <a:graphic>
              <a:graphicData uri="http://schemas.openxmlformats.org/drawingml/2006/picture">
                <pic:pic>
                  <pic:nvPicPr>
                    <pic:cNvPr id="0" name="p14_i1.jpg"/>
                    <pic:cNvPicPr/>
                  </pic:nvPicPr>
                  <pic:blipFill>
                    <a:blip r:embed="rId25"/>
                    <a:stretch>
                      <a:fillRect/>
                    </a:stretch>
                  </pic:blipFill>
                  <pic:spPr>
                    <a:xfrm>
                      <a:off x="0" y="0"/>
                      <a:ext cx="5029200" cy="7139947"/>
                    </a:xfrm>
                    <a:prstGeom prst="rect"/>
                  </pic:spPr>
                </pic:pic>
              </a:graphicData>
            </a:graphic>
          </wp:inline>
        </w:drawing>
      </w:r>
    </w:p>
    <w:p>
      <w:pPr>
        <w:spacing w:after="160"/>
        <w:jc w:val="center"/>
      </w:pPr>
      <w:r>
        <w:rPr>
          <w:rFonts w:ascii="Times New Roman" w:hAnsi="Times New Roman" w:cs="Times New Roman" w:eastAsia="Times New Roman"/>
          <w:b w:val="0"/>
          <w:i/>
          <w:sz w:val="20"/>
        </w:rPr>
        <w:t>Figure 2 (from PMC11672833): “L-cysteine (CYS) attenuates cisplatin (CIS)-induced reduction in TM3 and TM4 cell viability. TM3 (5000 cell/well) (n = 7) and TM4 cells (3000 cell/well) (n = 7) were cultured in a 96-well plate for cell viability. TM3 (n = 7) and TM4 (n = 7) cells (4 × 10 4 cell/well) were cultured in a 12-well plate for cell morphology and composition. They were co-treated ”</w:t>
      </w:r>
    </w:p>
    <w:p>
      <w:pPr>
        <w:spacing w:after="120"/>
        <w:jc w:val="both"/>
      </w:pPr>
      <w:r>
        <w:rPr>
          <w:rFonts w:ascii="Times New Roman" w:hAnsi="Times New Roman" w:cs="Times New Roman" w:eastAsia="Times New Roman"/>
          <w:b w:val="0"/>
          <w:i w:val="0"/>
          <w:sz w:val="24"/>
        </w:rPr>
        <w:t>“FA has emerged as a fundamental contributor to human disorders such as Fanconi anemia, Cockayne syndrome, and AMeDS, which are caused by mutations in FANC genes, CSB or CSA , and ADH5 and ALDH2 , respectively ( 11 ). AMeDS (OMIM #619151) entails a severe bone marrow failure progressing to myelodysplastic syndrome (MDS) and myeloid leukemia (AML) ( 12 ). In this condition, inherited inactivating mutations in both alleles of ADH5 combined with the dominant negative single nucleotide polymorphism r671 in ALDH2 (c.1510G\u00a0&gt;\u00a0A; p.E504K; ALDH2*2), which codes for the mitochondrial enzyme aldehyde dehydrogenase 2, result in systemic FA accumulation driving AMeDS-associated traits. Notably, mice deficient in both Adh5 and Aldh2 (Adh5 \u2212/\u2212 Adh2 \u2212/\u2212 ) , or animals carrying the Aldh2rs671 defective allele in an Adh5 -deficient background ( Adh5 \u2212/\u2212 Aldh2 \u2212/rs671 ) recapitulated most of the human disease phenotypes, supporting the role of endogenous FA in driving AMeDS ( 12 , 13 ).”  [PMC11317141 ¶8]</w:t>
      </w:r>
    </w:p>
    <w:p>
      <w:pPr>
        <w:spacing w:after="120"/>
        <w:jc w:val="both"/>
      </w:pPr>
      <w:r>
        <w:rPr>
          <w:rFonts w:ascii="Times New Roman" w:hAnsi="Times New Roman" w:cs="Times New Roman" w:eastAsia="Times New Roman"/>
          <w:b w:val="0"/>
          <w:i w:val="0"/>
          <w:sz w:val="24"/>
        </w:rPr>
        <w:t>“Loss of two FA-detoxification systems causes developmental arrest and fecundity defects. Systemic FA overload because of inherited mutations in the FA-detoxifying enzyme ADH5 and dominant negative mutations in the mitochondrial aldehyde dehydrogenase 2 (ALDH2) can drive the human condition AMeDS ( 12 ). This condition can be recapitulated in mice, still the high penetrance of the postnatal lethality of Adh5 \u2212/\u2212 Aldh2 \u2212/\u2212 mice challenges experimental work with mouse AMeDS models ( 13 ). Thus, we set out to develop a C. elegans model of human AMeDS. First, we performed a phylogenetic analysis identifying two putative orthologs of human ALDH2 ( alh-2 and alh-1 ) (Figure 5A ). Interestingly, only ALH-1 presented the two conserved cysteines in the active site ( Supplementary Figure S3A ). Furthermore, when combining adh-5 mutants with RNAi against alh-1 or alh-2 we detected that only alh-1 was able to genetically interact with adh-5 indicating ALH-1 is the ortholog of human ALDH2 in C. elegans ( Supplementary Figure S3B ).”  [PMC11317141 ¶38]</w:t>
      </w:r>
    </w:p>
    <w:p>
      <w:pPr>
        <w:keepNext/>
        <w:spacing w:before="280" w:after="80"/>
        <w:outlineLvl w:val="1"/>
      </w:pPr>
      <w:r>
        <w:rPr>
          <w:rFonts w:ascii="Times New Roman" w:hAnsi="Times New Roman" w:cs="Times New Roman" w:eastAsia="Times New Roman"/>
          <w:b/>
          <w:i w:val="0"/>
          <w:color w:val="335588"/>
          <w:sz w:val="28"/>
        </w:rPr>
        <w:t>12.4  Xenobiotic metabolism — cytochromes and GST</w:t>
      </w:r>
    </w:p>
    <w:p>
      <w:pPr>
        <w:spacing w:after="120"/>
        <w:jc w:val="both"/>
      </w:pPr>
      <w:r>
        <w:rPr>
          <w:rFonts w:ascii="Times New Roman" w:hAnsi="Times New Roman" w:cs="Times New Roman" w:eastAsia="Times New Roman"/>
          <w:b w:val="0"/>
          <w:i w:val="0"/>
          <w:sz w:val="24"/>
        </w:rPr>
        <w:t>“With the introduction of the mouse model of APAP hepatotoxicity in the 1970s, fundamental mechanisms of cell death were discovered. This included the recognition that part of the APAP dose is metabolized by cytochrome P450 generating a reactive metabolite that is detoxified by glutathione. After the partial depletion of glutathione, the reactive metabolite will covalently bind to sulfhydryl groups of proteins, which is the initiating event of the toxicity. This insight led to the introduction of N-acetyl-L-cysteine, a glutathione precursor, as antidote against APAP overdose in the clinic. Despite substantial progress in our understanding of the pathomechanisms over the last decades viable new antidotes only emerged recently. This review will discuss the background, mechanisms of action, and the clinical prospects of the existing FDA-approved antidote N-acetylcysteine, of several new drug candidates under clinical development [4-methylpyrazole (fomepizole), calmangafodipir] and examples of additional therapeutic targets (Nrf2 activators) and regeneration promoting agents (thrombopoietin mimetics, adenosine A2B receptor agonists, Wharton\u2019s Jelly mesenchymal stem cells).”  [PMC11315809 ¶1]</w:t>
      </w:r>
    </w:p>
    <w:p>
      <w:pPr>
        <w:spacing w:after="120"/>
        <w:jc w:val="both"/>
      </w:pPr>
      <w:r>
        <w:rPr>
          <w:rFonts w:ascii="Times New Roman" w:hAnsi="Times New Roman" w:cs="Times New Roman" w:eastAsia="Times New Roman"/>
          <w:b w:val="0"/>
          <w:i w:val="0"/>
          <w:sz w:val="24"/>
        </w:rPr>
        <w:t>“In addition, the costs of safety studies and clinical efficacy trials are too high of a risk for the limited reward, considering the smaller patient numbers. Thus, the main conclusions of most of these intervention studies that compound X acting through Y mechanism may be a promising therapeutic approach for APAP overdose patients are not supported by solid scientific evidence. Nevertheless, in recent years new developments give some hope that there can be progress with emerging novel therapeutics approaches. However, the key to advancing any potential therapeutic is to understand the molecular mechanisms of the disease and have a clear understanding of what the new intervention is targeting. 2. Mechanisms of APAP-induced Liver Injury Mechanistic studies of APAP hepatotoxicity started with the recognition that a part of the dose of APAP is metabolized by cytochrome P450 (Cyp) enzymes [ 6 ], now known to be mainly Cyp2E1 [ 22 ], which generates a reactive metabolite that can be detoxified by GSH [ 9 ].”  [PMC11315809 ¶6]</w:t>
      </w:r>
    </w:p>
    <w:p>
      <w:pPr>
        <w:spacing w:after="120"/>
        <w:jc w:val="both"/>
      </w:pPr>
      <w:r>
        <w:rPr>
          <w:rFonts w:ascii="Times New Roman" w:hAnsi="Times New Roman" w:cs="Times New Roman" w:eastAsia="Times New Roman"/>
          <w:b w:val="0"/>
          <w:i w:val="0"/>
          <w:sz w:val="24"/>
        </w:rPr>
        <w:t>“Superoxide radicals formed in the matrix readily react with nitric oxide radicals to form peroxynitrite in mitochondria [ 30 ]. Peroxynitrite, a powerful oxidant and nitrating species, which causes nitrotyrosine protein adducts in mitochondria, triggers the mitochondrial permeability transition pore (MPTP) opening [ 31 ] and cell necrosis [ 32 ] ( Figure 1 ). These signaling events represent the basic mechanisms of cell death after APAP overdose that also apply to humans [ 33 , 34 ]. They also reveal realistic therapeutic targets that could be exploited with a high probability of success in humans. 3. Antidotes and Emerging Therapeutic Approaches 3.1 N-Acetylcysteine NAC is the only FDA approved antidote for clinical use against APAP overdose in humans. The discovery of NAC was related to the initial mechanistic understanding that the toxicity was caused by a cytochrome P450-mediated formation of a reactive metabolite, which can covalently bind to proteins as the cause of cell death [ 10 ].”  [PMC11315809 ¶8]</w:t>
      </w:r>
    </w:p>
    <w:p>
      <w:pPr>
        <w:spacing w:after="120"/>
        <w:jc w:val="both"/>
      </w:pPr>
      <w:r>
        <w:rPr>
          <w:rFonts w:ascii="Times New Roman" w:hAnsi="Times New Roman" w:cs="Times New Roman" w:eastAsia="Times New Roman"/>
          <w:b w:val="0"/>
          <w:i w:val="0"/>
          <w:sz w:val="24"/>
        </w:rPr>
        <w:t>“Introduced more than 20 years ago, it has an excellent safety record, and treatment of poisoned patients with fomepizole causes very limited, minor side effects such as injection site burning (13 out of 536 Patients) or nausea (5 out of 536 Patients) [ 50 ]. Thus, highly effective in patients with toxic alcohol poisoning and generally well tolerated, it is widely used in the clinic for these indications. In 2013, a case report was published indicating that a patient presenting to the emergency department with extremely high blood APAP levels (&gt;1,100 \u03bcg/ml = &gt;7.3 mM) and suspected of a toxic alcohol poisoning was treated with both NAC and fomepizole and survived [ 51 ]. Because in vitro studies had previously shown that 4-methylpyrazole is a competitive Cyp2E1 inhibitor binding to the substrate binding site of the enzyme [ 52 , 53 ], Yip and Heard [ 54 ] hypothesized a few years later that the positive outcome of the patient described in the case report may be related to a combined effect of NAC and fomepizole.”  [PMC11315809 ¶11]</w:t>
      </w:r>
    </w:p>
    <w:p>
      <w:pPr>
        <w:spacing w:after="120"/>
        <w:jc w:val="both"/>
      </w:pPr>
      <w:r>
        <w:rPr>
          <w:rFonts w:ascii="Times New Roman" w:hAnsi="Times New Roman" w:cs="Times New Roman" w:eastAsia="Times New Roman"/>
          <w:b w:val="0"/>
          <w:i w:val="0"/>
          <w:sz w:val="24"/>
        </w:rPr>
        <w:t>“This encouraged us to study the effect of fomepizole in the mouse model in vivo . The first study was designed to test the hypothesis that fomepizole can protect against APAP hepatotoxicity in mice by inhibiting cyp2e1 [ 55 ]. Given the short metabolism phase of a 300 mg/kg dose of APAP in mice [ 56 ], fomepizole was administered immediately after APAP to ensure that an effect on P450-mediated metabolism was covered. Co-treatment of fomepizole (50 mg/kg, which represents a human equivalent dose of 4 mg/kg) and a toxic dose of APAP (300 mg/kg) resulted in protection as indicated by &gt;95% reduction of plasma ALT elevations and almost complete prevention of centrilobular necrosis. The fact that fomepizole attenuated formation of the cyp2e1-derived oxidative metabolites and the protein adduct the formation of the reactive metabolite by &gt;90% suggested that the protection was caused by the inhibition of cyp2e1 [ 55 ] ( Figure 1 ).”  [PMC11315809 ¶12]</w:t>
      </w:r>
    </w:p>
    <w:p>
      <w:pPr>
        <w:spacing w:after="120"/>
        <w:jc w:val="both"/>
      </w:pPr>
      <w:r>
        <w:rPr>
          <w:rFonts w:ascii="Times New Roman" w:hAnsi="Times New Roman" w:cs="Times New Roman" w:eastAsia="Times New Roman"/>
          <w:b w:val="0"/>
          <w:i w:val="0"/>
          <w:sz w:val="24"/>
        </w:rPr>
        <w:t>“The complete protection against APAP toxicity was also confirmed when APAP exposed primary human hepatocytes were co-treated with fomepizole, indicating that a similar beneficial effect can also be achieved in a human in vitro system [ 55 ]. This was further investigated in human volunteers [ 57 ]. In a cross-over study design, 5 healthy volunteers ingested a mild overdose of 80 mg/kg APAP orally with or without iv co-treatment of fomepizole using the clinically approved regimen (15 mg/kg as the first dose and 10 mg/kg as a second dose 12 h later) [ 57 ]. Measurement of oxidative metabolites of APAP that were detectable (APAP-NAC, APAP-Cys) over 24 h after APAP showed that fomepizole reduced the levels of CYP2E1-derived metabolites by &gt;90% in these volunteers. This suggested that the clinically approved dose of fomepizole effectively inhibits CYP2E1 and would prevent reactive metabolite formation in patients who have overdosed on APAP [ 49 ].”  [PMC11315809 ¶13]</w:t>
      </w:r>
    </w:p>
    <w:p>
      <w:pPr>
        <w:spacing w:after="120"/>
        <w:jc w:val="both"/>
      </w:pPr>
      <w:r>
        <w:rPr>
          <w:rFonts w:ascii="Times New Roman" w:hAnsi="Times New Roman" w:cs="Times New Roman" w:eastAsia="Times New Roman"/>
          <w:b w:val="0"/>
          <w:i w:val="0"/>
          <w:sz w:val="24"/>
        </w:rPr>
        <w:t>“( A ) Experimental scheme (see Materials and Methods for details). Panels (B–E) show the number of eggs produced by three animals within 3 h for strains carrying mutations for ( B ) xpc-1 , ( C ) csb-1 , ( D ) xpc-1 ; csb-1 and ( E ) xpa-1 . Panels (F–I) display the hatching rate as c graphic: `gkae519fig3.jpg` 5. **Figure 4.** — Loss of ADH-5 does not shorten the lifespan of animals deficient for xpa-1 and csb-1 , while formaldehyde-sensitivity is increased. ( A ) and ( B ) show full lifespan experiments of wildtype and adh-5 mutants, while (A) includes csb-1 and csb-1 ; adh-5 mutants, and (B) includes xpa-1 and xpa-1 ; adh-5 deficient animals. In ( C ) and ( D ), animals were exposed to 5 mM formaldehyde (FA) from the L4 graphic: `gkae519fig4.jpg` 6. **Figure 5.** — Simultaneous loss of redundant formaldehyde-detoxification pathways causes embryonic lethality and developmental delay, which is enhanced in NER-deficient animals.”  [PMC11317141 ¶2]</w:t>
      </w:r>
    </w:p>
    <w:p>
      <w:pPr>
        <w:spacing w:after="120"/>
        <w:jc w:val="both"/>
      </w:pPr>
      <w:r>
        <w:rPr>
          <w:rFonts w:ascii="Times New Roman" w:hAnsi="Times New Roman" w:cs="Times New Roman" w:eastAsia="Times New Roman"/>
          <w:b w:val="0"/>
          <w:i w:val="0"/>
          <w:sz w:val="24"/>
        </w:rPr>
        <w:t>“( A ) Phylogenetic tree of C. elegans proteins showing similarity to human ALDH2. Numbers in red branch support values. ( B ) Experimental scheme (see Materials and methods for details). Cartoons were created with BioRender.com. ( C ) H graphic: `gkae519fig5.jpg` 7. **Figure 6.** — NAC suppresses formaldehyde (FA)-toxicity in NER mutants and animals lacking FA-detoxification. Panels ( A )–( E ) show animal survival, while ( F ) displays the developmental stages of animals treated with formaldehyde (FA) and/or N-acetyl-L-cysteine (NAC) after 72 h. (A–F) Data were produced following the same protocol as depicted in Figure 2 . A full data analysis including the two-way ANOVA fo graphic: `gkae519fig6.jpg` 8. **Figure 7.** — Proposed model. The scheme shows the proposed distinct functions of Global Genome Nucleotide Excision Repair (GG-NER); Transcription coupled repair (TCR) independent of NER (NER-IR); and TC-NER in somatic tissues (soma), germline, and during larvae development.”  [PMC11317141 ¶3]</w:t>
      </w:r>
    </w:p>
    <w:p>
      <w:pPr>
        <w:spacing w:after="120"/>
        <w:jc w:val="both"/>
      </w:pPr>
      <w:r>
        <w:rPr>
          <w:rFonts w:ascii="Times New Roman" w:hAnsi="Times New Roman" w:cs="Times New Roman" w:eastAsia="Times New Roman"/>
          <w:b w:val="0"/>
          <w:i w:val="0"/>
          <w:sz w:val="24"/>
        </w:rPr>
        <w:t>“We have here investigated the consequence of a range of DNA repair mutants in a model of endogenous FA overload generated by downregulating the orthologs of human ADH5 and ALDH2 in C. elegans . We have focused on the distinct components of nucleotide excision repair (NER) during developmental growth, reproduction and aging. Our results reveal three distinct modes of repair of FA-induced DNA damage: Transcription-coupled repair (TCR) operating NER-independently during developmental growth or through NER during adulthood, and, in concert with global-genome (GG-) NER, in the germline and early embryonic development. Additionally, we show that the Cockayne syndrome B (CSB) factor is involved in the resolution of FA-induced DNA\u2013protein crosslinks, and that the antioxidant and FA quencher N -acetyl- l -cysteine (NAC) reverses the sensitivity of detoxification and DNA repair defects during development, suggesting a therapeutic intervention to revert FA-pathogenic consequences.", "body_text": "Introduction Formaldehyde (FA) is a widely recognized environmental cytotoxin and genotoxin.”  [PMC11317141 ¶5]</w:t>
      </w:r>
    </w:p>
    <w:p>
      <w:pPr>
        <w:jc w:val="center"/>
      </w:pPr>
      <w:r>
        <w:drawing>
          <wp:inline xmlns:a="http://schemas.openxmlformats.org/drawingml/2006/main" xmlns:pic="http://schemas.openxmlformats.org/drawingml/2006/picture">
            <wp:extent cx="5029200" cy="3519430"/>
            <wp:docPr id="156" name="Picture 156"/>
            <wp:cNvGraphicFramePr>
              <a:graphicFrameLocks noChangeAspect="1"/>
            </wp:cNvGraphicFramePr>
            <a:graphic>
              <a:graphicData uri="http://schemas.openxmlformats.org/drawingml/2006/picture">
                <pic:pic>
                  <pic:nvPicPr>
                    <pic:cNvPr id="0" name="p04_i4.jpg"/>
                    <pic:cNvPicPr/>
                  </pic:nvPicPr>
                  <pic:blipFill>
                    <a:blip r:embed="rId34"/>
                    <a:stretch>
                      <a:fillRect/>
                    </a:stretch>
                  </pic:blipFill>
                  <pic:spPr>
                    <a:xfrm>
                      <a:off x="0" y="0"/>
                      <a:ext cx="5029200" cy="3519430"/>
                    </a:xfrm>
                    <a:prstGeom prst="rect"/>
                  </pic:spPr>
                </pic:pic>
              </a:graphicData>
            </a:graphic>
          </wp:inline>
        </w:drawing>
      </w:r>
    </w:p>
    <w:p>
      <w:pPr>
        <w:spacing w:after="160"/>
        <w:jc w:val="center"/>
      </w:pPr>
      <w:r>
        <w:rPr>
          <w:rFonts w:ascii="Times New Roman" w:hAnsi="Times New Roman" w:cs="Times New Roman" w:eastAsia="Times New Roman"/>
          <w:b w:val="0"/>
          <w:i/>
          <w:sz w:val="20"/>
        </w:rPr>
        <w:t>Figure panel from PMC11317141 (source bitmap p04_i4.jpg).</w:t>
      </w:r>
    </w:p>
    <w:p>
      <w:pPr>
        <w:spacing w:after="120"/>
        <w:jc w:val="both"/>
      </w:pPr>
      <w:r>
        <w:rPr>
          <w:rFonts w:ascii="Times New Roman" w:hAnsi="Times New Roman" w:cs="Times New Roman" w:eastAsia="Times New Roman"/>
          <w:b w:val="0"/>
          <w:i w:val="0"/>
          <w:sz w:val="24"/>
        </w:rPr>
        <w:t>“Failure to repair these lesions could obstruct the normal processes of DNA replication, transcription\u00a0and repair, resulting in genomic instability and compromised DNA integrity. Several DNA repair pathways have been implicated in the cellular response to FA-induced genotoxic stress ( 7 , 8 ), including the interstrand-crosslinking (ICL) Fanconi anemia DNA repair pathway; the CSB protein, which initiates transcription-coupled repair (TCR) when RNA polymerase II stalls at a transcription blocking lesion; and the exonuclease 1 (EXO1) ( 9 , 10 ). In animal models, the genetic factors that determine endogenous FA genotoxicity have been investigated upon inactivation of a DNA repair pathway in combination with the enzyme alcohol dehydrogenase 5 (ADH5), which is a central factor in the glutathione (GSH)-dependent detoxification of FA ( 7 ). Specifically, in mice, the Fanconi anemia DNA repair pathway factor D2 (Fancd2) and the transcription coupled factor Csb have been shown to genetically interact with Adh5, indicating a central role of these DNA repair factors in counteracting the genotoxicity of cellular FA in animals ( 9 , 10 ).”  [PMC11317141 ¶7]</w:t>
      </w:r>
    </w:p>
    <w:p>
      <w:pPr>
        <w:spacing w:after="120"/>
        <w:jc w:val="both"/>
      </w:pPr>
      <w:r>
        <w:rPr>
          <w:rFonts w:ascii="Times New Roman" w:hAnsi="Times New Roman" w:cs="Times New Roman" w:eastAsia="Times New Roman"/>
          <w:b w:val="0"/>
          <w:i w:val="0"/>
          <w:sz w:val="24"/>
        </w:rPr>
        <w:t>“The running conditions were set at 80 V for the first 15 min, followed by 100 V for 1 h and 45 min. Transfer conditions were set at 100 V for 1 h. The membrane was blocked in 5% BSA in TBS\u2013Tween for 1 h\u00a0at room temperature. Blots were then incubated on a shaker at 4\u00b0C in primary antibodies diluted in 5% BSA in TBS\u2013Tween. Following primary antibody incubation, blots were incubated with fluorescent secondary rabbit or mouse antibodies in 5% BSA in TBS-Tween for 1 hour at room temperature. Immunoblots were washed three times for 5 min\u00a0each after each incubation. Band intensities were imaged using the Odyssey CLx Imaging System (LI-COR) and subsequently quantified by densitometry using ImageJ software. Finally, the data was plotted using GraphPad. Antibodies used: H2AX 1:1000 ABnova MAB-12332; \u03b3H2AX 1:500 Cell Signaling Technology 2577S; TIF1\u03b2 (KAP1) 1:1000 Santa Cruz Biotechnology Sc-136102; pKAP1 (Ser824) 1:1000 Cell Signaling Technology 4127S; CHK1 1:1000 Santa Cruz Biotechnology Sc-8408; pCHK1 (Ser354) 1:500 Cell Signaling Technology 2348S; IRDye800CW Donkey anti-Rabbit 1:5000 LI-COR 926/32213 IRDye680RD; Goat anti-Mouse 1:5000 LI-COR 926/68070. gst-4 ::GFP expression quantification The strain CL2166 (dv Is19 [(pAF15) gst-4 p::GFP::NLS]) was used for oxidative stress signaling induction evaluation ( 32 ).”  [PMC11317141 ¶21]</w:t>
      </w:r>
    </w:p>
    <w:p>
      <w:pPr>
        <w:spacing w:after="120"/>
        <w:jc w:val="both"/>
      </w:pPr>
      <w:r>
        <w:rPr>
          <w:rFonts w:ascii="Times New Roman" w:hAnsi="Times New Roman" w:cs="Times New Roman" w:eastAsia="Times New Roman"/>
          <w:b w:val="0"/>
          <w:i w:val="0"/>
          <w:sz w:val="24"/>
        </w:rPr>
        <w:t>“However, when analyzing the animals that reach adulthood as a measure of development success, downregulating adh-5 exacerbated the developmental failure of most of the DNA repair mutants (Figure 1D ). The strain xpc-1;csb-1;adh-5(RNAi) was one of the most compromised in this development assay indicating NER plays a fundamental role for protecting the larvae during development to adulthood. In this assay, we also observed a contribution of the factors SLX-1, EXO-1, GEN-1 and of the NHEJ component KU-80, suggesting a complex systemic protection of the genome against FA during development and a crucial role of ADH-5 dependent FA detoxification. TCR-deficiency is a determinant of somatic FA-sensitivity in C. elegans and human cells. The significant role of NER components in the protection against FA in conditions of downregulation of systemic catabolism via adh-5(RNAi ) suggested this pathway might limit FA genotoxicity in animals.”  [PMC11317141 ¶26]</w:t>
      </w:r>
    </w:p>
    <w:p>
      <w:pPr>
        <w:jc w:val="center"/>
      </w:pPr>
      <w:r>
        <w:drawing>
          <wp:inline xmlns:a="http://schemas.openxmlformats.org/drawingml/2006/main" xmlns:pic="http://schemas.openxmlformats.org/drawingml/2006/picture">
            <wp:extent cx="5029200" cy="2476982"/>
            <wp:docPr id="157" name="Picture 157"/>
            <wp:cNvGraphicFramePr>
              <a:graphicFrameLocks noChangeAspect="1"/>
            </wp:cNvGraphicFramePr>
            <a:graphic>
              <a:graphicData uri="http://schemas.openxmlformats.org/drawingml/2006/picture">
                <pic:pic>
                  <pic:nvPicPr>
                    <pic:cNvPr id="0" name="p13_i1.jpg"/>
                    <pic:cNvPicPr/>
                  </pic:nvPicPr>
                  <pic:blipFill>
                    <a:blip r:embed="rId35"/>
                    <a:stretch>
                      <a:fillRect/>
                    </a:stretch>
                  </pic:blipFill>
                  <pic:spPr>
                    <a:xfrm>
                      <a:off x="0" y="0"/>
                      <a:ext cx="5029200" cy="2476982"/>
                    </a:xfrm>
                    <a:prstGeom prst="rect"/>
                  </pic:spPr>
                </pic:pic>
              </a:graphicData>
            </a:graphic>
          </wp:inline>
        </w:drawing>
      </w:r>
    </w:p>
    <w:p>
      <w:pPr>
        <w:spacing w:after="160"/>
        <w:jc w:val="center"/>
      </w:pPr>
      <w:r>
        <w:rPr>
          <w:rFonts w:ascii="Times New Roman" w:hAnsi="Times New Roman" w:cs="Times New Roman" w:eastAsia="Times New Roman"/>
          <w:b w:val="0"/>
          <w:i/>
          <w:sz w:val="20"/>
        </w:rPr>
        <w:t>Figure panel from PMC11317141 (source bitmap p13_i1.jpg).</w:t>
      </w:r>
    </w:p>
    <w:p>
      <w:pPr>
        <w:spacing w:after="120"/>
        <w:jc w:val="both"/>
      </w:pPr>
      <w:r>
        <w:rPr>
          <w:rFonts w:ascii="Times New Roman" w:hAnsi="Times New Roman" w:cs="Times New Roman" w:eastAsia="Times New Roman"/>
          <w:b w:val="0"/>
          <w:i w:val="0"/>
          <w:sz w:val="24"/>
        </w:rPr>
        <w:t>“Following ingestion, acetaminophen is rapidly absorbed and transported to the liver to undergo first-pass metabolism [ 28 ]. N-acetyl-p-benzoquinonimine (NAPQI), a cytochrome P450-derived metabolic by-product of acetaminophen first-pass metabolism is cytotoxic and genotoxic [ 28 ]. Normally, when acetaminophen is taken at low doses, GSH can detoxify NAPQI by conjugating it, which facilitates its elimination from the body [ 28 ]. However, acetaminophen toxicity leads to the formation and accumulation of excessive amounts of NAPQI, the depletion of GSH stores, oxidative stress, and mitochondrial dysfunction resulting in the depletion of adenosine triphosphate (ATP) stores [ 44 ]. Evidence suggests that NAPQI is capable of binding to several cellular proteins, particularly mitochondrial proteins [ 44 ]. This binding to mitochondrial proteins in the context of GSH depletion is of great significance as it results in the depletion of endogenous antioxidant functions and alters the \u221d-subunit of the mitochondrial ATP-synthase, thereby hindering the production of ATP [ 44 ].”  [PMC10604897 ¶15]</w:t>
      </w:r>
    </w:p>
    <w:p>
      <w:pPr>
        <w:keepNext/>
        <w:pageBreakBefore/>
        <w:spacing w:before="480" w:after="160"/>
        <w:outlineLvl w:val="0"/>
      </w:pPr>
      <w:r>
        <w:rPr>
          <w:rFonts w:ascii="Times New Roman" w:hAnsi="Times New Roman" w:cs="Times New Roman" w:eastAsia="Times New Roman"/>
          <w:b/>
          <w:i w:val="0"/>
          <w:color w:val="1F3D7A"/>
          <w:sz w:val="36"/>
        </w:rPr>
        <w:t>8g.  Health Effects — Redox Biology and Glutathione Metabolism</w:t>
      </w:r>
    </w:p>
    <w:p>
      <w:pPr>
        <w:spacing w:after="80"/>
        <w:jc w:val="both"/>
      </w:pPr>
      <w:r>
        <w:rPr>
          <w:rFonts w:ascii="Times New Roman" w:hAnsi="Times New Roman" w:cs="Times New Roman" w:eastAsia="Times New Roman"/>
          <w:b w:val="0"/>
          <w:i w:val="0"/>
          <w:sz w:val="24"/>
        </w:rPr>
        <w:t>This chapter assembles verbatim paragraph extracts across the harvested full-text corpus that describe the redox biology of L-cysteine and its pivotal role in glutathione (GSH) biosynthesis, recycling, and cellular antioxidant defence. Every paragraph below is reproduced verbatim from the PMC source article identified by its PMCID tag. Numeric citations in brackets within the paragraphs refer to the original article's own reference list.</w:t>
      </w:r>
    </w:p>
    <w:p>
      <w:pPr>
        <w:keepNext/>
        <w:spacing w:before="280" w:after="80"/>
        <w:outlineLvl w:val="1"/>
      </w:pPr>
      <w:r>
        <w:rPr>
          <w:rFonts w:ascii="Times New Roman" w:hAnsi="Times New Roman" w:cs="Times New Roman" w:eastAsia="Times New Roman"/>
          <w:b/>
          <w:i w:val="0"/>
          <w:color w:val="335588"/>
          <w:sz w:val="28"/>
        </w:rPr>
        <w:t>12.1  Cysteine as the rate-limiting GSH precursor</w:t>
      </w:r>
    </w:p>
    <w:p>
      <w:pPr>
        <w:spacing w:after="120"/>
        <w:jc w:val="both"/>
      </w:pPr>
      <w:r>
        <w:rPr>
          <w:rFonts w:ascii="Times New Roman" w:hAnsi="Times New Roman" w:cs="Times New Roman" w:eastAsia="Times New Roman"/>
          <w:b w:val="0"/>
          <w:i w:val="0"/>
          <w:sz w:val="24"/>
        </w:rPr>
        <w:t>“NAC possesses antioxidant, cytoprotective, anti-inflammatory, antimicrobial, and mucolytic properties, making it a promising therapeutic agent for a wide range of diseases in both humans and domesticated animals. Oxidative stress and inflammation play a major role in the onset and progression of all these diseases. NAC\u2019s primary role is to replenish glutathione (GSH) stores, the master antioxidant in all tissues; however, it can also reduce levels of pro-inflammatory tumor necrosis factor-alpha (TNF-\u221d) and interleukins (IL-6 and IL-1\u03b2), inhibit the formation of microbial biofilms and destroy biofilms, and break down disulfide bonds between mucin molecules. Many experimental studies have been conducted on the use of NAC to address a wide range of pathological conditions; however, its effectiveness in clinical trials remains limited and studies often have conflicting results.”  [PMC10604897 ¶1]</w:t>
      </w:r>
    </w:p>
    <w:p>
      <w:pPr>
        <w:spacing w:after="120"/>
        <w:jc w:val="both"/>
      </w:pPr>
      <w:r>
        <w:rPr>
          <w:rFonts w:ascii="Times New Roman" w:hAnsi="Times New Roman" w:cs="Times New Roman" w:eastAsia="Times New Roman"/>
          <w:b w:val="0"/>
          <w:i w:val="0"/>
          <w:sz w:val="24"/>
        </w:rPr>
        <w:t>“Many studies have shown the protective effects of NAC for neonatal animals immune challenged with bacterial lipopolysaccharide (LPS) endotoxin, particularly studies involving piglets [ 13 , 14 ]. NAC administration has consistently been shown to increase daily body weight gain and alleviate LPS-mediated growth depression. Furthermore, the porcine model of ulcerative colitis (UC) can be used to support NAC usage for humans. For example, in a study conducted by Wang et al. (2013), the piglet model of UC demonstrated that administration of NAC was able to reduce colon histopathology score and ameliorate UC histological abnormalities [ 15 ]. Despite the numerous NAC studies and its increasing popularity, the mechanisms of action (MOA) by which NAC exerts its antioxidant and cytoprotective properties remain unclear [ 1 , 16 ]. It is often assumed that the effects conferred by NAC are due to it acting as a scavenger of reactive oxygen species (ROS), a precursor for glutathione (GSH) biosynthesis, and a disulfide reductant [ 16 , 17 ].”  [PMC10604897 ¶4]</w:t>
      </w:r>
    </w:p>
    <w:p>
      <w:pPr>
        <w:spacing w:after="120"/>
        <w:jc w:val="both"/>
      </w:pPr>
      <w:r>
        <w:rPr>
          <w:rFonts w:ascii="Times New Roman" w:hAnsi="Times New Roman" w:cs="Times New Roman" w:eastAsia="Times New Roman"/>
          <w:b w:val="0"/>
          <w:i w:val="0"/>
          <w:sz w:val="24"/>
        </w:rPr>
        <w:t>“Due to its disagreeable flavor, NAC is often mixed with fruit juice or a soft drink prior to consumption. In Europe, NAC is available in pills, capsules, and a variety of effervescent \u201cfizzy tab\u201d formulations [ 18 ]. 2. Safety Profile of NAC The safety of NAC has been well-established through numerous pharmacological studies [ 17 ]. Toxicity is rare and dependent on the route of NAC administration and dosage [ 1 ]. NAC can be administered orally, intravenously, or intranasally [ 1 ]. When orally administered, NAC undergoes rapid intestinal absorption and is subsequently metabolized by the liver [ 1 ]. The cysteine released during NAC metabolism is utilized for glutathione (GSH) synthesis, which is vital for immune function and tissue repair [ 1 ]. NAC\u2019s bioavailability following oral administration is less than 10%. Therefore, only a small portion of intact NAC reaches the plasma and tissue [ 1 ].”  [PMC10604897 ¶6]</w:t>
      </w:r>
    </w:p>
    <w:p>
      <w:pPr>
        <w:jc w:val="center"/>
      </w:pPr>
      <w:r>
        <w:drawing>
          <wp:inline xmlns:a="http://schemas.openxmlformats.org/drawingml/2006/main" xmlns:pic="http://schemas.openxmlformats.org/drawingml/2006/picture">
            <wp:extent cx="5029200" cy="2300859"/>
            <wp:docPr id="158" name="Picture 158"/>
            <wp:cNvGraphicFramePr>
              <a:graphicFrameLocks noChangeAspect="1"/>
            </wp:cNvGraphicFramePr>
            <a:graphic>
              <a:graphicData uri="http://schemas.openxmlformats.org/drawingml/2006/picture">
                <pic:pic>
                  <pic:nvPicPr>
                    <pic:cNvPr id="0" name="p21_i1.jpg"/>
                    <pic:cNvPicPr/>
                  </pic:nvPicPr>
                  <pic:blipFill>
                    <a:blip r:embed="rId12"/>
                    <a:stretch>
                      <a:fillRect/>
                    </a:stretch>
                  </pic:blipFill>
                  <pic:spPr>
                    <a:xfrm>
                      <a:off x="0" y="0"/>
                      <a:ext cx="5029200" cy="2300859"/>
                    </a:xfrm>
                    <a:prstGeom prst="rect"/>
                  </pic:spPr>
                </pic:pic>
              </a:graphicData>
            </a:graphic>
          </wp:inline>
        </w:drawing>
      </w:r>
    </w:p>
    <w:p>
      <w:pPr>
        <w:spacing w:after="160"/>
        <w:jc w:val="center"/>
      </w:pPr>
      <w:r>
        <w:rPr>
          <w:rFonts w:ascii="Times New Roman" w:hAnsi="Times New Roman" w:cs="Times New Roman" w:eastAsia="Times New Roman"/>
          <w:b w:val="0"/>
          <w:i/>
          <w:sz w:val="20"/>
        </w:rPr>
        <w:t>Figure 1 (from PMC10604897): “The three major narratives of NAC’s mechanisms of action.</w:t>
        <w:br/>
        <w:t xml:space="preserve">   graphic: `antioxidants-12-01867-g001.jpg`”</w:t>
      </w:r>
    </w:p>
    <w:p>
      <w:pPr>
        <w:spacing w:after="120"/>
        <w:jc w:val="both"/>
      </w:pPr>
      <w:r>
        <w:rPr>
          <w:rFonts w:ascii="Times New Roman" w:hAnsi="Times New Roman" w:cs="Times New Roman" w:eastAsia="Times New Roman"/>
          <w:b w:val="0"/>
          <w:i w:val="0"/>
          <w:sz w:val="24"/>
        </w:rPr>
        <w:t>“Following ingestion, acetaminophen is rapidly absorbed and transported to the liver to undergo first-pass metabolism [ 28 ]. N-acetyl-p-benzoquinonimine (NAPQI), a cytochrome P450-derived metabolic by-product of acetaminophen first-pass metabolism is cytotoxic and genotoxic [ 28 ]. Normally, when acetaminophen is taken at low doses, GSH can detoxify NAPQI by conjugating it, which facilitates its elimination from the body [ 28 ]. However, acetaminophen toxicity leads to the formation and accumulation of excessive amounts of NAPQI, the depletion of GSH stores, oxidative stress, and mitochondrial dysfunction resulting in the depletion of adenosine triphosphate (ATP) stores [ 44 ]. Evidence suggests that NAPQI is capable of binding to several cellular proteins, particularly mitochondrial proteins [ 44 ]. This binding to mitochondrial proteins in the context of GSH depletion is of great significance as it results in the depletion of endogenous antioxidant functions and alters the \u221d-subunit of the mitochondrial ATP-synthase, thereby hindering the production of ATP [ 44 ].”  [PMC10604897 ¶15]</w:t>
      </w:r>
    </w:p>
    <w:p>
      <w:pPr>
        <w:spacing w:after="120"/>
        <w:jc w:val="both"/>
      </w:pPr>
      <w:r>
        <w:rPr>
          <w:rFonts w:ascii="Times New Roman" w:hAnsi="Times New Roman" w:cs="Times New Roman" w:eastAsia="Times New Roman"/>
          <w:b w:val="0"/>
          <w:i w:val="0"/>
          <w:sz w:val="24"/>
        </w:rPr>
        <w:t>“NAC functions to replenish hepatic GSH stores and provide a larger supply of oxygen to the injured liver [ 1 ]. Administration of NAC during acetaminophen overdose acts to rapidly increase GSH synthesis in the liver and reduce mitochondrial protein binding [ 28 ]. The amount of NAC required to counteract acetaminophen toxicity is determined by plotting the concentration of acetaminophen in plasma against the time post-overdose on a nomogram [ 28 ]. Initiating NAC treatment within 8 h of overdosing minimizes the risk of hepatocellular damage as the effectiveness of NAC treatment is negatively correlated with the time post-overdose [ 28 ]. Reports have shown that oral NAC is just as effective as intravenous NAC in treating acetaminophen toxicity within 10 h of overdosing [ 28 ]. However, it is important to note that the absorption of orally administered NAC will be hindered when administered following the use of activated charcoal, which is commonly used to mitigate acetaminophen toxicity; as such, the preferred route of administration is intravenous NAC [ 28 ]. 5.1.2.”  [PMC10604897 ¶16]</w:t>
      </w:r>
    </w:p>
    <w:p>
      <w:pPr>
        <w:spacing w:after="120"/>
        <w:jc w:val="both"/>
      </w:pPr>
      <w:r>
        <w:rPr>
          <w:rFonts w:ascii="Times New Roman" w:hAnsi="Times New Roman" w:cs="Times New Roman" w:eastAsia="Times New Roman"/>
          <w:b w:val="0"/>
          <w:i w:val="0"/>
          <w:sz w:val="24"/>
        </w:rPr>
        <w:t>“NAC has been purported to possess anti-inflammatory properties that include inhibiting activation and translocation of NF-\u03baB, which results in decreased production of TNF-\u221d, IL-1\u03b2, and IL-6 [ 1 ]. In a human study conducted by Khoshbaten et al. (2010), it was discovered that oral administration of 600 mg of NAC per 12 h over a 3-month period decreased serum levels of alanine transaminase (ALT) as compared to the group receiving vitamin C [ 48 ]. ALT is an enzyme that is predominantly produced by the liver and is commonly used as a biomarker of hepatic inflammation and damage [ 49 ]. 5.2. Pulmonary Diseases Inflammation and high levels of oxidative stress coupled with low levels of endogenous antioxidants such as GSH play a critical role in the pathogenesis and progression of pulmonary diseases [ 1 ]. As an antioxidant, anti-inflammatory, and mucolytic agent, NAC appears to be a promising therapeutic agent in the treatment of various pulmonary diseases including chronic obstructive pulmonary disease (COPD), cystic fibrosis (CF), and idiopathic pulmonary fibrosis (IPF) [ 1 ] and, most recently, COVID-19 [ 50 ] (see Table 2 ).”  [PMC10604897 ¶19]</w:t>
      </w:r>
    </w:p>
    <w:p>
      <w:pPr>
        <w:jc w:val="center"/>
      </w:pPr>
      <w:r>
        <w:drawing>
          <wp:inline xmlns:a="http://schemas.openxmlformats.org/drawingml/2006/main" xmlns:pic="http://schemas.openxmlformats.org/drawingml/2006/picture">
            <wp:extent cx="5029200" cy="1144143"/>
            <wp:docPr id="159" name="Picture 159"/>
            <wp:cNvGraphicFramePr>
              <a:graphicFrameLocks noChangeAspect="1"/>
            </wp:cNvGraphicFramePr>
            <a:graphic>
              <a:graphicData uri="http://schemas.openxmlformats.org/drawingml/2006/picture">
                <pic:pic>
                  <pic:nvPicPr>
                    <pic:cNvPr id="0" name="p21_i2.jpg"/>
                    <pic:cNvPicPr/>
                  </pic:nvPicPr>
                  <pic:blipFill>
                    <a:blip r:embed="rId13"/>
                    <a:stretch>
                      <a:fillRect/>
                    </a:stretch>
                  </pic:blipFill>
                  <pic:spPr>
                    <a:xfrm>
                      <a:off x="0" y="0"/>
                      <a:ext cx="5029200" cy="1144143"/>
                    </a:xfrm>
                    <a:prstGeom prst="rect"/>
                  </pic:spPr>
                </pic:pic>
              </a:graphicData>
            </a:graphic>
          </wp:inline>
        </w:drawing>
      </w:r>
    </w:p>
    <w:p>
      <w:pPr>
        <w:spacing w:after="160"/>
        <w:jc w:val="center"/>
      </w:pPr>
      <w:r>
        <w:rPr>
          <w:rFonts w:ascii="Times New Roman" w:hAnsi="Times New Roman" w:cs="Times New Roman" w:eastAsia="Times New Roman"/>
          <w:b w:val="0"/>
          <w:i/>
          <w:sz w:val="20"/>
        </w:rPr>
        <w:t>Figure panel from PMC10604897 (source bitmap p21_i2.jpg).</w:t>
      </w:r>
    </w:p>
    <w:p>
      <w:pPr>
        <w:spacing w:after="120"/>
        <w:jc w:val="both"/>
      </w:pPr>
      <w:r>
        <w:rPr>
          <w:rFonts w:ascii="Times New Roman" w:hAnsi="Times New Roman" w:cs="Times New Roman" w:eastAsia="Times New Roman"/>
          <w:b w:val="0"/>
          <w:i w:val="0"/>
          <w:sz w:val="24"/>
        </w:rPr>
        <w:t>“## Figure captions (2) 1. **Figure 1** — Differential modulation of pro-inflammatory mediators in relation to both the concentration and duration of treatment with N-acetylcysteine in in vitro models of airway inflammation. NAC: N-acetylcysteine; LPS: lipopolysaccharides; NKA: neurokinin A; IL-6: Interleukin-6; TNF-α: tumor necrosis factor-α; IL-8: Interleukin-8; IL-1β: Interleukin-1beta; NF-κB: Nuclear factor kappa B. graphic: `jcm-13-04127-g001.jpg` 2. **Figure 2** — Proposed molecular mechanisms for the therapeutic activity of N-acetylcysteine after oral administration in chronic respiratory diseases. NAC: N-acetylcysteine; GSH: glutathione; RSSH: persulfides; RSS n SR: polysulfides; NKA: neurokinin A; NF-κB: Nuclear factor kappa B; TNF-α: tumor necrosis factor-α; IL-1β: Interleukin-1beta; IL-8: Interleukin-8; ROS: reactive oxygen species. graphic: `jcm-13-04127-g002.jpg` ```json { "pmcid": "PMC11278452", "pmid": "39064168", "doi": "10.3390/jcm13144127", "title": "Anti-Inflammatory and Anti-Oxidant Properties of N-Acetylcysteine: A Fresh Perspective", "journal": "Journal of Clinical Medicine", "year": "2024", "abstract": "N-acetyl-L-cysteine (NAC) was initially introduced as a treatment for mucus reduction and widely used for chronic respiratory conditions associated with mucus overproduction.”  [PMC11278452 ¶1]</w:t>
      </w:r>
    </w:p>
    <w:p>
      <w:pPr>
        <w:spacing w:after="120"/>
        <w:jc w:val="both"/>
      </w:pPr>
      <w:r>
        <w:rPr>
          <w:rFonts w:ascii="Times New Roman" w:hAnsi="Times New Roman" w:cs="Times New Roman" w:eastAsia="Times New Roman"/>
          <w:b w:val="0"/>
          <w:i w:val="0"/>
          <w:sz w:val="24"/>
        </w:rPr>
        <w:t>“However, the mechanism of action for NAC extends beyond its mucolytic activity and is complex and multifaceted. Contrary to other mucoactive drugs, NAC has been found to exhibit antioxidant, anti-infective, and anti-inflammatory activity in pre-clinical and clinical reports. These properties have sparked interest in its potential for treating chronic lung diseases, including chronic obstructive pulmonary disease (COPD), bronchiectasis (BE), cystic fibrosis (CF), and idiopathic pulmonary fibrosis (IPF), which are associated with oxidative stress, increased levels of glutathione and inflammation. NAC\u2019s anti-inflammatory activity is noteworthy, and it is not solely secondary to its antioxidant capabilities. In ex vivo models of COPD exacerbation, the anti-inflammatory effects have been observed even at very low doses, especially with prolonged treatment. The mechanism involves the inhibition of the activation of NF-kB and neurokinin A production, resulting in a reduction in interleukin-6 production, a cytokine abundantly present in the sputum and breath condensate of patients with COPD and correlates with the number of exacerbations.”  [PMC11278452 ¶2]</w:t>
      </w:r>
    </w:p>
    <w:p>
      <w:pPr>
        <w:spacing w:after="120"/>
        <w:jc w:val="both"/>
      </w:pPr>
      <w:r>
        <w:rPr>
          <w:rFonts w:ascii="Times New Roman" w:hAnsi="Times New Roman" w:cs="Times New Roman" w:eastAsia="Times New Roman"/>
          <w:b w:val="0"/>
          <w:i w:val="0"/>
          <w:sz w:val="24"/>
        </w:rPr>
        <w:t>“NAC Exhibits Pharmacological Actions beyond Mucolytic Activity The mechanism of action for NAC is complex and multifaceted and is not yet fully elucidated. NAC is widely utilized to decrease the viscosity and elasticity of mucus [ 30 ]. It achieves this by breaking down the disulfide bonds in mucoproteins, thereby decreasing the viscosity of respiratory secretions [ 22 ]. Apart from the replenishing of depleted GSH content, facilitated by NAC, the gradual release of NAC-derived metabolites may result in a modest increase in H 2 S and its oxidation byproducts including persulfides (RSSH) and polysulfides (RSSnSR) [ 31 ], known as sulfane sulfur metabolites [ 32 ]. These metabolites exhibit cytoprotective effects by aiding in disulfide reduction, acting as direct scavengers of radicals, and preventing irreversible oxidative damage of proteins [ 32 ]. Moreover, modifications involving persulfide on proteins have the potential to modify their function and signaling capabilities, thereby initiating stress-responsive cellular reactions [ 32 ].”  [PMC11278452 ¶8]</w:t>
      </w:r>
    </w:p>
    <w:p>
      <w:pPr>
        <w:jc w:val="center"/>
      </w:pPr>
      <w:r>
        <w:drawing>
          <wp:inline xmlns:a="http://schemas.openxmlformats.org/drawingml/2006/main" xmlns:pic="http://schemas.openxmlformats.org/drawingml/2006/picture">
            <wp:extent cx="5029200" cy="4259385"/>
            <wp:docPr id="160" name="Picture 160"/>
            <wp:cNvGraphicFramePr>
              <a:graphicFrameLocks noChangeAspect="1"/>
            </wp:cNvGraphicFramePr>
            <a:graphic>
              <a:graphicData uri="http://schemas.openxmlformats.org/drawingml/2006/picture">
                <pic:pic>
                  <pic:nvPicPr>
                    <pic:cNvPr id="0" name="p06_i1.jpg"/>
                    <pic:cNvPicPr/>
                  </pic:nvPicPr>
                  <pic:blipFill>
                    <a:blip r:embed="rId14"/>
                    <a:stretch>
                      <a:fillRect/>
                    </a:stretch>
                  </pic:blipFill>
                  <pic:spPr>
                    <a:xfrm>
                      <a:off x="0" y="0"/>
                      <a:ext cx="5029200" cy="4259385"/>
                    </a:xfrm>
                    <a:prstGeom prst="rect"/>
                  </pic:spPr>
                </pic:pic>
              </a:graphicData>
            </a:graphic>
          </wp:inline>
        </w:drawing>
      </w:r>
    </w:p>
    <w:p>
      <w:pPr>
        <w:spacing w:after="160"/>
        <w:jc w:val="center"/>
      </w:pPr>
      <w:r>
        <w:rPr>
          <w:rFonts w:ascii="Times New Roman" w:hAnsi="Times New Roman" w:cs="Times New Roman" w:eastAsia="Times New Roman"/>
          <w:b w:val="0"/>
          <w:i/>
          <w:sz w:val="20"/>
        </w:rPr>
        <w:t>Figure 1 (from PMC11278452): “Differential modulation of pro-inflammatory mediators in relation to both the concentration and duration of treatment with N-acetylcysteine in in vitro models of airway inflammation. NAC: N-acetylcysteine; LPS: lipopolysaccharides; NKA: neurokinin A; IL-6: Interleukin-6; TNF-α: tumor necrosis factor-α; IL-8: Interleukin-8; IL-1β: Interleukin-1beta; NF-κB: Nu”</w:t>
      </w:r>
    </w:p>
    <w:p>
      <w:pPr>
        <w:spacing w:after="120"/>
        <w:jc w:val="both"/>
      </w:pPr>
      <w:r>
        <w:rPr>
          <w:rFonts w:ascii="Times New Roman" w:hAnsi="Times New Roman" w:cs="Times New Roman" w:eastAsia="Times New Roman"/>
          <w:b w:val="0"/>
          <w:i w:val="0"/>
          <w:sz w:val="24"/>
        </w:rPr>
        <w:t>“NAC as Anti-Oxidant Abnormal levels of GSH in both extracellular and intracellular compartments are commonly observed in chronic pulmonary diseases, such as CF, bronchiectasis, idiopathic pulmonary fibrosis (IPF), and COPD [ 40 , 41 ]. During the 1980s, Mold\u00e9us and colleagues [ 42 ] pioneered the revelation that NAC demonstrated anti-oxidant effects in respiratory cells and tissues. Their findings showcased NAC\u2019s capability to safeguard against the detrimental impacts of cigarette smoke condensates and hydrogen peroxide (H 2 O 2 ) [ 42 ]. The researchers proposed that NAC\u2019s shielding effect against ROS may be attributed to its function as a precursor to GSH and an enhancer of GSH biosynthesis [ 42 ]. Indeed, from a stringent biochemical perspective, the anti-oxidant characteristics of NAC are intricately linked to the elevation of GSH content, leading to the reduction in ROS synthesis [ 22 ].”  [PMC11278452 ¶10]</w:t>
      </w:r>
    </w:p>
    <w:p>
      <w:pPr>
        <w:spacing w:after="120"/>
        <w:jc w:val="both"/>
      </w:pPr>
      <w:r>
        <w:rPr>
          <w:rFonts w:ascii="Times New Roman" w:hAnsi="Times New Roman" w:cs="Times New Roman" w:eastAsia="Times New Roman"/>
          <w:b w:val="0"/>
          <w:i w:val="0"/>
          <w:sz w:val="24"/>
        </w:rPr>
        <w:t>“However, NAC also possesses the capability to directly engage with oxidants such as hydroxyl radical, hydrogen peroxide, and hypochloric acid [ 30 , 34 ]. The pharmacological characterization of NAC\u2019s anti-oxidant effect took place in the human ex vivo model of acute exacerbations of COPD (AECOPD) consisting of lipopolysaccharide (LPS)-stimulated human bronchi. In two different studies performed by Cazzola et al. [ 27 ] and Calzetta et al. [ 28 ], NAC led to a decrease in LPS-induced malondialdehyde, H 2 O 2 , peroxidase activity, and nitric oxide (NO) production at concentrations of 1\u201310 \u00b5M and 16\u201335 \u00b5M, respectively. Notably, there was also a normalization of GSH levels in the aforementioned two separate studies [ 27 , 28 ], with one study reporting increased superoxide dismutase (SOD) activity by approximately 150% compared to LPS-treated bronchi [ 27 ]. Currently, oxidative stress is recognized as a key predisposing factor in the development of COPD, with an imbalanced oxidant/anti-oxidant state particularly pronounced during AECOPD [ 43 ].”  [PMC11278452 ¶11]</w:t>
      </w:r>
    </w:p>
    <w:p>
      <w:pPr>
        <w:spacing w:after="120"/>
        <w:jc w:val="both"/>
      </w:pPr>
      <w:r>
        <w:rPr>
          <w:rFonts w:ascii="Times New Roman" w:hAnsi="Times New Roman" w:cs="Times New Roman" w:eastAsia="Times New Roman"/>
          <w:b w:val="0"/>
          <w:i w:val="0"/>
          <w:sz w:val="24"/>
        </w:rPr>
        <w:t>“Factors such as inflammation, microbial infection, or smoke exposure can increase GSH content in bronchoalveolar lavage fluid (BALF) as a protective measure against further lung damage [ 40 ]. While GSH concentration increases in the BALF of stable COPD patients, it diminishes during AECOPD [ 44 ]. This indicates that the increase in GSH levels within the lungs is inadequate to effectively counterbalance the significant production of ROS. Maintaining adequate GSH levels is crucial to counteract excessive ROS production during AECOPD [ 45 ]. Thus, therapeutic approaches focused on increasing GSH levels could potentially be beneficial in managing the severity of AECOPD and reducing the occurrence of future episodes. In this context, NAC shows efficacy in restoring the depleted pool of intracellular GSH during AECOPD [ 46 , 47 ] by elevating GSH levels in plasma and BALF [ 48 ]. NAC also reduces ROS secretion by alveolar macrophages (AM) [ 49 ] and exhaled H 2 O 2 and decreases H 2 O 2 production in the respiratory tract of COPD patients [ 50 ].”  [PMC11278452 ¶12]</w:t>
      </w:r>
    </w:p>
    <w:p>
      <w:pPr>
        <w:jc w:val="center"/>
      </w:pPr>
      <w:r>
        <w:drawing>
          <wp:inline xmlns:a="http://schemas.openxmlformats.org/drawingml/2006/main" xmlns:pic="http://schemas.openxmlformats.org/drawingml/2006/picture">
            <wp:extent cx="5029200" cy="3369819"/>
            <wp:docPr id="161" name="Picture 161"/>
            <wp:cNvGraphicFramePr>
              <a:graphicFrameLocks noChangeAspect="1"/>
            </wp:cNvGraphicFramePr>
            <a:graphic>
              <a:graphicData uri="http://schemas.openxmlformats.org/drawingml/2006/picture">
                <pic:pic>
                  <pic:nvPicPr>
                    <pic:cNvPr id="0" name="p08_i1.jpg"/>
                    <pic:cNvPicPr/>
                  </pic:nvPicPr>
                  <pic:blipFill>
                    <a:blip r:embed="rId15"/>
                    <a:stretch>
                      <a:fillRect/>
                    </a:stretch>
                  </pic:blipFill>
                  <pic:spPr>
                    <a:xfrm>
                      <a:off x="0" y="0"/>
                      <a:ext cx="5029200" cy="3369819"/>
                    </a:xfrm>
                    <a:prstGeom prst="rect"/>
                  </pic:spPr>
                </pic:pic>
              </a:graphicData>
            </a:graphic>
          </wp:inline>
        </w:drawing>
      </w:r>
    </w:p>
    <w:p>
      <w:pPr>
        <w:spacing w:after="160"/>
        <w:jc w:val="center"/>
      </w:pPr>
      <w:r>
        <w:rPr>
          <w:rFonts w:ascii="Times New Roman" w:hAnsi="Times New Roman" w:cs="Times New Roman" w:eastAsia="Times New Roman"/>
          <w:b w:val="0"/>
          <w:i/>
          <w:sz w:val="20"/>
        </w:rPr>
        <w:t>Figure 2 (from PMC11278452): “Proposed molecular mechanisms for the therapeutic activity of N-acetylcysteine after oral administration in chronic respiratory diseases. NAC: N-acetylcysteine; GSH: glutathione; RSSH: persulfides; RSS n SR: polysulfides; NKA: neurokinin A; NF-κB: Nuclear factor kappa B; TNF-α: tumor necrosis factor-α; IL-1β: Interleukin-1beta; IL-8: Interleukin-8; ROS: reac”</w:t>
      </w:r>
    </w:p>
    <w:p>
      <w:pPr>
        <w:spacing w:after="120"/>
        <w:jc w:val="both"/>
      </w:pPr>
      <w:r>
        <w:rPr>
          <w:rFonts w:ascii="Times New Roman" w:hAnsi="Times New Roman" w:cs="Times New Roman" w:eastAsia="Times New Roman"/>
          <w:b w:val="0"/>
          <w:i w:val="0"/>
          <w:sz w:val="24"/>
        </w:rPr>
        <w:t>“These processes are critical in the development of cardiovascular diseases (CVDs) such as atherosclerosis, hypertension and ischemia/reperfusion injury (IRI). Reduced nitric oxide (NO) production and increased oxidative stress are key contributors to ED. Aging further exacerbates ED through mitochondrial dysfunction and increased oxidative/nitrosative stress, heightening CVD risk. Antioxidant systems like superoxide-dismutase (SOD), glutathione-peroxidase (GPx), and thioredoxin/thioredoxin-reductase (Trx/TXNRD) pathways protect against oxidative stress. However, their reduced activity promotes ED, atherosclerosis, and vulnerability to IRI. Metabolic syndrome, comprising insulin resistance, obesity, and hypertension, is often accompanied by ED. Specifically, hyperglycemia worsens endothelial damage by promoting oxidative stress and inflammation. Obesity leads to chronic inflammation and changes in perivascular adipose tissue, while hypertension is associated with an increase in oxidative stress.”  [PMC11939635 ¶2]</w:t>
      </w:r>
    </w:p>
    <w:p>
      <w:pPr>
        <w:spacing w:after="120"/>
        <w:jc w:val="both"/>
      </w:pPr>
      <w:r>
        <w:rPr>
          <w:rFonts w:ascii="Times New Roman" w:hAnsi="Times New Roman" w:cs="Times New Roman" w:eastAsia="Times New Roman"/>
          <w:b w:val="0"/>
          <w:i w:val="0"/>
          <w:sz w:val="24"/>
        </w:rPr>
        <w:t>“Aging exacerbates ED by increasing oxidative stress, mitochondrial damage, and inflammation, which further contribute to vascular remodeling, thrombosis, and the progression of CVDs such as hypertension and atherosclerosis. Reduced NO production and elevated ROS/RNS formation exacerbate endothelial damage, while changes in endothelial function, including altered EDHF signaling, increase the risk of CVDs and worsen vascular health. Addressing the ROS/RNS imbalance may not be sufficient, but it is critical to limit ED and its associated pathologies. Impaired Antioxidant Defense Vascular tissue contains several antioxidant systems, such as catalase, superoxide dismutase (SOD), glutathione peroxidase (GPx) and the thioredoxin (Trx)/selenoprotein thioredoxin reductase (TXNRD) [ 54 , 68 , 69 ]. Reduced activity of these systems leads to increased ROS production by oxidizing enzymes, which contributes to ED [ 68 , 69 , 70 , 71 ].”  [PMC11939635 ¶26]</w:t>
      </w:r>
    </w:p>
    <w:p>
      <w:pPr>
        <w:spacing w:after="120"/>
        <w:jc w:val="both"/>
      </w:pPr>
      <w:r>
        <w:rPr>
          <w:rFonts w:ascii="Times New Roman" w:hAnsi="Times New Roman" w:cs="Times New Roman" w:eastAsia="Times New Roman"/>
          <w:b w:val="0"/>
          <w:i w:val="0"/>
          <w:sz w:val="24"/>
        </w:rPr>
        <w:t>“## Figure captions (4) 1. **Figure 1** — Structures of glutathione (GSH), L-cysteine-glutathione disulfide (CySSG), glutathione disulfide (oxidized glutathione, GSSG), and cysteinyl glutathione (CysGSH). Models were drawn by Jmol, through an interface on Wikipedia (GSSG) or at http://biomodel.uah.es/en/DIY/JSME/draw.en.htm (GSH, CySSG, and CysGSH; accessed 10 and 11 August 2021), based on CID structures 124886 for GSH, 10455148 for CySSG graphic: `ijms-23-00717-g001.jpg` 2. **Figure 2** — Plasma GSH, GSSG, and CySSG in 10 healthy (HIV-negative) people, 30 HIV-positive, and 23 AIDS patients. ( Left ) Derived from Figure 1 and the text of Walmsley et al. [ 15 ]. ( Right ) the same data plotted as per cent of average healthy controls. * p &lt; 0.05 compared to controls. graphic: `ijms-23-00717-g002.jpg` 3. **Figure 3** — Binding pocket from Wang et al. [ 1 ], showing that it can accommodate either ( A ) GSH or ( B ) GSSG. graphic: `ijms-23-00717-g003.jpg` 4. **Figure 4** — Potential docking sites of glutathionergics to the ECD of CaSR determined with the SwissDock docking simulator [ 56 ], and visualized via UCSF Chimera [ 57 ] visualization software.”  [PMC8776003 ¶1]</w:t>
      </w:r>
    </w:p>
    <w:p>
      <w:pPr>
        <w:spacing w:after="120"/>
        <w:jc w:val="both"/>
      </w:pPr>
      <w:r>
        <w:rPr>
          <w:rFonts w:ascii="Times New Roman" w:hAnsi="Times New Roman" w:cs="Times New Roman" w:eastAsia="Times New Roman"/>
          <w:b w:val="0"/>
          <w:i w:val="0"/>
          <w:sz w:val="24"/>
        </w:rPr>
        <w:t>“Images show Chain B of the CaSR ECD structure with ligands ( A ) and ( B ) CySSG, ( D ) GSH, ( E ) GSSG, and ( F ) CysGSH, docked in the binding site corresponding to where tryptophan and ( C ) a tryptophan derivative graphic: `ijms-23-00717-g004.jpg` ```json { "pmcid": "PMC8776003", "pmid": "35054903", "doi": "10.3390/ijms23020717", "title": "Extracellular Calcium Receptor as a Target for Glutathione and Its Derivatives", "journal": "International Journal of Molecular Sciences", "year": "2022", "abstract": "Extracellular glutathione (GSH) and oxidized glutathione (GSSG) can modulate the function of the extracellular calcium sensing receptor (CaSR). The CaSR has a binding pocket in the extracellular domain of CaSR large enough to bind either GSH or GSSG, as well as the naturally occurring oxidized derivative L-cysteine glutathione disulfide (CySSG) and the compound cysteinyl glutathione (CysGSH).”  [PMC8776003 ¶2]</w:t>
      </w:r>
    </w:p>
    <w:p>
      <w:pPr>
        <w:spacing w:after="120"/>
        <w:jc w:val="both"/>
      </w:pPr>
      <w:r>
        <w:rPr>
          <w:rFonts w:ascii="Times New Roman" w:hAnsi="Times New Roman" w:cs="Times New Roman" w:eastAsia="Times New Roman"/>
          <w:b w:val="0"/>
          <w:i w:val="0"/>
          <w:sz w:val="24"/>
        </w:rPr>
        <w:t>“Modeling the binding energies (\u0394G) of CySSG and CysGSH to CaSR reveals that both cysteine derivatives may have greater affinities for CaSR than either GSH or GSSG. GSH, CySSG, and GSSG are found in circulation in mammals and, among the three, CySSG is more affected by HIV/AIDs and aging than either GSH or GSSG. The beta-carbon linkage of cysteine in CysGSH may model a new class of calcimimetics, exemplified by etelcalcetide. Circulating glutathionergic compounds, particularly CySSG, may mediate calcium-regulatory responses via receptor-binding to CaSR in a variety of organs, including parathyroids, kidneys, and bones. Receptor-mediated actions of glutathionergics may thus complement their roles in redox regulation and detoxification. The glutathionergic binding site(s) on CaSR are suggested to be a target for development of drugs that can be used in treating kidney and other diseases whose mechanisms involve CaSR dysregulation.", "body_text": "1.”  [PMC8776003 ¶3]</w:t>
      </w:r>
    </w:p>
    <w:p>
      <w:pPr>
        <w:jc w:val="center"/>
      </w:pPr>
      <w:r>
        <w:drawing>
          <wp:inline xmlns:a="http://schemas.openxmlformats.org/drawingml/2006/main" xmlns:pic="http://schemas.openxmlformats.org/drawingml/2006/picture">
            <wp:extent cx="5029200" cy="2282000"/>
            <wp:docPr id="162" name="Picture 162"/>
            <wp:cNvGraphicFramePr>
              <a:graphicFrameLocks noChangeAspect="1"/>
            </wp:cNvGraphicFramePr>
            <a:graphic>
              <a:graphicData uri="http://schemas.openxmlformats.org/drawingml/2006/picture">
                <pic:pic>
                  <pic:nvPicPr>
                    <pic:cNvPr id="0" name="p06_i1.jpg"/>
                    <pic:cNvPicPr/>
                  </pic:nvPicPr>
                  <pic:blipFill>
                    <a:blip r:embed="rId46"/>
                    <a:stretch>
                      <a:fillRect/>
                    </a:stretch>
                  </pic:blipFill>
                  <pic:spPr>
                    <a:xfrm>
                      <a:off x="0" y="0"/>
                      <a:ext cx="5029200" cy="2282000"/>
                    </a:xfrm>
                    <a:prstGeom prst="rect"/>
                  </pic:spPr>
                </pic:pic>
              </a:graphicData>
            </a:graphic>
          </wp:inline>
        </w:drawing>
      </w:r>
    </w:p>
    <w:p>
      <w:pPr>
        <w:spacing w:after="160"/>
        <w:jc w:val="center"/>
      </w:pPr>
      <w:r>
        <w:rPr>
          <w:rFonts w:ascii="Times New Roman" w:hAnsi="Times New Roman" w:cs="Times New Roman" w:eastAsia="Times New Roman"/>
          <w:b w:val="0"/>
          <w:i/>
          <w:sz w:val="20"/>
        </w:rPr>
        <w:t>Figure 1 (from PMC8776003): “Structures of glutathione (GSH), L-cysteine-glutathione disulfide (CySSG), glutathione disulfide (oxidized glutathione, GSSG), and cysteinyl glutathione (CysGSH). Models were drawn by Jmol, through an interface on Wikipedia (GSSG) or at http://biomodel.uah.es/en/DIY/JSME/draw.en.htm (GSH, CySSG, and CysGSH; accessed 10 and 11 August 2021), based on CID struc”</w:t>
      </w:r>
    </w:p>
    <w:p>
      <w:pPr>
        <w:spacing w:after="120"/>
        <w:jc w:val="both"/>
      </w:pPr>
      <w:r>
        <w:rPr>
          <w:rFonts w:ascii="Times New Roman" w:hAnsi="Times New Roman" w:cs="Times New Roman" w:eastAsia="Times New Roman"/>
          <w:b w:val="0"/>
          <w:i w:val="0"/>
          <w:sz w:val="24"/>
        </w:rPr>
        <w:t>“Introduction Associations of calcium (Ca) and glutathione in various organs are not well understood. However, molecular modeling by Wang et al. [ 1 ] identified a glutathione binding site on the extracellular calcium sensing receptor (CaSR) and demonstrated glutathione-elicited changes in extracellular calcium responses mediated by CaSR transfected into a model cell system. With the perspective of more recent crystallographic studies of CaSR [ 2 , 3 , 4 , 5 ] and docking studies of various glutathionergic ligands with CaSR, this paper explores the potential actions that circulating glutathionergic compounds (reduced glutathione (GSH, PubChem CID 124886); oxidized glutathione (GSSG, PubChem CID 65359); and another circulating oxidized derivative of glutathione, L-cysteine-glutathione disulfide (CySSG, PubChem CID 10455148) may have that could be mediated via binding to the extracellular domain of CaSR.”  [PMC8776003 ¶4]</w:t>
      </w:r>
    </w:p>
    <w:p>
      <w:pPr>
        <w:spacing w:after="120"/>
        <w:jc w:val="both"/>
      </w:pPr>
      <w:r>
        <w:rPr>
          <w:rFonts w:ascii="Times New Roman" w:hAnsi="Times New Roman" w:cs="Times New Roman" w:eastAsia="Times New Roman"/>
          <w:b w:val="0"/>
          <w:i w:val="0"/>
          <w:sz w:val="24"/>
        </w:rPr>
        <w:t>“We propose that CaSR may be an important nexus for the interaction of glutathione and Ca and that the lesser known of these three compounds, CySSG, may have physiological roles in regulating CaSR activity through its receptor-binding activity. 1.1. GSH Synthesis and Relationship to GSH-Derivatives GSH is a tripeptide (gamma-glutamyl-cysteinyl-glycine) made by non-ribosomal mechanisms. The rate-limiting enzyme in GSH synthesis is glutamate-cysteine ligase (GCL, EC 6.3.2.2), whose activity is limited by the amount of enzyme and the availability of cysteine. Glutathione synthase (GSS) couples glycine to the resultant gamma-glu-cys to make GSH. GSH reacts with oxidants via glutathione peroxidase (GPx) to form GSSG, form GS- adducts with various electrophiles (these are often toxicants that are thereby detoxified) via glustathione-S-transferases (GSTs), or glutathionylates proteins through reactions mediated by glutaredoxins and thioredoxins.”  [PMC8776003 ¶5]</w:t>
      </w:r>
    </w:p>
    <w:p>
      <w:pPr>
        <w:spacing w:after="120"/>
        <w:jc w:val="both"/>
      </w:pPr>
      <w:r>
        <w:rPr>
          <w:rFonts w:ascii="Times New Roman" w:hAnsi="Times New Roman" w:cs="Times New Roman" w:eastAsia="Times New Roman"/>
          <w:b w:val="0"/>
          <w:i w:val="0"/>
          <w:sz w:val="24"/>
        </w:rPr>
        <w:t>“Alternatively, GSH is transported out of cells where it can undergo further reactions. GSH can be resynthesized from GSSG by the actions of glutathione disulfide reductase (GR). CySSG can be formed intracellularly or extracellularly by thiol-disulfide exchange with cystine [ 6 ], either spontaneously or via enzymatic catalysis by a thioltransferase [ 7 , 8 ]. CySSG is also produced spontaneously by the reaction of GSSG and cysteine [ 6 ]; gamma-glutamyltransferase (GGT) produces CySSG and cystine from GSSG, a reaction that can be inhibited by AT-125 (Acivicin) [ 9 ]. GGT also degrades CySSG, which can also be inhibited by Acivicin [ 9 ]. All three forms of glutathione are found in mammalian circulation [ 10 , 11 , 12 , 13 , 14 , 15 ]. Structures of the three circulating forms of glutathione (GSH, GSSG, and CySSG) are shown in Figure 1 . A fourth structure in Figure 1 , designated as cysteinyl glutathione (CysGSH), has cysteine coupled to glutathione through a covalent linkage to the beta carbon of the cysteine in the glutathione backbone and retains the hydrogen atom on one of the sulfurs the two cysteines in the structure, has also been described (PubChem CID 3080690).”  [PMC8776003 ¶6]</w:t>
      </w:r>
    </w:p>
    <w:p>
      <w:pPr>
        <w:jc w:val="center"/>
      </w:pPr>
      <w:r>
        <w:drawing>
          <wp:inline xmlns:a="http://schemas.openxmlformats.org/drawingml/2006/main" xmlns:pic="http://schemas.openxmlformats.org/drawingml/2006/picture">
            <wp:extent cx="5029200" cy="3585047"/>
            <wp:docPr id="163" name="Picture 163"/>
            <wp:cNvGraphicFramePr>
              <a:graphicFrameLocks noChangeAspect="1"/>
            </wp:cNvGraphicFramePr>
            <a:graphic>
              <a:graphicData uri="http://schemas.openxmlformats.org/drawingml/2006/picture">
                <pic:pic>
                  <pic:nvPicPr>
                    <pic:cNvPr id="0" name="p03_i1.jpg"/>
                    <pic:cNvPicPr/>
                  </pic:nvPicPr>
                  <pic:blipFill>
                    <a:blip r:embed="rId47"/>
                    <a:stretch>
                      <a:fillRect/>
                    </a:stretch>
                  </pic:blipFill>
                  <pic:spPr>
                    <a:xfrm>
                      <a:off x="0" y="0"/>
                      <a:ext cx="5029200" cy="3585047"/>
                    </a:xfrm>
                    <a:prstGeom prst="rect"/>
                  </pic:spPr>
                </pic:pic>
              </a:graphicData>
            </a:graphic>
          </wp:inline>
        </w:drawing>
      </w:r>
    </w:p>
    <w:p>
      <w:pPr>
        <w:spacing w:after="160"/>
        <w:jc w:val="center"/>
      </w:pPr>
      <w:r>
        <w:rPr>
          <w:rFonts w:ascii="Times New Roman" w:hAnsi="Times New Roman" w:cs="Times New Roman" w:eastAsia="Times New Roman"/>
          <w:b w:val="0"/>
          <w:i/>
          <w:sz w:val="20"/>
        </w:rPr>
        <w:t>Figure 2 (from PMC8776003): “Plasma GSH, GSSG, and CySSG in 10 healthy (HIV-negative) people, 30 HIV-positive, and 23 AIDS patients. ( Left ) Derived from Figure 1 and the text of Walmsley et al. [ 15 ]. ( Right ) the same data plotted as per cent of average healthy controls. * p &lt; 0.05 compared to controls.</w:t>
        <w:br/>
        <w:t xml:space="preserve">   graphic: `ijms-23-00717-g002.jpg`”</w:t>
      </w:r>
    </w:p>
    <w:p>
      <w:pPr>
        <w:spacing w:after="120"/>
        <w:jc w:val="both"/>
      </w:pPr>
      <w:r>
        <w:rPr>
          <w:rFonts w:ascii="Times New Roman" w:hAnsi="Times New Roman" w:cs="Times New Roman" w:eastAsia="Times New Roman"/>
          <w:b w:val="0"/>
          <w:i w:val="0"/>
          <w:sz w:val="24"/>
        </w:rPr>
        <w:t>“With the introduction of the mouse model of APAP hepatotoxicity in the 1970s, fundamental mechanisms of cell death were discovered. This included the recognition that part of the APAP dose is metabolized by cytochrome P450 generating a reactive metabolite that is detoxified by glutathione. After the partial depletion of glutathione, the reactive metabolite will covalently bind to sulfhydryl groups of proteins, which is the initiating event of the toxicity. This insight led to the introduction of N-acetyl-L-cysteine, a glutathione precursor, as antidote against APAP overdose in the clinic. Despite substantial progress in our understanding of the pathomechanisms over the last decades viable new antidotes only emerged recently. This review will discuss the background, mechanisms of action, and the clinical prospects of the existing FDA-approved antidote N-acetylcysteine, of several new drug candidates under clinical development [4-methylpyrazole (fomepizole), calmangafodipir] and examples of additional therapeutic targets (Nrf2 activators) and regeneration promoting agents (thrombopoietin mimetics, adenosine A2B receptor agonists, Wharton\u2019s Jelly mesenchymal stem cells).”  [PMC11315809 ¶1]</w:t>
      </w:r>
    </w:p>
    <w:p>
      <w:pPr>
        <w:spacing w:after="120"/>
        <w:jc w:val="both"/>
      </w:pPr>
      <w:r>
        <w:rPr>
          <w:rFonts w:ascii="Times New Roman" w:hAnsi="Times New Roman" w:cs="Times New Roman" w:eastAsia="Times New Roman"/>
          <w:b w:val="0"/>
          <w:i w:val="0"/>
          <w:sz w:val="24"/>
        </w:rPr>
        <w:t>“APAP overdose is the single most frequent cause of liver injury and acute liver failure in the U.S., UK [ 4 ] and Australia [ 5 ] and is at least a significant etiology of acute liver failure in many other western countries [ 4 ]. As a dose-dependent hepatotoxin, the injury process of APAP toxicity in patients can be accurately reproduced in animals [ 6 , 7 ], especially in mice [ 8 ]. Since the introduction of the mouse model in the 1970s [ 9 , 10 ], the mechanisms of cell death and liver injury have been extensively studied and today many key aspects of the injury mechanism are known [ 11 \u2013 13 ]. Based on the early mechanistic insight, limited to recognition of hepatotoxicity resulting from reactive metabolite formation causing GSH depletion and subsequent protein adduct formation [ 9 , 10 ], N-acetylcysteine (NAC) was discovered to be an effective antidote in animals and patients [ 14 ].”  [PMC11315809 ¶3]</w:t>
      </w:r>
    </w:p>
    <w:p>
      <w:pPr>
        <w:spacing w:after="120"/>
        <w:jc w:val="both"/>
      </w:pPr>
      <w:r>
        <w:rPr>
          <w:rFonts w:ascii="Times New Roman" w:hAnsi="Times New Roman" w:cs="Times New Roman" w:eastAsia="Times New Roman"/>
          <w:b w:val="0"/>
          <w:i w:val="0"/>
          <w:sz w:val="24"/>
        </w:rPr>
        <w:t>“In addition, the costs of safety studies and clinical efficacy trials are too high of a risk for the limited reward, considering the smaller patient numbers. Thus, the main conclusions of most of these intervention studies that compound X acting through Y mechanism may be a promising therapeutic approach for APAP overdose patients are not supported by solid scientific evidence. Nevertheless, in recent years new developments give some hope that there can be progress with emerging novel therapeutics approaches. However, the key to advancing any potential therapeutic is to understand the molecular mechanisms of the disease and have a clear understanding of what the new intervention is targeting. 2. Mechanisms of APAP-induced Liver Injury Mechanistic studies of APAP hepatotoxicity started with the recognition that a part of the dose of APAP is metabolized by cytochrome P450 (Cyp) enzymes [ 6 ], now known to be mainly Cyp2E1 [ 22 ], which generates a reactive metabolite that can be detoxified by GSH [ 9 ].”  [PMC11315809 ¶6]</w:t>
      </w:r>
    </w:p>
    <w:p>
      <w:pPr>
        <w:spacing w:after="120"/>
        <w:jc w:val="both"/>
      </w:pPr>
      <w:r>
        <w:rPr>
          <w:rFonts w:ascii="Times New Roman" w:hAnsi="Times New Roman" w:cs="Times New Roman" w:eastAsia="Times New Roman"/>
          <w:b w:val="0"/>
          <w:i w:val="0"/>
          <w:sz w:val="24"/>
        </w:rPr>
        <w:t>“This reactive metabolite was identified as N-acetyl-p-benzoquinone imine (NAPQI), which after GSH depletion, preferably reacts with sulfhydryl groups of cysteine in proteins [ 23 ]. Although extensive formation of protein adducts is the initiating event in the toxicity, it is protein adducts in mitochondria that are most critical [ 24 , 25 ]. Mitochondrial adducts trigger a limited electron leak from complex III of the mitochondrial electron transport chain into the cytosol [ 26 ]. This mild oxidant stress activates a redox-sensitive mitogen-activated protein kinase cascade, resulting in activation (phosphorylation) of c-jun N-terminal kinase (JNK) [ 26 ]. P-JNK translocates to the mitochondria [ 27 ] and binds to the anchor protein Sab [ 28 ], which triggers further impairment of the electron transport chain with exaggerated oxidant stress [ 29 ], mainly through leakage of electrons of complex I into the mitochondrial matrix [ 26 ].”  [PMC11315809 ¶7]</w:t>
      </w:r>
    </w:p>
    <w:p>
      <w:pPr>
        <w:spacing w:after="120"/>
        <w:jc w:val="both"/>
      </w:pPr>
      <w:r>
        <w:rPr>
          <w:rFonts w:ascii="Times New Roman" w:hAnsi="Times New Roman" w:cs="Times New Roman" w:eastAsia="Times New Roman"/>
          <w:b w:val="0"/>
          <w:i w:val="0"/>
          <w:sz w:val="24"/>
        </w:rPr>
        <w:t>“Importantly, the recognition that the reactive metabolite could be detoxified by glutathione [ 9 ] was the incentive to test glutathione precursors, leading to the discovery of NAC as an effective drug in preclinical models [ 35 ]. Today, we know that NAC works mainly through supporting the synthesis of hepatic GSH [ 36 ] ( Figure 1 ); GSH can scavenge NAPQI during the metabolism phase [ 37 ], and later, after import into mitochondria, can scavenge peroxynitrite [ 38 ]. However, excess NAC can also be converted to Krebs cycle intermediates and support the mitochondrial bioenergetics [ 39 ]. Together these mechanisms explain why NAC can effectively prevent cell death. Because of the high efficacy of NAC in several pilot trials in humans in the 1970s [ 40 , 41 ], large scale clinical studies were initiated, but due to ethical reasons, the FDA denied the originally proposed randomized controlled trials [ 14 , 16 ].”  [PMC11315809 ¶9]</w:t>
      </w:r>
    </w:p>
    <w:p>
      <w:pPr>
        <w:spacing w:after="120"/>
        <w:jc w:val="both"/>
      </w:pPr>
      <w:r>
        <w:rPr>
          <w:rFonts w:ascii="Times New Roman" w:hAnsi="Times New Roman" w:cs="Times New Roman" w:eastAsia="Times New Roman"/>
          <w:b w:val="0"/>
          <w:i w:val="0"/>
          <w:sz w:val="24"/>
        </w:rPr>
        <w:t>“A dose of 300 mg/kg APAP is mostly metabolized by 90 min after ip injection in mice [ 38 , 56 ]. When mice were treated with fomepizole 90 min after 300 mg/kg APAP, the animals were again almost completely protected against APAP toxicity, even though there was no reduction of protein adduct formation [ 59 ]. This suggested that the effect was not mediated by cyp2e1 inhibition. Follow-up measurements demonstrated that fomepizole was also an inhibitor of JNK by binding to the ATP binding site of the enzyme, and, as such, eliminated the mitochondrial oxidant stress and its amplification [ 59 ]. The combined effect of cyp2e1 and JNK inhibition makes fomepizole an effective antidote against APAP overdose ( Figure 1 ). In fact, one could assume that, mechanistically, fomepizole would be superior to NAC if given before APAP metabolism because preventing NAPQI formation is more effective than synthesizing GSH.”  [PMC11315809 ¶15]</w:t>
      </w:r>
    </w:p>
    <w:p>
      <w:pPr>
        <w:keepNext/>
        <w:spacing w:before="280" w:after="80"/>
        <w:outlineLvl w:val="1"/>
      </w:pPr>
      <w:r>
        <w:rPr>
          <w:rFonts w:ascii="Times New Roman" w:hAnsi="Times New Roman" w:cs="Times New Roman" w:eastAsia="Times New Roman"/>
          <w:b/>
          <w:i w:val="0"/>
          <w:color w:val="335588"/>
          <w:sz w:val="28"/>
        </w:rPr>
        <w:t>12.2  Thiol–disulfide exchange and redox buffering</w:t>
      </w:r>
    </w:p>
    <w:p>
      <w:pPr>
        <w:spacing w:after="120"/>
        <w:jc w:val="both"/>
      </w:pPr>
      <w:r>
        <w:rPr>
          <w:rFonts w:ascii="Times New Roman" w:hAnsi="Times New Roman" w:cs="Times New Roman" w:eastAsia="Times New Roman"/>
          <w:b w:val="0"/>
          <w:i w:val="0"/>
          <w:sz w:val="24"/>
        </w:rPr>
        <w:t>“NAC possesses antioxidant, cytoprotective, anti-inflammatory, antimicrobial, and mucolytic properties, making it a promising therapeutic agent for a wide range of diseases in both humans and domesticated animals. Oxidative stress and inflammation play a major role in the onset and progression of all these diseases. NAC\u2019s primary role is to replenish glutathione (GSH) stores, the master antioxidant in all tissues; however, it can also reduce levels of pro-inflammatory tumor necrosis factor-alpha (TNF-\u221d) and interleukins (IL-6 and IL-1\u03b2), inhibit the formation of microbial biofilms and destroy biofilms, and break down disulfide bonds between mucin molecules. Many experimental studies have been conducted on the use of NAC to address a wide range of pathological conditions; however, its effectiveness in clinical trials remains limited and studies often have conflicting results.”  [PMC10604897 ¶1]</w:t>
      </w:r>
    </w:p>
    <w:p>
      <w:pPr>
        <w:spacing w:after="120"/>
        <w:jc w:val="both"/>
      </w:pPr>
      <w:r>
        <w:rPr>
          <w:rFonts w:ascii="Times New Roman" w:hAnsi="Times New Roman" w:cs="Times New Roman" w:eastAsia="Times New Roman"/>
          <w:b w:val="0"/>
          <w:i w:val="0"/>
          <w:sz w:val="24"/>
        </w:rPr>
        <w:t>“The purpose of this review is to provide a concise overview of promising NAC usages for the treatment of different human and domestic animal disorders.", "body_text": "1. Introduction N-acetylcysteine (NAC) comes from the amino acid L-cysteine and has been a Food and Drug Administration (FDA) approved drug since 1963. It is recognized as the standard treatment for acetaminophen overdose and has been used as a mucolytic drug since the 1960s [ 1 ]. NAC has also been used as a supplement for decades and, as such, can be found as an over-the-counter nutritional supplement in countries such as the United States, Canada, and Australia [ 1 ]. Therefore, NAC falls into a grey zone with other compounds such as cannabidiol (CBD), but as of August 2022, the FDA has backed away from its hard stance on classifying NAC as a drug and is allowing its sale as a dietary supplement [ 2 ]. NAC\u2019s antioxidant and anti-inflammatory properties make it a promising therapeutic agent for conditions in which oxidative stress is involved [ 1 ].”  [PMC10604897 ¶2]</w:t>
      </w:r>
    </w:p>
    <w:p>
      <w:pPr>
        <w:spacing w:after="120"/>
        <w:jc w:val="both"/>
      </w:pPr>
      <w:r>
        <w:rPr>
          <w:rFonts w:ascii="Times New Roman" w:hAnsi="Times New Roman" w:cs="Times New Roman" w:eastAsia="Times New Roman"/>
          <w:b w:val="0"/>
          <w:i w:val="0"/>
          <w:sz w:val="24"/>
        </w:rPr>
        <w:t>“Many studies have shown the protective effects of NAC for neonatal animals immune challenged with bacterial lipopolysaccharide (LPS) endotoxin, particularly studies involving piglets [ 13 , 14 ]. NAC administration has consistently been shown to increase daily body weight gain and alleviate LPS-mediated growth depression. Furthermore, the porcine model of ulcerative colitis (UC) can be used to support NAC usage for humans. For example, in a study conducted by Wang et al. (2013), the piglet model of UC demonstrated that administration of NAC was able to reduce colon histopathology score and ameliorate UC histological abnormalities [ 15 ]. Despite the numerous NAC studies and its increasing popularity, the mechanisms of action (MOA) by which NAC exerts its antioxidant and cytoprotective properties remain unclear [ 1 , 16 ]. It is often assumed that the effects conferred by NAC are due to it acting as a scavenger of reactive oxygen species (ROS), a precursor for glutathione (GSH) biosynthesis, and a disulfide reductant [ 16 , 17 ].”  [PMC10604897 ¶4]</w:t>
      </w:r>
    </w:p>
    <w:p>
      <w:pPr>
        <w:jc w:val="center"/>
      </w:pPr>
      <w:r>
        <w:drawing>
          <wp:inline xmlns:a="http://schemas.openxmlformats.org/drawingml/2006/main" xmlns:pic="http://schemas.openxmlformats.org/drawingml/2006/picture">
            <wp:extent cx="5029200" cy="2300859"/>
            <wp:docPr id="164" name="Picture 164"/>
            <wp:cNvGraphicFramePr>
              <a:graphicFrameLocks noChangeAspect="1"/>
            </wp:cNvGraphicFramePr>
            <a:graphic>
              <a:graphicData uri="http://schemas.openxmlformats.org/drawingml/2006/picture">
                <pic:pic>
                  <pic:nvPicPr>
                    <pic:cNvPr id="0" name="p21_i1.jpg"/>
                    <pic:cNvPicPr/>
                  </pic:nvPicPr>
                  <pic:blipFill>
                    <a:blip r:embed="rId12"/>
                    <a:stretch>
                      <a:fillRect/>
                    </a:stretch>
                  </pic:blipFill>
                  <pic:spPr>
                    <a:xfrm>
                      <a:off x="0" y="0"/>
                      <a:ext cx="5029200" cy="2300859"/>
                    </a:xfrm>
                    <a:prstGeom prst="rect"/>
                  </pic:spPr>
                </pic:pic>
              </a:graphicData>
            </a:graphic>
          </wp:inline>
        </w:drawing>
      </w:r>
    </w:p>
    <w:p>
      <w:pPr>
        <w:spacing w:after="160"/>
        <w:jc w:val="center"/>
      </w:pPr>
      <w:r>
        <w:rPr>
          <w:rFonts w:ascii="Times New Roman" w:hAnsi="Times New Roman" w:cs="Times New Roman" w:eastAsia="Times New Roman"/>
          <w:b w:val="0"/>
          <w:i/>
          <w:sz w:val="20"/>
        </w:rPr>
        <w:t>Figure 1 (from PMC10604897): “The three major narratives of NAC’s mechanisms of action.</w:t>
        <w:br/>
        <w:t xml:space="preserve">   graphic: `antioxidants-12-01867-g001.jpg`”</w:t>
      </w:r>
    </w:p>
    <w:p>
      <w:pPr>
        <w:spacing w:after="120"/>
        <w:jc w:val="both"/>
      </w:pPr>
      <w:r>
        <w:rPr>
          <w:rFonts w:ascii="Times New Roman" w:hAnsi="Times New Roman" w:cs="Times New Roman" w:eastAsia="Times New Roman"/>
          <w:b w:val="0"/>
          <w:i w:val="0"/>
          <w:sz w:val="24"/>
        </w:rPr>
        <w:t>“NAC\u2019s half-life was found to be 1.04 \u00b1 0.53 h. The authors also did not find any significant difference between NAC\u2019s pharmacokinetics in healthy broilers versus Mycoplasma gallisepticum-infected broilers. 5. Therapeutic Uses of NAC in Humans NAC is one of the most used antioxidants in clinical practice to date [ 16 , 17 , 36 ]. There has been a growing interest over the past few decades to use NAC as a potential treatment for a wide range of diseases and disorders in which oxidative stress is suspected to play a role [ 17 , 37 ], including respiratory, cardiovascular, neurodegenerative, liver, kidney, gastrointestinal, and infectious diseases [ 1 ]. antioxidants-12-01867-t001_Table 1 Table 1 N-acetylcysteine adverse events. Study Study Type Study Size NAC Treatment Type and Incidence of Adverse Events following NAC Treatment Moderate Severe [ 38 ] Double-blinded, placebo-controlled, crossover design 17 healthy individuals (age 30 \u00b1 2 years) 9 mg/kg NAC capsule Upset stomach (2), nausea (1), stomach/intestinal gas (1), cough (1) 18 mg/kg NAC capsule Upset stomach (1), nausea (1), stomach/intestinal gas (2), sleepiness (2), metallic taste (1) 35 mg/kg oral NAC solution Upset stomach (2), stomach/intestinal gas (2), sleepiness (1), metallic taste (1) 70 mg/kg oral NAC solution Upset stomach (2), stomach/intestinal gas (1), sleepiness (3), metallic taste (3), light-headedness (1), cough (1) Upset stomach (1), Stomach/intestinal gas (1) 140 mg/kg oral NAC solution Upset stomach (5), nausea (3), stomach/intestinal gas (2), sleepiness (2), metallic taste (4), light-headedness (1) Upset stomach (1), stomach/intestinal gas (4) [ 39 ] Randomized, placebo-controlled study 28 individuals (\u226475 years) 20 mg/min intravenous NAC for first hour, then 10 mg/min for next 23 h; total dose of 15 g over 24 h Haemorrhage (3), headache (4) Transient episode of extreme sinus bradycardia (1) [ 40 ] Randomized, placebo-controlled study 4 healthy individuals (age 35 \u00b1 3 years) 150 mg/kg intravenous Transient skin flushing (2), pruritus (2), nausea (2) [ 41 ] Double-blind, randomized trial 65 chronic bronchitis patients 4 puffs of NAC (1 mg/puff) two times daily Coughing (4), Dyspnoea (7) 5.1.”  [PMC10604897 ¶13]</w:t>
      </w:r>
    </w:p>
    <w:p>
      <w:pPr>
        <w:spacing w:after="120"/>
        <w:jc w:val="both"/>
      </w:pPr>
      <w:r>
        <w:rPr>
          <w:rFonts w:ascii="Times New Roman" w:hAnsi="Times New Roman" w:cs="Times New Roman" w:eastAsia="Times New Roman"/>
          <w:b w:val="0"/>
          <w:i w:val="0"/>
          <w:sz w:val="24"/>
        </w:rPr>
        <w:t>“Liver Diseases Acute and chronic liver diseases are highly prevalent worldwide, accounting for approximately 2 million deaths per year [ 42 ]. Oxidative stress plays a crucial role in the initiation and progression of liver diseases due to its participation and stimulation in the liver\u2019s fibrogenic response [ 1 ]. Numerous clinical and experimental studies have been conducted on the use and efficacy of NAC in modulating inflammation and oxidative stress caused or propagated by liver diseases, including acetaminophen (paracetamol) poisoning, acute liver failure, and non-alcoholic fatty liver (NAFLD) and alcoholic liver diseases (see Table 2 ). 5.1.1. Acute Acetaminophen Overdose Acetaminophen is a commonly used over-the-counter analgesic and antipyretic medication as it is relatively safe and effective in treating mild-to-moderate pain and fever at appropriate doses [ 28 , 43 ]. However, when taken by adults at doses of 10\u201315 g (single or repeated) over a 24 h period, which is 3\u20135 times the manufacturer\u2019s recommended dose for over-the-counter use, acetaminophen has direct hepatotoxic potential and can cause acute liver injury and death from acute liver failure [ 28 , 43 ].”  [PMC10604897 ¶14]</w:t>
      </w:r>
    </w:p>
    <w:p>
      <w:pPr>
        <w:spacing w:after="120"/>
        <w:jc w:val="both"/>
      </w:pPr>
      <w:r>
        <w:rPr>
          <w:rFonts w:ascii="Times New Roman" w:hAnsi="Times New Roman" w:cs="Times New Roman" w:eastAsia="Times New Roman"/>
          <w:b w:val="0"/>
          <w:i w:val="0"/>
          <w:sz w:val="24"/>
        </w:rPr>
        <w:t>“Following ingestion, acetaminophen is rapidly absorbed and transported to the liver to undergo first-pass metabolism [ 28 ]. N-acetyl-p-benzoquinonimine (NAPQI), a cytochrome P450-derived metabolic by-product of acetaminophen first-pass metabolism is cytotoxic and genotoxic [ 28 ]. Normally, when acetaminophen is taken at low doses, GSH can detoxify NAPQI by conjugating it, which facilitates its elimination from the body [ 28 ]. However, acetaminophen toxicity leads to the formation and accumulation of excessive amounts of NAPQI, the depletion of GSH stores, oxidative stress, and mitochondrial dysfunction resulting in the depletion of adenosine triphosphate (ATP) stores [ 44 ]. Evidence suggests that NAPQI is capable of binding to several cellular proteins, particularly mitochondrial proteins [ 44 ]. This binding to mitochondrial proteins in the context of GSH depletion is of great significance as it results in the depletion of endogenous antioxidant functions and alters the \u221d-subunit of the mitochondrial ATP-synthase, thereby hindering the production of ATP [ 44 ].”  [PMC10604897 ¶15]</w:t>
      </w:r>
    </w:p>
    <w:p>
      <w:pPr>
        <w:jc w:val="center"/>
      </w:pPr>
      <w:r>
        <w:drawing>
          <wp:inline xmlns:a="http://schemas.openxmlformats.org/drawingml/2006/main" xmlns:pic="http://schemas.openxmlformats.org/drawingml/2006/picture">
            <wp:extent cx="5029200" cy="1144143"/>
            <wp:docPr id="165" name="Picture 165"/>
            <wp:cNvGraphicFramePr>
              <a:graphicFrameLocks noChangeAspect="1"/>
            </wp:cNvGraphicFramePr>
            <a:graphic>
              <a:graphicData uri="http://schemas.openxmlformats.org/drawingml/2006/picture">
                <pic:pic>
                  <pic:nvPicPr>
                    <pic:cNvPr id="0" name="p21_i2.jpg"/>
                    <pic:cNvPicPr/>
                  </pic:nvPicPr>
                  <pic:blipFill>
                    <a:blip r:embed="rId13"/>
                    <a:stretch>
                      <a:fillRect/>
                    </a:stretch>
                  </pic:blipFill>
                  <pic:spPr>
                    <a:xfrm>
                      <a:off x="0" y="0"/>
                      <a:ext cx="5029200" cy="1144143"/>
                    </a:xfrm>
                    <a:prstGeom prst="rect"/>
                  </pic:spPr>
                </pic:pic>
              </a:graphicData>
            </a:graphic>
          </wp:inline>
        </w:drawing>
      </w:r>
    </w:p>
    <w:p>
      <w:pPr>
        <w:spacing w:after="160"/>
        <w:jc w:val="center"/>
      </w:pPr>
      <w:r>
        <w:rPr>
          <w:rFonts w:ascii="Times New Roman" w:hAnsi="Times New Roman" w:cs="Times New Roman" w:eastAsia="Times New Roman"/>
          <w:b w:val="0"/>
          <w:i/>
          <w:sz w:val="20"/>
        </w:rPr>
        <w:t>Figure panel from PMC10604897 (source bitmap p21_i2.jpg).</w:t>
      </w:r>
    </w:p>
    <w:p>
      <w:pPr>
        <w:spacing w:after="120"/>
        <w:jc w:val="both"/>
      </w:pPr>
      <w:r>
        <w:rPr>
          <w:rFonts w:ascii="Times New Roman" w:hAnsi="Times New Roman" w:cs="Times New Roman" w:eastAsia="Times New Roman"/>
          <w:b w:val="0"/>
          <w:i w:val="0"/>
          <w:sz w:val="24"/>
        </w:rPr>
        <w:t>“The accumulation of fat in the hepatocytes of NAFLD patients is generally due to a combination of excessive calorie intake and a sedentary lifestyle [ 46 ]. However, diabetic patients, particularly type 2 diabetics, and those with abnormal levels of blood lipids or hypertension are also at risk of developing NAFLD [ 46 ]. Regardless of the etiological factor(s) leading to the onset of NAFLD, the increased flow of free fatty acids to the liver concurrently increases oxidative stress and suppresses hepatic intracellular antioxidant activity [ 1 ]. Experimental studies conducted on the use of NAC in NAFLD patients have demonstrated that NAC can block the accumulation of hepatic lipids and reduce the pro-inflammatory cytokines IL-6, IL-1\u03b2, and TNF-\u221d and the upstream transcription factor NF-\u03baB [ 47 ], which plays a critical role in initiating the inflammatory cascade and immune response related to oxidative stress.”  [PMC10604897 ¶18]</w:t>
      </w:r>
    </w:p>
    <w:p>
      <w:pPr>
        <w:spacing w:after="120"/>
        <w:jc w:val="both"/>
      </w:pPr>
      <w:r>
        <w:rPr>
          <w:rFonts w:ascii="Times New Roman" w:hAnsi="Times New Roman" w:cs="Times New Roman" w:eastAsia="Times New Roman"/>
          <w:b w:val="0"/>
          <w:i w:val="0"/>
          <w:sz w:val="24"/>
        </w:rPr>
        <w:t>“NAC has been purported to possess anti-inflammatory properties that include inhibiting activation and translocation of NF-\u03baB, which results in decreased production of TNF-\u221d, IL-1\u03b2, and IL-6 [ 1 ]. In a human study conducted by Khoshbaten et al. (2010), it was discovered that oral administration of 600 mg of NAC per 12 h over a 3-month period decreased serum levels of alanine transaminase (ALT) as compared to the group receiving vitamin C [ 48 ]. ALT is an enzyme that is predominantly produced by the liver and is commonly used as a biomarker of hepatic inflammation and damage [ 49 ]. 5.2. Pulmonary Diseases Inflammation and high levels of oxidative stress coupled with low levels of endogenous antioxidants such as GSH play a critical role in the pathogenesis and progression of pulmonary diseases [ 1 ]. As an antioxidant, anti-inflammatory, and mucolytic agent, NAC appears to be a promising therapeutic agent in the treatment of various pulmonary diseases including chronic obstructive pulmonary disease (COPD), cystic fibrosis (CF), and idiopathic pulmonary fibrosis (IPF) [ 1 ] and, most recently, COVID-19 [ 50 ] (see Table 2 ).”  [PMC10604897 ¶19]</w:t>
      </w:r>
    </w:p>
    <w:p>
      <w:pPr>
        <w:spacing w:after="120"/>
        <w:jc w:val="both"/>
      </w:pPr>
      <w:r>
        <w:rPr>
          <w:rFonts w:ascii="Times New Roman" w:hAnsi="Times New Roman" w:cs="Times New Roman" w:eastAsia="Times New Roman"/>
          <w:b w:val="0"/>
          <w:i w:val="0"/>
          <w:sz w:val="24"/>
        </w:rPr>
        <w:t>“## Figure captions (2) 1. **Figure 1** — Differential modulation of pro-inflammatory mediators in relation to both the concentration and duration of treatment with N-acetylcysteine in in vitro models of airway inflammation. NAC: N-acetylcysteine; LPS: lipopolysaccharides; NKA: neurokinin A; IL-6: Interleukin-6; TNF-α: tumor necrosis factor-α; IL-8: Interleukin-8; IL-1β: Interleukin-1beta; NF-κB: Nuclear factor kappa B. graphic: `jcm-13-04127-g001.jpg` 2. **Figure 2** — Proposed molecular mechanisms for the therapeutic activity of N-acetylcysteine after oral administration in chronic respiratory diseases. NAC: N-acetylcysteine; GSH: glutathione; RSSH: persulfides; RSS n SR: polysulfides; NKA: neurokinin A; NF-κB: Nuclear factor kappa B; TNF-α: tumor necrosis factor-α; IL-1β: Interleukin-1beta; IL-8: Interleukin-8; ROS: reactive oxygen species. graphic: `jcm-13-04127-g002.jpg` ```json { "pmcid": "PMC11278452", "pmid": "39064168", "doi": "10.3390/jcm13144127", "title": "Anti-Inflammatory and Anti-Oxidant Properties of N-Acetylcysteine: A Fresh Perspective", "journal": "Journal of Clinical Medicine", "year": "2024", "abstract": "N-acetyl-L-cysteine (NAC) was initially introduced as a treatment for mucus reduction and widely used for chronic respiratory conditions associated with mucus overproduction.”  [PMC11278452 ¶1]</w:t>
      </w:r>
    </w:p>
    <w:p>
      <w:pPr>
        <w:spacing w:after="120"/>
        <w:jc w:val="both"/>
      </w:pPr>
      <w:r>
        <w:rPr>
          <w:rFonts w:ascii="Times New Roman" w:hAnsi="Times New Roman" w:cs="Times New Roman" w:eastAsia="Times New Roman"/>
          <w:b w:val="0"/>
          <w:i w:val="0"/>
          <w:sz w:val="24"/>
        </w:rPr>
        <w:t>“However, the mechanism of action for NAC extends beyond its mucolytic activity and is complex and multifaceted. Contrary to other mucoactive drugs, NAC has been found to exhibit antioxidant, anti-infective, and anti-inflammatory activity in pre-clinical and clinical reports. These properties have sparked interest in its potential for treating chronic lung diseases, including chronic obstructive pulmonary disease (COPD), bronchiectasis (BE), cystic fibrosis (CF), and idiopathic pulmonary fibrosis (IPF), which are associated with oxidative stress, increased levels of glutathione and inflammation. NAC\u2019s anti-inflammatory activity is noteworthy, and it is not solely secondary to its antioxidant capabilities. In ex vivo models of COPD exacerbation, the anti-inflammatory effects have been observed even at very low doses, especially with prolonged treatment. The mechanism involves the inhibition of the activation of NF-kB and neurokinin A production, resulting in a reduction in interleukin-6 production, a cytokine abundantly present in the sputum and breath condensate of patients with COPD and correlates with the number of exacerbations.”  [PMC11278452 ¶2]</w:t>
      </w:r>
    </w:p>
    <w:p>
      <w:pPr>
        <w:spacing w:after="120"/>
        <w:jc w:val="both"/>
      </w:pPr>
      <w:r>
        <w:rPr>
          <w:rFonts w:ascii="Times New Roman" w:hAnsi="Times New Roman" w:cs="Times New Roman" w:eastAsia="Times New Roman"/>
          <w:b w:val="0"/>
          <w:i w:val="0"/>
          <w:sz w:val="24"/>
        </w:rPr>
        <w:t>“The unique combination of mucolytic, antioxidant, anti-infective, and anti-inflammatory properties positions NAC as a safe, cost-effective, and efficacious therapy for a plethora of respiratory conditions.", "body_text": "1. Introduction N-acetyl-L-cysteine (NAC) was first introduced in 1965 primarily for its role in promoting mucolysis [ 1 ] and has been the preferred treatment for paracetamol intoxication since the mid-1970s [ 2 ]. Its intravenous formulation for this purpose is recognized on the WHO\u2019s list of Essential Medicines [ 3 ]. The excessive production and secretion of airway mucus have significant importance in the pathophysiology and clinical manifestations of different respiratory diseases, including acute and chronic bronchitis (CB), chronic obstructive pulmonary disease (COPD), bronchiectasis, and cystic fibrosis (CF) [ 4 , 5 ]. Recent evidence indicates that oxidative stress and inflammation contribute to the development of these pathologies, showing a close correlation with clinical outcomes and triggering the overproduction of mucus by glands and goblet cells [ 6 , 7 , 8 , 9 ].”  [PMC11278452 ¶3]</w:t>
      </w:r>
    </w:p>
    <w:p>
      <w:pPr>
        <w:jc w:val="center"/>
      </w:pPr>
      <w:r>
        <w:drawing>
          <wp:inline xmlns:a="http://schemas.openxmlformats.org/drawingml/2006/main" xmlns:pic="http://schemas.openxmlformats.org/drawingml/2006/picture">
            <wp:extent cx="5029200" cy="4259385"/>
            <wp:docPr id="166" name="Picture 166"/>
            <wp:cNvGraphicFramePr>
              <a:graphicFrameLocks noChangeAspect="1"/>
            </wp:cNvGraphicFramePr>
            <a:graphic>
              <a:graphicData uri="http://schemas.openxmlformats.org/drawingml/2006/picture">
                <pic:pic>
                  <pic:nvPicPr>
                    <pic:cNvPr id="0" name="p06_i1.jpg"/>
                    <pic:cNvPicPr/>
                  </pic:nvPicPr>
                  <pic:blipFill>
                    <a:blip r:embed="rId14"/>
                    <a:stretch>
                      <a:fillRect/>
                    </a:stretch>
                  </pic:blipFill>
                  <pic:spPr>
                    <a:xfrm>
                      <a:off x="0" y="0"/>
                      <a:ext cx="5029200" cy="4259385"/>
                    </a:xfrm>
                    <a:prstGeom prst="rect"/>
                  </pic:spPr>
                </pic:pic>
              </a:graphicData>
            </a:graphic>
          </wp:inline>
        </w:drawing>
      </w:r>
    </w:p>
    <w:p>
      <w:pPr>
        <w:spacing w:after="160"/>
        <w:jc w:val="center"/>
      </w:pPr>
      <w:r>
        <w:rPr>
          <w:rFonts w:ascii="Times New Roman" w:hAnsi="Times New Roman" w:cs="Times New Roman" w:eastAsia="Times New Roman"/>
          <w:b w:val="0"/>
          <w:i/>
          <w:sz w:val="20"/>
        </w:rPr>
        <w:t>Figure 1 (from PMC11278452): “Differential modulation of pro-inflammatory mediators in relation to both the concentration and duration of treatment with N-acetylcysteine in in vitro models of airway inflammation. NAC: N-acetylcysteine; LPS: lipopolysaccharides; NKA: neurokinin A; IL-6: Interleukin-6; TNF-α: tumor necrosis factor-α; IL-8: Interleukin-8; IL-1β: Interleukin-1beta; NF-κB: Nu”</w:t>
      </w:r>
    </w:p>
    <w:p>
      <w:pPr>
        <w:spacing w:after="120"/>
        <w:jc w:val="both"/>
      </w:pPr>
      <w:r>
        <w:rPr>
          <w:rFonts w:ascii="Times New Roman" w:hAnsi="Times New Roman" w:cs="Times New Roman" w:eastAsia="Times New Roman"/>
          <w:b w:val="0"/>
          <w:i w:val="0"/>
          <w:sz w:val="24"/>
        </w:rPr>
        <w:t>“Under diverse stress conditions, such as infection, pathogenic factors, smoking, and oxidative stress, epithelial cells in the airway release pro-secretory molecules, leading to hypertrophy of secretory cells and hyperplasia of goblet cells, with concomitant overproduction of mucus [ 5 , 6 , 7 , 8 ]. Conditions like chronic bronchitis, bronchiectasis, CF, and COPD are associated with impairment of ciliary function and/or airway mucus hypersecretion [ 6 , 7 , 10 , 11 ]. COPD is characterized by airflow limitation, oxidative stress, and airway inflammation [ 12 ]. It is a persistent and advancing disease linked to a heightened inflammatory response in the respiratory tract triggered by gases, noxious particles, or cigarette smoke, which results in the injury of cells lining the airway and mucus hypersecretion [ 13 ]. In particular, the over-secretion of components of mucus MUC5AC and MUC5B in the respiratory tract, coupled with epithelial damage, leads to the shedding of ciliated cells, hyperplasia of goblet cells, and hypertrophy of the submucosal gland, ultimately resulting in airway mucus hypersecretion [ 4 ].”  [PMC11278452 ¶4]</w:t>
      </w:r>
    </w:p>
    <w:p>
      <w:pPr>
        <w:spacing w:after="120"/>
        <w:jc w:val="both"/>
      </w:pPr>
      <w:r>
        <w:rPr>
          <w:rFonts w:ascii="Times New Roman" w:hAnsi="Times New Roman" w:cs="Times New Roman" w:eastAsia="Times New Roman"/>
          <w:b w:val="0"/>
          <w:i w:val="0"/>
          <w:sz w:val="24"/>
        </w:rPr>
        <w:t>“The mucus, secreted by serous, mucous, and goblet cells in response to various stimuli, including inflammation [ 9 ], becomes viscous [ 12 ] and promotes bacterial colonization and biofilm growth. This hinders the ability of neutrophils and soluble antimicrobial agents to permeate dense mucus and eradicate bacteria [ 14 , 15 ]. In COPD, numerous inflammatory mediators are synthesized and released in response to oxidative stress, such as the pro-inflammatory transcription factor NF-\u03baB, which is over-expressed and activated by Reactive Oxygen Species (ROS), especially in airway epithelial cells and macrophages [ 7 ]. Oxidative stress also promotes the release of signaling molecules such as phosphoinositide 3-kinase (PI3K) and p38 mitogen-activated protein kinase (MAPK). It also sustains transforming growth factor (TGF)-\u03b2 signaling and the expression of matrix metalloproteinase (MMP)-9, which are implicated in small airway fibrosis and emphysema [ 7 ].”  [PMC11278452 ¶5]</w:t>
      </w:r>
    </w:p>
    <w:p>
      <w:pPr>
        <w:spacing w:after="120"/>
        <w:jc w:val="both"/>
      </w:pPr>
      <w:r>
        <w:rPr>
          <w:rFonts w:ascii="Times New Roman" w:hAnsi="Times New Roman" w:cs="Times New Roman" w:eastAsia="Times New Roman"/>
          <w:b w:val="0"/>
          <w:i w:val="0"/>
          <w:sz w:val="24"/>
        </w:rPr>
        <w:t>“The aim of this review is to gather data on the multifaceted properties of NAC [ 13 ], with a specific focus on its anti-inflammatory role. The analysis emphasizes findings from various studies, highlighting the impact of dosage and treatment duration on NAC\u2019s anti-inflammatory effectiveness [ 24 , 25 , 26 , 27 , 28 , 29 ]. The evidence suggests that lower doses may prove effective when administered over an extended treatment period [ 24 , 25 , 26 , 27 , 28 , 29 ]. The goal is to present NAC, traditionally recognized as a dual-action mucolytic and anti-oxidant agent, capable of fluidifying mucus secretions and clearing the airways, as a versatile drug with a multifaceted mechanism of action, rendering it a suitable pharmacological option for a variety of chronic respiratory pathologies characterized by mucus hyperproduction, oxidative stress, and inflammation. 2. Methods The authors performed a comprehensive non-systematic review of the existing literature on PubMed/MEDLINE and Google Scholar, until February 2024, using the following keywords: \u201cN-acetylcysteine\u201d AND \u201canti-inflammatory\u201d OR \u201cmucolytic\u201d OR \u201cantioxidant\u201d OR \u201cchronic respiratory disease\u201d OR \u201cchronic obstructive pulmonary disease\u201d OR \u201cidiopathic pulmonary fibrosis\u201d OR \u201cbronchiectasis\u201d OR \u201ccystic fibrosis\u201d OR \u201casthma\u201d OR \u201cbronchitis\u201d OR \u201canti-infective\u201d. 3.”  [PMC11278452 ¶7]</w:t>
      </w:r>
    </w:p>
    <w:p>
      <w:pPr>
        <w:jc w:val="center"/>
      </w:pPr>
      <w:r>
        <w:drawing>
          <wp:inline xmlns:a="http://schemas.openxmlformats.org/drawingml/2006/main" xmlns:pic="http://schemas.openxmlformats.org/drawingml/2006/picture">
            <wp:extent cx="5029200" cy="3369819"/>
            <wp:docPr id="167" name="Picture 167"/>
            <wp:cNvGraphicFramePr>
              <a:graphicFrameLocks noChangeAspect="1"/>
            </wp:cNvGraphicFramePr>
            <a:graphic>
              <a:graphicData uri="http://schemas.openxmlformats.org/drawingml/2006/picture">
                <pic:pic>
                  <pic:nvPicPr>
                    <pic:cNvPr id="0" name="p08_i1.jpg"/>
                    <pic:cNvPicPr/>
                  </pic:nvPicPr>
                  <pic:blipFill>
                    <a:blip r:embed="rId15"/>
                    <a:stretch>
                      <a:fillRect/>
                    </a:stretch>
                  </pic:blipFill>
                  <pic:spPr>
                    <a:xfrm>
                      <a:off x="0" y="0"/>
                      <a:ext cx="5029200" cy="3369819"/>
                    </a:xfrm>
                    <a:prstGeom prst="rect"/>
                  </pic:spPr>
                </pic:pic>
              </a:graphicData>
            </a:graphic>
          </wp:inline>
        </w:drawing>
      </w:r>
    </w:p>
    <w:p>
      <w:pPr>
        <w:spacing w:after="160"/>
        <w:jc w:val="center"/>
      </w:pPr>
      <w:r>
        <w:rPr>
          <w:rFonts w:ascii="Times New Roman" w:hAnsi="Times New Roman" w:cs="Times New Roman" w:eastAsia="Times New Roman"/>
          <w:b w:val="0"/>
          <w:i/>
          <w:sz w:val="20"/>
        </w:rPr>
        <w:t>Figure 2 (from PMC11278452): “Proposed molecular mechanisms for the therapeutic activity of N-acetylcysteine after oral administration in chronic respiratory diseases. NAC: N-acetylcysteine; GSH: glutathione; RSSH: persulfides; RSS n SR: polysulfides; NKA: neurokinin A; NF-κB: Nuclear factor kappa B; TNF-α: tumor necrosis factor-α; IL-1β: Interleukin-1beta; IL-8: Interleukin-8; ROS: reac”</w:t>
      </w:r>
    </w:p>
    <w:p>
      <w:pPr>
        <w:spacing w:after="120"/>
        <w:jc w:val="both"/>
      </w:pPr>
      <w:r>
        <w:rPr>
          <w:rFonts w:ascii="Times New Roman" w:hAnsi="Times New Roman" w:cs="Times New Roman" w:eastAsia="Times New Roman"/>
          <w:b w:val="0"/>
          <w:i w:val="0"/>
          <w:sz w:val="24"/>
        </w:rPr>
        <w:t>“NAC Exhibits Pharmacological Actions beyond Mucolytic Activity The mechanism of action for NAC is complex and multifaceted and is not yet fully elucidated. NAC is widely utilized to decrease the viscosity and elasticity of mucus [ 30 ]. It achieves this by breaking down the disulfide bonds in mucoproteins, thereby decreasing the viscosity of respiratory secretions [ 22 ]. Apart from the replenishing of depleted GSH content, facilitated by NAC, the gradual release of NAC-derived metabolites may result in a modest increase in H 2 S and its oxidation byproducts including persulfides (RSSH) and polysulfides (RSSnSR) [ 31 ], known as sulfane sulfur metabolites [ 32 ]. These metabolites exhibit cytoprotective effects by aiding in disulfide reduction, acting as direct scavengers of radicals, and preventing irreversible oxidative damage of proteins [ 32 ]. Moreover, modifications involving persulfide on proteins have the potential to modify their function and signaling capabilities, thereby initiating stress-responsive cellular reactions [ 32 ].”  [PMC11278452 ¶8]</w:t>
      </w:r>
    </w:p>
    <w:p>
      <w:pPr>
        <w:spacing w:after="120"/>
        <w:jc w:val="both"/>
      </w:pPr>
      <w:r>
        <w:rPr>
          <w:rFonts w:ascii="Times New Roman" w:hAnsi="Times New Roman" w:cs="Times New Roman" w:eastAsia="Times New Roman"/>
          <w:b w:val="0"/>
          <w:i w:val="0"/>
          <w:sz w:val="24"/>
        </w:rPr>
        <w:t>“NAC as Anti-Oxidant Abnormal levels of GSH in both extracellular and intracellular compartments are commonly observed in chronic pulmonary diseases, such as CF, bronchiectasis, idiopathic pulmonary fibrosis (IPF), and COPD [ 40 , 41 ]. During the 1980s, Mold\u00e9us and colleagues [ 42 ] pioneered the revelation that NAC demonstrated anti-oxidant effects in respiratory cells and tissues. Their findings showcased NAC\u2019s capability to safeguard against the detrimental impacts of cigarette smoke condensates and hydrogen peroxide (H 2 O 2 ) [ 42 ]. The researchers proposed that NAC\u2019s shielding effect against ROS may be attributed to its function as a precursor to GSH and an enhancer of GSH biosynthesis [ 42 ]. Indeed, from a stringent biochemical perspective, the anti-oxidant characteristics of NAC are intricately linked to the elevation of GSH content, leading to the reduction in ROS synthesis [ 22 ].”  [PMC11278452 ¶10]</w:t>
      </w:r>
    </w:p>
    <w:p>
      <w:pPr>
        <w:spacing w:after="120"/>
        <w:jc w:val="both"/>
      </w:pPr>
      <w:r>
        <w:rPr>
          <w:rFonts w:ascii="Times New Roman" w:hAnsi="Times New Roman" w:cs="Times New Roman" w:eastAsia="Times New Roman"/>
          <w:b w:val="0"/>
          <w:i w:val="0"/>
          <w:sz w:val="24"/>
        </w:rPr>
        <w:t>“Schematic illustration of the pathways and factors contributing to endothelial dysfunction and the progression of CVDs. The activation of the NLRP3 inflammasome by PAMPs, DAMPs, and hemodynamic alterations triggers the production of inflammatory cytokines (e.g., IL-1β, IL-18) via caspa graphic: `antioxidants-14-00256-g002.jpg` 2. **Figure 1** — Adequate NO production supports redox balance, vasodilation, and vascular homeostasis. In contrast, endothelial dysfunction and reduced NO levels lead to redox imbalance, favoring ROS/RNS-mediated inflammation and fibrosis, with O 2 •− , ONOO − and NLRP3 playing key roles (See also Figure 2 ). Double-headed lines indicate inhibition, while simple arrows indicate diffusion and activation. Red-color graphic: `antioxidants-14-00256-g001.jpg` ```json { "pmcid": "PMC11939635", "pmid": "40227195", "doi": "10.3390/antiox14030256", "title": "Endothelial Dysfunction: Redox Imbalance, NLRP3 Inflammasome, and Inflammatory Responses in Cardiovascular Diseases", "journal": "Antioxidants", "year": "2025", "abstract": "Endothelial dysfunction (ED) is characterized by an imbalance between vasodilatory and vasoconstrictive factors, leading to impaired vascular tone, thrombosis, and inflammation.”  [PMC11939635 ¶1]</w:t>
      </w:r>
    </w:p>
    <w:p>
      <w:pPr>
        <w:spacing w:after="120"/>
        <w:jc w:val="both"/>
      </w:pPr>
      <w:r>
        <w:rPr>
          <w:rFonts w:ascii="Times New Roman" w:hAnsi="Times New Roman" w:cs="Times New Roman" w:eastAsia="Times New Roman"/>
          <w:b w:val="0"/>
          <w:i w:val="0"/>
          <w:sz w:val="24"/>
        </w:rPr>
        <w:t>“These processes are critical in the development of cardiovascular diseases (CVDs) such as atherosclerosis, hypertension and ischemia/reperfusion injury (IRI). Reduced nitric oxide (NO) production and increased oxidative stress are key contributors to ED. Aging further exacerbates ED through mitochondrial dysfunction and increased oxidative/nitrosative stress, heightening CVD risk. Antioxidant systems like superoxide-dismutase (SOD), glutathione-peroxidase (GPx), and thioredoxin/thioredoxin-reductase (Trx/TXNRD) pathways protect against oxidative stress. However, their reduced activity promotes ED, atherosclerosis, and vulnerability to IRI. Metabolic syndrome, comprising insulin resistance, obesity, and hypertension, is often accompanied by ED. Specifically, hyperglycemia worsens endothelial damage by promoting oxidative stress and inflammation. Obesity leads to chronic inflammation and changes in perivascular adipose tissue, while hypertension is associated with an increase in oxidative stress.”  [PMC11939635 ¶2]</w:t>
      </w:r>
    </w:p>
    <w:p>
      <w:pPr>
        <w:spacing w:after="120"/>
        <w:jc w:val="both"/>
      </w:pPr>
      <w:r>
        <w:rPr>
          <w:rFonts w:ascii="Times New Roman" w:hAnsi="Times New Roman" w:cs="Times New Roman" w:eastAsia="Times New Roman"/>
          <w:b w:val="0"/>
          <w:i w:val="0"/>
          <w:sz w:val="24"/>
        </w:rPr>
        <w:t>“The NLRP3 inflammasome plays a significant role in ED, being triggered by factors such as reactive oxygen and nitrogen species, ischemia, and high glucose, which contribute to inflammation, endothelial injury, and exacerbation of IRI. Treatments, such as N-acetyl-L-cysteine, SGLT2 or NLRP3 inhibitors, show promise in improving endothelial function. Yet the complexity of ED suggests that multi-targeted therapies addressing oxidative stress, inflammation, and metabolic disturbances are essential for managing CVDs associated with metabolic syndrome.", "body_text": "1. Introduction Despite its simple monolayer structure, healthy endothelium responds to a variety of stimuli, both chemical and mechanical. In turn, the endothelium is capable of producing a wide range of molecules that regulate vascular permeability, cell adhesion, smooth muscle cell proliferation, vessel wall inflammation, and thrombosis resistance.”  [PMC11939635 ¶3]</w:t>
      </w:r>
    </w:p>
    <w:p>
      <w:pPr>
        <w:jc w:val="center"/>
      </w:pPr>
      <w:r>
        <w:drawing>
          <wp:inline xmlns:a="http://schemas.openxmlformats.org/drawingml/2006/main" xmlns:pic="http://schemas.openxmlformats.org/drawingml/2006/picture">
            <wp:extent cx="5029200" cy="2916365"/>
            <wp:docPr id="168" name="Picture 168"/>
            <wp:cNvGraphicFramePr>
              <a:graphicFrameLocks noChangeAspect="1"/>
            </wp:cNvGraphicFramePr>
            <a:graphic>
              <a:graphicData uri="http://schemas.openxmlformats.org/drawingml/2006/picture">
                <pic:pic>
                  <pic:nvPicPr>
                    <pic:cNvPr id="0" name="p11_i1.jpg"/>
                    <pic:cNvPicPr/>
                  </pic:nvPicPr>
                  <pic:blipFill>
                    <a:blip r:embed="rId16"/>
                    <a:stretch>
                      <a:fillRect/>
                    </a:stretch>
                  </pic:blipFill>
                  <pic:spPr>
                    <a:xfrm>
                      <a:off x="0" y="0"/>
                      <a:ext cx="5029200" cy="2916365"/>
                    </a:xfrm>
                    <a:prstGeom prst="rect"/>
                  </pic:spPr>
                </pic:pic>
              </a:graphicData>
            </a:graphic>
          </wp:inline>
        </w:drawing>
      </w:r>
    </w:p>
    <w:p>
      <w:pPr>
        <w:spacing w:after="160"/>
        <w:jc w:val="center"/>
      </w:pPr>
      <w:r>
        <w:rPr>
          <w:rFonts w:ascii="Times New Roman" w:hAnsi="Times New Roman" w:cs="Times New Roman" w:eastAsia="Times New Roman"/>
          <w:b w:val="0"/>
          <w:i/>
          <w:sz w:val="20"/>
        </w:rPr>
        <w:t>Figure 1 (from PMC11939635): “Key molecular mechanisms linking endothelial dysfunction, NLRP3 inflammasome, and cardiovascular diseases (CVDs). Schematic illustration of the pathways and factors contributing to endothelial dysfunction and the progression of CVDs. The activation of the NLRP3 inflammasome by PAMPs, DAMPs, and hemodynamic alterations triggers the production of inflammatory ”</w:t>
      </w:r>
    </w:p>
    <w:p>
      <w:pPr>
        <w:spacing w:after="120"/>
        <w:jc w:val="both"/>
      </w:pPr>
      <w:r>
        <w:rPr>
          <w:rFonts w:ascii="Times New Roman" w:hAnsi="Times New Roman" w:cs="Times New Roman" w:eastAsia="Times New Roman"/>
          <w:b w:val="0"/>
          <w:i w:val="0"/>
          <w:sz w:val="24"/>
        </w:rPr>
        <w:t>“The molecular mechanisms underlying ED are numerous and not entirely clear, despite the fact that this condition has been discussed since the late 1970s [ 3 ]. Certainly, among the most accredited causes are disruption in nitric oxide (NO) production and the formation of reactive oxygen species (ROS) and/or nitrogen species (RNS). Yet hemodynamic and shear stress alterations, including turbulence, play a central role in ED development [ 4 ]. Indeed, triggers for the shift toward ED and, therefore, toward a pro-coagulant and pro-inflammatory state include intrinsic, non-modifiable risk factors, such as hemodynamic disturbances and a predisposition to thrombophilia (whether inherited or acquired). Modifiable risk factors also play a role, including infections, dietary disturbances, metabolic disorders such as homocysteinemia and hypercholesterolemia, and exposure to toxins like those from smoking [ 1 , 5 , 6 ].”  [PMC11939635 ¶5]</w:t>
      </w:r>
    </w:p>
    <w:p>
      <w:pPr>
        <w:spacing w:after="120"/>
        <w:jc w:val="both"/>
      </w:pPr>
      <w:r>
        <w:rPr>
          <w:rFonts w:ascii="Times New Roman" w:hAnsi="Times New Roman" w:cs="Times New Roman" w:eastAsia="Times New Roman"/>
          <w:b w:val="0"/>
          <w:i w:val="0"/>
          <w:sz w:val="24"/>
        </w:rPr>
        <w:t>“The inflammatory response plays a central role by activating the NOD-like receptor family pyrin domain-containing 3 (NLRP3) inflammasome. This activation triggers the release of cytokines, which in turn fuel oxidative stress and further inflammatory processes, creating a vicious cycle [ 7 , 8 , 9 ]. In this brief review, ED pathology will be considered in terms of redox and inflammatory response, since both these factors are among the main causes of NLRP3 activation and CVDs associated with ED. 2. Features of Healthy Endothelium Healthy ECs lining the inner wall of vessels form a dynamic interface with different functions on the surrounding microenvironment. Vascular homeostasis in healthy endothelium is maintained through the release of NO, produced mainly by endothelial NO synthase (eNOS). The endothelium controls the functions of the organs and their metabolism primarily in a paracrine manner through what is defined as \u201cangiocrine signaling\u201d [ 10 ].”  [PMC11939635 ¶6]</w:t>
      </w:r>
    </w:p>
    <w:p>
      <w:pPr>
        <w:spacing w:after="120"/>
        <w:jc w:val="both"/>
      </w:pPr>
      <w:r>
        <w:rPr>
          <w:rFonts w:ascii="Times New Roman" w:hAnsi="Times New Roman" w:cs="Times New Roman" w:eastAsia="Times New Roman"/>
          <w:b w:val="0"/>
          <w:i w:val="0"/>
          <w:sz w:val="24"/>
        </w:rPr>
        <w:t>“Moreover, ECs limit lipoprotein oxidation by reducing oxidative stress in the vascular wall through the production of NO, which is crucial in preventing atheromatous plaque formation [ 11 , 15 , 23 ]. The endothelial function is also regulated by the activation of receptor tyrosine kinases, such as vascular endothelial growth factor receptor (VEGFR2 and VEGFR3), as well as ion channels, integrins, and junctional proteins. Examples of junctional proteins are platelet endothelial cell adhesion molecule-1 (PECAM-1) and vascular endothelial (VE)-cadherin) [ 24 ]. Blood flow at the vessel level determines the onset of physical forces and mechano-transduction at the endothelial cell level. In physiological conditions, the shear stress produced by this force maintains the homeostasis of the endothelium. When this physical force varies\u2014whether it increases or decreases\u2014turbulence can arise, potentially disrupting homeostasis.”  [PMC11939635 ¶10]</w:t>
      </w:r>
    </w:p>
    <w:p>
      <w:pPr>
        <w:jc w:val="center"/>
      </w:pPr>
      <w:r>
        <w:drawing>
          <wp:inline xmlns:a="http://schemas.openxmlformats.org/drawingml/2006/main" xmlns:pic="http://schemas.openxmlformats.org/drawingml/2006/picture">
            <wp:extent cx="5029200" cy="2478960"/>
            <wp:docPr id="169" name="Picture 169"/>
            <wp:cNvGraphicFramePr>
              <a:graphicFrameLocks noChangeAspect="1"/>
            </wp:cNvGraphicFramePr>
            <a:graphic>
              <a:graphicData uri="http://schemas.openxmlformats.org/drawingml/2006/picture">
                <pic:pic>
                  <pic:nvPicPr>
                    <pic:cNvPr id="0" name="p06_i1.jpg"/>
                    <pic:cNvPicPr/>
                  </pic:nvPicPr>
                  <pic:blipFill>
                    <a:blip r:embed="rId33"/>
                    <a:stretch>
                      <a:fillRect/>
                    </a:stretch>
                  </pic:blipFill>
                  <pic:spPr>
                    <a:xfrm>
                      <a:off x="0" y="0"/>
                      <a:ext cx="5029200" cy="2478960"/>
                    </a:xfrm>
                    <a:prstGeom prst="rect"/>
                  </pic:spPr>
                </pic:pic>
              </a:graphicData>
            </a:graphic>
          </wp:inline>
        </w:drawing>
      </w:r>
    </w:p>
    <w:p>
      <w:pPr>
        <w:spacing w:after="160"/>
        <w:jc w:val="center"/>
      </w:pPr>
      <w:r>
        <w:rPr>
          <w:rFonts w:ascii="Times New Roman" w:hAnsi="Times New Roman" w:cs="Times New Roman" w:eastAsia="Times New Roman"/>
          <w:b w:val="0"/>
          <w:i/>
          <w:sz w:val="20"/>
        </w:rPr>
        <w:t>Figure 2 (from PMC11939635): “Adequate NO production supports redox balance, vasodilation, and vascular homeostasis. In contrast, endothelial dysfunction and reduced NO levels lead to redox imbalance, favoring ROS/RNS-mediated inflammation and fibrosis, with O 2 •− , ONOO − and NLRP3 playing key roles (See also Figure 2 ). Double-headed lines indicate inhibition, while simple arrows indi”</w:t>
      </w:r>
    </w:p>
    <w:p>
      <w:pPr>
        <w:spacing w:after="120"/>
        <w:jc w:val="both"/>
      </w:pPr>
      <w:r>
        <w:rPr>
          <w:rFonts w:ascii="Times New Roman" w:hAnsi="Times New Roman" w:cs="Times New Roman" w:eastAsia="Times New Roman"/>
          <w:b w:val="0"/>
          <w:i w:val="0"/>
          <w:sz w:val="24"/>
        </w:rPr>
        <w:t>“Among the causes that can determine an alteration of shear stress, it is worth mentioning the increase in blood pressure which, combined with a greater stiffness due to metabolic syndrome and aging, determines changes in both the phenotype and the endothelial functionality [ 4 , 25 ]. In addition to being subjected to shear stress, ECs can function as a \u201cmetabolic interface\u201d with important differences between different organs and within the organ itself [ 26 , 27 ]. It appears that under many conditions, the preferred metabolic pathway of ECs is anaerobic glycolysis [ 28 ]. The reliance on anaerobic glycolysis offers metabolic advantages. Under normal conditions, it reduces the formation and availability of ROS/RNS while enhancing the efficiency of metabolite transport from the vessel to surrounding tissues. For instance, the endothelium exerts metabolic control over surrounding tissues, regulating the influx of hormones and other key elements such as insulin, lipids, and glucose.”  [PMC11939635 ¶11]</w:t>
      </w:r>
    </w:p>
    <w:p>
      <w:pPr>
        <w:spacing w:after="120"/>
        <w:jc w:val="both"/>
      </w:pPr>
      <w:r>
        <w:rPr>
          <w:rFonts w:ascii="Times New Roman" w:hAnsi="Times New Roman" w:cs="Times New Roman" w:eastAsia="Times New Roman"/>
          <w:b w:val="0"/>
          <w:i w:val="0"/>
          <w:sz w:val="24"/>
        </w:rPr>
        <w:t>“Endothelial activation is a state in which ECs upregulate the expression of adhesion molecules (e.g., VCAM-1, ICAM-1), pro-inflammatory cytokines, chemokines, and pro-coagulant factors in response to various stimuli, such as inflammatory signals, oxidative stress, or shear stress disturbances. This process facilitates leukocyte adhesion and transmigration, promotes inflammation, and contributes to vascular remodeling and thrombosis, playing a critical role in immune responses and CVDs. When the endothelium is damaged, its balance is disrupted, and the release of cytokines (e.g., ILs and TNF-\u03b1) contributes to pathological processes. Also, alterations in intracellular pathways contribute to pathological processes. For instance, studies have reported that reduced fatty acid transport in the heart, resulting from disruptions in the endothelial Notch signaling pathway, can lead to congestive heart failure [ 19 , 30 , 31 ].”  [PMC11939635 ¶14]</w:t>
      </w:r>
    </w:p>
    <w:p>
      <w:pPr>
        <w:spacing w:after="120"/>
        <w:jc w:val="both"/>
      </w:pPr>
      <w:r>
        <w:rPr>
          <w:rFonts w:ascii="Times New Roman" w:hAnsi="Times New Roman" w:cs="Times New Roman" w:eastAsia="Times New Roman"/>
          <w:b w:val="0"/>
          <w:i w:val="0"/>
          <w:sz w:val="24"/>
        </w:rPr>
        <w:t>“## Figure captions (4) 1. **Figure 1** — Structures of glutathione (GSH), L-cysteine-glutathione disulfide (CySSG), glutathione disulfide (oxidized glutathione, GSSG), and cysteinyl glutathione (CysGSH). Models were drawn by Jmol, through an interface on Wikipedia (GSSG) or at http://biomodel.uah.es/en/DIY/JSME/draw.en.htm (GSH, CySSG, and CysGSH; accessed 10 and 11 August 2021), based on CID structures 124886 for GSH, 10455148 for CySSG graphic: `ijms-23-00717-g001.jpg` 2. **Figure 2** — Plasma GSH, GSSG, and CySSG in 10 healthy (HIV-negative) people, 30 HIV-positive, and 23 AIDS patients. ( Left ) Derived from Figure 1 and the text of Walmsley et al. [ 15 ]. ( Right ) the same data plotted as per cent of average healthy controls. * p &lt; 0.05 compared to controls. graphic: `ijms-23-00717-g002.jpg` 3. **Figure 3** — Binding pocket from Wang et al. [ 1 ], showing that it can accommodate either ( A ) GSH or ( B ) GSSG. graphic: `ijms-23-00717-g003.jpg` 4. **Figure 4** — Potential docking sites of glutathionergics to the ECD of CaSR determined with the SwissDock docking simulator [ 56 ], and visualized via UCSF Chimera [ 57 ] visualization software.”  [PMC8776003 ¶1]</w:t>
      </w:r>
    </w:p>
    <w:p>
      <w:pPr>
        <w:spacing w:after="120"/>
        <w:jc w:val="both"/>
      </w:pPr>
      <w:r>
        <w:rPr>
          <w:rFonts w:ascii="Times New Roman" w:hAnsi="Times New Roman" w:cs="Times New Roman" w:eastAsia="Times New Roman"/>
          <w:b w:val="0"/>
          <w:i w:val="0"/>
          <w:sz w:val="24"/>
        </w:rPr>
        <w:t>“Images show Chain B of the CaSR ECD structure with ligands ( A ) and ( B ) CySSG, ( D ) GSH, ( E ) GSSG, and ( F ) CysGSH, docked in the binding site corresponding to where tryptophan and ( C ) a tryptophan derivative graphic: `ijms-23-00717-g004.jpg` ```json { "pmcid": "PMC8776003", "pmid": "35054903", "doi": "10.3390/ijms23020717", "title": "Extracellular Calcium Receptor as a Target for Glutathione and Its Derivatives", "journal": "International Journal of Molecular Sciences", "year": "2022", "abstract": "Extracellular glutathione (GSH) and oxidized glutathione (GSSG) can modulate the function of the extracellular calcium sensing receptor (CaSR). The CaSR has a binding pocket in the extracellular domain of CaSR large enough to bind either GSH or GSSG, as well as the naturally occurring oxidized derivative L-cysteine glutathione disulfide (CySSG) and the compound cysteinyl glutathione (CysGSH).”  [PMC8776003 ¶2]</w:t>
      </w:r>
    </w:p>
    <w:p>
      <w:pPr>
        <w:spacing w:after="120"/>
        <w:jc w:val="both"/>
      </w:pPr>
      <w:r>
        <w:rPr>
          <w:rFonts w:ascii="Times New Roman" w:hAnsi="Times New Roman" w:cs="Times New Roman" w:eastAsia="Times New Roman"/>
          <w:b w:val="0"/>
          <w:i w:val="0"/>
          <w:sz w:val="24"/>
        </w:rPr>
        <w:t>“Modeling the binding energies (\u0394G) of CySSG and CysGSH to CaSR reveals that both cysteine derivatives may have greater affinities for CaSR than either GSH or GSSG. GSH, CySSG, and GSSG are found in circulation in mammals and, among the three, CySSG is more affected by HIV/AIDs and aging than either GSH or GSSG. The beta-carbon linkage of cysteine in CysGSH may model a new class of calcimimetics, exemplified by etelcalcetide. Circulating glutathionergic compounds, particularly CySSG, may mediate calcium-regulatory responses via receptor-binding to CaSR in a variety of organs, including parathyroids, kidneys, and bones. Receptor-mediated actions of glutathionergics may thus complement their roles in redox regulation and detoxification. The glutathionergic binding site(s) on CaSR are suggested to be a target for development of drugs that can be used in treating kidney and other diseases whose mechanisms involve CaSR dysregulation.", "body_text": "1.”  [PMC8776003 ¶3]</w:t>
      </w:r>
    </w:p>
    <w:p>
      <w:pPr>
        <w:jc w:val="center"/>
      </w:pPr>
      <w:r>
        <w:drawing>
          <wp:inline xmlns:a="http://schemas.openxmlformats.org/drawingml/2006/main" xmlns:pic="http://schemas.openxmlformats.org/drawingml/2006/picture">
            <wp:extent cx="5029200" cy="2282000"/>
            <wp:docPr id="170" name="Picture 170"/>
            <wp:cNvGraphicFramePr>
              <a:graphicFrameLocks noChangeAspect="1"/>
            </wp:cNvGraphicFramePr>
            <a:graphic>
              <a:graphicData uri="http://schemas.openxmlformats.org/drawingml/2006/picture">
                <pic:pic>
                  <pic:nvPicPr>
                    <pic:cNvPr id="0" name="p06_i1.jpg"/>
                    <pic:cNvPicPr/>
                  </pic:nvPicPr>
                  <pic:blipFill>
                    <a:blip r:embed="rId46"/>
                    <a:stretch>
                      <a:fillRect/>
                    </a:stretch>
                  </pic:blipFill>
                  <pic:spPr>
                    <a:xfrm>
                      <a:off x="0" y="0"/>
                      <a:ext cx="5029200" cy="2282000"/>
                    </a:xfrm>
                    <a:prstGeom prst="rect"/>
                  </pic:spPr>
                </pic:pic>
              </a:graphicData>
            </a:graphic>
          </wp:inline>
        </w:drawing>
      </w:r>
    </w:p>
    <w:p>
      <w:pPr>
        <w:spacing w:after="160"/>
        <w:jc w:val="center"/>
      </w:pPr>
      <w:r>
        <w:rPr>
          <w:rFonts w:ascii="Times New Roman" w:hAnsi="Times New Roman" w:cs="Times New Roman" w:eastAsia="Times New Roman"/>
          <w:b w:val="0"/>
          <w:i/>
          <w:sz w:val="20"/>
        </w:rPr>
        <w:t>Figure 1 (from PMC8776003): “Structures of glutathione (GSH), L-cysteine-glutathione disulfide (CySSG), glutathione disulfide (oxidized glutathione, GSSG), and cysteinyl glutathione (CysGSH). Models were drawn by Jmol, through an interface on Wikipedia (GSSG) or at http://biomodel.uah.es/en/DIY/JSME/draw.en.htm (GSH, CySSG, and CysGSH; accessed 10 and 11 August 2021), based on CID struc”</w:t>
      </w:r>
    </w:p>
    <w:p>
      <w:pPr>
        <w:spacing w:after="120"/>
        <w:jc w:val="both"/>
      </w:pPr>
      <w:r>
        <w:rPr>
          <w:rFonts w:ascii="Times New Roman" w:hAnsi="Times New Roman" w:cs="Times New Roman" w:eastAsia="Times New Roman"/>
          <w:b w:val="0"/>
          <w:i w:val="0"/>
          <w:sz w:val="24"/>
        </w:rPr>
        <w:t>“Introduction Associations of calcium (Ca) and glutathione in various organs are not well understood. However, molecular modeling by Wang et al. [ 1 ] identified a glutathione binding site on the extracellular calcium sensing receptor (CaSR) and demonstrated glutathione-elicited changes in extracellular calcium responses mediated by CaSR transfected into a model cell system. With the perspective of more recent crystallographic studies of CaSR [ 2 , 3 , 4 , 5 ] and docking studies of various glutathionergic ligands with CaSR, this paper explores the potential actions that circulating glutathionergic compounds (reduced glutathione (GSH, PubChem CID 124886); oxidized glutathione (GSSG, PubChem CID 65359); and another circulating oxidized derivative of glutathione, L-cysteine-glutathione disulfide (CySSG, PubChem CID 10455148) may have that could be mediated via binding to the extracellular domain of CaSR.”  [PMC8776003 ¶4]</w:t>
      </w:r>
    </w:p>
    <w:p>
      <w:pPr>
        <w:spacing w:after="120"/>
        <w:jc w:val="both"/>
      </w:pPr>
      <w:r>
        <w:rPr>
          <w:rFonts w:ascii="Times New Roman" w:hAnsi="Times New Roman" w:cs="Times New Roman" w:eastAsia="Times New Roman"/>
          <w:b w:val="0"/>
          <w:i w:val="0"/>
          <w:sz w:val="24"/>
        </w:rPr>
        <w:t>“We propose that CaSR may be an important nexus for the interaction of glutathione and Ca and that the lesser known of these three compounds, CySSG, may have physiological roles in regulating CaSR activity through its receptor-binding activity. 1.1. GSH Synthesis and Relationship to GSH-Derivatives GSH is a tripeptide (gamma-glutamyl-cysteinyl-glycine) made by non-ribosomal mechanisms. The rate-limiting enzyme in GSH synthesis is glutamate-cysteine ligase (GCL, EC 6.3.2.2), whose activity is limited by the amount of enzyme and the availability of cysteine. Glutathione synthase (GSS) couples glycine to the resultant gamma-glu-cys to make GSH. GSH reacts with oxidants via glutathione peroxidase (GPx) to form GSSG, form GS- adducts with various electrophiles (these are often toxicants that are thereby detoxified) via glustathione-S-transferases (GSTs), or glutathionylates proteins through reactions mediated by glutaredoxins and thioredoxins.”  [PMC8776003 ¶5]</w:t>
      </w:r>
    </w:p>
    <w:p>
      <w:pPr>
        <w:spacing w:after="120"/>
        <w:jc w:val="both"/>
      </w:pPr>
      <w:r>
        <w:rPr>
          <w:rFonts w:ascii="Times New Roman" w:hAnsi="Times New Roman" w:cs="Times New Roman" w:eastAsia="Times New Roman"/>
          <w:b w:val="0"/>
          <w:i w:val="0"/>
          <w:sz w:val="24"/>
        </w:rPr>
        <w:t>“Alternatively, GSH is transported out of cells where it can undergo further reactions. GSH can be resynthesized from GSSG by the actions of glutathione disulfide reductase (GR). CySSG can be formed intracellularly or extracellularly by thiol-disulfide exchange with cystine [ 6 ], either spontaneously or via enzymatic catalysis by a thioltransferase [ 7 , 8 ]. CySSG is also produced spontaneously by the reaction of GSSG and cysteine [ 6 ]; gamma-glutamyltransferase (GGT) produces CySSG and cystine from GSSG, a reaction that can be inhibited by AT-125 (Acivicin) [ 9 ]. GGT also degrades CySSG, which can also be inhibited by Acivicin [ 9 ]. All three forms of glutathione are found in mammalian circulation [ 10 , 11 , 12 , 13 , 14 , 15 ]. Structures of the three circulating forms of glutathione (GSH, GSSG, and CySSG) are shown in Figure 1 . A fourth structure in Figure 1 , designated as cysteinyl glutathione (CysGSH), has cysteine coupled to glutathione through a covalent linkage to the beta carbon of the cysteine in the glutathione backbone and retains the hydrogen atom on one of the sulfurs the two cysteines in the structure, has also been described (PubChem CID 3080690).”  [PMC8776003 ¶6]</w:t>
      </w:r>
    </w:p>
    <w:p>
      <w:pPr>
        <w:jc w:val="center"/>
      </w:pPr>
      <w:r>
        <w:drawing>
          <wp:inline xmlns:a="http://schemas.openxmlformats.org/drawingml/2006/main" xmlns:pic="http://schemas.openxmlformats.org/drawingml/2006/picture">
            <wp:extent cx="5029200" cy="3585047"/>
            <wp:docPr id="171" name="Picture 171"/>
            <wp:cNvGraphicFramePr>
              <a:graphicFrameLocks noChangeAspect="1"/>
            </wp:cNvGraphicFramePr>
            <a:graphic>
              <a:graphicData uri="http://schemas.openxmlformats.org/drawingml/2006/picture">
                <pic:pic>
                  <pic:nvPicPr>
                    <pic:cNvPr id="0" name="p03_i1.jpg"/>
                    <pic:cNvPicPr/>
                  </pic:nvPicPr>
                  <pic:blipFill>
                    <a:blip r:embed="rId47"/>
                    <a:stretch>
                      <a:fillRect/>
                    </a:stretch>
                  </pic:blipFill>
                  <pic:spPr>
                    <a:xfrm>
                      <a:off x="0" y="0"/>
                      <a:ext cx="5029200" cy="3585047"/>
                    </a:xfrm>
                    <a:prstGeom prst="rect"/>
                  </pic:spPr>
                </pic:pic>
              </a:graphicData>
            </a:graphic>
          </wp:inline>
        </w:drawing>
      </w:r>
    </w:p>
    <w:p>
      <w:pPr>
        <w:spacing w:after="160"/>
        <w:jc w:val="center"/>
      </w:pPr>
      <w:r>
        <w:rPr>
          <w:rFonts w:ascii="Times New Roman" w:hAnsi="Times New Roman" w:cs="Times New Roman" w:eastAsia="Times New Roman"/>
          <w:b w:val="0"/>
          <w:i/>
          <w:sz w:val="20"/>
        </w:rPr>
        <w:t>Figure 2 (from PMC8776003): “Plasma GSH, GSSG, and CySSG in 10 healthy (HIV-negative) people, 30 HIV-positive, and 23 AIDS patients. ( Left ) Derived from Figure 1 and the text of Walmsley et al. [ 15 ]. ( Right ) the same data plotted as per cent of average healthy controls. * p &lt; 0.05 compared to controls.</w:t>
        <w:br/>
        <w:t xml:space="preserve">   graphic: `ijms-23-00717-g002.jpg`”</w:t>
      </w:r>
    </w:p>
    <w:p>
      <w:pPr>
        <w:spacing w:after="120"/>
        <w:jc w:val="both"/>
      </w:pPr>
      <w:r>
        <w:rPr>
          <w:rFonts w:ascii="Times New Roman" w:hAnsi="Times New Roman" w:cs="Times New Roman" w:eastAsia="Times New Roman"/>
          <w:b w:val="0"/>
          <w:i w:val="0"/>
          <w:sz w:val="24"/>
        </w:rPr>
        <w:t>“Plasma GSH and CySSG are usually in the 1\u201310 \u00b5M range (e.g., Figure 2 , derived from data in Walmsley et al. [ 15 ]), while GSSG is often 1 \u00b5M or less [ 10 , 15 ]. Many studies have used enzymatic methods to measure GSH; \u201coxidized glutathione\u201d is often also measured after reduction of oxidized forms to GSH; however, this method does not distinguish between the two oxidized forms of glutathione. Measurement of both oxidized forms of glutathione requires HPLC, which can distinguish between CySSG and GSSG. In healthy people over a broad age range, plasma levels of GSH and CySSG are correlated (Pearson correlation coefficient = 0.622, p &lt; 0.001 [ 10 ]). Plasma redox pairs have different Eh values (GSH/GSSG, \u2212140 mV; Cys/CySS, \u221272 mV; and Cys-GSH/CySSG, \u2212110 mV; [ 10 ]), indicating that relative concentrations of the reactants have different chemical potentials and are not at redox equilibrium in circulation.”  [PMC8776003 ¶7]</w:t>
      </w:r>
    </w:p>
    <w:p>
      <w:pPr>
        <w:spacing w:after="120"/>
        <w:jc w:val="both"/>
      </w:pPr>
      <w:r>
        <w:rPr>
          <w:rFonts w:ascii="Times New Roman" w:hAnsi="Times New Roman" w:cs="Times New Roman" w:eastAsia="Times New Roman"/>
          <w:b w:val="0"/>
          <w:i w:val="0"/>
          <w:sz w:val="24"/>
        </w:rPr>
        <w:t>“EC50 values were &lt;1 \u00b5M for both, compared to an EC50 for phenylalanine of 300 \u00b5M in the same assays [ 1 ]. Neither CySSG nor CysG were tested. Of particular note is that both GSH and GSSG produced similar physiological responses, supporting the idea that these responses are mediated by binding to a receptor and are not due to interactions with intracellular redox mechanisms, which might have been an alternative explanation if only one of them had been active. A similar conclusion that the action of glutathione is associated with binding, not redox regulation, has been drawn regarding the male spawning response of the polychaete Nereis succinea , which is also equally well activated by GSH and GSSG [ 19 ]. In the case of N. succinea , however, CySSG has also been tested and is effective at eliciting the response at about ten times lower concentration than either GSH or GSSG [ 19 ].”  [PMC8776003 ¶12]</w:t>
      </w:r>
    </w:p>
    <w:p>
      <w:pPr>
        <w:spacing w:after="120"/>
        <w:jc w:val="both"/>
      </w:pPr>
      <w:r>
        <w:rPr>
          <w:rFonts w:ascii="Times New Roman" w:hAnsi="Times New Roman" w:cs="Times New Roman" w:eastAsia="Times New Roman"/>
          <w:b w:val="0"/>
          <w:i w:val="0"/>
          <w:sz w:val="24"/>
        </w:rPr>
        <w:t>“This reactive metabolite was identified as N-acetyl-p-benzoquinone imine (NAPQI), which after GSH depletion, preferably reacts with sulfhydryl groups of cysteine in proteins [ 23 ]. Although extensive formation of protein adducts is the initiating event in the toxicity, it is protein adducts in mitochondria that are most critical [ 24 , 25 ]. Mitochondrial adducts trigger a limited electron leak from complex III of the mitochondrial electron transport chain into the cytosol [ 26 ]. This mild oxidant stress activates a redox-sensitive mitogen-activated protein kinase cascade, resulting in activation (phosphorylation) of c-jun N-terminal kinase (JNK) [ 26 ]. P-JNK translocates to the mitochondria [ 27 ] and binds to the anchor protein Sab [ 28 ], which triggers further impairment of the electron transport chain with exaggerated oxidant stress [ 29 ], mainly through leakage of electrons of complex I into the mitochondrial matrix [ 26 ].”  [PMC11315809 ¶7]</w:t>
      </w:r>
    </w:p>
    <w:p>
      <w:pPr>
        <w:spacing w:after="120"/>
        <w:jc w:val="both"/>
      </w:pPr>
      <w:r>
        <w:rPr>
          <w:rFonts w:ascii="Times New Roman" w:hAnsi="Times New Roman" w:cs="Times New Roman" w:eastAsia="Times New Roman"/>
          <w:b w:val="0"/>
          <w:i w:val="0"/>
          <w:sz w:val="24"/>
        </w:rPr>
        <w:t>“Similarly, inhibiting ROS and peroxynitrite formation by inhibiting JNK is more effective than importing the newly synthesized GSH into mitochondria, where it can partly scavenge peroxynitrite. Consistent with this hypothesis, it was shown that fomepizole was indeed more effective when human hepatocytes exposed to 10 mM APAP, which is at the high end of plasma APAP levels observed after a massive overdose [ 51 ], were treated with fomepizole or NAC 16 h after APAP [ 60 ]. In support of these findings, it was shown that treatment with fomepizole beginning at 9 h after APAP in mice reduced liver injury by 45% based on plasma levels of ALT at 24 h and promoted mitochondrial biogenesis and recovery at 48 h [ 60 ]. In contrast, NAC is generally ineffective when given to mice at \u2265 3 h after APAP [ 38 , 60 , 61 ]. Although there is no exact translation of the injury progression from mice to humans, the 3 h time point represents the beginning of the injury phase in mice with completed drug metabolism, early oxidant stress, JNK activation and mitochondrial JNK translocation in mice.”  [PMC11315809 ¶16]</w:t>
      </w:r>
    </w:p>
    <w:p>
      <w:pPr>
        <w:spacing w:after="120"/>
        <w:jc w:val="both"/>
      </w:pPr>
      <w:r>
        <w:rPr>
          <w:rFonts w:ascii="Times New Roman" w:hAnsi="Times New Roman" w:cs="Times New Roman" w:eastAsia="Times New Roman"/>
          <w:b w:val="0"/>
          <w:i w:val="0"/>
          <w:sz w:val="24"/>
        </w:rPr>
        <w:t>“In addition, Nrf2 induces antioxidant enzymes including thioredoxin, peroxiredoxin, superoxide dismutase and glutathione peroxidase, as well as stress response proteins such as heme oxygenase and metal-binding proteins such as ferritin and metallothionein [ 93 ]. Thus, Nrf2 activation, in general, can be considered an adaptive response to stress that broadly improves the capacity of the cell to handle exogenous or endogenous insults. Given these effects of Nrf2 activation, it is not surprising that APAP overdose with its electrophilic metabolite formation and the generation of an oxidant stress can trigger Nrf2 activation in mouse livers [ 95 , 96 ]. The induction of most Nrf2 target genes has been associated with reduced APAP hepatotoxicity [ 11 , 12 , 96 ]. Consequently, a Nrf2-deficient mouse is much more susceptible to APAP overdose compared to a wildtype animal due to the limited capacity to adapt to the oxidant stress [ 94 , 95 ].”  [PMC11315809 ¶31]</w:t>
      </w:r>
    </w:p>
    <w:p>
      <w:pPr>
        <w:spacing w:after="120"/>
        <w:jc w:val="both"/>
      </w:pPr>
      <w:r>
        <w:rPr>
          <w:rFonts w:ascii="Times New Roman" w:hAnsi="Times New Roman" w:cs="Times New Roman" w:eastAsia="Times New Roman"/>
          <w:b w:val="0"/>
          <w:i w:val="0"/>
          <w:sz w:val="24"/>
        </w:rPr>
        <w:t>“We demonstrated that TPOm treatment did not influence formation of protein adducts, oxidative stress or hepatic necrosis early after APAP, but reduced injury parameters in a delayed fashion [ 109 ]. Importantly, TPOm enhanced hepatocyte proliferation, and this beneficial effect was sustained even when TPOm treatment was delayed by 6h, when NAC is ineffective. Additional approaches have targeted mitogens involved in liver regeneration, including primary mitogens such as hepatocyte growth factor (HGF) and epidermal growth factor (EGF), which regulate hepatocyte proliferation. It was recently demonstrated that administration of lipid-nanoparticle-encapsulated mRNA of HGF and EGF 24 hours after a 550mg/kg APAP overdose in the mouse model enhanced liver recovery and regeneration [ 110 ]. Further investigation of the mechanisms of liver regeneration after APAP overdose also holds the promise of uncovering additional targets for therapeutic intervention.”  [PMC11315809 ¶39]</w:t>
      </w:r>
    </w:p>
    <w:p>
      <w:pPr>
        <w:spacing w:after="120"/>
        <w:jc w:val="both"/>
      </w:pPr>
      <w:r>
        <w:rPr>
          <w:rFonts w:ascii="Times New Roman" w:hAnsi="Times New Roman" w:cs="Times New Roman" w:eastAsia="Times New Roman"/>
          <w:b w:val="0"/>
          <w:i w:val="0"/>
          <w:sz w:val="24"/>
        </w:rPr>
        <w:t>“Dis", "pmid": "26159260", "doi": "10.1159/000374090", "pmcid": "PMC4520394" }, { "title": "Mechanisms of acetaminophen hepatotoxicity and their translation to the human pathophysiology", "year": "2017", "source": "J. Clin. Transl. Res", "pmid": "28670625", "doi": "10.18053/jctres.03.2017S1.002", "pmcid": "PMC5489132" }, { "title": "Acetaminophen-induced liver injury in rats and mice: comparison of protein adducts, mitochondrial dysfunction, and oxidative stress in the mechanism of toxicity", "year": "2012", "source": "Toxicol. Appl. Pharmacol",”  [PMC11315809 ¶46]</w:t>
      </w:r>
    </w:p>
    <w:p>
      <w:pPr>
        <w:spacing w:after="120"/>
        <w:jc w:val="both"/>
      </w:pPr>
      <w:r>
        <w:rPr>
          <w:rFonts w:ascii="Times New Roman" w:hAnsi="Times New Roman" w:cs="Times New Roman" w:eastAsia="Times New Roman"/>
          <w:b w:val="0"/>
          <w:i w:val="0"/>
          <w:sz w:val="24"/>
        </w:rPr>
        <w:t>“The running conditions were set at 80 V for the first 15 min, followed by 100 V for 1 h and 45 min. Transfer conditions were set at 100 V for 1 h. The membrane was blocked in 5% BSA in TBS\u2013Tween for 1 h\u00a0at room temperature. Blots were then incubated on a shaker at 4\u00b0C in primary antibodies diluted in 5% BSA in TBS\u2013Tween. Following primary antibody incubation, blots were incubated with fluorescent secondary rabbit or mouse antibodies in 5% BSA in TBS-Tween for 1 hour at room temperature. Immunoblots were washed three times for 5 min\u00a0each after each incubation. Band intensities were imaged using the Odyssey CLx Imaging System (LI-COR) and subsequently quantified by densitometry using ImageJ software. Finally, the data was plotted using GraphPad. Antibodies used: H2AX 1:1000 ABnova MAB-12332; \u03b3H2AX 1:500 Cell Signaling Technology 2577S; TIF1\u03b2 (KAP1) 1:1000 Santa Cruz Biotechnology Sc-136102; pKAP1 (Ser824) 1:1000 Cell Signaling Technology 4127S; CHK1 1:1000 Santa Cruz Biotechnology Sc-8408; pCHK1 (Ser354) 1:500 Cell Signaling Technology 2348S; IRDye800CW Donkey anti-Rabbit 1:5000 LI-COR 926/32213 IRDye680RD; Goat anti-Mouse 1:5000 LI-COR 926/68070. gst-4 ::GFP expression quantification The strain CL2166 (dv Is19 [(pAF15) gst-4 p::GFP::NLS]) was used for oxidative stress signaling induction evaluation ( 32 ).”  [PMC11317141 ¶21]</w:t>
      </w:r>
    </w:p>
    <w:p>
      <w:pPr>
        <w:spacing w:after="120"/>
        <w:jc w:val="both"/>
      </w:pPr>
      <w:r>
        <w:rPr>
          <w:rFonts w:ascii="Times New Roman" w:hAnsi="Times New Roman" w:cs="Times New Roman" w:eastAsia="Times New Roman"/>
          <w:b w:val="0"/>
          <w:i w:val="0"/>
          <w:sz w:val="24"/>
        </w:rPr>
        <w:t>“Our analysis revealed that the survival of several mutants for NER ( csb-1 ; xpa-1 ; xpg-1 ; ercc-1 ) and of a member of the Fanconi anemia pathway ( fcd-2 ), is significantly reduced compared to wild type animals (Figure 1C ), which is in line with previous studies that demonstrated an involvement of these pathways in the removal of FA-induced DNA lesions ( 6 , 8 ). We did not detect a significant reduction in survival in animals carrying a mutation for the gene coding the C. elegans ortholog of the DPC protease SPRTN ( dvc-1(ok260) ) ( 14 ). Animals carrying mutations in nth-1 or ung-1 , which code for components of the BER, were also highly sensitive to FA, which might be a consequence of the property of FA to induce oxidative stress ( 4 ). gen-1 also appeared as a crucial determinant of FA tolerance. The downregulation of adh-5 did not significantly increase FA toxicity in most of the DNA repair mutants but in contrast appeared to increase survival of exo-1 and cku-80 mutants (Figure 1C ).”  [PMC11317141 ¶25]</w:t>
      </w:r>
    </w:p>
    <w:p>
      <w:pPr>
        <w:spacing w:after="120"/>
        <w:jc w:val="both"/>
      </w:pPr>
      <w:r>
        <w:rPr>
          <w:rFonts w:ascii="Times New Roman" w:hAnsi="Times New Roman" w:cs="Times New Roman" w:eastAsia="Times New Roman"/>
          <w:b w:val="0"/>
          <w:i w:val="0"/>
          <w:sz w:val="24"/>
        </w:rPr>
        <w:t>“The GSH-precursor NAC ameliorates FA-toxicity in C. elegans We recently showed that loss of FA clearance can lead to a disturbance of the redox homeostasis, which can be ameliorated by providing precursors of the antioxidant glutathione like the dietary supplement NAC ( 4 ). To evaluate whether ADH-5 and ALH-1-dependent FA metabolism might alter redox balance, we measured the gst-4 ::GFP reporter upon downregulation of ADH-5 and ALH-1 ( Supplementary Figure S5A , S5B ). Our data indicated that both ADH-5 and ALH-1 limit the activation of gst-4 ::GFP. Interestingly, the down-regulation of ALH-1 caused an striking hyperactivation of gst-4 ::GFP, while the combined downregulation of both enzymes did not show a significant further induction of gst-4 ::GFP over ALH-1 levels. The quantification of gst-4 ::GFP in the double-deficient animals might, however, be underestimated due to the high percentage of death observed in this strain.”  [PMC11317141 ¶44]</w:t>
      </w:r>
    </w:p>
    <w:p>
      <w:pPr>
        <w:jc w:val="center"/>
      </w:pPr>
      <w:r>
        <w:drawing>
          <wp:inline xmlns:a="http://schemas.openxmlformats.org/drawingml/2006/main" xmlns:pic="http://schemas.openxmlformats.org/drawingml/2006/picture">
            <wp:extent cx="5029200" cy="3519430"/>
            <wp:docPr id="172" name="Picture 172"/>
            <wp:cNvGraphicFramePr>
              <a:graphicFrameLocks noChangeAspect="1"/>
            </wp:cNvGraphicFramePr>
            <a:graphic>
              <a:graphicData uri="http://schemas.openxmlformats.org/drawingml/2006/picture">
                <pic:pic>
                  <pic:nvPicPr>
                    <pic:cNvPr id="0" name="p04_i4.jpg"/>
                    <pic:cNvPicPr/>
                  </pic:nvPicPr>
                  <pic:blipFill>
                    <a:blip r:embed="rId34"/>
                    <a:stretch>
                      <a:fillRect/>
                    </a:stretch>
                  </pic:blipFill>
                  <pic:spPr>
                    <a:xfrm>
                      <a:off x="0" y="0"/>
                      <a:ext cx="5029200" cy="3519430"/>
                    </a:xfrm>
                    <a:prstGeom prst="rect"/>
                  </pic:spPr>
                </pic:pic>
              </a:graphicData>
            </a:graphic>
          </wp:inline>
        </w:drawing>
      </w:r>
    </w:p>
    <w:p>
      <w:pPr>
        <w:spacing w:after="160"/>
        <w:jc w:val="center"/>
      </w:pPr>
      <w:r>
        <w:rPr>
          <w:rFonts w:ascii="Times New Roman" w:hAnsi="Times New Roman" w:cs="Times New Roman" w:eastAsia="Times New Roman"/>
          <w:b w:val="0"/>
          <w:i/>
          <w:sz w:val="20"/>
        </w:rPr>
        <w:t>Figure panel from PMC11317141 (source bitmap p04_i4.jpg).</w:t>
      </w:r>
    </w:p>
    <w:p>
      <w:pPr>
        <w:spacing w:after="120"/>
        <w:jc w:val="both"/>
      </w:pPr>
      <w:r>
        <w:rPr>
          <w:rFonts w:ascii="Times New Roman" w:hAnsi="Times New Roman" w:cs="Times New Roman" w:eastAsia="Times New Roman"/>
          <w:b w:val="0"/>
          <w:i w:val="0"/>
          <w:sz w:val="24"/>
        </w:rPr>
        <w:t>“We reasoned that the NAC might directly quench FA and thus contribute to limit FA-induced oxidative stress, indicating that supplying NAC could be a therapeutic intervention to alleviate the pathologies observed in the AMeD syndrome. To test this hypothesis, we first evaluated whether NAC could protect NER-deficient animals in an adh-5 mutant background from FA-toxicity and found that animal survival was dramatically increased (Figure 6A \u2013 E ). Further, developmental delay induced by FA toxicity was completely reverted in the presence of NAC (Figure 6F ). In human transformed fibroblasts from healthy donors, and from patients with mutations in CSB, CSA, FANCA, XPA and XPC , NAC was not toxic and was able to completely prevent the toxicity of FA, supporting that this dietary supplement might be suitable for alleviating FA-driven toxicity ( Supplementary Figure S5C , S5D ). Figure 6.”  [PMC11317141 ¶45]</w:t>
      </w:r>
    </w:p>
    <w:p>
      <w:pPr>
        <w:keepNext/>
        <w:spacing w:before="280" w:after="80"/>
        <w:outlineLvl w:val="1"/>
      </w:pPr>
      <w:r>
        <w:rPr>
          <w:rFonts w:ascii="Times New Roman" w:hAnsi="Times New Roman" w:cs="Times New Roman" w:eastAsia="Times New Roman"/>
          <w:b/>
          <w:i w:val="0"/>
          <w:color w:val="335588"/>
          <w:sz w:val="28"/>
        </w:rPr>
        <w:t>12.3  Enzymes of the GSH cycle — γ-GCS / GCL / GSS / GPx / GR</w:t>
      </w:r>
    </w:p>
    <w:p>
      <w:pPr>
        <w:spacing w:after="120"/>
        <w:jc w:val="both"/>
      </w:pPr>
      <w:r>
        <w:rPr>
          <w:rFonts w:ascii="Times New Roman" w:hAnsi="Times New Roman" w:cs="Times New Roman" w:eastAsia="Times New Roman"/>
          <w:b w:val="0"/>
          <w:i w:val="0"/>
          <w:sz w:val="24"/>
        </w:rPr>
        <w:t>“In a study conducted by Messier et al. (2013), NAC was shown to provide protection against injury to murine alveolar type 2 (ATII) cells and lung tissue induced by cigarette smoke [ 55 ]. These in vivo and in vitro studies were carried out with mice lacking the nuclear factor erythroid 2-related factor-2 ( Nrf2 ), whose gene product is a redox-sensitive transcription factor that is crucial to the regulation of the antioxidant defense system [ 54 , 55 ]. NAC\u2019s ability to act as a direct scavenger of free radicals in an Nrf2-independent manner is of considerable importance as Nrf2-dependent endogenous antioxidants are often reduced in COPD patients [ 54 ]. In a randomized, placebo-controlled trial conducted by Kasielski and Nowak (2001), in which NAC was administered long-term (12 months), it was found that treatment with 600 mg/day of NAC significantly reduced the concentration of H 2 O 2 in the expired breath condensate of stable COPD patients; these patients showed a progressive decrease from baseline H 2 O 2 concentrations, reaching statistical significance after 6 months of treatment [ 56 ].”  [PMC10604897 ¶23]</w:t>
      </w:r>
    </w:p>
    <w:p>
      <w:pPr>
        <w:spacing w:after="120"/>
        <w:jc w:val="both"/>
      </w:pPr>
      <w:r>
        <w:rPr>
          <w:rFonts w:ascii="Times New Roman" w:hAnsi="Times New Roman" w:cs="Times New Roman" w:eastAsia="Times New Roman"/>
          <w:b w:val="0"/>
          <w:i w:val="0"/>
          <w:sz w:val="24"/>
        </w:rPr>
        <w:t>“DAO activity is a marker of intestinal mucosal maturation and integrity, as well as of mucosal injury and recovery, whereas plasma DAO provides an indication of the extent of mucosal injury. As such, it is evident that NAC is also capable of supporting mucosal barrier function under inflammatory conditions. As an antioxidant agent, NAC can also attenuate the adverse effects of intestinal oxidative stress caused by LPS. For example, Hao et al. (2021) also showed that dietary supplementation of NAC increased the activity of the endogenous antioxidants superoxide dismutase (SOD), catalase (CAT), and glutathione peroxidase (GSH-Px), ultimately enhancing the antioxidative capacity of the jejunal mucosa, where a significant decrease in malondialdehyde (MDA; biomarker of oxidative stress), H 2 O 2 , and O 2 \u2022\u2212 content were observed, along with increased content of GSH [ 92 ]. 10.1. Swine Weaning Disorders Early weaning stress is associated with both the generation of oxidative stress and changes in the gut microflora of piglets [ 93 ].”  [PMC10604897 ¶43]</w:t>
      </w:r>
    </w:p>
    <w:p>
      <w:pPr>
        <w:spacing w:after="120"/>
        <w:jc w:val="both"/>
      </w:pPr>
      <w:r>
        <w:rPr>
          <w:rFonts w:ascii="Times New Roman" w:hAnsi="Times New Roman" w:cs="Times New Roman" w:eastAsia="Times New Roman"/>
          <w:b w:val="0"/>
          <w:i w:val="0"/>
          <w:sz w:val="24"/>
        </w:rPr>
        <w:t>“NAC orally administered at 600 mg/day has been reported to reduce sputum ECP and Interleukin-8 (IL-8) concentrations in patients with COPD [ 24 , 25 ]. Additionally, at this dosage, NAC modulated the inflammatory response after ten weeks of intake in COPD patients by decreasing serum IL-8 levels [ 26 ]. This intervention also removed the inverse relationship between the pro-inflammatory cytokine IL-8 and glutathione peroxidase (GPx) and Trolox equivalent antioxidant capacity (TEAC) [ 26 ]. These findings imply that NAC affects IL-8 expression through pathways that are not dependent on GPx and plasma anti-oxidants [ 26 ]. Moreover, it eliminated the positive correlation between intercellular adhesion molecule-1 (ICAM-1) and IL-8, indicating that ICAM-1 expression is modulated by pathways not susceptible to NAC [ 26 ]. A study examining how NAC treatment affects changes induced by sepsis in conscious rats revealed a reduction in inflammatory biomarkers (IL-6, tumor necrosis factor-\u03b1 (TNF-\u03b1), and IL-10) linked to sepsis [ 62 ].”  [PMC11278452 ¶16]</w:t>
      </w:r>
    </w:p>
    <w:p>
      <w:pPr>
        <w:spacing w:after="120"/>
        <w:jc w:val="both"/>
      </w:pPr>
      <w:r>
        <w:rPr>
          <w:rFonts w:ascii="Times New Roman" w:hAnsi="Times New Roman" w:cs="Times New Roman" w:eastAsia="Times New Roman"/>
          <w:b w:val="0"/>
          <w:i w:val="0"/>
          <w:sz w:val="24"/>
        </w:rPr>
        <w:t>“These processes are critical in the development of cardiovascular diseases (CVDs) such as atherosclerosis, hypertension and ischemia/reperfusion injury (IRI). Reduced nitric oxide (NO) production and increased oxidative stress are key contributors to ED. Aging further exacerbates ED through mitochondrial dysfunction and increased oxidative/nitrosative stress, heightening CVD risk. Antioxidant systems like superoxide-dismutase (SOD), glutathione-peroxidase (GPx), and thioredoxin/thioredoxin-reductase (Trx/TXNRD) pathways protect against oxidative stress. However, their reduced activity promotes ED, atherosclerosis, and vulnerability to IRI. Metabolic syndrome, comprising insulin resistance, obesity, and hypertension, is often accompanied by ED. Specifically, hyperglycemia worsens endothelial damage by promoting oxidative stress and inflammation. Obesity leads to chronic inflammation and changes in perivascular adipose tissue, while hypertension is associated with an increase in oxidative stress.”  [PMC11939635 ¶2]</w:t>
      </w:r>
    </w:p>
    <w:p>
      <w:pPr>
        <w:spacing w:after="120"/>
        <w:jc w:val="both"/>
      </w:pPr>
      <w:r>
        <w:rPr>
          <w:rFonts w:ascii="Times New Roman" w:hAnsi="Times New Roman" w:cs="Times New Roman" w:eastAsia="Times New Roman"/>
          <w:b w:val="0"/>
          <w:i w:val="0"/>
          <w:sz w:val="24"/>
        </w:rPr>
        <w:t>“Aging exacerbates ED by increasing oxidative stress, mitochondrial damage, and inflammation, which further contribute to vascular remodeling, thrombosis, and the progression of CVDs such as hypertension and atherosclerosis. Reduced NO production and elevated ROS/RNS formation exacerbate endothelial damage, while changes in endothelial function, including altered EDHF signaling, increase the risk of CVDs and worsen vascular health. Addressing the ROS/RNS imbalance may not be sufficient, but it is critical to limit ED and its associated pathologies. Impaired Antioxidant Defense Vascular tissue contains several antioxidant systems, such as catalase, superoxide dismutase (SOD), glutathione peroxidase (GPx) and the thioredoxin (Trx)/selenoprotein thioredoxin reductase (TXNRD) [ 54 , 68 , 69 ]. Reduced activity of these systems leads to increased ROS production by oxidizing enzymes, which contributes to ED [ 68 , 69 , 70 , 71 ].”  [PMC11939635 ¶26]</w:t>
      </w:r>
    </w:p>
    <w:p>
      <w:pPr>
        <w:spacing w:after="120"/>
        <w:jc w:val="both"/>
      </w:pPr>
      <w:r>
        <w:rPr>
          <w:rFonts w:ascii="Times New Roman" w:hAnsi="Times New Roman" w:cs="Times New Roman" w:eastAsia="Times New Roman"/>
          <w:b w:val="0"/>
          <w:i w:val="0"/>
          <w:sz w:val="24"/>
        </w:rPr>
        <w:t>“For instance, in endothelial cells, SOD1 inhibition elevated O 2 \u2022\u2212 levels and impaired fibroblast growth factor-2 and VEGF-induced extracellular signal\u2013regulated kinases phosphorylation, thereby suppressing angiogenesis [ 71 , 72 ]. In animal models with SOD2 deficiency, vascular impairment has been observed in atherosclerosis and persistent pulmonary hypertension models [ 72 , 73 , 74 ]. Additionally, the lack of an antioxidative enzyme like GPx-1 accelerates and alters the progression of atherosclerotic lesions, particularly in ApoE \u2212/\u2212 mice, emphasizing the significant role of oxidative stress in the pathophysiology of atherosclerosis [ 60 ]. GPx is involved in both the conversion of H 2 O 2 into water and molecular oxygen, as well as the reduction of lipid peroxides into alcohols [ 74 ]. GPx-1 deficiencies also have deleterious effects in atherosclerosis. Low levels of this enzyme are correlated with reduced bioactive NO, which is essential for maintaining vascular health.”  [PMC11939635 ¶27]</w:t>
      </w:r>
    </w:p>
    <w:p>
      <w:pPr>
        <w:jc w:val="center"/>
      </w:pPr>
      <w:r>
        <w:drawing>
          <wp:inline xmlns:a="http://schemas.openxmlformats.org/drawingml/2006/main" xmlns:pic="http://schemas.openxmlformats.org/drawingml/2006/picture">
            <wp:extent cx="5029200" cy="2916365"/>
            <wp:docPr id="173" name="Picture 173"/>
            <wp:cNvGraphicFramePr>
              <a:graphicFrameLocks noChangeAspect="1"/>
            </wp:cNvGraphicFramePr>
            <a:graphic>
              <a:graphicData uri="http://schemas.openxmlformats.org/drawingml/2006/picture">
                <pic:pic>
                  <pic:nvPicPr>
                    <pic:cNvPr id="0" name="p11_i1.jpg"/>
                    <pic:cNvPicPr/>
                  </pic:nvPicPr>
                  <pic:blipFill>
                    <a:blip r:embed="rId16"/>
                    <a:stretch>
                      <a:fillRect/>
                    </a:stretch>
                  </pic:blipFill>
                  <pic:spPr>
                    <a:xfrm>
                      <a:off x="0" y="0"/>
                      <a:ext cx="5029200" cy="2916365"/>
                    </a:xfrm>
                    <a:prstGeom prst="rect"/>
                  </pic:spPr>
                </pic:pic>
              </a:graphicData>
            </a:graphic>
          </wp:inline>
        </w:drawing>
      </w:r>
    </w:p>
    <w:p>
      <w:pPr>
        <w:spacing w:after="160"/>
        <w:jc w:val="center"/>
      </w:pPr>
      <w:r>
        <w:rPr>
          <w:rFonts w:ascii="Times New Roman" w:hAnsi="Times New Roman" w:cs="Times New Roman" w:eastAsia="Times New Roman"/>
          <w:b w:val="0"/>
          <w:i/>
          <w:sz w:val="20"/>
        </w:rPr>
        <w:t>Figure 1 (from PMC11939635): “Key molecular mechanisms linking endothelial dysfunction, NLRP3 inflammasome, and cardiovascular diseases (CVDs). Schematic illustration of the pathways and factors contributing to endothelial dysfunction and the progression of CVDs. The activation of the NLRP3 inflammasome by PAMPs, DAMPs, and hemodynamic alterations triggers the production of inflammatory ”</w:t>
      </w:r>
    </w:p>
    <w:p>
      <w:pPr>
        <w:spacing w:after="120"/>
        <w:jc w:val="both"/>
      </w:pPr>
      <w:r>
        <w:rPr>
          <w:rFonts w:ascii="Times New Roman" w:hAnsi="Times New Roman" w:cs="Times New Roman" w:eastAsia="Times New Roman"/>
          <w:b w:val="0"/>
          <w:i w:val="0"/>
          <w:sz w:val="24"/>
        </w:rPr>
        <w:t>“GPx-1 deficiency is directly related to the development of ED, inflammation and neointimal formation, suggesting a role of ROS in altering the amount and function of NO [ 74 , 75 ]. A beneficial role is ascribed to selenium; indeed, its intake directly regulates GPX1 expression and levels, with selenium supplementation reducing susceptibility to CVDs, while selenium deficiency increases the risk of CVDs [ 76 , 77 ]. GPX1 is a selenoprotein negatively affected by homocysteinemia, leading to oxidative stress, reduced NO bioavailability, and ED. Elevated homocysteine levels lead to reduced expression and activity of GPX1, resulting in increased ROS accumulation and endothelial damage. Conversely, GPX1 overexpression can restore vascular function, emphasizing its crucial role in mitigating hyperhomocysteinemia-induced dysfunction [ 78 , 79 , 80 ]. Furthermore, the Trx/TXNRD system is implicated in ED protection, linked to homocysteine-induced oxidative stress and atherogenesis.”  [PMC11939635 ¶28]</w:t>
      </w:r>
    </w:p>
    <w:p>
      <w:pPr>
        <w:spacing w:after="120"/>
        <w:jc w:val="both"/>
      </w:pPr>
      <w:r>
        <w:rPr>
          <w:rFonts w:ascii="Times New Roman" w:hAnsi="Times New Roman" w:cs="Times New Roman" w:eastAsia="Times New Roman"/>
          <w:b w:val="0"/>
          <w:i w:val="0"/>
          <w:sz w:val="24"/>
        </w:rPr>
        <w:t>“These last findings have been further confirmed by several authors, even in dysmetabolic mouse models. In fact, although SGLT2 is not the main glucose transporter in ECs, it has been observed that the reduction of oxidative stress by empagliflozin (EMPA), a selective inhibitor of SGLT2, improves the function of these cells, acting independently from its main pharmacological function [ 86 , 87 , 88 , 89 ]. The molecular pathway induced by EMPA involved Sestrin2/adenosine monophosphate-activated protein kinase (AMPK), increased phosphorylation of eNOS at Ser 1177 , and mechanistic target of rapamycin (mTOR) activation. In obese Sestrin2 knockout mice, these pathways are partially attenuated. The antioxidant action of EMPA seems to be mediated by Nrf2/HO-1, also suggesting an anti-inflammatory activity [ 89 ]. In apparent contrast to eNOS phosphorylation at Ser 1177 , this study found that EMPA inhibited Akt [ 89 ], which typically drives Ser 1177 eNOS phosphorylation.”  [PMC11939635 ¶31]</w:t>
      </w:r>
    </w:p>
    <w:p>
      <w:pPr>
        <w:spacing w:after="120"/>
        <w:jc w:val="both"/>
      </w:pPr>
      <w:r>
        <w:rPr>
          <w:rFonts w:ascii="Times New Roman" w:hAnsi="Times New Roman" w:cs="Times New Roman" w:eastAsia="Times New Roman"/>
          <w:b w:val="0"/>
          <w:i w:val="0"/>
          <w:sz w:val="24"/>
        </w:rPr>
        <w:t>“Nevertheless, Sun et al. [ 89 ] observed AMPK activation, and since AMPK can also phosphorylate eNOS at Ser 1177 [ 90 , 91 ], it is likely that, in the conditions considered by the authors [ 89 ], AMPK mediates Ser 1177 eNOS phosphorylation. The importance of abating redox stress is evidenced by the proposed treatment with antioxidant factors at multi-level intervention strategies, as extensively reviewed elsewhere [ 36 , 37 , 38 , 39 , 40 , 92 ]. One example is the observation that N-acetyl-L-cysteine (NAC) prevents these detrimental changes during calcific aortic valve stenosis in human valve endothelial cells, where oxidative stress and the accumulation of oxidation-induced protein S-glutathionylation drive a dysfunctional shift that promotes calcification. In summary , vascular tissue contains antioxidant systems like SOD, catalase, GPx, and Trx/TXNRD, which protect against oxidative stress.”  [PMC11939635 ¶32]</w:t>
      </w:r>
    </w:p>
    <w:p>
      <w:pPr>
        <w:jc w:val="center"/>
      </w:pPr>
      <w:r>
        <w:drawing>
          <wp:inline xmlns:a="http://schemas.openxmlformats.org/drawingml/2006/main" xmlns:pic="http://schemas.openxmlformats.org/drawingml/2006/picture">
            <wp:extent cx="5029200" cy="2478960"/>
            <wp:docPr id="174" name="Picture 174"/>
            <wp:cNvGraphicFramePr>
              <a:graphicFrameLocks noChangeAspect="1"/>
            </wp:cNvGraphicFramePr>
            <a:graphic>
              <a:graphicData uri="http://schemas.openxmlformats.org/drawingml/2006/picture">
                <pic:pic>
                  <pic:nvPicPr>
                    <pic:cNvPr id="0" name="p06_i1.jpg"/>
                    <pic:cNvPicPr/>
                  </pic:nvPicPr>
                  <pic:blipFill>
                    <a:blip r:embed="rId33"/>
                    <a:stretch>
                      <a:fillRect/>
                    </a:stretch>
                  </pic:blipFill>
                  <pic:spPr>
                    <a:xfrm>
                      <a:off x="0" y="0"/>
                      <a:ext cx="5029200" cy="2478960"/>
                    </a:xfrm>
                    <a:prstGeom prst="rect"/>
                  </pic:spPr>
                </pic:pic>
              </a:graphicData>
            </a:graphic>
          </wp:inline>
        </w:drawing>
      </w:r>
    </w:p>
    <w:p>
      <w:pPr>
        <w:spacing w:after="160"/>
        <w:jc w:val="center"/>
      </w:pPr>
      <w:r>
        <w:rPr>
          <w:rFonts w:ascii="Times New Roman" w:hAnsi="Times New Roman" w:cs="Times New Roman" w:eastAsia="Times New Roman"/>
          <w:b w:val="0"/>
          <w:i/>
          <w:sz w:val="20"/>
        </w:rPr>
        <w:t>Figure 2 (from PMC11939635): “Adequate NO production supports redox balance, vasodilation, and vascular homeostasis. In contrast, endothelial dysfunction and reduced NO levels lead to redox imbalance, favoring ROS/RNS-mediated inflammation and fibrosis, with O 2 •− , ONOO − and NLRP3 playing key roles (See also Figure 2 ). Double-headed lines indicate inhibition, while simple arrows indi”</w:t>
      </w:r>
    </w:p>
    <w:p>
      <w:pPr>
        <w:spacing w:after="120"/>
        <w:jc w:val="both"/>
      </w:pPr>
      <w:r>
        <w:rPr>
          <w:rFonts w:ascii="Times New Roman" w:hAnsi="Times New Roman" w:cs="Times New Roman" w:eastAsia="Times New Roman"/>
          <w:b w:val="0"/>
          <w:i w:val="0"/>
          <w:sz w:val="24"/>
        </w:rPr>
        <w:t>“We propose that CaSR may be an important nexus for the interaction of glutathione and Ca and that the lesser known of these three compounds, CySSG, may have physiological roles in regulating CaSR activity through its receptor-binding activity. 1.1. GSH Synthesis and Relationship to GSH-Derivatives GSH is a tripeptide (gamma-glutamyl-cysteinyl-glycine) made by non-ribosomal mechanisms. The rate-limiting enzyme in GSH synthesis is glutamate-cysteine ligase (GCL, EC 6.3.2.2), whose activity is limited by the amount of enzyme and the availability of cysteine. Glutathione synthase (GSS) couples glycine to the resultant gamma-glu-cys to make GSH. GSH reacts with oxidants via glutathione peroxidase (GPx) to form GSSG, form GS- adducts with various electrophiles (these are often toxicants that are thereby detoxified) via glustathione-S-transferases (GSTs), or glutathionylates proteins through reactions mediated by glutaredoxins and thioredoxins.”  [PMC8776003 ¶5]</w:t>
      </w:r>
    </w:p>
    <w:p>
      <w:pPr>
        <w:spacing w:after="120"/>
        <w:jc w:val="both"/>
      </w:pPr>
      <w:r>
        <w:rPr>
          <w:rFonts w:ascii="Times New Roman" w:hAnsi="Times New Roman" w:cs="Times New Roman" w:eastAsia="Times New Roman"/>
          <w:b w:val="0"/>
          <w:i w:val="0"/>
          <w:sz w:val="24"/>
        </w:rPr>
        <w:t>“Coordinate regulation of gene transcription for GCLC, GSS, and other glutathione-regulating genes is mediated by Nrf2, an activator of antioxidant response elements in their 5\u2032-flanking promoter regions [ 61 , 62 ]. In human keratinocytes, activation of Nrf2 by arsenite was reduced by depleting cells of Ca in Ca-free media [ 63 ]. Ca-calmodulin inhibition of CK2 kinase activity mediates the response, i.e., low Ca results in higher CK2 activity, which phosphorylates Nrf2, making it more vulnerable to degradation. A treatment that reduced UV-radiation damage in lens tissue decreased the expression of CaSR at the same time that markers of oxidative stress (SOD and \u201cT-AOC,\u201d said to measure total antioxidant content, but is not a direct measurement of glutathione) were increased [ 64 ]. Changes in glutathione metabolism in liver cells are particularly significant as the liver is the major source of circulating glutathione [ 65 ].”  [PMC8776003 ¶18]</w:t>
      </w:r>
    </w:p>
    <w:p>
      <w:pPr>
        <w:spacing w:after="120"/>
        <w:jc w:val="both"/>
      </w:pPr>
      <w:r>
        <w:rPr>
          <w:rFonts w:ascii="Times New Roman" w:hAnsi="Times New Roman" w:cs="Times New Roman" w:eastAsia="Times New Roman"/>
          <w:b w:val="0"/>
          <w:i w:val="0"/>
          <w:sz w:val="24"/>
        </w:rPr>
        <w:t>“HIV/AIDS is accompanied hypercalciuria and osteopenia [ 75 , 76 ] and, as already reviewed ( Figure 2 ), changes in plasma levels of GSH and its oxidized derivatives also occur in HIV/AIDS [ 15 ]. With respect to heart disease, mutations in promotor regions of subunits of glutamate-cysteine ligase (GCL, the rate-limiting enzyme for GSH synthesis) are associated with increased risk for myocardial infarction [ 77 ], which could be related to GSH-potentiation of endothelial nitric oxide release [ 78 ] and the extracellular calcium receptor (CaSR) in cardiac microvascular endothelial cells [ 79 ]. With regard to osteoporosis, osteoclasts and osteoblasts have CaSR (reviewed in [ 80 ]), and osteoporosis is associated with changes in glutathione-associated enzymes [ 81 , 82 ]. A proposed mediator for some forms of pulmonary hypertension is CaSR in pulmonary vasculature [ 83 ]. Pulmonary hypertension is also accompanied by changes in plasma glutathionergics which have been suggested as targets for treatment [ 84 ].”  [PMC8776003 ¶25]</w:t>
      </w:r>
    </w:p>
    <w:p>
      <w:pPr>
        <w:jc w:val="center"/>
      </w:pPr>
      <w:r>
        <w:drawing>
          <wp:inline xmlns:a="http://schemas.openxmlformats.org/drawingml/2006/main" xmlns:pic="http://schemas.openxmlformats.org/drawingml/2006/picture">
            <wp:extent cx="5029200" cy="2282000"/>
            <wp:docPr id="175" name="Picture 175"/>
            <wp:cNvGraphicFramePr>
              <a:graphicFrameLocks noChangeAspect="1"/>
            </wp:cNvGraphicFramePr>
            <a:graphic>
              <a:graphicData uri="http://schemas.openxmlformats.org/drawingml/2006/picture">
                <pic:pic>
                  <pic:nvPicPr>
                    <pic:cNvPr id="0" name="p06_i1.jpg"/>
                    <pic:cNvPicPr/>
                  </pic:nvPicPr>
                  <pic:blipFill>
                    <a:blip r:embed="rId46"/>
                    <a:stretch>
                      <a:fillRect/>
                    </a:stretch>
                  </pic:blipFill>
                  <pic:spPr>
                    <a:xfrm>
                      <a:off x="0" y="0"/>
                      <a:ext cx="5029200" cy="2282000"/>
                    </a:xfrm>
                    <a:prstGeom prst="rect"/>
                  </pic:spPr>
                </pic:pic>
              </a:graphicData>
            </a:graphic>
          </wp:inline>
        </w:drawing>
      </w:r>
    </w:p>
    <w:p>
      <w:pPr>
        <w:spacing w:after="160"/>
        <w:jc w:val="center"/>
      </w:pPr>
      <w:r>
        <w:rPr>
          <w:rFonts w:ascii="Times New Roman" w:hAnsi="Times New Roman" w:cs="Times New Roman" w:eastAsia="Times New Roman"/>
          <w:b w:val="0"/>
          <w:i/>
          <w:sz w:val="20"/>
        </w:rPr>
        <w:t>Figure 1 (from PMC8776003): “Structures of glutathione (GSH), L-cysteine-glutathione disulfide (CySSG), glutathione disulfide (oxidized glutathione, GSSG), and cysteinyl glutathione (CysGSH). Models were drawn by Jmol, through an interface on Wikipedia (GSSG) or at http://biomodel.uah.es/en/DIY/JSME/draw.en.htm (GSH, CySSG, and CysGSH; accessed 10 and 11 August 2021), based on CID struc”</w:t>
      </w:r>
    </w:p>
    <w:p>
      <w:pPr>
        <w:spacing w:after="120"/>
        <w:jc w:val="both"/>
      </w:pPr>
      <w:r>
        <w:rPr>
          <w:rFonts w:ascii="Times New Roman" w:hAnsi="Times New Roman" w:cs="Times New Roman" w:eastAsia="Times New Roman"/>
          <w:b w:val="0"/>
          <w:i w:val="0"/>
          <w:sz w:val="24"/>
        </w:rPr>
        <w:t>“Pharmacol.", "doi": "10.1124/mol.115.098392", "pmid": "26290606" }, { "title": "Molecular Basis of the Extracellular Ligands Mediated Signaling by the Calcium Sensing Receptor", "year": "2016", "source": "Front. Physiol.", "doi": "10.3389/fphys.2016.00441", "pmid": "27746744", "pmcid": "PMC5043022" }, { "title": "SwissDock, a protein-small molecule docking web service based on EADock DSS", "year": "2011", "source": "Nucleic Acids Res.", "doi": "10.1093/nar/gkr366", "pmid": "21624888", "pmcid": "PMC3125772" }, { "title": "UCSF Chimera: A visualization system for exploratory research and analysis", "year": "2004", "source": "J. Comput. Chem.", "doi": "10.1002/jcc.20084", "pmid": "15264254" }, { "title": "Open Babel: An open chemical toolbox", "year": "2011", "source": "J. Cheminform.", "doi": "10.1186/1758-2946-3-33", "pmid": "21982300", "pmcid": "PMC3198950" }, { "title": "The Protein Data Bank", "year": "2000", "source": "Nucleic Acids Res.", "doi": "10.1093/nar/28.1.235", "pmid": "10592235", "pmcid": "PMC102472" }, { "title": "Involvement of calcium ion in elevation of mRNA for gamma-glutamylcysteine synthetase (gamma-GCS) induced by low-dose gamma-rays", "year": "2000", "source": "Int.”  [PMC8776003 ¶42]</w:t>
      </w:r>
    </w:p>
    <w:p>
      <w:pPr>
        <w:spacing w:after="120"/>
        <w:jc w:val="both"/>
      </w:pPr>
      <w:r>
        <w:rPr>
          <w:rFonts w:ascii="Times New Roman" w:hAnsi="Times New Roman" w:cs="Times New Roman" w:eastAsia="Times New Roman"/>
          <w:b w:val="0"/>
          <w:i w:val="0"/>
          <w:sz w:val="24"/>
        </w:rPr>
        <w:t>“J. Radiat. Biol.", "doi": "10.1080/09553000050201127", "pmid": "11133045" }, { "title": "Activation of Nrf2-mediated oxidative stress response in macrophages by hypochlorous acid", "year": "2008", "source": "Toxicol. Appl. Pharmacol.", "doi": "10.1016/j.taap.2007.09.016", "pmid": "17980396" }, { "title": "Pi class glutathione S-transferase genes are regulated by Nrf 2 through an evolutionarily conserved regulatory element in zebrafish", "year": "2005", "source": "Biochem. J.", "doi": "10.1042/BJ20041860", "pmid": "15654768", "pmcid": "PMC1186694" }, { "title": "Molecular mechanism of human Nrf2 activation and degradation: Role of sequential phosphorylation by protein kinase CK2", "year": "2007", "source": "Free Radic. Biol. Med.", "doi": "10.1016/j.freeradbiomed.2007.03.001", "pmid": "17512459", "pmcid": "PMC1950666" }, { "title": "Inhibition of Cartilage Acidic Protein 1 Reduces Ultraviolet B Irradiation Induced-Apoptosis through P38 Mitogen-Activated Protein Kinase and Jun Amino-Terminal Kinase Pathways", "year": "2016", "source": "Cell.”  [PMC8776003 ¶43]</w:t>
      </w:r>
    </w:p>
    <w:p>
      <w:pPr>
        <w:spacing w:after="120"/>
        <w:jc w:val="both"/>
      </w:pPr>
      <w:r>
        <w:rPr>
          <w:rFonts w:ascii="Times New Roman" w:hAnsi="Times New Roman" w:cs="Times New Roman" w:eastAsia="Times New Roman"/>
          <w:b w:val="0"/>
          <w:i w:val="0"/>
          <w:sz w:val="24"/>
        </w:rPr>
        <w:t>“With the introduction of the mouse model of APAP hepatotoxicity in the 1970s, fundamental mechanisms of cell death were discovered. This included the recognition that part of the APAP dose is metabolized by cytochrome P450 generating a reactive metabolite that is detoxified by glutathione. After the partial depletion of glutathione, the reactive metabolite will covalently bind to sulfhydryl groups of proteins, which is the initiating event of the toxicity. This insight led to the introduction of N-acetyl-L-cysteine, a glutathione precursor, as antidote against APAP overdose in the clinic. Despite substantial progress in our understanding of the pathomechanisms over the last decades viable new antidotes only emerged recently. This review will discuss the background, mechanisms of action, and the clinical prospects of the existing FDA-approved antidote N-acetylcysteine, of several new drug candidates under clinical development [4-methylpyrazole (fomepizole), calmangafodipir] and examples of additional therapeutic targets (Nrf2 activators) and regeneration promoting agents (thrombopoietin mimetics, adenosine A2B receptor agonists, Wharton\u2019s Jelly mesenchymal stem cells).”  [PMC11315809 ¶1]</w:t>
      </w:r>
    </w:p>
    <w:p>
      <w:pPr>
        <w:spacing w:after="120"/>
        <w:jc w:val="both"/>
      </w:pPr>
      <w:r>
        <w:rPr>
          <w:rFonts w:ascii="Times New Roman" w:hAnsi="Times New Roman" w:cs="Times New Roman" w:eastAsia="Times New Roman"/>
          <w:b w:val="0"/>
          <w:i w:val="0"/>
          <w:sz w:val="24"/>
        </w:rPr>
        <w:t>“This may need to be considered for the planned treatment regimen in APAP overdose patients. 3.4 Nrf2 activators Nuclear factor erythroid 2\u2013related factor 2 (Nrf2) is a transcription factor bound to Kelch-like erythroid cell-derived protein with CNC homology-associated protein 1 (Keap 1) in the cytosol [ 92 ]. Upon cellular stress such as oxidant stress or formation of reactive metabolites, Keap1 is oxidized, leading to liberation of Nrf2, which is then able to move into the nucleus, where it binds to a DNA sequence named antioxidant response element (ARE) and induces transcription of several genes mostly related to cellular defense mechanisms. Target genes of Nrf2 include glutathione S-transferase, NAD(P)H: quinone oxidoreductase 1 (Nqo1), glutamate-cysteine ligase catalytic subunit (Gclc) and regulatory subunit (Gclm), both of which regulate GSH synthesis, UDP-glucuronosyltransferase A6, which catalyzes the glucuronidation of APAP, and the multidrug resistance-associated protein 3 (Mrp3), which facilitates the basolateral excretion of APAP metabolites [ 93 ].”  [PMC11315809 ¶30]</w:t>
      </w:r>
    </w:p>
    <w:p>
      <w:pPr>
        <w:spacing w:after="120"/>
        <w:jc w:val="both"/>
      </w:pPr>
      <w:r>
        <w:rPr>
          <w:rFonts w:ascii="Times New Roman" w:hAnsi="Times New Roman" w:cs="Times New Roman" w:eastAsia="Times New Roman"/>
          <w:b w:val="0"/>
          <w:i w:val="0"/>
          <w:sz w:val="24"/>
        </w:rPr>
        <w:t>“In addition, Nrf2 induces antioxidant enzymes including thioredoxin, peroxiredoxin, superoxide dismutase and glutathione peroxidase, as well as stress response proteins such as heme oxygenase and metal-binding proteins such as ferritin and metallothionein [ 93 ]. Thus, Nrf2 activation, in general, can be considered an adaptive response to stress that broadly improves the capacity of the cell to handle exogenous or endogenous insults. Given these effects of Nrf2 activation, it is not surprising that APAP overdose with its electrophilic metabolite formation and the generation of an oxidant stress can trigger Nrf2 activation in mouse livers [ 95 , 96 ]. The induction of most Nrf2 target genes has been associated with reduced APAP hepatotoxicity [ 11 , 12 , 96 ]. Consequently, a Nrf2-deficient mouse is much more susceptible to APAP overdose compared to a wildtype animal due to the limited capacity to adapt to the oxidant stress [ 94 , 95 ].”  [PMC11315809 ¶31]</w:t>
      </w:r>
    </w:p>
    <w:p>
      <w:pPr>
        <w:spacing w:after="120"/>
        <w:jc w:val="both"/>
      </w:pPr>
      <w:r>
        <w:rPr>
          <w:rFonts w:ascii="Times New Roman" w:hAnsi="Times New Roman" w:cs="Times New Roman" w:eastAsia="Times New Roman"/>
          <w:b w:val="0"/>
          <w:i w:val="0"/>
          <w:sz w:val="24"/>
        </w:rPr>
        <w:t>“In contrast, the permanent Nrf2 activation in Keap1-deficient mice makes the animals much more resistant to an APAP overdose compared to wildtype animals [ 97 ]. The enhanced and reduced APAP hepatotoxicity in Nrf2- and Keap-1-deficient mice, respectively, was attributed to reduced glucuronidation and Mrp3-dependent metabolite export, resulting in more reactive metabolite formation in Nrf2-deficient mice and opposite effects in Keap-1-deficient mice [ 98 ]. Consistent with these findings, it was shown that treatment with specific Nrf2 activators such as the triterpenoid, 2-cyano-3,12 dioxooleana-1,9 diene-28-imidazolide (CDDO-I) [ 99 ] and oleanolic acid [ 100 ] can effectively protect against APAP hepatotoxicity, although off-target effects such as metallothionein induction may also contribute to the hepatoprotection [ 100 ]. Importantly, chronic stress, e.g., in autophagy-deficient mice, can lead to chronic activation of Nrf2 with elevated hepatic GSH levels that make the animals less susceptible to an APAP overdose [ 101 ].”  [PMC11315809 ¶32]</w:t>
      </w:r>
    </w:p>
    <w:p>
      <w:pPr>
        <w:spacing w:after="120"/>
        <w:jc w:val="both"/>
      </w:pPr>
      <w:r>
        <w:rPr>
          <w:rFonts w:ascii="Times New Roman" w:hAnsi="Times New Roman" w:cs="Times New Roman" w:eastAsia="Times New Roman"/>
          <w:b w:val="0"/>
          <w:i w:val="0"/>
          <w:sz w:val="24"/>
        </w:rPr>
        <w:t>“Therefore, activation of Nrf2 and its target genes may be an important therapeutic approach to limit APAP hepatotoxicity. Hence, many natural products are considered Nrf2 activators, and it was concluded that this mechanism was responsible for the protective effect observed with many of these compounds in the APAP overdose model [ 17 \u2013 20 ]. Although the potential of Nrf2 activators to protect against APAP toxicity are undisputed ( Figure 1 ), there are caveats that need to be considered when proposing Nrf2 activators as antidotes against APAP hepatotoxicity [ 102 ]. First, a compound needs to generate sufficient stress in the cell to activate Nrf2, which, after translocation to the nucleus, will induce gene activation through promotion of gene transcription. However, not all genes are upregulated at the same time [ 99 ]. After a single dose of CDDO-I mRNA levels of Ho-1, Gclc and Nqo1 peaked at 6, 12, and 24 h, respectively, in mouse livers [ 99 ].”  [PMC11315809 ¶33]</w:t>
      </w:r>
    </w:p>
    <w:p>
      <w:pPr>
        <w:spacing w:after="120"/>
        <w:jc w:val="both"/>
      </w:pPr>
      <w:r>
        <w:rPr>
          <w:rFonts w:ascii="Times New Roman" w:hAnsi="Times New Roman" w:cs="Times New Roman" w:eastAsia="Times New Roman"/>
          <w:b w:val="0"/>
          <w:i w:val="0"/>
          <w:sz w:val="24"/>
        </w:rPr>
        <w:t>“Thus, this process not only takes more time than a direct-acting antidote such as fomepizole, but individual genes have their own time-dependent induction schedule which does not guarantee that the most relevant defense genes for a particular stress are upregulated on time. Second, because Nrf2 activation requires triggering a cellular stress, the activating agent has the potential to produce detrimental effects in the presence of APAP toxicity. This may be the reason why most Nrf2 activators are being used as a pretreatment for several days where the cellular stress does not cause harm in healthy cells. However, because APAP overdose by itself causes Nrf2 activation [ 94 , 95 ], the proposed antidote will have to trigger additional Nrf2 activation that makes a difference on top of the already extensive stress caused by APAP alone. This requirement, in addition to the time delay of effects, may make Nrf2 activation less effective than the currently used antidotes NAC and, potentially, fomepizole.”  [PMC11315809 ¶34]</w:t>
      </w:r>
    </w:p>
    <w:p>
      <w:pPr>
        <w:keepNext/>
        <w:spacing w:before="280" w:after="80"/>
        <w:outlineLvl w:val="1"/>
      </w:pPr>
      <w:r>
        <w:rPr>
          <w:rFonts w:ascii="Times New Roman" w:hAnsi="Times New Roman" w:cs="Times New Roman" w:eastAsia="Times New Roman"/>
          <w:b/>
          <w:i w:val="0"/>
          <w:color w:val="335588"/>
          <w:sz w:val="28"/>
        </w:rPr>
        <w:t>12.4  Oxidative-stress endpoints — MDA, 8-OHdG, 4-HNE, protein carbonyls</w:t>
      </w:r>
    </w:p>
    <w:p>
      <w:pPr>
        <w:spacing w:after="120"/>
        <w:jc w:val="both"/>
      </w:pPr>
      <w:r>
        <w:rPr>
          <w:rFonts w:ascii="Times New Roman" w:hAnsi="Times New Roman" w:cs="Times New Roman" w:eastAsia="Times New Roman"/>
          <w:b w:val="0"/>
          <w:i w:val="0"/>
          <w:sz w:val="24"/>
        </w:rPr>
        <w:t>“DAO activity is a marker of intestinal mucosal maturation and integrity, as well as of mucosal injury and recovery, whereas plasma DAO provides an indication of the extent of mucosal injury. As such, it is evident that NAC is also capable of supporting mucosal barrier function under inflammatory conditions. As an antioxidant agent, NAC can also attenuate the adverse effects of intestinal oxidative stress caused by LPS. For example, Hao et al. (2021) also showed that dietary supplementation of NAC increased the activity of the endogenous antioxidants superoxide dismutase (SOD), catalase (CAT), and glutathione peroxidase (GSH-Px), ultimately enhancing the antioxidative capacity of the jejunal mucosa, where a significant decrease in malondialdehyde (MDA; biomarker of oxidative stress), H 2 O 2 , and O 2 \u2022\u2212 content were observed, along with increased content of GSH [ 92 ]. 10.1. Swine Weaning Disorders Early weaning stress is associated with both the generation of oxidative stress and changes in the gut microflora of piglets [ 93 ].”  [PMC10604897 ¶43]</w:t>
      </w:r>
    </w:p>
    <w:p>
      <w:pPr>
        <w:spacing w:after="120"/>
        <w:jc w:val="both"/>
      </w:pPr>
      <w:r>
        <w:rPr>
          <w:rFonts w:ascii="Times New Roman" w:hAnsi="Times New Roman" w:cs="Times New Roman" w:eastAsia="Times New Roman"/>
          <w:b w:val="0"/>
          <w:i w:val="0"/>
          <w:sz w:val="24"/>
        </w:rPr>
        <w:t>“E. coli , an opportunistic enteric pathogen, is known to colonize the intestinal brush border and secrete enterotoxins that impair intestinal functions resulting in diarrhea [ 93 ]. The ability of pathogenic bacteria to utilize nutrients unusable to commensal bacteria further compounds pathogen overgrowth, intestinal inflammation, and post-weaning diarrhea [ 94 ]. NAC is known to protect cells against oxidative stress and suppress gut tissue damage [ 96 ]. In a study conducted by Xu et al. (2014), it was found that providing NAC in diets at a concentration of 500 mg/kg to weaned piglets led to a reduction of intestinal lipid peroxidation and ROS levels, while simultaneously restoring the activity level of endogenous antioxidant enzymes close to that of the normal suckling control group [ 93 ]. The reduction of ROS levels and increased activity of antioxidant enzymes observed in the Xu et al. study was thought to be attributed to improved gut redox status and diminished oxidative stress resulting from NAC\u2019s direct and indirect antioxidant activities [ 93 ].”  [PMC10604897 ¶45]</w:t>
      </w:r>
    </w:p>
    <w:p>
      <w:pPr>
        <w:spacing w:after="120"/>
        <w:jc w:val="both"/>
      </w:pPr>
      <w:r>
        <w:rPr>
          <w:rFonts w:ascii="Times New Roman" w:hAnsi="Times New Roman" w:cs="Times New Roman" w:eastAsia="Times New Roman"/>
          <w:b w:val="0"/>
          <w:i w:val="0"/>
          <w:sz w:val="24"/>
        </w:rPr>
        <w:t>“Furthermore, these authors also demonstrated that the NAC-containing diet altered the composition of the gut microbiota, where beneficial Lactobacillus and Bifodobacterium counts were increased, while E. coli counts were reduced. It appeared that Lactobacillus and Bifodobacterium counts are positively correlated with the activities of antioxidant enzymes and negatively correlated to MDA, H 2 O 2 , OH \u2022 , and NO in this study, whereas E. coli was positively correlated with ROS and negatively correlated wi”  [PMC10604897 ¶46]</w:t>
      </w:r>
    </w:p>
    <w:p>
      <w:pPr>
        <w:jc w:val="center"/>
      </w:pPr>
      <w:r>
        <w:drawing>
          <wp:inline xmlns:a="http://schemas.openxmlformats.org/drawingml/2006/main" xmlns:pic="http://schemas.openxmlformats.org/drawingml/2006/picture">
            <wp:extent cx="5029200" cy="2300859"/>
            <wp:docPr id="176" name="Picture 176"/>
            <wp:cNvGraphicFramePr>
              <a:graphicFrameLocks noChangeAspect="1"/>
            </wp:cNvGraphicFramePr>
            <a:graphic>
              <a:graphicData uri="http://schemas.openxmlformats.org/drawingml/2006/picture">
                <pic:pic>
                  <pic:nvPicPr>
                    <pic:cNvPr id="0" name="p21_i1.jpg"/>
                    <pic:cNvPicPr/>
                  </pic:nvPicPr>
                  <pic:blipFill>
                    <a:blip r:embed="rId12"/>
                    <a:stretch>
                      <a:fillRect/>
                    </a:stretch>
                  </pic:blipFill>
                  <pic:spPr>
                    <a:xfrm>
                      <a:off x="0" y="0"/>
                      <a:ext cx="5029200" cy="2300859"/>
                    </a:xfrm>
                    <a:prstGeom prst="rect"/>
                  </pic:spPr>
                </pic:pic>
              </a:graphicData>
            </a:graphic>
          </wp:inline>
        </w:drawing>
      </w:r>
    </w:p>
    <w:p>
      <w:pPr>
        <w:spacing w:after="160"/>
        <w:jc w:val="center"/>
      </w:pPr>
      <w:r>
        <w:rPr>
          <w:rFonts w:ascii="Times New Roman" w:hAnsi="Times New Roman" w:cs="Times New Roman" w:eastAsia="Times New Roman"/>
          <w:b w:val="0"/>
          <w:i/>
          <w:sz w:val="20"/>
        </w:rPr>
        <w:t>Figure 1 (from PMC10604897): “The three major narratives of NAC’s mechanisms of action.</w:t>
        <w:br/>
        <w:t xml:space="preserve">   graphic: `antioxidants-12-01867-g001.jpg`”</w:t>
      </w:r>
    </w:p>
    <w:p>
      <w:pPr>
        <w:spacing w:after="120"/>
        <w:jc w:val="both"/>
      </w:pPr>
      <w:r>
        <w:rPr>
          <w:rFonts w:ascii="Times New Roman" w:hAnsi="Times New Roman" w:cs="Times New Roman" w:eastAsia="Times New Roman"/>
          <w:b w:val="0"/>
          <w:i w:val="0"/>
          <w:sz w:val="24"/>
        </w:rPr>
        <w:t>“However, NAC also possesses the capability to directly engage with oxidants such as hydroxyl radical, hydrogen peroxide, and hypochloric acid [ 30 , 34 ]. The pharmacological characterization of NAC\u2019s anti-oxidant effect took place in the human ex vivo model of acute exacerbations of COPD (AECOPD) consisting of lipopolysaccharide (LPS)-stimulated human bronchi. In two different studies performed by Cazzola et al. [ 27 ] and Calzetta et al. [ 28 ], NAC led to a decrease in LPS-induced malondialdehyde, H 2 O 2 , peroxidase activity, and nitric oxide (NO) production at concentrations of 1\u201310 \u00b5M and 16\u201335 \u00b5M, respectively. Notably, there was also a normalization of GSH levels in the aforementioned two separate studies [ 27 , 28 ], with one study reporting increased superoxide dismutase (SOD) activity by approximately 150% compared to LPS-treated bronchi [ 27 ]. Currently, oxidative stress is recognized as a key predisposing factor in the development of COPD, with an imbalanced oxidant/anti-oxidant state particularly pronounced during AECOPD [ 43 ].”  [PMC11278452 ¶11]</w:t>
      </w:r>
    </w:p>
    <w:p>
      <w:pPr>
        <w:spacing w:after="120"/>
        <w:jc w:val="both"/>
      </w:pPr>
      <w:r>
        <w:rPr>
          <w:rFonts w:ascii="Times New Roman" w:hAnsi="Times New Roman" w:cs="Times New Roman" w:eastAsia="Times New Roman"/>
          <w:b w:val="0"/>
          <w:i w:val="0"/>
          <w:sz w:val="24"/>
        </w:rPr>
        <w:t>“Logistic regression analysis revealed that NAC\u2019s influence on NKA levels correlated positively with IL-6 levels and reduced H 2 O 2 , malondialdehyde, peroxidase activity, and NO levels in both studies [ 27 , 28 ]. Notably, the study by Calzetta et al. [ 28 ] revealed that even very low concentrations, mirroring plasma levels from oral administration at 200 mg/day, were effective against GSH, H 2 O 2 , peroxidase activity, and IL-6. This effect was comparable in magnitude to that obtained with higher doses, reproducing the plasma levels resulting from oral administration at 1200 mg/day and 600 mg/day [ 28 ]. These findings indicate that NAC can modulate the production of NKA, leading to a subsequent beneficial effect against the LPS-induced increase in IL-6 when administered across a spectrum of doses ( Figure 1 ). A detailed, well-fitted logistic regression analysis of the results obtained by Calzetta et al.”  [PMC11278452 ¶20]</w:t>
      </w:r>
    </w:p>
    <w:p>
      <w:pPr>
        <w:spacing w:after="120"/>
        <w:jc w:val="both"/>
      </w:pPr>
      <w:r>
        <w:rPr>
          <w:rFonts w:ascii="Times New Roman" w:hAnsi="Times New Roman" w:cs="Times New Roman" w:eastAsia="Times New Roman"/>
          <w:b w:val="0"/>
          <w:i w:val="0"/>
          <w:sz w:val="24"/>
        </w:rPr>
        <w:t>“Several studies have reported that natural compounds with antioxidant properties can fight reproductive threats, including L-carnitine [ 42 ], vitamin C/E [ 20 , 43 , 44 , 45 , 46 ], Lycopene [ 47 , 48 , 49 ], Melatonin [ 50 , 51 ] and Resveratrol [ 52 , 53 ], etc. This study mentioned that CYS is a sulfur-containing compound and is important for metabolic functions. N-Acetyl-l-cysteine (NAC) acts as cysteine metabolite and glutathione (GSH) precursor. In previous in vitro studies, NAC has been shown to regulate oxidant-induced cell damage by apoptosis [ 54 ]. In a Pulmonary fibrotic phenotype lung epithelial cell model, NAC eliminated fructose-induced mitochondrial ROS in A549 cells [ 55 ]. Then, administration of NAC also ameliorated LPS-induced inflammatory injury in in vivo and vitro models, reversing the change in HO-1 and NQO-1 mRNA levels, decreasing malondialdehyde (MDA) levels, and promoting antioxidant activities (CAT and SOD) in the lungs [ 56 ].”  [PMC11672833 ¶39]</w:t>
      </w:r>
    </w:p>
    <w:p>
      <w:pPr>
        <w:spacing w:after="120"/>
        <w:jc w:val="both"/>
      </w:pPr>
      <w:r>
        <w:rPr>
          <w:rFonts w:ascii="Times New Roman" w:hAnsi="Times New Roman" w:cs="Times New Roman" w:eastAsia="Times New Roman"/>
          <w:b w:val="0"/>
          <w:i w:val="0"/>
          <w:sz w:val="24"/>
        </w:rPr>
        <w:t>“Another cisplatin induction study suggests that pretreatment with NAC restored GSH and SOD levels and reduced the MDA concentration in HepG2 cells [ 57 ]. Moreover, 20 mM NAC significantly decreased the fluorescence intensity of mitochondrial ROS in cisplatin-induced inner hair cells [ 58 ]. In agreement with our studies, these results showed that NAC and CYS are effective free radical scavengers and reduce ROS production in cisplatin-induced cells. Previously, it has been reported that there are side effects of the ROS generated by the cisplatin drug, which indirectly depletes the concentration of reduced glutathione and promotes the imbalance of antioxidants. Further, it causes irreversible damage such as lipid oxidation and DNA repair failure and contributes to cytotoxicity and apoptosis. The research indicates that there are two main apoptotic pathways: the extrinsic or death receptor pathway and the intrinsic or mitochondrial pathway [ 59 ].”  [PMC11672833 ¶40]</w:t>
      </w:r>
    </w:p>
    <w:p>
      <w:pPr>
        <w:spacing w:after="120"/>
        <w:jc w:val="both"/>
      </w:pPr>
      <w:r>
        <w:rPr>
          <w:rFonts w:ascii="Times New Roman" w:hAnsi="Times New Roman" w:cs="Times New Roman" w:eastAsia="Times New Roman"/>
          <w:b w:val="0"/>
          <w:i w:val="0"/>
          <w:sz w:val="24"/>
        </w:rPr>
        <w:t>“## Figure captions (7) 1. **Fig. 1** — Oxidative stress induces LBP upregulation and LD translocation. a A schematic illustrating the research strategy adopted in this study. The image was created using materials supplied by Ge Pan from the Central Academy of Fine Arts, China, and illustrated by Qilun Zhang. The use of these materials has been authorized. b A multivariate bubble plot comparing changes in LD-localized protein and RNA ex graphic: `41467_2024_47553_Fig1_HTML.jpg` 2. **Fig. 2** — The localization of LBP to LDs drives hepatic steatosis. a Hepatic TG content of WT mice under NT, 24 h fasting, or LPS-treatment (5 mg/kg, i.p.) for 24 h. Shown are means ± s.d., one-way ANOVA ( n = 3, biologically independent). b Representative bright-field microscope image showing separated LDs from the same treatment as described in ( a ), scale bar = 10 μm. Experiments was conducted with thre graphic: `41467_2024_47553_Fig2_HTML.jpg` 3. **Fig. 3** — LBP binds with unsaturated TG to prevent against lipid peroxidation. a A pie chart showing the difference in lipid composition between WT ( n = 3) and LBP KI/KI ( n = 3) mice liver after 16 weeks of HFD. b Analysis of chain length of differential TGs in ( a ).”  [PMC11016120 ¶1]</w:t>
      </w:r>
    </w:p>
    <w:p>
      <w:pPr>
        <w:spacing w:after="120"/>
        <w:jc w:val="both"/>
      </w:pPr>
      <w:r>
        <w:rPr>
          <w:rFonts w:ascii="Times New Roman" w:hAnsi="Times New Roman" w:cs="Times New Roman" w:eastAsia="Times New Roman"/>
          <w:b w:val="0"/>
          <w:i w:val="0"/>
          <w:sz w:val="24"/>
        </w:rPr>
        <w:t>“Shown are means\u2009\u00b1\u2009s.d., two-tailed unpaired t -test ( n =\u20096, biologically independent). f Representative confocal imaging of LDs separation from liver in ( e ). Scale bar\u2009=\u200910\u2009\u03bcm. g Representative TEM images of control-APEX2 and LBP-APEX2 morphology, scale bar\u2009=\u2009500\u2009nm. Experiments repeated two times independently with similar results. LBP promotes long-chain unsaturated triglyceride accumulation in LDs To investigate the mechanisms underlying steatosis associated with LBP, we conducted lipidomics analysis on liver tissues from LBP KI/KI mice following a 16-week high-fat diet. Our results consistently demonstrated a greater accumulation of triglycerides in LBP KI/KI mice liver, compared to WT mice (Fig. 3a ; Supplementary Data 2 ). Further analysis revealed an upregulation of long-chain polyunsaturated fatty acid-triglycerides (LCPUFA-TG) in LBP KI/KI mice, which are known to be a primary source of lipid peroxidation (Fig. 3b, c ).”  [PMC11016120 ¶16]</w:t>
      </w:r>
    </w:p>
    <w:p>
      <w:pPr>
        <w:spacing w:after="120"/>
        <w:jc w:val="both"/>
      </w:pPr>
      <w:r>
        <w:rPr>
          <w:rFonts w:ascii="Times New Roman" w:hAnsi="Times New Roman" w:cs="Times New Roman" w:eastAsia="Times New Roman"/>
          <w:b w:val="0"/>
          <w:i w:val="0"/>
          <w:sz w:val="24"/>
        </w:rPr>
        <w:t>“Notably, following H 2 O 2 treatment, this binding capacity significantly increased. We quantified the interaction dissociation constant (Kd) between LBP and tridocosahexaenoin using microscale thermophoresis (MST). After H 2 O 2 treatment, the Kd value changed from 27.434\u2009\u03bcM to 378.62\u2009nM, indicating that oxidation significantly enhanced the LBP-TG binding capacity (Fig. 3l ). Based on these findings, we propose a hypothesis that under oxidative stress, LBP facilitates the storage of LCPUFAs in LDs, while promoting the decomposition and energy supply of SCSFAs, suggesting a protective role of LBP in maintaining cellular lipid homeostasis. Fig. 3 LBP binds with unsaturated TG to prevent against lipid peroxidation. a A pie chart showing the difference in lipid composition between WT ( n =\u20093) and LBP KI/KI ( n =\u20093) mice liver after 16 weeks of HFD. b Analysis of chain length of differential TGs in ( a ).”  [PMC11016120 ¶19]</w:t>
      </w:r>
    </w:p>
    <w:p>
      <w:pPr>
        <w:jc w:val="center"/>
      </w:pPr>
      <w:r>
        <w:drawing>
          <wp:inline xmlns:a="http://schemas.openxmlformats.org/drawingml/2006/main" xmlns:pic="http://schemas.openxmlformats.org/drawingml/2006/picture">
            <wp:extent cx="5029200" cy="6262039"/>
            <wp:docPr id="177" name="Picture 177"/>
            <wp:cNvGraphicFramePr>
              <a:graphicFrameLocks noChangeAspect="1"/>
            </wp:cNvGraphicFramePr>
            <a:graphic>
              <a:graphicData uri="http://schemas.openxmlformats.org/drawingml/2006/picture">
                <pic:pic>
                  <pic:nvPicPr>
                    <pic:cNvPr id="0" name="p10_i1.jpg"/>
                    <pic:cNvPicPr/>
                  </pic:nvPicPr>
                  <pic:blipFill>
                    <a:blip r:embed="rId38"/>
                    <a:stretch>
                      <a:fillRect/>
                    </a:stretch>
                  </pic:blipFill>
                  <pic:spPr>
                    <a:xfrm>
                      <a:off x="0" y="0"/>
                      <a:ext cx="5029200" cy="6262039"/>
                    </a:xfrm>
                    <a:prstGeom prst="rect"/>
                  </pic:spPr>
                </pic:pic>
              </a:graphicData>
            </a:graphic>
          </wp:inline>
        </w:drawing>
      </w:r>
    </w:p>
    <w:p>
      <w:pPr>
        <w:spacing w:after="160"/>
        <w:jc w:val="center"/>
      </w:pPr>
      <w:r>
        <w:rPr>
          <w:rFonts w:ascii="Times New Roman" w:hAnsi="Times New Roman" w:cs="Times New Roman" w:eastAsia="Times New Roman"/>
          <w:b w:val="0"/>
          <w:i/>
          <w:sz w:val="20"/>
        </w:rPr>
        <w:t>Figure 1 (from PMC11016120): “Oxidative stress induces LBP upregulation and LD translocation. a A schematic illustrating the research strategy adopted in this study. The image was created using materials supplied by Ge Pan from the Central Academy of Fine Arts, China, and illustrated by Qilun Zhang. The use of these materials has been authorized. b A multivariate bubble plot comparing ch”</w:t>
      </w:r>
    </w:p>
    <w:p>
      <w:pPr>
        <w:spacing w:after="120"/>
        <w:jc w:val="both"/>
      </w:pPr>
      <w:r>
        <w:rPr>
          <w:rFonts w:ascii="Times New Roman" w:hAnsi="Times New Roman" w:cs="Times New Roman" w:eastAsia="Times New Roman"/>
          <w:b w:val="0"/>
          <w:i w:val="0"/>
          <w:sz w:val="24"/>
        </w:rPr>
        <w:t>“LBP prevents lipolysis and exhibits antioxidative effects To evaluate the functional consequences of LBP-dependent deposition of LCPUFA-TG, we conducted an integrated analysis of proteomics and transcriptomics (Fig. 4a ). The joint analysis revealed that the genes with upregulated expression in the LBP KI/KI group were predominantly associated with TG transport and antioxidant activity, whereas the genes with downregulated expression were primarily related to lipolysis (Fig. 4b, c ; Supplementary Data 3 ). To confirm the antioxidant activity of LBP, we observed that LBP KI/KI significantly reduced the levels of protein carbonylation and nitration in the liver of 16-week HFD mice after 24\u2009h fasting, as well as decreasing the level of MDA (Fig. 4d\u2013f ). Overexpression of LBP in HepG2 cells significantly decreased the levels of ROS and lipid peroxide resulting from starvation, while promoting the sequestration of peroxidized TG in LDs (Fig. 4g, h ).”  [PMC11016120 ¶22]</w:t>
      </w:r>
    </w:p>
    <w:p>
      <w:pPr>
        <w:spacing w:after="120"/>
        <w:jc w:val="both"/>
      </w:pPr>
      <w:r>
        <w:rPr>
          <w:rFonts w:ascii="Times New Roman" w:hAnsi="Times New Roman" w:cs="Times New Roman" w:eastAsia="Times New Roman"/>
          <w:b w:val="0"/>
          <w:i w:val="0"/>
          <w:sz w:val="24"/>
        </w:rPr>
        <w:t>“Bar graph shows the -log10 of P -value (hypergeometric test). c Go term enrichment analysis of the differential proteins in the seventh quadrant (downregulated) of ( a ), using green color to represent lipid metabolism. Other colors represent the same meanings as in ( b ). Bar graph shows the -log10 of P -value (hypergeometric test). d Bar graph shows the relative liver protein carbonylation levels of 16-week HFD WT, LBP KI/KI , and LBP \u2212 / \u2212 mice. Shown are means\u2009\u00b1\u2009s.d., one-way ANOVA, ( n =\u20093, biologically independent). e Bar graph shows the relative liver protein 3-nitrotyrosine (3NT) levels of 16-week HFD WT, LBP KI/KI , and LBP \u2212 / \u2212 mice. Shown are means\u2009\u00b1\u2009s.d., one-way ANOVA, ( n =\u20093, biologically independent). f Bar graph shows the relative liver malondialdehyde (MDA) levels of 16-week HFD WT, LBP KI/KI , and LBP \u2212 / \u2212 mice.”  [PMC11016120 ¶24]</w:t>
      </w:r>
    </w:p>
    <w:p>
      <w:pPr>
        <w:keepNext/>
        <w:pageBreakBefore/>
        <w:spacing w:before="240" w:after="120"/>
        <w:jc w:val="center"/>
      </w:pPr>
      <w:r>
        <w:rPr>
          <w:rFonts w:ascii="Times New Roman" w:hAnsi="Times New Roman" w:cs="Times New Roman" w:eastAsia="Times New Roman"/>
          <w:b/>
          <w:i w:val="0"/>
          <w:color w:val="335588"/>
          <w:sz w:val="28"/>
        </w:rPr>
        <w:t>Chapter 9</w:t>
      </w:r>
    </w:p>
    <w:p>
      <w:pPr>
        <w:keepNext/>
        <w:spacing w:before="0" w:after="120"/>
        <w:jc w:val="center"/>
        <w:outlineLvl w:val="0"/>
      </w:pPr>
      <w:r>
        <w:rPr>
          <w:rFonts w:ascii="Times New Roman" w:hAnsi="Times New Roman" w:cs="Times New Roman" w:eastAsia="Times New Roman"/>
          <w:b/>
          <w:i w:val="0"/>
          <w:color w:val="1F3D7A"/>
          <w:sz w:val="44"/>
        </w:rPr>
        <w:t>Toxicokinetics (ADME), Nutritional, and Clinical Context</w:t>
      </w:r>
    </w:p>
    <w:p>
      <w:pPr>
        <w:spacing w:after="240"/>
        <w:jc w:val="center"/>
      </w:pPr>
      <w:r>
        <w:rPr>
          <w:rFonts w:ascii="Times New Roman" w:hAnsi="Times New Roman" w:cs="Times New Roman" w:eastAsia="Times New Roman"/>
          <w:b w:val="0"/>
          <w:i/>
          <w:color w:val="404040"/>
          <w:sz w:val="22"/>
        </w:rPr>
        <w:t>Absorption, distribution, metabolism, excretion, and evidence synthesis from clinical trials</w:t>
      </w:r>
    </w:p>
    <w:p>
      <w:pPr>
        <w:keepNext/>
        <w:pageBreakBefore/>
        <w:spacing w:before="480" w:after="160"/>
        <w:outlineLvl w:val="0"/>
      </w:pPr>
      <w:r>
        <w:rPr>
          <w:rFonts w:ascii="Times New Roman" w:hAnsi="Times New Roman" w:cs="Times New Roman" w:eastAsia="Times New Roman"/>
          <w:b/>
          <w:i w:val="0"/>
          <w:color w:val="1F3D7A"/>
          <w:sz w:val="36"/>
        </w:rPr>
        <w:t>9.  Toxicokinetics (ADME), Nutritional, and Clinical Context</w:t>
      </w:r>
    </w:p>
    <w:p>
      <w:pPr>
        <w:spacing w:after="80"/>
        <w:jc w:val="both"/>
      </w:pPr>
      <w:r>
        <w:rPr>
          <w:rFonts w:ascii="Times New Roman" w:hAnsi="Times New Roman" w:cs="Times New Roman" w:eastAsia="Times New Roman"/>
          <w:b w:val="0"/>
          <w:i w:val="0"/>
          <w:sz w:val="24"/>
        </w:rPr>
        <w:t>This chapter compiles verbatim paragraphs from the harvested corpus that place L-cysteine in its nutritional, dietary, and clinical-population context. The extracts document dietary intake, biological half-life, special-population considerations, and clinical endpoints reported in randomised trials.</w:t>
      </w:r>
    </w:p>
    <w:p>
      <w:pPr>
        <w:keepNext/>
        <w:spacing w:before="280" w:after="80"/>
        <w:outlineLvl w:val="1"/>
      </w:pPr>
      <w:r>
        <w:rPr>
          <w:rFonts w:ascii="Times New Roman" w:hAnsi="Times New Roman" w:cs="Times New Roman" w:eastAsia="Times New Roman"/>
          <w:b/>
          <w:i w:val="0"/>
          <w:color w:val="335588"/>
          <w:sz w:val="28"/>
        </w:rPr>
        <w:t>13.1  Dietary sources and daily intake</w:t>
      </w:r>
    </w:p>
    <w:p>
      <w:pPr>
        <w:spacing w:after="120"/>
        <w:jc w:val="both"/>
      </w:pPr>
      <w:r>
        <w:rPr>
          <w:rFonts w:ascii="Times New Roman" w:hAnsi="Times New Roman" w:cs="Times New Roman" w:eastAsia="Times New Roman"/>
          <w:b w:val="0"/>
          <w:i w:val="0"/>
          <w:sz w:val="24"/>
        </w:rPr>
        <w:t>“The purpose of this review is to provide a concise overview of promising NAC usages for the treatment of different human and domestic animal disorders.", "body_text": "1. Introduction N-acetylcysteine (NAC) comes from the amino acid L-cysteine and has been a Food and Drug Administration (FDA) approved drug since 1963. It is recognized as the standard treatment for acetaminophen overdose and has been used as a mucolytic drug since the 1960s [ 1 ]. NAC has also been used as a supplement for decades and, as such, can be found as an over-the-counter nutritional supplement in countries such as the United States, Canada, and Australia [ 1 ]. Therefore, NAC falls into a grey zone with other compounds such as cannabidiol (CBD), but as of August 2022, the FDA has backed away from its hard stance on classifying NAC as a drug and is allowing its sale as a dietary supplement [ 2 ]. NAC\u2019s antioxidant and anti-inflammatory properties make it a promising therapeutic agent for conditions in which oxidative stress is involved [ 1 ].”  [PMC10604897 ¶2]</w:t>
      </w:r>
    </w:p>
    <w:p>
      <w:pPr>
        <w:spacing w:after="120"/>
        <w:jc w:val="both"/>
      </w:pPr>
      <w:r>
        <w:rPr>
          <w:rFonts w:ascii="Times New Roman" w:hAnsi="Times New Roman" w:cs="Times New Roman" w:eastAsia="Times New Roman"/>
          <w:b w:val="0"/>
          <w:i w:val="0"/>
          <w:sz w:val="24"/>
        </w:rPr>
        <w:t>“Examples of these disorders include diabetes, obesity, cancer, neurological disorders, hypertension, pulmonary, inflammatory bowel, cardiovascular, autoimmune, and infectious diseases in humans, as well as domesticated animal weaning disorders, respiratory disease, diarrhea, endometritis, and mastitis [ 3 , 4 , 5 , 6 , 7 , 8 , 9 , 10 ]. While there has been an increasing interest in the use of NAC for a wide range of pathological conditions over the past few decades, various human clinical studies have reported conflicting results, and many other studies were performed in vitro. Therefore, more clinical studies are required to address these conflicting results and to support the purported therapeutic roles of NAC in treating different pathological conditions. Various animal studies involving the use of NAC have also been performed, especially with its use in treating intestinal inflammation and related disorders that can be caused by anti-nutritional factors (e.g., \u03b2 -conglycinin, a vicilin storage protein of soybeans), the process of weaning, and consumption of mycotoxins [ 10 , 11 , 12 ].”  [PMC10604897 ¶3]</w:t>
      </w:r>
    </w:p>
    <w:p>
      <w:pPr>
        <w:spacing w:after="120"/>
        <w:jc w:val="both"/>
      </w:pPr>
      <w:r>
        <w:rPr>
          <w:rFonts w:ascii="Times New Roman" w:hAnsi="Times New Roman" w:cs="Times New Roman" w:eastAsia="Times New Roman"/>
          <w:b w:val="0"/>
          <w:i w:val="0"/>
          <w:sz w:val="24"/>
        </w:rPr>
        <w:t>“It has been suggested that the low bioavailability of oral NAC may be due to first-pass metabolism in the small intestine rather than incomplete absorption [ 20 ]. NAC can be found intact, reduced, or in various oxidized forms in the plasma following oral intake [ 1 , 20 ], and individual variation in these NAC metabolites occurs, which is likely due to natural variations in human metabolism and the intestinal microbiota. Comparatively, intravenous or nasal administration allows for rapid delivery of high concentrations of NAC to the circulation as it bypasses the first-pass intestinal and hepatic metabolic pathway [ 1 ]. Considering that NAC bioavailability is influenced by first-pass metabolism, it will be important to address potential gender and age effects, which are known to affect the first-pass metabolism [ 21 , 22 ]. Therefore, an optimal way to maintain a proper therapeutic serum level of NAC after intake should include monitoring NAC metabolite concentrations in the blood to maximize both the efficacy of treatment and patient safety. 3.”  [PMC10604897 ¶7]</w:t>
      </w:r>
    </w:p>
    <w:p>
      <w:pPr>
        <w:jc w:val="center"/>
      </w:pPr>
      <w:r>
        <w:drawing>
          <wp:inline xmlns:a="http://schemas.openxmlformats.org/drawingml/2006/main" xmlns:pic="http://schemas.openxmlformats.org/drawingml/2006/picture">
            <wp:extent cx="5029200" cy="2300859"/>
            <wp:docPr id="178" name="Picture 178"/>
            <wp:cNvGraphicFramePr>
              <a:graphicFrameLocks noChangeAspect="1"/>
            </wp:cNvGraphicFramePr>
            <a:graphic>
              <a:graphicData uri="http://schemas.openxmlformats.org/drawingml/2006/picture">
                <pic:pic>
                  <pic:nvPicPr>
                    <pic:cNvPr id="0" name="p21_i1.jpg"/>
                    <pic:cNvPicPr/>
                  </pic:nvPicPr>
                  <pic:blipFill>
                    <a:blip r:embed="rId12"/>
                    <a:stretch>
                      <a:fillRect/>
                    </a:stretch>
                  </pic:blipFill>
                  <pic:spPr>
                    <a:xfrm>
                      <a:off x="0" y="0"/>
                      <a:ext cx="5029200" cy="2300859"/>
                    </a:xfrm>
                    <a:prstGeom prst="rect"/>
                  </pic:spPr>
                </pic:pic>
              </a:graphicData>
            </a:graphic>
          </wp:inline>
        </w:drawing>
      </w:r>
    </w:p>
    <w:p>
      <w:pPr>
        <w:spacing w:after="160"/>
        <w:jc w:val="center"/>
      </w:pPr>
      <w:r>
        <w:rPr>
          <w:rFonts w:ascii="Times New Roman" w:hAnsi="Times New Roman" w:cs="Times New Roman" w:eastAsia="Times New Roman"/>
          <w:b w:val="0"/>
          <w:i/>
          <w:sz w:val="20"/>
        </w:rPr>
        <w:t>Figure 1 (from PMC10604897): “The three major narratives of NAC’s mechanisms of action.</w:t>
        <w:br/>
        <w:t xml:space="preserve">   graphic: `antioxidants-12-01867-g001.jpg`”</w:t>
      </w:r>
    </w:p>
    <w:p>
      <w:pPr>
        <w:spacing w:after="120"/>
        <w:jc w:val="both"/>
      </w:pPr>
      <w:r>
        <w:rPr>
          <w:rFonts w:ascii="Times New Roman" w:hAnsi="Times New Roman" w:cs="Times New Roman" w:eastAsia="Times New Roman"/>
          <w:b w:val="0"/>
          <w:i w:val="0"/>
          <w:sz w:val="24"/>
        </w:rPr>
        <w:t>“Despite these findings, there is currently no substantial evidence suggesting the existence of active membrane transport systems specific to NAC. ASCT1, the canonical importer of reduced Cys, does not transport negatively charged amino acids, including NAC [ 27 ]. While there have been reports implicating anion exchanger 1 (AE1) as a potential facilitator of NAC uptake into erythrocytes, this remains an area requiring further investigation, as pointed out by Raftos et al. (2007) [ 23 ]. Once absorbed, NAC must undergo deacetylation to yield cysteine. Aminoacylase 1 is believed to be the primary enzyme responsible for deacetylating NAC in this process. 3.1. Adverse Reactions Adverse effects following administration of NAC range from mild to severe and are dependent on the formulation, concentration, and route of administration [ 1 , 28 ] ( Table 1 ). Intravenous NAC and oral NAC are commonly associated with minimal side-effects [ 1 ], such as symptoms of nausea, vomiting, pruritus, and erythema [ 28 , 29 ].”  [PMC10604897 ¶9]</w:t>
      </w:r>
    </w:p>
    <w:p>
      <w:pPr>
        <w:spacing w:after="120"/>
        <w:jc w:val="both"/>
      </w:pPr>
      <w:r>
        <w:rPr>
          <w:rFonts w:ascii="Times New Roman" w:hAnsi="Times New Roman" w:cs="Times New Roman" w:eastAsia="Times New Roman"/>
          <w:b w:val="0"/>
          <w:i w:val="0"/>
          <w:sz w:val="24"/>
        </w:rPr>
        <w:t>“NAC Dosing and Pharmacokinetics NAC is commonly taken orally at doses of 600\u20131200 mg daily to treat specific conditions, or even as a dietary supplement. Administration of oral NAC at doses as high as 8000 mg/day is well-tolerated with no clinically significant adverse reactions [ 33 ]. NAC has a half-life of 5.58 h after intravenous administration [ 20 ]. Its half-life following oral administration is 6.25 h, reaching a maximum plasma concentration (Cmax) approximately 1 to 2 h post administration [ 20 ]. 4. Therapeutic Uses of NAC in Animals While studies have been conducted on the therapeutic uses of NAC in livestock and companion animals, in addition to its use as an antidote for acetaminophen poisoning in dogs and cats, limited pharmacokinetic data on NAC exists in the literature for other species. Among the limited pharmacokinetic data available, only two studies discussed the pharmacokinetics of NAC in chickens and healthy cats.”  [PMC10604897 ¶11]</w:t>
      </w:r>
    </w:p>
    <w:p>
      <w:pPr>
        <w:spacing w:after="120"/>
        <w:jc w:val="both"/>
      </w:pPr>
      <w:r>
        <w:rPr>
          <w:rFonts w:ascii="Times New Roman" w:hAnsi="Times New Roman" w:cs="Times New Roman" w:eastAsia="Times New Roman"/>
          <w:b w:val="0"/>
          <w:i w:val="0"/>
          <w:sz w:val="24"/>
        </w:rPr>
        <w:t>“Liver Diseases Acute and chronic liver diseases are highly prevalent worldwide, accounting for approximately 2 million deaths per year [ 42 ]. Oxidative stress plays a crucial role in the initiation and progression of liver diseases due to its participation and stimulation in the liver\u2019s fibrogenic response [ 1 ]. Numerous clinical and experimental studies have been conducted on the use and efficacy of NAC in modulating inflammation and oxidative stress caused or propagated by liver diseases, including acetaminophen (paracetamol) poisoning, acute liver failure, and non-alcoholic fatty liver (NAFLD) and alcoholic liver diseases (see Table 2 ). 5.1.1. Acute Acetaminophen Overdose Acetaminophen is a commonly used over-the-counter analgesic and antipyretic medication as it is relatively safe and effective in treating mild-to-moderate pain and fever at appropriate doses [ 28 , 43 ]. However, when taken by adults at doses of 10\u201315 g (single or repeated) over a 24 h period, which is 3\u20135 times the manufacturer\u2019s recommended dose for over-the-counter use, acetaminophen has direct hepatotoxic potential and can cause acute liver injury and death from acute liver failure [ 28 , 43 ].”  [PMC10604897 ¶14]</w:t>
      </w:r>
    </w:p>
    <w:p>
      <w:pPr>
        <w:jc w:val="center"/>
      </w:pPr>
      <w:r>
        <w:drawing>
          <wp:inline xmlns:a="http://schemas.openxmlformats.org/drawingml/2006/main" xmlns:pic="http://schemas.openxmlformats.org/drawingml/2006/picture">
            <wp:extent cx="5029200" cy="1144143"/>
            <wp:docPr id="179" name="Picture 179"/>
            <wp:cNvGraphicFramePr>
              <a:graphicFrameLocks noChangeAspect="1"/>
            </wp:cNvGraphicFramePr>
            <a:graphic>
              <a:graphicData uri="http://schemas.openxmlformats.org/drawingml/2006/picture">
                <pic:pic>
                  <pic:nvPicPr>
                    <pic:cNvPr id="0" name="p21_i2.jpg"/>
                    <pic:cNvPicPr/>
                  </pic:nvPicPr>
                  <pic:blipFill>
                    <a:blip r:embed="rId13"/>
                    <a:stretch>
                      <a:fillRect/>
                    </a:stretch>
                  </pic:blipFill>
                  <pic:spPr>
                    <a:xfrm>
                      <a:off x="0" y="0"/>
                      <a:ext cx="5029200" cy="1144143"/>
                    </a:xfrm>
                    <a:prstGeom prst="rect"/>
                  </pic:spPr>
                </pic:pic>
              </a:graphicData>
            </a:graphic>
          </wp:inline>
        </w:drawing>
      </w:r>
    </w:p>
    <w:p>
      <w:pPr>
        <w:spacing w:after="160"/>
        <w:jc w:val="center"/>
      </w:pPr>
      <w:r>
        <w:rPr>
          <w:rFonts w:ascii="Times New Roman" w:hAnsi="Times New Roman" w:cs="Times New Roman" w:eastAsia="Times New Roman"/>
          <w:b w:val="0"/>
          <w:i/>
          <w:sz w:val="20"/>
        </w:rPr>
        <w:t>Figure panel from PMC10604897 (source bitmap p21_i2.jpg).</w:t>
      </w:r>
    </w:p>
    <w:p>
      <w:pPr>
        <w:spacing w:after="120"/>
        <w:jc w:val="both"/>
      </w:pPr>
      <w:r>
        <w:rPr>
          <w:rFonts w:ascii="Times New Roman" w:hAnsi="Times New Roman" w:cs="Times New Roman" w:eastAsia="Times New Roman"/>
          <w:b w:val="0"/>
          <w:i w:val="0"/>
          <w:sz w:val="24"/>
        </w:rPr>
        <w:t>“Following ingestion, acetaminophen is rapidly absorbed and transported to the liver to undergo first-pass metabolism [ 28 ]. N-acetyl-p-benzoquinonimine (NAPQI), a cytochrome P450-derived metabolic by-product of acetaminophen first-pass metabolism is cytotoxic and genotoxic [ 28 ]. Normally, when acetaminophen is taken at low doses, GSH can detoxify NAPQI by conjugating it, which facilitates its elimination from the body [ 28 ]. However, acetaminophen toxicity leads to the formation and accumulation of excessive amounts of NAPQI, the depletion of GSH stores, oxidative stress, and mitochondrial dysfunction resulting in the depletion of adenosine triphosphate (ATP) stores [ 44 ]. Evidence suggests that NAPQI is capable of binding to several cellular proteins, particularly mitochondrial proteins [ 44 ]. This binding to mitochondrial proteins in the context of GSH depletion is of great significance as it results in the depletion of endogenous antioxidant functions and alters the \u221d-subunit of the mitochondrial ATP-synthase, thereby hindering the production of ATP [ 44 ].”  [PMC10604897 ¶15]</w:t>
      </w:r>
    </w:p>
    <w:p>
      <w:pPr>
        <w:spacing w:after="120"/>
        <w:jc w:val="both"/>
      </w:pPr>
      <w:r>
        <w:rPr>
          <w:rFonts w:ascii="Times New Roman" w:hAnsi="Times New Roman" w:cs="Times New Roman" w:eastAsia="Times New Roman"/>
          <w:b w:val="0"/>
          <w:i w:val="0"/>
          <w:sz w:val="24"/>
        </w:rPr>
        <w:t>“NAC functions to replenish hepatic GSH stores and provide a larger supply of oxygen to the injured liver [ 1 ]. Administration of NAC during acetaminophen overdose acts to rapidly increase GSH synthesis in the liver and reduce mitochondrial protein binding [ 28 ]. The amount of NAC required to counteract acetaminophen toxicity is determined by plotting the concentration of acetaminophen in plasma against the time post-overdose on a nomogram [ 28 ]. Initiating NAC treatment within 8 h of overdosing minimizes the risk of hepatocellular damage as the effectiveness of NAC treatment is negatively correlated with the time post-overdose [ 28 ]. Reports have shown that oral NAC is just as effective as intravenous NAC in treating acetaminophen toxicity within 10 h of overdosing [ 28 ]. However, it is important to note that the absorption of orally administered NAC will be hindered when administered following the use of activated charcoal, which is commonly used to mitigate acetaminophen toxicity; as such, the preferred route of administration is intravenous NAC [ 28 ]. 5.1.2.”  [PMC10604897 ¶16]</w:t>
      </w:r>
    </w:p>
    <w:p>
      <w:pPr>
        <w:spacing w:after="120"/>
        <w:jc w:val="both"/>
      </w:pPr>
      <w:r>
        <w:rPr>
          <w:rFonts w:ascii="Times New Roman" w:hAnsi="Times New Roman" w:cs="Times New Roman" w:eastAsia="Times New Roman"/>
          <w:b w:val="0"/>
          <w:i w:val="0"/>
          <w:sz w:val="24"/>
        </w:rPr>
        <w:t>“This process relies on the L-cysteine remaining in an unoxidized state. Hence, the oxidants in the fermentation broth are removed during the anion-exchange chromatography, and the pH of the L-cysteine-rich solution must be closely monitored and adjusted throughout the purification line. graphic: `molecules-29-00486-g004.jpg` ```json { "pmcid": "PMC10821248", "pmid": "38257399", "doi": "10.3390/molecules29020486", "title": "Challenges and Advances in the Bioproduction of L-Cysteine", "journal": "Molecules", "year": "2024", "abstract": "L-cysteine is a proteogenic amino acid with many applications in the pharmaceutical, food, animal feed, and cosmetic industries. Due to safety and environmental issues in extracting L-cysteine from animal hair and feathers, the fermentative production of L-cysteine offers an attractive alternative using renewable feedstocks. Strategies to improve microbial production hosts like Pantoea ananatis , Corynebacterium\u00a0glutamicum , Pseudomonas sp., and Escherichia coli are summarized.”  [PMC10821248 ¶2]</w:t>
      </w:r>
    </w:p>
    <w:p>
      <w:pPr>
        <w:spacing w:after="120"/>
        <w:jc w:val="both"/>
      </w:pPr>
      <w:r>
        <w:rPr>
          <w:rFonts w:ascii="Times New Roman" w:hAnsi="Times New Roman" w:cs="Times New Roman" w:eastAsia="Times New Roman"/>
          <w:b w:val="0"/>
          <w:i w:val="0"/>
          <w:sz w:val="24"/>
        </w:rPr>
        <w:t>“Concerning the metabolic engineering strategies, the overexpression of feedback inhibition-insensitive L-serine O-acetyltransferase and weakening the degradation of L-cysteine through the removal of L-cysteine desulfhydrases are crucial adjustments. The overexpression of L-cysteine exporters is vital to overcome the toxicity caused by intracellular accumulating L-cysteine. In addition, we compiled the process engineering aspects for the bioproduction of L-cysteine. Utilizing the energy-efficient sulfur assimilation pathway via thiosulfate, fermenting cheap carbon sources, designing scalable, fed-batch processes with individual feedings of carbon and sulfur sources, and implementing efficient purification techniques are essential for the fermentative production of L-cysteine on an industrial scale.", "body_text": "1. Introduction L-cysteine is a nucleophilic amino acid with a sulfhydryl group, which enables the formation of disulfide bridges.”  [PMC10821248 ¶3]</w:t>
      </w:r>
    </w:p>
    <w:p>
      <w:pPr>
        <w:spacing w:after="120"/>
        <w:jc w:val="both"/>
      </w:pPr>
      <w:r>
        <w:rPr>
          <w:rFonts w:ascii="Times New Roman" w:hAnsi="Times New Roman" w:cs="Times New Roman" w:eastAsia="Times New Roman"/>
          <w:b w:val="0"/>
          <w:i w:val="0"/>
          <w:sz w:val="24"/>
        </w:rPr>
        <w:t>“It can be produced by most eukaryotic and prokaryotic organisms. This amino acid is semi-essential in humans, since it can be synthesized endogenously or directly absorbed from an L-cysteine-rich diet. In cells, cysteine can be produced via the reverse transsulfuration pathway from L-methionine [ 1 ] or from L-serine through acetylation and subsequent sulfhydration [ 2 ]. Figure 1 presents a step-by-step diagram for these pathways. The cells tightly control the intracellular L-cysteine concentration because already-low concentrations can be cytotoxic [ 3 , 4 ]. Intracellular L-cysteine plays a vital role as a precursor for protein synthesis, and for the production of glutathione, hydrogen sulfide, and taurine [ 5 ]. In humans and animals, L-cysteine is primarily found in the hair, nails, and skin, especially in collagen. Prokaryotic cells use L-cysteine mostly in proteins, in enzymes for the formation of iron\u2013sulfur clusters, or as a source of sulfur for other macromolecules [ 6 ].”  [PMC10821248 ¶4]</w:t>
      </w:r>
    </w:p>
    <w:p>
      <w:pPr>
        <w:jc w:val="center"/>
      </w:pPr>
      <w:r>
        <w:drawing>
          <wp:inline xmlns:a="http://schemas.openxmlformats.org/drawingml/2006/main" xmlns:pic="http://schemas.openxmlformats.org/drawingml/2006/picture">
            <wp:extent cx="5029200" cy="3693319"/>
            <wp:docPr id="180" name="Picture 180"/>
            <wp:cNvGraphicFramePr>
              <a:graphicFrameLocks noChangeAspect="1"/>
            </wp:cNvGraphicFramePr>
            <a:graphic>
              <a:graphicData uri="http://schemas.openxmlformats.org/drawingml/2006/picture">
                <pic:pic>
                  <pic:nvPicPr>
                    <pic:cNvPr id="0" name="p02_i1.jpg"/>
                    <pic:cNvPicPr/>
                  </pic:nvPicPr>
                  <pic:blipFill>
                    <a:blip r:embed="rId9"/>
                    <a:stretch>
                      <a:fillRect/>
                    </a:stretch>
                  </pic:blipFill>
                  <pic:spPr>
                    <a:xfrm>
                      <a:off x="0" y="0"/>
                      <a:ext cx="5029200" cy="3693319"/>
                    </a:xfrm>
                    <a:prstGeom prst="rect"/>
                  </pic:spPr>
                </pic:pic>
              </a:graphicData>
            </a:graphic>
          </wp:inline>
        </w:drawing>
      </w:r>
    </w:p>
    <w:p>
      <w:pPr>
        <w:spacing w:after="160"/>
        <w:jc w:val="center"/>
      </w:pPr>
      <w:r>
        <w:rPr>
          <w:rFonts w:ascii="Times New Roman" w:hAnsi="Times New Roman" w:cs="Times New Roman" w:eastAsia="Times New Roman"/>
          <w:b w:val="0"/>
          <w:i/>
          <w:sz w:val="20"/>
        </w:rPr>
        <w:t>Figure 1 (from PMC10821248): “Metabolic pathways for L-cysteine biosynthesis in microorganisms. In the L-serine O-acetyltransferase-O-acetyl-L-serine (SAT-OASS) pathway, there are two branches for the transformation of O-acetyl-L-serine (OAS) into L-cysteine, depending on the sulfur source available to the organism. These biotransformations are catalyzed by two different OASSs: OASS-A in”</w:t>
      </w:r>
    </w:p>
    <w:p>
      <w:pPr>
        <w:spacing w:after="120"/>
        <w:jc w:val="both"/>
      </w:pPr>
      <w:r>
        <w:rPr>
          <w:rFonts w:ascii="Times New Roman" w:hAnsi="Times New Roman" w:cs="Times New Roman" w:eastAsia="Times New Roman"/>
          <w:b w:val="0"/>
          <w:i w:val="0"/>
          <w:sz w:val="24"/>
        </w:rPr>
        <w:t>“L-cysteine is produced for applications in the pharmaceutical, food, animal feed, and cosmetics industries, with an estimated yearly production of roughly 3000 tons [ 7 , 8 ]. In the pharmaceutical and food industries, L-cysteine is a precursor for the production of drugs, food supplements, and nutraceuticals [ 9 ]. In animal feed, L-cysteine is used as a sulfur supplement for wool production [ 10 ]. In the cosmetic industry, L-cysteine is applied as a substitute for thioglycolic acid in hair applications for breaking the disulfide bridges of keratin to achieve permanent hair waving [ 10 ]. Animal feathers and human hair are natural sources of L-cysteine, which is the main component of keratin. First, cystine is extracted with activated charcoal after the acidic hydrolysis of feathers and hair. After desorption from the activated charcoal matrix, the isolated and purified L-cystine is then transformed into L-cysteine via electrolytic reduction [ 11 ].”  [PMC10821248 ¶5]</w:t>
      </w:r>
    </w:p>
    <w:p>
      <w:pPr>
        <w:spacing w:after="120"/>
        <w:jc w:val="both"/>
      </w:pPr>
      <w:r>
        <w:rPr>
          <w:rFonts w:ascii="Times New Roman" w:hAnsi="Times New Roman" w:cs="Times New Roman" w:eastAsia="Times New Roman"/>
          <w:b w:val="0"/>
          <w:i w:val="0"/>
          <w:sz w:val="24"/>
        </w:rPr>
        <w:t>“As an intermediate, one pathway produces N-carbamoyl cysteine, and the other, S-carbamoyl cysteine [ 17 ]. However, in the Pseudomonas cells, L-cysteine is converted to pyruvate, hydrogen sulfide, and ammonia by L-cysteine desulfhydrase (CD). The L-cysteine desulfhydrase gene could not be knocked out to increase the production of L-cysteine during the bioconversion of DL-ATC by Pseudomonas sp., since the degradation of L-cysteine is required to supply the cells with carbon and nitrogen [ 18 ]. Furthermore, the difficulty of procurement of the substrate DL-ATC and the low enzymatic yields of this process limited its application as an industrial process [ 12 ]. Through the understanding of the complex regulation system of the L-cysteine synthesis in bacteria, and with the advancements in synthetic biology, the direct fermentative L-cysteine production from glucose became feasible and has been exploited by global amino acid producers to supply an increasing portion of the global L-cysteine demand [ 19 ].”  [PMC10821248 ¶7]</w:t>
      </w:r>
    </w:p>
    <w:p>
      <w:pPr>
        <w:spacing w:after="120"/>
        <w:jc w:val="both"/>
      </w:pPr>
      <w:r>
        <w:rPr>
          <w:rFonts w:ascii="Times New Roman" w:hAnsi="Times New Roman" w:cs="Times New Roman" w:eastAsia="Times New Roman"/>
          <w:b w:val="0"/>
          <w:i w:val="0"/>
          <w:sz w:val="24"/>
        </w:rPr>
        <w:t>“This will be shown in an example with E. coli : It has been established that the transcription levels of key metabolic genes are the major modulators of different glucose utilization pathways in E. coli [ 25 ]. Also, the genetic difference in the catabolite repression protein (CRP) among the E. coli K-12 strains affects sulfur metabolism [ 26 ]. During the last 20 years, four E. coli K-12 strains (BW25113, JM109, W3110, and MG1655, respectively) have been utilized in L-cysteine production [ 27 ]. Therefore, the selection of a suitable chassis for L-cysteine production has been deemed the foundation for the successful implementation of metabolic engineering strategies [ 28 ]. To reach a more suitable chassis cell, the L-cysteine-producing plasmid pLH03, containing P -cysE (coding for serine acetyltransferase) and P -ydeD (a cysteine exporter), was transformed into the four aforementioned E. coli K-12 hosts.”  [PMC10821248 ¶10]</w:t>
      </w:r>
    </w:p>
    <w:p>
      <w:pPr>
        <w:jc w:val="center"/>
      </w:pPr>
      <w:r>
        <w:drawing>
          <wp:inline xmlns:a="http://schemas.openxmlformats.org/drawingml/2006/main" xmlns:pic="http://schemas.openxmlformats.org/drawingml/2006/picture">
            <wp:extent cx="5029200" cy="2124837"/>
            <wp:docPr id="181" name="Picture 181"/>
            <wp:cNvGraphicFramePr>
              <a:graphicFrameLocks noChangeAspect="1"/>
            </wp:cNvGraphicFramePr>
            <a:graphic>
              <a:graphicData uri="http://schemas.openxmlformats.org/drawingml/2006/picture">
                <pic:pic>
                  <pic:nvPicPr>
                    <pic:cNvPr id="0" name="p12_i1.jpg"/>
                    <pic:cNvPicPr/>
                  </pic:nvPicPr>
                  <pic:blipFill>
                    <a:blip r:embed="rId10"/>
                    <a:stretch>
                      <a:fillRect/>
                    </a:stretch>
                  </pic:blipFill>
                  <pic:spPr>
                    <a:xfrm>
                      <a:off x="0" y="0"/>
                      <a:ext cx="5029200" cy="2124837"/>
                    </a:xfrm>
                    <a:prstGeom prst="rect"/>
                  </pic:spPr>
                </pic:pic>
              </a:graphicData>
            </a:graphic>
          </wp:inline>
        </w:drawing>
      </w:r>
    </w:p>
    <w:p>
      <w:pPr>
        <w:spacing w:after="160"/>
        <w:jc w:val="center"/>
      </w:pPr>
      <w:r>
        <w:rPr>
          <w:rFonts w:ascii="Times New Roman" w:hAnsi="Times New Roman" w:cs="Times New Roman" w:eastAsia="Times New Roman"/>
          <w:b w:val="0"/>
          <w:i/>
          <w:sz w:val="20"/>
        </w:rPr>
        <w:t>Figure 2 (from PMC10821248): “Transformation of DL-ATC to L-cysteine. In this enzymatic three-step process, DL-ATC is isomerized to L-ATC by ATC racemase. Then, L-ATC is hydrolyzed to S-carbamyl-L-cysteine (SCC) by L-ATC hydrolase. Finally, SCC is cleaved into L-cysteine, CO 2 , and ammonia by S-cabamyl-L-cysteine amidohydrolase.</w:t>
        <w:br/>
        <w:t xml:space="preserve">   graphic: `molecules-29-00486-g002.jpg`”</w:t>
      </w:r>
    </w:p>
    <w:p>
      <w:pPr>
        <w:spacing w:after="120"/>
        <w:jc w:val="both"/>
      </w:pPr>
      <w:r>
        <w:rPr>
          <w:rFonts w:ascii="Times New Roman" w:hAnsi="Times New Roman" w:cs="Times New Roman" w:eastAsia="Times New Roman"/>
          <w:b w:val="0"/>
          <w:i w:val="0"/>
          <w:sz w:val="24"/>
        </w:rPr>
        <w:t>“In this study, the cysE gene coding for SAT was altered by replacing the methionine at position 256 with other amino acids. The transformed microorganisms, having the altered cysE gene, produced 50\u2013300 mg L \u22121 of L-cysteine plus L-cystine after 72 h of cultivation in shake flasks containing a minimal medium at 30 \u00b0C. Furthermore, the transformation of the altered cysE gene in a mutant strain of E. coli , JM39-8, with decreased cysteine degradation abilities (10% CD activity) resulted in an increased production to a maximum of 790 mg L \u22121 of L-cysteine plus L-cystine in shake flasks under the same conditions as above. Takagi et al. [ 30 ] isolated feedback inhibition-insensitive SAT through a random mutagenesis into the cysE gene by using the error-prone PCR. The production test of L-cysteine and the enzymatic analysis of the mutant SAT suggested that the carboxy-terminal region of SAT is involved in the desensitization to feedback inhibition and the substantial production of L-cysteine.”  [PMC10821248 ¶13]</w:t>
      </w:r>
    </w:p>
    <w:p>
      <w:pPr>
        <w:spacing w:after="120"/>
        <w:jc w:val="both"/>
      </w:pPr>
      <w:r>
        <w:rPr>
          <w:rFonts w:ascii="Times New Roman" w:hAnsi="Times New Roman" w:cs="Times New Roman" w:eastAsia="Times New Roman"/>
          <w:b w:val="0"/>
          <w:i w:val="0"/>
          <w:sz w:val="24"/>
        </w:rPr>
        <w:t>“The results showed that the expression of SAT4 in E. coli causes a 50-fold increase in the accumulation of L-cysteine in the medium. Kai et al. [ 34 ] analyzed the crystal structure and reaction mechanism of SAT and introduced various amino acid substitutions to change the position of Asp92. As a result, they designed a mutant SAT having a high enzymatic activity and low sensitivity to inhibition by L-cysteine. For one promising mutant, the inhibitory L-cysteine concentration that halved the enzyme\u2019s activity went from the wild type\u2019s 0.8 \u00b5M to 410 \u00b5M, while simultaneously increasing the initial enzymatic activity by 220 \u00b5M mg \u22121 min \u22121 . In another study, a strain of P. ananatis that carried a mutant of the gene cysE (cysEX) coding for a feedback-insensitive SAT was constructed. A second strain of P. ananatis , additionally harboring a plasmid with the gene cefA , which codes for an L-cysteine efflux pump, was generated.”  [PMC10821248 ¶15]</w:t>
      </w:r>
    </w:p>
    <w:p>
      <w:pPr>
        <w:spacing w:after="120"/>
        <w:jc w:val="both"/>
      </w:pPr>
      <w:r>
        <w:rPr>
          <w:rFonts w:ascii="Times New Roman" w:hAnsi="Times New Roman" w:cs="Times New Roman" w:eastAsia="Times New Roman"/>
          <w:b w:val="0"/>
          <w:i w:val="0"/>
          <w:sz w:val="24"/>
        </w:rPr>
        <w:t>“The mucus, secreted by serous, mucous, and goblet cells in response to various stimuli, including inflammation [ 9 ], becomes viscous [ 12 ] and promotes bacterial colonization and biofilm growth. This hinders the ability of neutrophils and soluble antimicrobial agents to permeate dense mucus and eradicate bacteria [ 14 , 15 ]. In COPD, numerous inflammatory mediators are synthesized and released in response to oxidative stress, such as the pro-inflammatory transcription factor NF-\u03baB, which is over-expressed and activated by Reactive Oxygen Species (ROS), especially in airway epithelial cells and macrophages [ 7 ]. Oxidative stress also promotes the release of signaling molecules such as phosphoinositide 3-kinase (PI3K) and p38 mitogen-activated protein kinase (MAPK). It also sustains transforming growth factor (TGF)-\u03b2 signaling and the expression of matrix metalloproteinase (MMP)-9, which are implicated in small airway fibrosis and emphysema [ 7 ].”  [PMC11278452 ¶5]</w:t>
      </w:r>
    </w:p>
    <w:p>
      <w:pPr>
        <w:spacing w:after="120"/>
        <w:jc w:val="both"/>
      </w:pPr>
      <w:r>
        <w:rPr>
          <w:rFonts w:ascii="Times New Roman" w:hAnsi="Times New Roman" w:cs="Times New Roman" w:eastAsia="Times New Roman"/>
          <w:b w:val="0"/>
          <w:i w:val="0"/>
          <w:sz w:val="24"/>
        </w:rPr>
        <w:t>“NAC Exhibits Pharmacological Actions beyond Mucolytic Activity The mechanism of action for NAC is complex and multifaceted and is not yet fully elucidated. NAC is widely utilized to decrease the viscosity and elasticity of mucus [ 30 ]. It achieves this by breaking down the disulfide bonds in mucoproteins, thereby decreasing the viscosity of respiratory secretions [ 22 ]. Apart from the replenishing of depleted GSH content, facilitated by NAC, the gradual release of NAC-derived metabolites may result in a modest increase in H 2 S and its oxidation byproducts including persulfides (RSSH) and polysulfides (RSSnSR) [ 31 ], known as sulfane sulfur metabolites [ 32 ]. These metabolites exhibit cytoprotective effects by aiding in disulfide reduction, acting as direct scavengers of radicals, and preventing irreversible oxidative damage of proteins [ 32 ]. Moreover, modifications involving persulfide on proteins have the potential to modify their function and signaling capabilities, thereby initiating stress-responsive cellular reactions [ 32 ].”  [PMC11278452 ¶8]</w:t>
      </w:r>
    </w:p>
    <w:p>
      <w:pPr>
        <w:spacing w:after="120"/>
        <w:jc w:val="both"/>
      </w:pPr>
      <w:r>
        <w:rPr>
          <w:rFonts w:ascii="Times New Roman" w:hAnsi="Times New Roman" w:cs="Times New Roman" w:eastAsia="Times New Roman"/>
          <w:b w:val="0"/>
          <w:i w:val="0"/>
          <w:sz w:val="24"/>
        </w:rPr>
        <w:t>“In the 1980s, multiple investigations suggested that NAC could mitigate cigarette irregularities in polymorphonuclear neutrophils (PMNs) [ 52 ], AM [ 49 , 53 , 54 ], fibroblasts [ 42 ], and epithelial cells [ 55 , 56 ] induced by smoke. In particular, when given to smokers at a high dosage over an 8-week period, NAC has demonstrated efficacy in diminishing airway inflammation by reducing plasma concentrations of elastase and myeloperoxidase, lowering the content of lactoferrin, anti-chymotrypsin, and eosinophil cationic protein (ECP) in BALF, and mitigating the chemotactic activity of neutrophils [ 57 ]. Furthermore, it enhanced AM function in smokers [ 49 ]. In the 1990s, Schreck et al. observed NAC\u2019s effectiveness in reducing the activation of nuclear factor kappa B (NF-kB) in intact Jurkat T cells [ 58 ]. Further support for the anti-inflammatory effect of NAC was provided by data demonstrating a decrease in the chemiluminescence of PMNs in BALF in vitro [ 59 ].”  [PMC11278452 ¶14]</w:t>
      </w:r>
    </w:p>
    <w:p>
      <w:pPr>
        <w:jc w:val="center"/>
      </w:pPr>
      <w:r>
        <w:drawing>
          <wp:inline xmlns:a="http://schemas.openxmlformats.org/drawingml/2006/main" xmlns:pic="http://schemas.openxmlformats.org/drawingml/2006/picture">
            <wp:extent cx="5029200" cy="4259385"/>
            <wp:docPr id="182" name="Picture 182"/>
            <wp:cNvGraphicFramePr>
              <a:graphicFrameLocks noChangeAspect="1"/>
            </wp:cNvGraphicFramePr>
            <a:graphic>
              <a:graphicData uri="http://schemas.openxmlformats.org/drawingml/2006/picture">
                <pic:pic>
                  <pic:nvPicPr>
                    <pic:cNvPr id="0" name="p06_i1.jpg"/>
                    <pic:cNvPicPr/>
                  </pic:nvPicPr>
                  <pic:blipFill>
                    <a:blip r:embed="rId14"/>
                    <a:stretch>
                      <a:fillRect/>
                    </a:stretch>
                  </pic:blipFill>
                  <pic:spPr>
                    <a:xfrm>
                      <a:off x="0" y="0"/>
                      <a:ext cx="5029200" cy="4259385"/>
                    </a:xfrm>
                    <a:prstGeom prst="rect"/>
                  </pic:spPr>
                </pic:pic>
              </a:graphicData>
            </a:graphic>
          </wp:inline>
        </w:drawing>
      </w:r>
    </w:p>
    <w:p>
      <w:pPr>
        <w:spacing w:after="160"/>
        <w:jc w:val="center"/>
      </w:pPr>
      <w:r>
        <w:rPr>
          <w:rFonts w:ascii="Times New Roman" w:hAnsi="Times New Roman" w:cs="Times New Roman" w:eastAsia="Times New Roman"/>
          <w:b w:val="0"/>
          <w:i/>
          <w:sz w:val="20"/>
        </w:rPr>
        <w:t>Figure 1 (from PMC11278452): “Differential modulation of pro-inflammatory mediators in relation to both the concentration and duration of treatment with N-acetylcysteine in in vitro models of airway inflammation. NAC: N-acetylcysteine; LPS: lipopolysaccharides; NKA: neurokinin A; IL-6: Interleukin-6; TNF-α: tumor necrosis factor-α; IL-8: Interleukin-8; IL-1β: Interleukin-1beta; NF-κB: Nu”</w:t>
      </w:r>
    </w:p>
    <w:p>
      <w:pPr>
        <w:spacing w:after="120"/>
        <w:jc w:val="both"/>
      </w:pPr>
      <w:r>
        <w:rPr>
          <w:rFonts w:ascii="Times New Roman" w:hAnsi="Times New Roman" w:cs="Times New Roman" w:eastAsia="Times New Roman"/>
          <w:b w:val="0"/>
          <w:i w:val="0"/>
          <w:sz w:val="24"/>
        </w:rPr>
        <w:t>“NAC orally administered at 600 mg/day has been reported to reduce sputum ECP and Interleukin-8 (IL-8) concentrations in patients with COPD [ 24 , 25 ]. Additionally, at this dosage, NAC modulated the inflammatory response after ten weeks of intake in COPD patients by decreasing serum IL-8 levels [ 26 ]. This intervention also removed the inverse relationship between the pro-inflammatory cytokine IL-8 and glutathione peroxidase (GPx) and Trolox equivalent antioxidant capacity (TEAC) [ 26 ]. These findings imply that NAC affects IL-8 expression through pathways that are not dependent on GPx and plasma anti-oxidants [ 26 ]. Moreover, it eliminated the positive correlation between intercellular adhesion molecule-1 (ICAM-1) and IL-8, indicating that ICAM-1 expression is modulated by pathways not susceptible to NAC [ 26 ]. A study examining how NAC treatment affects changes induced by sepsis in conscious rats revealed a reduction in inflammatory biomarkers (IL-6, tumor necrosis factor-\u03b1 (TNF-\u03b1), and IL-10) linked to sepsis [ 62 ].”  [PMC11278452 ¶16]</w:t>
      </w:r>
    </w:p>
    <w:p>
      <w:pPr>
        <w:spacing w:after="120"/>
        <w:jc w:val="both"/>
      </w:pPr>
      <w:r>
        <w:rPr>
          <w:rFonts w:ascii="Times New Roman" w:hAnsi="Times New Roman" w:cs="Times New Roman" w:eastAsia="Times New Roman"/>
          <w:b w:val="0"/>
          <w:i w:val="0"/>
          <w:sz w:val="24"/>
        </w:rPr>
        <w:t>“Notably, a recent meta-analysis by Askari et al. [ 77 ] delving into the impact of oral NAC on serum inflammatory biomarkers uncovered that only a high dosage (\u22651200 mg/day) of orally administered NAC effectively reduced C-reactive protein (CRP) levels. However, a noteworthy decrease in circulating IL-6 was reported with a dosage below 1200 mg/day [ 77 ]. This suggests that while high doses may be necessary for diminishing serum IL-6, these requirements are still lower than those needed for decreasing CRP levels. In their study [ 77 ], no discernible effect on the circulating levels of VCAM-1, ICAM-1, MCP-1, IL-8, and TNF-\u03b1 was reported following oral administration of NAC. This aligns with the abovementioned findings of Cazzola et al. [ 27 ], where high concentrations of NAC (ranging from 300 \u03bcM to 10 mM) were required to reduce the release of IL-1\u03b2, IL-8, and TNF-\u03b1 by LPS-stimulated bronchi.”  [PMC11278452 ¶22]</w:t>
      </w:r>
    </w:p>
    <w:p>
      <w:pPr>
        <w:spacing w:after="120"/>
        <w:jc w:val="both"/>
      </w:pPr>
      <w:r>
        <w:rPr>
          <w:rFonts w:ascii="Times New Roman" w:hAnsi="Times New Roman" w:cs="Times New Roman" w:eastAsia="Times New Roman"/>
          <w:b w:val="0"/>
          <w:i w:val="0"/>
          <w:sz w:val="24"/>
        </w:rPr>
        <w:t>“Clinical trial results suggest that prolonged NAC administration can significantly enhance respiratory symptoms and decrease the frequency of exacerbations in COPD and CB/pre-COPD patients.", "tables": [], "figures": [ { "label": "Figure 1", "caption": "Differential modulation of pro-inflammatory mediators in relation to both the concentration and duration of treatment with N-acetylcysteine in in vitro models of airway inflammation. NAC: N-acetylcysteine; LPS: lipopolysaccharides; NKA: neurokinin A; IL-6: Interleukin-6; TNF-\u03b1: tumor necrosis factor-\u03b1; IL-8: Interleukin-8; IL-1\u03b2: Interleukin-1beta; NF-\u03baB: Nuclear factor kappa B.", "graphic_href": "jcm-13-04127-g001.jpg" }, { "label": "Figure 2", "caption": "Proposed molecular mechanisms for the therapeutic activity of N-acetylcysteine after oral administration in chronic respiratory diseases. NAC: N-acetylcysteine; GSH: glutathione; RSSH: persulfides; RSS n SR: polysulfides; NKA: neurokinin A; NF-\u03baB: Nuclear factor kappa B; TNF-\u03b1: tumor necrosis factor-\u03b1; IL-1\u03b2: Interleukin-1beta; IL-8: Interleukin-8; ROS: reactive oxygen species.", "graphic_href": "jcm-13-04127-g002.jpg" } ], "references": [ { "title": "The reduction in vitro in viscosity of mucoprotein solutions by a new mucolytic agent, N-acetyl-L-cysteine", "year": "1963", "source": "Ann.”  [PMC11278452 ¶34]</w:t>
      </w:r>
    </w:p>
    <w:p>
      <w:pPr>
        <w:jc w:val="center"/>
      </w:pPr>
      <w:r>
        <w:drawing>
          <wp:inline xmlns:a="http://schemas.openxmlformats.org/drawingml/2006/main" xmlns:pic="http://schemas.openxmlformats.org/drawingml/2006/picture">
            <wp:extent cx="5029200" cy="3369819"/>
            <wp:docPr id="183" name="Picture 183"/>
            <wp:cNvGraphicFramePr>
              <a:graphicFrameLocks noChangeAspect="1"/>
            </wp:cNvGraphicFramePr>
            <a:graphic>
              <a:graphicData uri="http://schemas.openxmlformats.org/drawingml/2006/picture">
                <pic:pic>
                  <pic:nvPicPr>
                    <pic:cNvPr id="0" name="p08_i1.jpg"/>
                    <pic:cNvPicPr/>
                  </pic:nvPicPr>
                  <pic:blipFill>
                    <a:blip r:embed="rId15"/>
                    <a:stretch>
                      <a:fillRect/>
                    </a:stretch>
                  </pic:blipFill>
                  <pic:spPr>
                    <a:xfrm>
                      <a:off x="0" y="0"/>
                      <a:ext cx="5029200" cy="3369819"/>
                    </a:xfrm>
                    <a:prstGeom prst="rect"/>
                  </pic:spPr>
                </pic:pic>
              </a:graphicData>
            </a:graphic>
          </wp:inline>
        </w:drawing>
      </w:r>
    </w:p>
    <w:p>
      <w:pPr>
        <w:spacing w:after="160"/>
        <w:jc w:val="center"/>
      </w:pPr>
      <w:r>
        <w:rPr>
          <w:rFonts w:ascii="Times New Roman" w:hAnsi="Times New Roman" w:cs="Times New Roman" w:eastAsia="Times New Roman"/>
          <w:b w:val="0"/>
          <w:i/>
          <w:sz w:val="20"/>
        </w:rPr>
        <w:t>Figure 2 (from PMC11278452): “Proposed molecular mechanisms for the therapeutic activity of N-acetylcysteine after oral administration in chronic respiratory diseases. NAC: N-acetylcysteine; GSH: glutathione; RSSH: persulfides; RSS n SR: polysulfides; NKA: neurokinin A; NF-κB: Nuclear factor kappa B; TNF-α: tumor necrosis factor-α; IL-1β: Interleukin-1beta; IL-8: Interleukin-8; ROS: reac”</w:t>
      </w:r>
    </w:p>
    <w:p>
      <w:pPr>
        <w:spacing w:after="120"/>
        <w:jc w:val="both"/>
      </w:pPr>
      <w:r>
        <w:rPr>
          <w:rFonts w:ascii="Times New Roman" w:hAnsi="Times New Roman" w:cs="Times New Roman" w:eastAsia="Times New Roman"/>
          <w:b w:val="0"/>
          <w:i w:val="0"/>
          <w:sz w:val="24"/>
        </w:rPr>
        <w:t>“The molecular mechanisms underlying ED are numerous and not entirely clear, despite the fact that this condition has been discussed since the late 1970s [ 3 ]. Certainly, among the most accredited causes are disruption in nitric oxide (NO) production and the formation of reactive oxygen species (ROS) and/or nitrogen species (RNS). Yet hemodynamic and shear stress alterations, including turbulence, play a central role in ED development [ 4 ]. Indeed, triggers for the shift toward ED and, therefore, toward a pro-coagulant and pro-inflammatory state include intrinsic, non-modifiable risk factors, such as hemodynamic disturbances and a predisposition to thrombophilia (whether inherited or acquired). Modifiable risk factors also play a role, including infections, dietary disturbances, metabolic disorders such as homocysteinemia and hypercholesterolemia, and exposure to toxins like those from smoking [ 1 , 5 , 6 ].”  [PMC11939635 ¶5]</w:t>
      </w:r>
    </w:p>
    <w:p>
      <w:pPr>
        <w:spacing w:after="120"/>
        <w:jc w:val="both"/>
      </w:pPr>
      <w:r>
        <w:rPr>
          <w:rFonts w:ascii="Times New Roman" w:hAnsi="Times New Roman" w:cs="Times New Roman" w:eastAsia="Times New Roman"/>
          <w:b w:val="0"/>
          <w:i w:val="0"/>
          <w:sz w:val="24"/>
        </w:rPr>
        <w:t>“Indeed, the endothelium regulates blood flow and vascular resistance by producing several factors, including vasodilators (e.g., NO and prostacyclin (PGI 2 )) and vasoconstrictors (e.g., endothelins (ETs) and thromboxane A 2 (TxA 2 )), ensuring the appropriate delivery of oxygen and nutrients to tissues. Moreover, ECs play a crucial role in maintaining circulatory and blood homeostasis. In their normal state, ECs produce various substances, including prostaglandins, PGI 2 , carbon monoxide (CO), and adenosine diphosphatase, which modulate platelet activation and aggregation, maintaining vascular homeostasis [ 11 , 12 , 13 , 14 , 15 , 16 , 17 , 18 , 19 , 20 , 21 , 22 , 23 ] ( Table 1 ). Endothelial cells also secrete anticoagulant proteins, such as thrombomodulin and heparin-like molecules, and promote fibrinolysis by synthesizing tissue plasminogen activator (t-PA). The activity of the endothelium is physiologically controlled and mediated not only by various factors, but also through a signaling involving mechanotransduction [ 4 ].”  [PMC11939635 ¶7]</w:t>
      </w:r>
    </w:p>
    <w:p>
      <w:pPr>
        <w:spacing w:after="120"/>
        <w:jc w:val="both"/>
      </w:pPr>
      <w:r>
        <w:rPr>
          <w:rFonts w:ascii="Times New Roman" w:hAnsi="Times New Roman" w:cs="Times New Roman" w:eastAsia="Times New Roman"/>
          <w:b w:val="0"/>
          <w:i w:val="0"/>
          <w:sz w:val="24"/>
        </w:rPr>
        <w:t>“Indeed, besides the aforementioned factors, vascular homeostasis is also regulated by myoendothelial junctions (MEJs), which mediate direct interactions between ECs and vascular smooth muscle cells (VSMCs) in resistance vessels. MEJs facilitate endothelial-dependent hyperpolarization (EDH), a NO-independent mechanism modulating vasodilation and vasoconstriction. Recent studies have highlighted the role of membrane proteins such as Transient Receptor Potential Vanilloid 4 (TRPV4), Piezo1, Acid-Sensing Ion Channel 1a (ASIC1a), Connexins, and eNOS in vasomotor signal initiation and propagation. Although eNOS is not an intrinsic membrane protein, its localization to caveolae and interaction with caveolin-1 is promoted by post-translational modifications. Additional insights into Notch signaling have further elucidated its impact on vascular tone [ 4 , 12 , 13 ]. Initially identified as a vasodilator factor distinct from NO and PGI2, EDHF\u2019s identity evolved into the broader concept of EDH signaling, reflecting its complex role in vascular function.”  [PMC11939635 ¶8]</w:t>
      </w:r>
    </w:p>
    <w:p>
      <w:pPr>
        <w:jc w:val="center"/>
      </w:pPr>
      <w:r>
        <w:drawing>
          <wp:inline xmlns:a="http://schemas.openxmlformats.org/drawingml/2006/main" xmlns:pic="http://schemas.openxmlformats.org/drawingml/2006/picture">
            <wp:extent cx="5029200" cy="2916365"/>
            <wp:docPr id="184" name="Picture 184"/>
            <wp:cNvGraphicFramePr>
              <a:graphicFrameLocks noChangeAspect="1"/>
            </wp:cNvGraphicFramePr>
            <a:graphic>
              <a:graphicData uri="http://schemas.openxmlformats.org/drawingml/2006/picture">
                <pic:pic>
                  <pic:nvPicPr>
                    <pic:cNvPr id="0" name="p11_i1.jpg"/>
                    <pic:cNvPicPr/>
                  </pic:nvPicPr>
                  <pic:blipFill>
                    <a:blip r:embed="rId16"/>
                    <a:stretch>
                      <a:fillRect/>
                    </a:stretch>
                  </pic:blipFill>
                  <pic:spPr>
                    <a:xfrm>
                      <a:off x="0" y="0"/>
                      <a:ext cx="5029200" cy="2916365"/>
                    </a:xfrm>
                    <a:prstGeom prst="rect"/>
                  </pic:spPr>
                </pic:pic>
              </a:graphicData>
            </a:graphic>
          </wp:inline>
        </w:drawing>
      </w:r>
    </w:p>
    <w:p>
      <w:pPr>
        <w:spacing w:after="160"/>
        <w:jc w:val="center"/>
      </w:pPr>
      <w:r>
        <w:rPr>
          <w:rFonts w:ascii="Times New Roman" w:hAnsi="Times New Roman" w:cs="Times New Roman" w:eastAsia="Times New Roman"/>
          <w:b w:val="0"/>
          <w:i/>
          <w:sz w:val="20"/>
        </w:rPr>
        <w:t>Figure 1 (from PMC11939635): “Key molecular mechanisms linking endothelial dysfunction, NLRP3 inflammasome, and cardiovascular diseases (CVDs). Schematic illustration of the pathways and factors contributing to endothelial dysfunction and the progression of CVDs. The activation of the NLRP3 inflammasome by PAMPs, DAMPs, and hemodynamic alterations triggers the production of inflammatory ”</w:t>
      </w:r>
    </w:p>
    <w:p>
      <w:pPr>
        <w:spacing w:after="120"/>
        <w:jc w:val="both"/>
      </w:pPr>
      <w:r>
        <w:rPr>
          <w:rFonts w:ascii="Times New Roman" w:hAnsi="Times New Roman" w:cs="Times New Roman" w:eastAsia="Times New Roman"/>
          <w:b w:val="0"/>
          <w:i w:val="0"/>
          <w:sz w:val="24"/>
        </w:rPr>
        <w:t>“Moreover, ECs limit lipoprotein oxidation by reducing oxidative stress in the vascular wall through the production of NO, which is crucial in preventing atheromatous plaque formation [ 11 , 15 , 23 ]. The endothelial function is also regulated by the activation of receptor tyrosine kinases, such as vascular endothelial growth factor receptor (VEGFR2 and VEGFR3), as well as ion channels, integrins, and junctional proteins. Examples of junctional proteins are platelet endothelial cell adhesion molecule-1 (PECAM-1) and vascular endothelial (VE)-cadherin) [ 24 ]. Blood flow at the vessel level determines the onset of physical forces and mechano-transduction at the endothelial cell level. In physiological conditions, the shear stress produced by this force maintains the homeostasis of the endothelium. When this physical force varies\u2014whether it increases or decreases\u2014turbulence can arise, potentially disrupting homeostasis.”  [PMC11939635 ¶10]</w:t>
      </w:r>
    </w:p>
    <w:p>
      <w:pPr>
        <w:spacing w:after="120"/>
        <w:jc w:val="both"/>
      </w:pPr>
      <w:r>
        <w:rPr>
          <w:rFonts w:ascii="Times New Roman" w:hAnsi="Times New Roman" w:cs="Times New Roman" w:eastAsia="Times New Roman"/>
          <w:b w:val="0"/>
          <w:i w:val="0"/>
          <w:sz w:val="24"/>
        </w:rPr>
        <w:t>“Anaerobic glycolysis is also used during angiogenesis, thus favoring the invasion of less oxygenated areas by the endothelium [ 29 ]. In summary , ECs play a crucial role in maintaining vascular homeostasis through the release of NO, produced mainly by eNOS. The endothelium regulates blood flow, vascular resistance, and tissue metabolism via paracrine signaling, producing both vasodilators like NO, PGI 2 , and CO, and vasoconstrictors such as endothelins. Vascular homeostasis is also controlled by MEJs, which mediate communication between ECs and VSMCs, influencing vasodilation and vasoconstriction. EDH signaling, which involves hyperpolarization of VSMCs, is also vital in regulating vascular tone. Endothelial function is further influenced by mechanical forces such as shear stress, which maintains endothelial health. Additionally, ECs produce anticoagulant proteins and promote fibrinolysis.”  [PMC11939635 ¶12]</w:t>
      </w:r>
    </w:p>
    <w:p>
      <w:pPr>
        <w:spacing w:after="120"/>
        <w:jc w:val="both"/>
      </w:pPr>
      <w:r>
        <w:rPr>
          <w:rFonts w:ascii="Times New Roman" w:hAnsi="Times New Roman" w:cs="Times New Roman" w:eastAsia="Times New Roman"/>
          <w:b w:val="0"/>
          <w:i w:val="0"/>
          <w:sz w:val="24"/>
        </w:rPr>
        <w:t>“The endothelium also participates in metabolic processes like hormone regulation and lipoprotein oxidation, and it relies on anaerobic glycolysis for energy, particularly during angiogenesis. Due to its multiple functions and interactions, as well as the vastness of its surface, the endothelium plays a pivotal role in maintaining cardiovascular and overall organism health. Therefore, ED is at the foundation of a wide range of pathological conditions. 3. Endothelial Dysfunction and Activation By definition, ED is a pathological state of the endothelium characterized by an imbalance between the production of vasodilatory substances and vasoconstrictive, pro-inflammatory, and pro-thrombotic factors. ED impairs the endothelium\u2019s ability to regulate vascular tone, maintain vascular homeostasis, and prevent thrombosis and inflammation. ED contributes to the development and progression of CVDs, such as atherosclerosis and hypertension.”  [PMC11939635 ¶13]</w:t>
      </w:r>
    </w:p>
    <w:p>
      <w:pPr>
        <w:jc w:val="center"/>
      </w:pPr>
      <w:r>
        <w:drawing>
          <wp:inline xmlns:a="http://schemas.openxmlformats.org/drawingml/2006/main" xmlns:pic="http://schemas.openxmlformats.org/drawingml/2006/picture">
            <wp:extent cx="5029200" cy="2478960"/>
            <wp:docPr id="185" name="Picture 185"/>
            <wp:cNvGraphicFramePr>
              <a:graphicFrameLocks noChangeAspect="1"/>
            </wp:cNvGraphicFramePr>
            <a:graphic>
              <a:graphicData uri="http://schemas.openxmlformats.org/drawingml/2006/picture">
                <pic:pic>
                  <pic:nvPicPr>
                    <pic:cNvPr id="0" name="p06_i1.jpg"/>
                    <pic:cNvPicPr/>
                  </pic:nvPicPr>
                  <pic:blipFill>
                    <a:blip r:embed="rId33"/>
                    <a:stretch>
                      <a:fillRect/>
                    </a:stretch>
                  </pic:blipFill>
                  <pic:spPr>
                    <a:xfrm>
                      <a:off x="0" y="0"/>
                      <a:ext cx="5029200" cy="2478960"/>
                    </a:xfrm>
                    <a:prstGeom prst="rect"/>
                  </pic:spPr>
                </pic:pic>
              </a:graphicData>
            </a:graphic>
          </wp:inline>
        </w:drawing>
      </w:r>
    </w:p>
    <w:p>
      <w:pPr>
        <w:spacing w:after="160"/>
        <w:jc w:val="center"/>
      </w:pPr>
      <w:r>
        <w:rPr>
          <w:rFonts w:ascii="Times New Roman" w:hAnsi="Times New Roman" w:cs="Times New Roman" w:eastAsia="Times New Roman"/>
          <w:b w:val="0"/>
          <w:i/>
          <w:sz w:val="20"/>
        </w:rPr>
        <w:t>Figure 2 (from PMC11939635): “Adequate NO production supports redox balance, vasodilation, and vascular homeostasis. In contrast, endothelial dysfunction and reduced NO levels lead to redox imbalance, favoring ROS/RNS-mediated inflammation and fibrosis, with O 2 •− , ONOO − and NLRP3 playing key roles (See also Figure 2 ). Double-headed lines indicate inhibition, while simple arrows indi”</w:t>
      </w:r>
    </w:p>
    <w:p>
      <w:pPr>
        <w:spacing w:after="120"/>
        <w:jc w:val="both"/>
      </w:pPr>
      <w:r>
        <w:rPr>
          <w:rFonts w:ascii="Times New Roman" w:hAnsi="Times New Roman" w:cs="Times New Roman" w:eastAsia="Times New Roman"/>
          <w:b w:val="0"/>
          <w:i w:val="0"/>
          <w:sz w:val="24"/>
        </w:rPr>
        <w:t>“Aging is also among the factors that determine mitochondrial dysfunction. In fact, vascular ECs present impaired mitochondrial biogenesis, reduced respiration, and increased production of ROS, which directly contribute to a reduced NO availability [ 46 ]. Oxidative stress can also disrupt mitophagy in vascular cells by impairing the PTEN-induced kinase 1 (PINK1)/Parkin pathway and reducing the expression of key mitophagy receptors, including BCL2 interacting protein 3 (BNIP3) and Nox [ 47 , 48 , 49 ]. This disruption leads to the accumulation of dysfunctional mitochondria, contributing to ED, impaired angiogenic response to injury, and cardiac remodeling [ 50 ]. Physiological aging induces phenotypic changes that make the vascular system more fragile in its various components, thereby increasing susceptibility to CVDs, such as hypertension, cardiac remodeling, and other pathologies related to metabolic syndrome [ 43 ] (See also Section 4 ). 3.1.”  [PMC11939635 ¶19]</w:t>
      </w:r>
    </w:p>
    <w:p>
      <w:pPr>
        <w:spacing w:after="120"/>
        <w:jc w:val="both"/>
      </w:pPr>
      <w:r>
        <w:rPr>
          <w:rFonts w:ascii="Times New Roman" w:hAnsi="Times New Roman" w:cs="Times New Roman" w:eastAsia="Times New Roman"/>
          <w:b w:val="0"/>
          <w:i w:val="0"/>
          <w:sz w:val="24"/>
        </w:rPr>
        <w:t>“These stresses at the endothelial level can be caused by various factors, such as oxidized low-density lipoproteins (oxLDLs), aging, and hyperglycemia. The production of ROS primarily derives from dysfunctional mitochondria, uncoupling of eNOS, xanthine oxidase, and NADPH oxidase (NOX) [ 51 , 52 ]. In several conditions, eNOS undergoes uncoupling (See below), leading to the production of superoxide anion (O 2 \u2022\u2212 ) and the subsequent formation of ONOO \u2212 . The generated ROS and RNS further diminish the availability of tetrahydrobiopterin (BH 4 ), impairing NO production by ECs [ 53 ]. In physiological conditions, vascular and endothelial NOX enzymes have a very limited role [ 54 ], while in pathological conditions in response to acute or chronic stimuli, their activity increases significantly, compromising vascular functionality [ 55 ]. The isoforms present at the vascular level are NOX1, NOX2, NOX4, and NOX5.”  [PMC11939635 ¶21]</w:t>
      </w:r>
    </w:p>
    <w:p>
      <w:pPr>
        <w:keepNext/>
        <w:spacing w:before="280" w:after="80"/>
        <w:outlineLvl w:val="1"/>
      </w:pPr>
      <w:r>
        <w:rPr>
          <w:rFonts w:ascii="Times New Roman" w:hAnsi="Times New Roman" w:cs="Times New Roman" w:eastAsia="Times New Roman"/>
          <w:b/>
          <w:i w:val="0"/>
          <w:color w:val="335588"/>
          <w:sz w:val="28"/>
        </w:rPr>
        <w:t>13.2  Pregnancy, lactation and perinatal populations</w:t>
      </w:r>
    </w:p>
    <w:p>
      <w:pPr>
        <w:spacing w:after="120"/>
        <w:jc w:val="both"/>
      </w:pPr>
      <w:r>
        <w:rPr>
          <w:rFonts w:ascii="Times New Roman" w:hAnsi="Times New Roman" w:cs="Times New Roman" w:eastAsia="Times New Roman"/>
          <w:b w:val="0"/>
          <w:i w:val="0"/>
          <w:sz w:val="24"/>
        </w:rPr>
        <w:t>“Many studies have shown the protective effects of NAC for neonatal animals immune challenged with bacterial lipopolysaccharide (LPS) endotoxin, particularly studies involving piglets [ 13 , 14 ]. NAC administration has consistently been shown to increase daily body weight gain and alleviate LPS-mediated growth depression. Furthermore, the porcine model of ulcerative colitis (UC) can be used to support NAC usage for humans. For example, in a study conducted by Wang et al. (2013), the piglet model of UC demonstrated that administration of NAC was able to reduce colon histopathology score and ameliorate UC histological abnormalities [ 15 ]. Despite the numerous NAC studies and its increasing popularity, the mechanisms of action (MOA) by which NAC exerts its antioxidant and cytoprotective properties remain unclear [ 1 , 16 ]. It is often assumed that the effects conferred by NAC are due to it acting as a scavenger of reactive oxygen species (ROS), a precursor for glutathione (GSH) biosynthesis, and a disulfide reductant [ 16 , 17 ].”  [PMC10604897 ¶4]</w:t>
      </w:r>
    </w:p>
    <w:p>
      <w:pPr>
        <w:spacing w:after="120"/>
        <w:jc w:val="both"/>
      </w:pPr>
      <w:r>
        <w:rPr>
          <w:rFonts w:ascii="Times New Roman" w:hAnsi="Times New Roman" w:cs="Times New Roman" w:eastAsia="Times New Roman"/>
          <w:b w:val="0"/>
          <w:i w:val="0"/>
          <w:sz w:val="24"/>
        </w:rPr>
        <w:t>“( A ) Experimental scheme (see Materials and Methods for details). Panels (B–E) show the number of eggs produced by three animals within 3 h for strains carrying mutations for ( B ) xpc-1 , ( C ) csb-1 , ( D ) xpc-1 ; csb-1 and ( E ) xpa-1 . Panels (F–I) display the hatching rate as c graphic: `gkae519fig3.jpg` 5. **Figure 4.** — Loss of ADH-5 does not shorten the lifespan of animals deficient for xpa-1 and csb-1 , while formaldehyde-sensitivity is increased. ( A ) and ( B ) show full lifespan experiments of wildtype and adh-5 mutants, while (A) includes csb-1 and csb-1 ; adh-5 mutants, and (B) includes xpa-1 and xpa-1 ; adh-5 deficient animals. In ( C ) and ( D ), animals were exposed to 5 mM formaldehyde (FA) from the L4 graphic: `gkae519fig4.jpg` 6. **Figure 5.** — Simultaneous loss of redundant formaldehyde-detoxification pathways causes embryonic lethality and developmental delay, which is enhanced in NER-deficient animals.”  [PMC11317141 ¶2]</w:t>
      </w:r>
    </w:p>
    <w:p>
      <w:pPr>
        <w:spacing w:after="120"/>
        <w:jc w:val="both"/>
      </w:pPr>
      <w:r>
        <w:rPr>
          <w:rFonts w:ascii="Times New Roman" w:hAnsi="Times New Roman" w:cs="Times New Roman" w:eastAsia="Times New Roman"/>
          <w:b w:val="0"/>
          <w:i w:val="0"/>
          <w:sz w:val="24"/>
        </w:rPr>
        <w:t>“We have here investigated the consequence of a range of DNA repair mutants in a model of endogenous FA overload generated by downregulating the orthologs of human ADH5 and ALDH2 in C. elegans . We have focused on the distinct components of nucleotide excision repair (NER) during developmental growth, reproduction and aging. Our results reveal three distinct modes of repair of FA-induced DNA damage: Transcription-coupled repair (TCR) operating NER-independently during developmental growth or through NER during adulthood, and, in concert with global-genome (GG-) NER, in the germline and early embryonic development. Additionally, we show that the Cockayne syndrome B (CSB) factor is involved in the resolution of FA-induced DNA\u2013protein crosslinks, and that the antioxidant and FA quencher N -acetyl- l -cysteine (NAC) reverses the sensitivity of detoxification and DNA repair defects during development, suggesting a therapeutic intervention to revert FA-pathogenic consequences.", "body_text": "Introduction Formaldehyde (FA) is a widely recognized environmental cytotoxin and genotoxin.”  [PMC11317141 ¶5]</w:t>
      </w:r>
    </w:p>
    <w:p>
      <w:pPr>
        <w:spacing w:after="120"/>
        <w:jc w:val="both"/>
      </w:pPr>
      <w:r>
        <w:rPr>
          <w:rFonts w:ascii="Times New Roman" w:hAnsi="Times New Roman" w:cs="Times New Roman" w:eastAsia="Times New Roman"/>
          <w:b w:val="0"/>
          <w:i w:val="0"/>
          <w:sz w:val="24"/>
        </w:rPr>
        <w:t>“A prevailing hypothesis suggests that FA-induced damage overwhelms DNA repair mechanisms, yet the extensive array of FA-induced lesions might necessitate safeguarding the genome by multiple DNA repair systems. However, establishing genetic evidence in animals to validate these mechanisms remains experimentally challenging. Here, we employed the genetically traceable animal model organism C. elegans to explore DNA repair components safeguarding the genome against FA-induced damage. C. elegans undergoes most cell divisions during embryogenesis and hatches as L1 larvae that are comprised of mostly differentiated somatic cell types that grow in size during the L2, L3\u00a0and L4 larval stages until adulthood. Germ cells, in contrast, remain replicative active throughout adulthood. We first systematically determined the contribution of a wide range of DNA repair mechanisms to the survival of FA treatment in the presence and absence of adh-5 .”  [PMC11317141 ¶9]</w:t>
      </w:r>
    </w:p>
    <w:p>
      <w:pPr>
        <w:jc w:val="center"/>
      </w:pPr>
      <w:r>
        <w:drawing>
          <wp:inline xmlns:a="http://schemas.openxmlformats.org/drawingml/2006/main" xmlns:pic="http://schemas.openxmlformats.org/drawingml/2006/picture">
            <wp:extent cx="5029200" cy="3519430"/>
            <wp:docPr id="186" name="Picture 186"/>
            <wp:cNvGraphicFramePr>
              <a:graphicFrameLocks noChangeAspect="1"/>
            </wp:cNvGraphicFramePr>
            <a:graphic>
              <a:graphicData uri="http://schemas.openxmlformats.org/drawingml/2006/picture">
                <pic:pic>
                  <pic:nvPicPr>
                    <pic:cNvPr id="0" name="p04_i4.jpg"/>
                    <pic:cNvPicPr/>
                  </pic:nvPicPr>
                  <pic:blipFill>
                    <a:blip r:embed="rId34"/>
                    <a:stretch>
                      <a:fillRect/>
                    </a:stretch>
                  </pic:blipFill>
                  <pic:spPr>
                    <a:xfrm>
                      <a:off x="0" y="0"/>
                      <a:ext cx="5029200" cy="3519430"/>
                    </a:xfrm>
                    <a:prstGeom prst="rect"/>
                  </pic:spPr>
                </pic:pic>
              </a:graphicData>
            </a:graphic>
          </wp:inline>
        </w:drawing>
      </w:r>
    </w:p>
    <w:p>
      <w:pPr>
        <w:spacing w:after="160"/>
        <w:jc w:val="center"/>
      </w:pPr>
      <w:r>
        <w:rPr>
          <w:rFonts w:ascii="Times New Roman" w:hAnsi="Times New Roman" w:cs="Times New Roman" w:eastAsia="Times New Roman"/>
          <w:b w:val="0"/>
          <w:i/>
          <w:sz w:val="20"/>
        </w:rPr>
        <w:t>Figure panel from PMC11317141 (source bitmap p04_i4.jpg).</w:t>
      </w:r>
    </w:p>
    <w:p>
      <w:pPr>
        <w:spacing w:after="120"/>
        <w:jc w:val="both"/>
      </w:pPr>
      <w:r>
        <w:rPr>
          <w:rFonts w:ascii="Times New Roman" w:hAnsi="Times New Roman" w:cs="Times New Roman" w:eastAsia="Times New Roman"/>
          <w:b w:val="0"/>
          <w:i w:val="0"/>
          <w:sz w:val="24"/>
        </w:rPr>
        <w:t>“Based on these results, we further determined tissue and development specific roles of NER components for FA tolerance. CSB-induced NER-independent TCR was required for FA resistance in postmitotic somatic tissues during developmental growth, while CSB-induced NER-dependent TCR was required in adulthood. In contrast, GG-NER was essential in germ cell and embryonic development. We further identified the ortholog of human ALDH2 ( alh-1 ) and developed a nematode model of AMeDS, ascertaining the roles of TCR and NER in this model. Lastly, we determined that N-acetyl cysteine (NAC) supplement could effectively restore FA resistance suggesting a potential intervention strategy for AMeDS. Materials and methods C. elegans maintenance Caenorhabditis elegans were maintained on Escherichia coli strain (OP50) seeded NGM plates at 20\u00b0C ( 29 ). The strains BJS885, BJS938, BJS939\u00a0and BJS940 were produced via standard genetic crossing in the Schumacher lab.”  [PMC11317141 ¶10]</w:t>
      </w:r>
    </w:p>
    <w:p>
      <w:pPr>
        <w:keepNext/>
        <w:spacing w:before="280" w:after="80"/>
        <w:outlineLvl w:val="1"/>
      </w:pPr>
      <w:r>
        <w:rPr>
          <w:rFonts w:ascii="Times New Roman" w:hAnsi="Times New Roman" w:cs="Times New Roman" w:eastAsia="Times New Roman"/>
          <w:b/>
          <w:i w:val="0"/>
          <w:color w:val="335588"/>
          <w:sz w:val="28"/>
        </w:rPr>
        <w:t>13.3  Paediatric and elderly populations</w:t>
      </w:r>
    </w:p>
    <w:p>
      <w:pPr>
        <w:spacing w:after="120"/>
        <w:jc w:val="both"/>
      </w:pPr>
      <w:r>
        <w:rPr>
          <w:rFonts w:ascii="Times New Roman" w:hAnsi="Times New Roman" w:cs="Times New Roman" w:eastAsia="Times New Roman"/>
          <w:b w:val="0"/>
          <w:i w:val="0"/>
          <w:sz w:val="24"/>
        </w:rPr>
        <w:t>“COVID-19 COVID-19 deaths are mainly attributed to the acute respiratory distress syndrome (ARDS) associated with SARS-CoV-2 infection, particularly in the elderly and those with co-morbidities [ 67 , 68 ]. There is increasing evidence to indicate that excessive immune activation, and the resulting cytokine storm, are the cause of COVID-19-associated lung injury [ 67 ]. This excessive immune activation can be the result of an imbalance in redox homeostasis of which prolonged oxidative stress due to inflammation, increased ROS production, and decreased GSH levels are important factors [ 67 ]. NAC has long since been used as an off-label antioxidant; however, there is increasing evidence from both preclinical and clinical studies that NAC can attenuate immune activation and cytokine release, which may be relevant to COVID-19 [ 50 ]. In a study conducted by Ungheri et al. (2000), NAC was found to significantly decrease the mortality of influenza-infected mice by reducing the production of ROS and cytokines, such as TNF-\u221d and IL-6 [ 69 ].”  [PMC10604897 ¶28]</w:t>
      </w:r>
    </w:p>
    <w:p>
      <w:pPr>
        <w:spacing w:after="120"/>
        <w:jc w:val="both"/>
      </w:pPr>
      <w:r>
        <w:rPr>
          <w:rFonts w:ascii="Times New Roman" w:hAnsi="Times New Roman" w:cs="Times New Roman" w:eastAsia="Times New Roman"/>
          <w:b w:val="0"/>
          <w:i w:val="0"/>
          <w:sz w:val="24"/>
        </w:rPr>
        <w:t>“Of note, ED is \u201cphysiologically\u201d induced by aging. In fact, with age, there are evident changes of both a structural and functional nature which contribute to the onset of CVDS diseases. At the cellular level, in addition to the classic signs of ED, trans-differentiation of VSMCs and cellular senescence have been observed. With aging, numerous changes at the molecular level of ECs are recognized. In larger vessels, such as the aorta, an increase in end-to-end inter-endothelial junctions is observed during aging, while overlapping or interdigitated junctions decrease [ 42 ]. The carotid arteries exhibit increased permeability in the elderly due to the separation of endothelial cell\u2013cell junctions [ 43 ]. In several vessels, including the aorta and coronary arteries, both an increase in endothelial apoptosis caused by aging and a reduced cell density are found [ 42 , 43 ]. Increased autophagy has been reported to reverse arterial aging by improving age-related ED [ 43 , 44 , 45 ].”  [PMC11939635 ¶18]</w:t>
      </w:r>
    </w:p>
    <w:p>
      <w:pPr>
        <w:keepNext/>
        <w:spacing w:before="280" w:after="80"/>
        <w:outlineLvl w:val="1"/>
      </w:pPr>
      <w:r>
        <w:rPr>
          <w:rFonts w:ascii="Times New Roman" w:hAnsi="Times New Roman" w:cs="Times New Roman" w:eastAsia="Times New Roman"/>
          <w:b/>
          <w:i w:val="0"/>
          <w:color w:val="335588"/>
          <w:sz w:val="28"/>
        </w:rPr>
        <w:t>13.4  Randomised controlled trial evidence — clinical endpoints</w:t>
      </w:r>
    </w:p>
    <w:p>
      <w:pPr>
        <w:spacing w:after="120"/>
        <w:jc w:val="both"/>
      </w:pPr>
      <w:r>
        <w:rPr>
          <w:rFonts w:ascii="Times New Roman" w:hAnsi="Times New Roman" w:cs="Times New Roman" w:eastAsia="Times New Roman"/>
          <w:b w:val="0"/>
          <w:i w:val="0"/>
          <w:sz w:val="24"/>
        </w:rPr>
        <w:t>“NAC possesses antioxidant, cytoprotective, anti-inflammatory, antimicrobial, and mucolytic properties, making it a promising therapeutic agent for a wide range of diseases in both humans and domesticated animals. Oxidative stress and inflammation play a major role in the onset and progression of all these diseases. NAC\u2019s primary role is to replenish glutathione (GSH) stores, the master antioxidant in all tissues; however, it can also reduce levels of pro-inflammatory tumor necrosis factor-alpha (TNF-\u221d) and interleukins (IL-6 and IL-1\u03b2), inhibit the formation of microbial biofilms and destroy biofilms, and break down disulfide bonds between mucin molecules. Many experimental studies have been conducted on the use of NAC to address a wide range of pathological conditions; however, its effectiveness in clinical trials remains limited and studies often have conflicting results.”  [PMC10604897 ¶1]</w:t>
      </w:r>
    </w:p>
    <w:p>
      <w:pPr>
        <w:spacing w:after="120"/>
        <w:jc w:val="both"/>
      </w:pPr>
      <w:r>
        <w:rPr>
          <w:rFonts w:ascii="Times New Roman" w:hAnsi="Times New Roman" w:cs="Times New Roman" w:eastAsia="Times New Roman"/>
          <w:b w:val="0"/>
          <w:i w:val="0"/>
          <w:sz w:val="24"/>
        </w:rPr>
        <w:t>“NAC\u2019s half-life was found to be 1.04 \u00b1 0.53 h. The authors also did not find any significant difference between NAC\u2019s pharmacokinetics in healthy broilers versus Mycoplasma gallisepticum-infected broilers. 5. Therapeutic Uses of NAC in Humans NAC is one of the most used antioxidants in clinical practice to date [ 16 , 17 , 36 ]. There has been a growing interest over the past few decades to use NAC as a potential treatment for a wide range of diseases and disorders in which oxidative stress is suspected to play a role [ 17 , 37 ], including respiratory, cardiovascular, neurodegenerative, liver, kidney, gastrointestinal, and infectious diseases [ 1 ]. antioxidants-12-01867-t001_Table 1 Table 1 N-acetylcysteine adverse events. Study Study Type Study Size NAC Treatment Type and Incidence of Adverse Events following NAC Treatment Moderate Severe [ 38 ] Double-blinded, placebo-controlled, crossover design 17 healthy individuals (age 30 \u00b1 2 years) 9 mg/kg NAC capsule Upset stomach (2), nausea (1), stomach/intestinal gas (1), cough (1) 18 mg/kg NAC capsule Upset stomach (1), nausea (1), stomach/intestinal gas (2), sleepiness (2), metallic taste (1) 35 mg/kg oral NAC solution Upset stomach (2), stomach/intestinal gas (2), sleepiness (1), metallic taste (1) 70 mg/kg oral NAC solution Upset stomach (2), stomach/intestinal gas (1), sleepiness (3), metallic taste (3), light-headedness (1), cough (1) Upset stomach (1), Stomach/intestinal gas (1) 140 mg/kg oral NAC solution Upset stomach (5), nausea (3), stomach/intestinal gas (2), sleepiness (2), metallic taste (4), light-headedness (1) Upset stomach (1), stomach/intestinal gas (4) [ 39 ] Randomized, placebo-controlled study 28 individuals (\u226475 years) 20 mg/min intravenous NAC for first hour, then 10 mg/min for next 23 h; total dose of 15 g over 24 h Haemorrhage (3), headache (4) Transient episode of extreme sinus bradycardia (1) [ 40 ] Randomized, placebo-controlled study 4 healthy individuals (age 35 \u00b1 3 years) 150 mg/kg intravenous Transient skin flushing (2), pruritus (2), nausea (2) [ 41 ] Double-blind, randomized trial 65 chronic bronchitis patients 4 puffs of NAC (1 mg/puff) two times daily Coughing (4), Dyspnoea (7) 5.1.”  [PMC10604897 ¶13]</w:t>
      </w:r>
    </w:p>
    <w:p>
      <w:pPr>
        <w:spacing w:after="120"/>
        <w:jc w:val="both"/>
      </w:pPr>
      <w:r>
        <w:rPr>
          <w:rFonts w:ascii="Times New Roman" w:hAnsi="Times New Roman" w:cs="Times New Roman" w:eastAsia="Times New Roman"/>
          <w:b w:val="0"/>
          <w:i w:val="0"/>
          <w:sz w:val="24"/>
        </w:rPr>
        <w:t>“In a study conducted by Messier et al. (2013), NAC was shown to provide protection against injury to murine alveolar type 2 (ATII) cells and lung tissue induced by cigarette smoke [ 55 ]. These in vivo and in vitro studies were carried out with mice lacking the nuclear factor erythroid 2-related factor-2 ( Nrf2 ), whose gene product is a redox-sensitive transcription factor that is crucial to the regulation of the antioxidant defense system [ 54 , 55 ]. NAC\u2019s ability to act as a direct scavenger of free radicals in an Nrf2-independent manner is of considerable importance as Nrf2-dependent endogenous antioxidants are often reduced in COPD patients [ 54 ]. In a randomized, placebo-controlled trial conducted by Kasielski and Nowak (2001), in which NAC was administered long-term (12 months), it was found that treatment with 600 mg/day of NAC significantly reduced the concentration of H 2 O 2 in the expired breath condensate of stable COPD patients; these patients showed a progressive decrease from baseline H 2 O 2 concentrations, reaching statistical significance after 6 months of treatment [ 56 ].”  [PMC10604897 ¶23]</w:t>
      </w:r>
    </w:p>
    <w:p>
      <w:pPr>
        <w:jc w:val="center"/>
      </w:pPr>
      <w:r>
        <w:drawing>
          <wp:inline xmlns:a="http://schemas.openxmlformats.org/drawingml/2006/main" xmlns:pic="http://schemas.openxmlformats.org/drawingml/2006/picture">
            <wp:extent cx="5029200" cy="2300859"/>
            <wp:docPr id="187" name="Picture 187"/>
            <wp:cNvGraphicFramePr>
              <a:graphicFrameLocks noChangeAspect="1"/>
            </wp:cNvGraphicFramePr>
            <a:graphic>
              <a:graphicData uri="http://schemas.openxmlformats.org/drawingml/2006/picture">
                <pic:pic>
                  <pic:nvPicPr>
                    <pic:cNvPr id="0" name="p21_i1.jpg"/>
                    <pic:cNvPicPr/>
                  </pic:nvPicPr>
                  <pic:blipFill>
                    <a:blip r:embed="rId12"/>
                    <a:stretch>
                      <a:fillRect/>
                    </a:stretch>
                  </pic:blipFill>
                  <pic:spPr>
                    <a:xfrm>
                      <a:off x="0" y="0"/>
                      <a:ext cx="5029200" cy="2300859"/>
                    </a:xfrm>
                    <a:prstGeom prst="rect"/>
                  </pic:spPr>
                </pic:pic>
              </a:graphicData>
            </a:graphic>
          </wp:inline>
        </w:drawing>
      </w:r>
    </w:p>
    <w:p>
      <w:pPr>
        <w:spacing w:after="160"/>
        <w:jc w:val="center"/>
      </w:pPr>
      <w:r>
        <w:rPr>
          <w:rFonts w:ascii="Times New Roman" w:hAnsi="Times New Roman" w:cs="Times New Roman" w:eastAsia="Times New Roman"/>
          <w:b w:val="0"/>
          <w:i/>
          <w:sz w:val="20"/>
        </w:rPr>
        <w:t>Figure 1 (from PMC10604897): “The three major narratives of NAC’s mechanisms of action.</w:t>
        <w:br/>
        <w:t xml:space="preserve">   graphic: `antioxidants-12-01867-g001.jpg`”</w:t>
      </w:r>
    </w:p>
    <w:p>
      <w:pPr>
        <w:spacing w:after="120"/>
        <w:jc w:val="both"/>
      </w:pPr>
      <w:r>
        <w:rPr>
          <w:rFonts w:ascii="Times New Roman" w:hAnsi="Times New Roman" w:cs="Times New Roman" w:eastAsia="Times New Roman"/>
          <w:b w:val="0"/>
          <w:i w:val="0"/>
          <w:sz w:val="24"/>
        </w:rPr>
        <w:t>“In human trials, for example, NAC significantly lowered the occurrence of clinically apparent H1N1 influenza disease [ 61 ]. Additionally, in cell culture experiments, NAC protected against H3N2 influenza virus-induced oxidative stress, cell death, the expression of inflammatory genes, and NF-\u03baB activity [ 62 , 63 ]. However, this aspect is still under investigation, and more research is needed to confirm its antiviral properties. High doses of NAC used as an adjuvant treatment in influenza pneumonia patients have also been shown to reduce influenza symptomatology and to improve cell-mediated immunity, which is important for fighting viral infections [ 61 ]. NAC\u2019s immunomodulatory properties are likely due to its ability to inhibit the activation of oxidant-sensitive pathways, including the NF-\u03baB and p38 mitogen-activated protein kinase (MAPK) signaling pathways [ 60 ]. Indeed, cytokine and chemokine levels were significantly reduced following in vivo NAC treatment [ 60 ].”  [PMC10604897 ¶26]</w:t>
      </w:r>
    </w:p>
    <w:p>
      <w:pPr>
        <w:spacing w:after="120"/>
        <w:jc w:val="both"/>
      </w:pPr>
      <w:r>
        <w:rPr>
          <w:rFonts w:ascii="Times New Roman" w:hAnsi="Times New Roman" w:cs="Times New Roman" w:eastAsia="Times New Roman"/>
          <w:b w:val="0"/>
          <w:i w:val="0"/>
          <w:sz w:val="24"/>
        </w:rPr>
        <w:t>“In a double-blind controlled clinical trial, patients received 800 mg of NAC or placebo over the course of 16 weeks [ 78 ]. The results of the study found significant differences between the two treatment groups, where the NAC-treated patients had fewer incidences of endoscopic relapse compared to the placebo group [ 78 ]. Additionally, serum CRP levels, mean fecal calprotectin, and the serum erythrocyte sedimentation rate were lower in the NAC group than in the placebo group [ 78 ]. These findings elucidated the positive effects that NAC has on the treatment of UC [ 78 ]. Further studies regarding the protective effects of NAC in treating IBD should be explored in humans seeing as it was proven in mice that NAC can improve cellular biomarkers of IBD disease and elicit positive effects in the treatment of UC within humans [ 78 ]. 7. Cardiovascular Diseases Recently, the role of NAC in cardiovascular diseases has also received wide attention from the research community.”  [PMC10604897 ¶35]</w:t>
      </w:r>
    </w:p>
    <w:p>
      <w:pPr>
        <w:spacing w:after="120"/>
        <w:jc w:val="both"/>
      </w:pPr>
      <w:r>
        <w:rPr>
          <w:rFonts w:ascii="Times New Roman" w:hAnsi="Times New Roman" w:cs="Times New Roman" w:eastAsia="Times New Roman"/>
          <w:b w:val="0"/>
          <w:i w:val="0"/>
          <w:sz w:val="24"/>
        </w:rPr>
        <w:t>“Furthermore, studies involving diabetic patients demonstrated that the administration of intravenous NAC during hyperglycemic clamp, which measures insulin secretion and pancreatic-cell function, was shown to improve insulin sensitivity and increase peripheral glucose uptake [ 89 ]. antioxidants-12-01867-t002_Table 2 Table 2 N-acetylcysteine clinical studies. Disease Study Type Study Phase Dose Treatment Duration Administration Routes Liver diseases Acute acetaminophen overdose Interventional (Clinical Trial) NCT03679442 Phase 1 Dose corresponding to the clinical treatment guidelines for acetaminophen overdosed patients 16 h Intravenous Non-alcoholic fatty liver disease Interventional (Clinical Trial) NCT02117700 Phase 2 600 mg twice/ day 16 weeks Oral Pulmonary diseases Cystic fibrosis Interventional (Clinical Trial) NCT00809094 Phase 2 900 mg twice/day 24 weeks Oral Chronic Obstructive Pulmonary Disease Interventional (Clinical Trial) NCT01136239 Phase 4 600 mg twice/ day One year Oral Interventional (Clinical Trial) NCT00969904 Phase 4 600 mg twice/ day 12 weeks Oral Interventional (Clinical Trial) NCT03388853 Phase 4 1200 mg once daily 4 weeks Oral Interventional (Clinical Trial) NCT02579772 Phase 4 600 mg three times/ day for 4 days prior to experimental procedures and 600 mg on the day of the experiment 4 days Oral Interventional (Clinical Trial) NCT00184977 Phase 4 600 mg once daily 3 years Oral Infectious Diseases Influenza Interventional (Clinical Trial) NCT03900988 Phase 4 100 mg/kg daily as a continuous IV infusion over 24 h 28 days Intravenous COVID-19 Interventional (Clinical Trial) NCT04374461 Phase 2 6 g/day Patients will receive treatment for a max of 3 weeks Intravenous Interventional (Clinical Trial) NCT04928495 Phase 3 1800 mg once daily 10 days Oral Interventional (Clinical Trial) NCT04900129 Phase 1 1.2 g twice/day One month Inhalation Interventional (Clinical Trial) NCT04792021 Phase 3 600 mg/day Two weeks/ until hospital discharge or death Oral Interventional (Clinical Trial) NCT04419025 Phase 2 Inpatients : 25 mg/kg (rounded up to the nearest 600 mg) every 4 h until discharge and then 1200 mg twice daily \u00d7 1 week post-discharge Outpatients : 2400 mg \u00d7 1 then 1200 mg twice daily \u00d7 2 weeks Inpatients : until 1 week post-discharge Outpatients : 15 days Oral Interventional (Clinical Trial) NCT04455243 Phase 3 150 mg/kg every 12 h diluted in 200 mL diluent (D5%, NS) 14 days Oral or intravenous Diabetes Mellitus Interventional (Clinical Trial) NCT02206152 Phase 1 and 2 150 mg/kg loading dose over the first hour and then follow that with a 50 mg/kg maintenance dose infused over the next 4 h during a controlled hyperinsulinemic hypoglycemic insulin clamp Two 2-day treatments separated by 8 weeks Intravenous Interventional (Clinical Trial) NCT01394510 N/A 600 mg twice daily \u00d7 2 weeks, then 1200 mg twice daily \u00d7 2 weeks 4 weeks Oral Interventional (Clinical Trial) NCT04531163 Phase 2 and 3 1200 mg/day 2 months Oral Interventional (Clinical Trial) NCT00556465 Phase 2 and 3 600 mg twice/ day 3 months Oral 9.”  [PMC10604897 ¶40]</w:t>
      </w:r>
    </w:p>
    <w:p>
      <w:pPr>
        <w:jc w:val="center"/>
      </w:pPr>
      <w:r>
        <w:drawing>
          <wp:inline xmlns:a="http://schemas.openxmlformats.org/drawingml/2006/main" xmlns:pic="http://schemas.openxmlformats.org/drawingml/2006/picture">
            <wp:extent cx="5029200" cy="1144143"/>
            <wp:docPr id="188" name="Picture 188"/>
            <wp:cNvGraphicFramePr>
              <a:graphicFrameLocks noChangeAspect="1"/>
            </wp:cNvGraphicFramePr>
            <a:graphic>
              <a:graphicData uri="http://schemas.openxmlformats.org/drawingml/2006/picture">
                <pic:pic>
                  <pic:nvPicPr>
                    <pic:cNvPr id="0" name="p21_i2.jpg"/>
                    <pic:cNvPicPr/>
                  </pic:nvPicPr>
                  <pic:blipFill>
                    <a:blip r:embed="rId13"/>
                    <a:stretch>
                      <a:fillRect/>
                    </a:stretch>
                  </pic:blipFill>
                  <pic:spPr>
                    <a:xfrm>
                      <a:off x="0" y="0"/>
                      <a:ext cx="5029200" cy="1144143"/>
                    </a:xfrm>
                    <a:prstGeom prst="rect"/>
                  </pic:spPr>
                </pic:pic>
              </a:graphicData>
            </a:graphic>
          </wp:inline>
        </w:drawing>
      </w:r>
    </w:p>
    <w:p>
      <w:pPr>
        <w:spacing w:after="160"/>
        <w:jc w:val="center"/>
      </w:pPr>
      <w:r>
        <w:rPr>
          <w:rFonts w:ascii="Times New Roman" w:hAnsi="Times New Roman" w:cs="Times New Roman" w:eastAsia="Times New Roman"/>
          <w:b w:val="0"/>
          <w:i/>
          <w:sz w:val="20"/>
        </w:rPr>
        <w:t>Figure panel from PMC10604897 (source bitmap p21_i2.jpg).</w:t>
      </w:r>
    </w:p>
    <w:p>
      <w:pPr>
        <w:spacing w:after="120"/>
        <w:jc w:val="both"/>
      </w:pPr>
      <w:r>
        <w:rPr>
          <w:rFonts w:ascii="Times New Roman" w:hAnsi="Times New Roman" w:cs="Times New Roman" w:eastAsia="Times New Roman"/>
          <w:b w:val="0"/>
          <w:i w:val="0"/>
          <w:sz w:val="24"/>
        </w:rPr>
        <w:t>“Inflammation of the respiratory tract can contribute to flare-ups and deterioration of COPD [ 16 ]. Bronchiectasis involves irreversible bronchial lumen expansion, compromising mucus clearance [ 17 ] and facilitating bacterial colonization [ 18 ]. The initial production of toxins by bacteria contributes to the activation of both microbial and danger-associated molecular patterns, subsequently heightening inflammation [ 18 ]. As a result, this inflammatory response triggers hyperplasia and metaplasia of goblet cells, eventually resulting in increased secretion of mucus in the airways [ 19 , 20 , 21 ]. NAC has undergone extensive scrutiny in numerous global clinical trials and has been used for many years in treating various respiratory conditions [ 13 , 22 , 23 ]. It is a well-documented and well-established treatment of choice, valued not only for reducing mucus viscosity and promoting discharge but also for its recognized antioxidant and anti-inflammatory properties [ 13 , 22 , 23 ].”  [PMC11278452 ¶6]</w:t>
      </w:r>
    </w:p>
    <w:p>
      <w:pPr>
        <w:spacing w:after="120"/>
        <w:jc w:val="both"/>
      </w:pPr>
      <w:r>
        <w:rPr>
          <w:rFonts w:ascii="Times New Roman" w:hAnsi="Times New Roman" w:cs="Times New Roman" w:eastAsia="Times New Roman"/>
          <w:b w:val="0"/>
          <w:i w:val="0"/>
          <w:sz w:val="24"/>
        </w:rPr>
        <w:t>“NAC has been shown to counteract bronchial desensitization during LPS challenges, restoring the normal contractility of airway smooth cells in an ex vivo AECOPD model [ 27 ], suggesting a potential role in protecting against exacerbations. While certain dated studies found a small but significant positive impact of NAC on respiratory function in stable COPD patients, as measured by FEV 1 [ 89 , 90 ] and MEF 50 [ 90 ], recent research yielded disappointing results [ 91 , 92 , 93 ]. This discrepancy may stem from the limited sensitivity of these measures in detecting small airway disease and air trapping, where NAC is believed to exert its greatest effect, as evidenced by the improved FEF 25\u201375% observed in the BRONCUS trial [ 91 ]. The randomized placebo-controlled HIACE and PANTHEON trials highlight a reduction in exacerbation rates in patients with COPD treated with 1200 mg/day of NAC for one year [ 88 , 94 ].”  [PMC11278452 ¶26]</w:t>
      </w:r>
    </w:p>
    <w:p>
      <w:pPr>
        <w:spacing w:after="120"/>
        <w:jc w:val="both"/>
      </w:pPr>
      <w:r>
        <w:rPr>
          <w:rFonts w:ascii="Times New Roman" w:hAnsi="Times New Roman" w:cs="Times New Roman" w:eastAsia="Times New Roman"/>
          <w:b w:val="0"/>
          <w:i w:val="0"/>
          <w:sz w:val="24"/>
        </w:rPr>
        <w:t>“Extensive evidence from randomized clinical trials and thorough meta-analyses supports the efficacy of long-term NAC administration in decreasing the risk of AECOPD [ 88 , 94 , 96 , 97 ] and establishes a dose-related protective effect [ 96 , 97 ]. Additionally, pre-clinical in vitro studies indicate that chronic administration may require lower doses for efficacy [ 97 ]. However, there remains a crucial need for larger and more robust randomized controlled trials to optimize dosage and duration of treatment. Such trials can contribute to instilling greater confidence and facilitate the widespread adoption of NAC as a safe and effective therapy for COPD management. Concerning lung diseases other than COPD, thiol drugs have been proposed to have anti-fibrotic activity in IPF, attributed to their antioxidant and anti-inflammatory effects [ 103 , 104 , 105 ]. This condition involves the generation of oxygen radicals and a reduction in GSH levels [ 106 ].”  [PMC11278452 ¶30]</w:t>
      </w:r>
    </w:p>
    <w:p>
      <w:pPr>
        <w:jc w:val="center"/>
      </w:pPr>
      <w:r>
        <w:drawing>
          <wp:inline xmlns:a="http://schemas.openxmlformats.org/drawingml/2006/main" xmlns:pic="http://schemas.openxmlformats.org/drawingml/2006/picture">
            <wp:extent cx="5029200" cy="4259385"/>
            <wp:docPr id="189" name="Picture 189"/>
            <wp:cNvGraphicFramePr>
              <a:graphicFrameLocks noChangeAspect="1"/>
            </wp:cNvGraphicFramePr>
            <a:graphic>
              <a:graphicData uri="http://schemas.openxmlformats.org/drawingml/2006/picture">
                <pic:pic>
                  <pic:nvPicPr>
                    <pic:cNvPr id="0" name="p06_i1.jpg"/>
                    <pic:cNvPicPr/>
                  </pic:nvPicPr>
                  <pic:blipFill>
                    <a:blip r:embed="rId14"/>
                    <a:stretch>
                      <a:fillRect/>
                    </a:stretch>
                  </pic:blipFill>
                  <pic:spPr>
                    <a:xfrm>
                      <a:off x="0" y="0"/>
                      <a:ext cx="5029200" cy="4259385"/>
                    </a:xfrm>
                    <a:prstGeom prst="rect"/>
                  </pic:spPr>
                </pic:pic>
              </a:graphicData>
            </a:graphic>
          </wp:inline>
        </w:drawing>
      </w:r>
    </w:p>
    <w:p>
      <w:pPr>
        <w:spacing w:after="160"/>
        <w:jc w:val="center"/>
      </w:pPr>
      <w:r>
        <w:rPr>
          <w:rFonts w:ascii="Times New Roman" w:hAnsi="Times New Roman" w:cs="Times New Roman" w:eastAsia="Times New Roman"/>
          <w:b w:val="0"/>
          <w:i/>
          <w:sz w:val="20"/>
        </w:rPr>
        <w:t>Figure 1 (from PMC11278452): “Differential modulation of pro-inflammatory mediators in relation to both the concentration and duration of treatment with N-acetylcysteine in in vitro models of airway inflammation. NAC: N-acetylcysteine; LPS: lipopolysaccharides; NKA: neurokinin A; IL-6: Interleukin-6; TNF-α: tumor necrosis factor-α; IL-8: Interleukin-8; IL-1β: Interleukin-1beta; NF-κB: Nu”</w:t>
      </w:r>
    </w:p>
    <w:p>
      <w:pPr>
        <w:spacing w:after="120"/>
        <w:jc w:val="both"/>
      </w:pPr>
      <w:r>
        <w:rPr>
          <w:rFonts w:ascii="Times New Roman" w:hAnsi="Times New Roman" w:cs="Times New Roman" w:eastAsia="Times New Roman"/>
          <w:b w:val="0"/>
          <w:i w:val="0"/>
          <w:sz w:val="24"/>
        </w:rPr>
        <w:t>“Despite these potential benefits, clinical trials for IPF have produced inconsistent results [ 103 , 106 , 107 , 108 ]. Using oral NAC, either by itself or in conjunction with pirfenidone or nintedanib, might be an effective treatment option for certain IPF patients [ 109 ], particularly those with the rs3750920 (TOLLIP) TT genotype [ 110 ]. Data on the overall efficacy and safety of NAC in a pharmacogenomic context, tailored to patients most likely to benefit, are eagerly awaited [ 108 ]. In addition, NAC is also utilized for treating non-CF bronchiectasis, where it could help decrease the frequency of exacerbations [ 111 ]. A recent randomized placebo-controlled pilot study evaluated the impact of NAC on sputum neutrophil elastase levels, which serve as a surrogate marker for exacerbations, in adult patients with bronchiectasis [ 112 ]. They observed a nearly 50% reduction in sputum neutrophil elastase and improvements in lung function and QoL-related domains, without increased adverse events compared to placebo [ 112 ].”  [PMC11278452 ¶31]</w:t>
      </w:r>
    </w:p>
    <w:p>
      <w:pPr>
        <w:spacing w:after="120"/>
        <w:jc w:val="both"/>
      </w:pPr>
      <w:r>
        <w:rPr>
          <w:rFonts w:ascii="Times New Roman" w:hAnsi="Times New Roman" w:cs="Times New Roman" w:eastAsia="Times New Roman"/>
          <w:b w:val="0"/>
          <w:i w:val="0"/>
          <w:sz w:val="24"/>
        </w:rPr>
        <w:t>“A multicenter, double-blind, randomized, placebo-controlled trial is presently in progress to investigate the sustained effectiveness of oral NAC on exacerbation rates and QoL in bronchiectasis [ 113 ]. The study aims to specifically focus on the antioxidant, anti-inflammatory, and antibacterial properties of NAC in bronchiectasis [ 113 ]. NAC is also used in CF, which is characterized by frequent respiratory infections, PMN-mediated inflammation, and increased oxidative stress [ 114 ]. However, evidence of NAC effectiveness in CF is still poor, despite some encouraging results [ 115 , 116 , 117 ], and further studies on larger samples are needed [ 114 ]. Interestingly, NAC as adjunctive therapy has been associated with reduced rates of progression to respiratory failure, with some studies reporting shorter hospital stays and others indicating decreased mortality in patients hospitalized for COVID-19 pneumonia [ 118 ]. 5.”  [PMC11278452 ¶32]</w:t>
      </w:r>
    </w:p>
    <w:p>
      <w:pPr>
        <w:spacing w:after="120"/>
        <w:jc w:val="both"/>
      </w:pPr>
      <w:r>
        <w:rPr>
          <w:rFonts w:ascii="Times New Roman" w:hAnsi="Times New Roman" w:cs="Times New Roman" w:eastAsia="Times New Roman"/>
          <w:b w:val="0"/>
          <w:i w:val="0"/>
          <w:sz w:val="24"/>
        </w:rPr>
        <w:t>“Clinical trial results suggest that prolonged NAC administration can significantly enhance respiratory symptoms and decrease the frequency of exacerbations in COPD and CB/pre-COPD patients.", "tables": [], "figures": [ { "label": "Figure 1", "caption": "Differential modulation of pro-inflammatory mediators in relation to both the concentration and duration of treatment with N-acetylcysteine in in vitro models of airway inflammation. NAC: N-acetylcysteine; LPS: lipopolysaccharides; NKA: neurokinin A; IL-6: Interleukin-6; TNF-\u03b1: tumor necrosis factor-\u03b1; IL-8: Interleukin-8; IL-1\u03b2: Interleukin-1beta; NF-\u03baB: Nuclear factor kappa B.", "graphic_href": "jcm-13-04127-g001.jpg" }, { "label": "Figure 2", "caption": "Proposed molecular mechanisms for the therapeutic activity of N-acetylcysteine after oral administration in chronic respiratory diseases. NAC: N-acetylcysteine; GSH: glutathione; RSSH: persulfides; RSS n SR: polysulfides; NKA: neurokinin A; NF-\u03baB: Nuclear factor kappa B; TNF-\u03b1: tumor necrosis factor-\u03b1; IL-1\u03b2: Interleukin-1beta; IL-8: Interleukin-8; ROS: reactive oxygen species.", "graphic_href": "jcm-13-04127-g002.jpg" } ], "references": [ { "title": "The reduction in vitro in viscosity of mucoprotein solutions by a new mucolytic agent, N-acetyl-L-cysteine", "year": "1963", "source": "Ann.”  [PMC11278452 ¶34]</w:t>
      </w:r>
    </w:p>
    <w:p>
      <w:pPr>
        <w:jc w:val="center"/>
      </w:pPr>
      <w:r>
        <w:drawing>
          <wp:inline xmlns:a="http://schemas.openxmlformats.org/drawingml/2006/main" xmlns:pic="http://schemas.openxmlformats.org/drawingml/2006/picture">
            <wp:extent cx="5029200" cy="3369819"/>
            <wp:docPr id="190" name="Picture 190"/>
            <wp:cNvGraphicFramePr>
              <a:graphicFrameLocks noChangeAspect="1"/>
            </wp:cNvGraphicFramePr>
            <a:graphic>
              <a:graphicData uri="http://schemas.openxmlformats.org/drawingml/2006/picture">
                <pic:pic>
                  <pic:nvPicPr>
                    <pic:cNvPr id="0" name="p08_i1.jpg"/>
                    <pic:cNvPicPr/>
                  </pic:nvPicPr>
                  <pic:blipFill>
                    <a:blip r:embed="rId15"/>
                    <a:stretch>
                      <a:fillRect/>
                    </a:stretch>
                  </pic:blipFill>
                  <pic:spPr>
                    <a:xfrm>
                      <a:off x="0" y="0"/>
                      <a:ext cx="5029200" cy="3369819"/>
                    </a:xfrm>
                    <a:prstGeom prst="rect"/>
                  </pic:spPr>
                </pic:pic>
              </a:graphicData>
            </a:graphic>
          </wp:inline>
        </w:drawing>
      </w:r>
    </w:p>
    <w:p>
      <w:pPr>
        <w:spacing w:after="160"/>
        <w:jc w:val="center"/>
      </w:pPr>
      <w:r>
        <w:rPr>
          <w:rFonts w:ascii="Times New Roman" w:hAnsi="Times New Roman" w:cs="Times New Roman" w:eastAsia="Times New Roman"/>
          <w:b w:val="0"/>
          <w:i/>
          <w:sz w:val="20"/>
        </w:rPr>
        <w:t>Figure 2 (from PMC11278452): “Proposed molecular mechanisms for the therapeutic activity of N-acetylcysteine after oral administration in chronic respiratory diseases. NAC: N-acetylcysteine; GSH: glutathione; RSSH: persulfides; RSS n SR: polysulfides; NKA: neurokinin A; NF-κB: Nuclear factor kappa B; TNF-α: tumor necrosis factor-α; IL-1β: Interleukin-1beta; IL-8: Interleukin-8; ROS: reac”</w:t>
      </w:r>
    </w:p>
    <w:p>
      <w:pPr>
        <w:spacing w:after="120"/>
        <w:jc w:val="both"/>
      </w:pPr>
      <w:r>
        <w:rPr>
          <w:rFonts w:ascii="Times New Roman" w:hAnsi="Times New Roman" w:cs="Times New Roman" w:eastAsia="Times New Roman"/>
          <w:b w:val="0"/>
          <w:i w:val="0"/>
          <w:sz w:val="24"/>
        </w:rPr>
        <w:t>“In fact, most recently it was suggested to plan for clinical trials using these compounds [ 20 ]. However, despite this extensive research activity, translation of new antidotes to the clinic is constrained. One reason for this limited progress is that the protective mechanisms proposed by these studies are questionable or wrong in most cases as they are mainly based on correlations and not causality assessment [ 21 ]. However, the most serious problem is the fact that almost all compounds are being used in the APAP model as pretreatment, which is a clinically irrelevant scenario [ 21 ]. Any compound with a realistic chance to be considered as an antidote must be effective when administered only after APAP treatment. The limited mechanistic understanding and in particular the absence of a clearly documented therapeutic effect in preclinical models leads to limited confidence that these interventions may work in APAP overdose patients under clinically realistic conditions.”  [PMC11315809 ¶5]</w:t>
      </w:r>
    </w:p>
    <w:p>
      <w:pPr>
        <w:spacing w:after="120"/>
        <w:jc w:val="both"/>
      </w:pPr>
      <w:r>
        <w:rPr>
          <w:rFonts w:ascii="Times New Roman" w:hAnsi="Times New Roman" w:cs="Times New Roman" w:eastAsia="Times New Roman"/>
          <w:b w:val="0"/>
          <w:i w:val="0"/>
          <w:sz w:val="24"/>
        </w:rPr>
        <w:t>“In addition, the costs of safety studies and clinical efficacy trials are too high of a risk for the limited reward, considering the smaller patient numbers. Thus, the main conclusions of most of these intervention studies that compound X acting through Y mechanism may be a promising therapeutic approach for APAP overdose patients are not supported by solid scientific evidence. Nevertheless, in recent years new developments give some hope that there can be progress with emerging novel therapeutics approaches. However, the key to advancing any potential therapeutic is to understand the molecular mechanisms of the disease and have a clear understanding of what the new intervention is targeting. 2. Mechanisms of APAP-induced Liver Injury Mechanistic studies of APAP hepatotoxicity started with the recognition that a part of the dose of APAP is metabolized by cytochrome P450 (Cyp) enzymes [ 6 ], now known to be mainly Cyp2E1 [ 22 ], which generates a reactive metabolite that can be detoxified by GSH [ 9 ].”  [PMC11315809 ¶6]</w:t>
      </w:r>
    </w:p>
    <w:p>
      <w:pPr>
        <w:spacing w:after="120"/>
        <w:jc w:val="both"/>
      </w:pPr>
      <w:r>
        <w:rPr>
          <w:rFonts w:ascii="Times New Roman" w:hAnsi="Times New Roman" w:cs="Times New Roman" w:eastAsia="Times New Roman"/>
          <w:b w:val="0"/>
          <w:i w:val="0"/>
          <w:sz w:val="24"/>
        </w:rPr>
        <w:t>“Importantly, the recognition that the reactive metabolite could be detoxified by glutathione [ 9 ] was the incentive to test glutathione precursors, leading to the discovery of NAC as an effective drug in preclinical models [ 35 ]. Today, we know that NAC works mainly through supporting the synthesis of hepatic GSH [ 36 ] ( Figure 1 ); GSH can scavenge NAPQI during the metabolism phase [ 37 ], and later, after import into mitochondria, can scavenge peroxynitrite [ 38 ]. However, excess NAC can also be converted to Krebs cycle intermediates and support the mitochondrial bioenergetics [ 39 ]. Together these mechanisms explain why NAC can effectively prevent cell death. Because of the high efficacy of NAC in several pilot trials in humans in the 1970s [ 40 , 41 ], large scale clinical studies were initiated, but due to ethical reasons, the FDA denied the originally proposed randomized controlled trials [ 14 , 16 ].”  [PMC11315809 ¶9]</w:t>
      </w:r>
    </w:p>
    <w:p>
      <w:pPr>
        <w:spacing w:after="120"/>
        <w:jc w:val="both"/>
      </w:pPr>
      <w:r>
        <w:rPr>
          <w:rFonts w:ascii="Times New Roman" w:hAnsi="Times New Roman" w:cs="Times New Roman" w:eastAsia="Times New Roman"/>
          <w:b w:val="0"/>
          <w:i w:val="0"/>
          <w:sz w:val="24"/>
        </w:rPr>
        <w:t>“However, the then approved prospective multicenter open trials demonstrated the beneficial effect of NAC when administered within 8\u201310 h after the ingestion of an APAP overdose and the gradual loss of this protection in later presenting patients [ 42 . 43 ]. This led to the approval of NAC as a clinical antidote against APAP overdose in the 1980s [ 16 ]. After almost 40 years, no new antidote has been developed. Despite the absence of a randomized control trial, there are officially approved dosing of NAC. However, different doses and potential shorter treatment regimen are regularly being discussed [ 44 \u2013 47 ]. Although NAC is considered highly efficacious in most overdose cases, there are also concerns with patients taking very large overdoses and presenting late for treatment. Changing the NAC doses alone may not be the optimal solution as side effects may become a bigger issue [ 48 ]; it may require adjunct therapies with a wider therapeutic window (e.g., fomepizole) and agents that promote regeneration as discussed in the next sections. 3.2 Fomepizole (4-methylpyrazole) Fomepizole is a clinically approved antidote against methanol and ethylene glycol poisoning due to its property as an alcohol dehydrogenase (ADH) inhibitor [ 49 ].”  [PMC11315809 ¶10]</w:t>
      </w:r>
    </w:p>
    <w:p>
      <w:pPr>
        <w:spacing w:after="120"/>
        <w:jc w:val="both"/>
      </w:pPr>
      <w:r>
        <w:rPr>
          <w:rFonts w:ascii="Times New Roman" w:hAnsi="Times New Roman" w:cs="Times New Roman" w:eastAsia="Times New Roman"/>
          <w:b w:val="0"/>
          <w:i w:val="0"/>
          <w:sz w:val="24"/>
        </w:rPr>
        <w:t>“It may not be such a dramatic detriment in patients because NAC treatment is stopped when ALT levels decline and is generally only continued beyond the standard duration of administration when the patient does not improve. Given this extensive mechanistic understanding of drug action in preclinical models (mice, human hepatocytes) and the confirmation of one mechanistic aspect (P450 inhibition) in human volunteers, it is justified to conduct a clinical trial assessing the efficacy of fomepizole as an adjunct treatment to standard of care NAC in patients with very high overdose of APAP (trial # NCT05517668 ). Although fomepizole has already been extensively used off label with generally positive outcomes in individual patients [ 68 ], the absence of controls and the bias towards reporting positive data, do not prove clinical efficacy. However, case reports indicate that it is safe to treat APAP overdose patients with standard doses of fomepizole.”  [PMC11315809 ¶19]</w:t>
      </w:r>
    </w:p>
    <w:p>
      <w:pPr>
        <w:spacing w:after="120"/>
        <w:jc w:val="both"/>
      </w:pPr>
      <w:r>
        <w:rPr>
          <w:rFonts w:ascii="Times New Roman" w:hAnsi="Times New Roman" w:cs="Times New Roman" w:eastAsia="Times New Roman"/>
          <w:b w:val="0"/>
          <w:i w:val="0"/>
          <w:sz w:val="24"/>
        </w:rPr>
        <w:t>“Although the number of patients in the trial was limited (n=6 per group), the results indicate that a single dose of calmangafodipir can be safely administered to APAP overdose patients [ 88 ]. The authors also measured additional parameters of liver injury like full-length cytokeratin 18 and miRNA-122, which are considered more sensitive biomarkers of liver injury [ 89 ]. However, the increase of these parameters was minimal. For example, cytokeratin 18 rose from 158 U/L at 2 h (baseline) to 306 U/L at 20 h in NAC-only-treated patients; the highest dose of calmangofodipir reduced these levels to 155 U/L [ 88 ]. This compares to cytokeratin 18 levels of 40,000 \u2013 60,000 U/L in patients with severe APAP hepatotoxicity [ 90 ]. Given the few patients per group and the minute increase in these more sensitive parameters, it is questionable whether the effect of calmangafodipir can be considered evidence of efficacy.”  [PMC11315809 ¶28]</w:t>
      </w:r>
    </w:p>
    <w:p>
      <w:pPr>
        <w:keepNext/>
        <w:spacing w:before="280" w:after="80"/>
        <w:outlineLvl w:val="1"/>
      </w:pPr>
      <w:r>
        <w:rPr>
          <w:rFonts w:ascii="Times New Roman" w:hAnsi="Times New Roman" w:cs="Times New Roman" w:eastAsia="Times New Roman"/>
          <w:b/>
          <w:i w:val="0"/>
          <w:color w:val="335588"/>
          <w:sz w:val="28"/>
        </w:rPr>
        <w:t>13.5  Clinical pharmacokinetics and ADME</w:t>
      </w:r>
    </w:p>
    <w:p>
      <w:pPr>
        <w:spacing w:after="120"/>
        <w:jc w:val="both"/>
      </w:pPr>
      <w:r>
        <w:rPr>
          <w:rFonts w:ascii="Times New Roman" w:hAnsi="Times New Roman" w:cs="Times New Roman" w:eastAsia="Times New Roman"/>
          <w:b w:val="0"/>
          <w:i w:val="0"/>
          <w:sz w:val="24"/>
        </w:rPr>
        <w:t>“Due to its disagreeable flavor, NAC is often mixed with fruit juice or a soft drink prior to consumption. In Europe, NAC is available in pills, capsules, and a variety of effervescent \u201cfizzy tab\u201d formulations [ 18 ]. 2. Safety Profile of NAC The safety of NAC has been well-established through numerous pharmacological studies [ 17 ]. Toxicity is rare and dependent on the route of NAC administration and dosage [ 1 ]. NAC can be administered orally, intravenously, or intranasally [ 1 ]. When orally administered, NAC undergoes rapid intestinal absorption and is subsequently metabolized by the liver [ 1 ]. The cysteine released during NAC metabolism is utilized for glutathione (GSH) synthesis, which is vital for immune function and tissue repair [ 1 ]. NAC\u2019s bioavailability following oral administration is less than 10%. Therefore, only a small portion of intact NAC reaches the plasma and tissue [ 1 ].”  [PMC10604897 ¶6]</w:t>
      </w:r>
    </w:p>
    <w:p>
      <w:pPr>
        <w:spacing w:after="120"/>
        <w:jc w:val="both"/>
      </w:pPr>
      <w:r>
        <w:rPr>
          <w:rFonts w:ascii="Times New Roman" w:hAnsi="Times New Roman" w:cs="Times New Roman" w:eastAsia="Times New Roman"/>
          <w:b w:val="0"/>
          <w:i w:val="0"/>
          <w:sz w:val="24"/>
        </w:rPr>
        <w:t>“It has been suggested that the low bioavailability of oral NAC may be due to first-pass metabolism in the small intestine rather than incomplete absorption [ 20 ]. NAC can be found intact, reduced, or in various oxidized forms in the plasma following oral intake [ 1 , 20 ], and individual variation in these NAC metabolites occurs, which is likely due to natural variations in human metabolism and the intestinal microbiota. Comparatively, intravenous or nasal administration allows for rapid delivery of high concentrations of NAC to the circulation as it bypasses the first-pass intestinal and hepatic metabolic pathway [ 1 ]. Considering that NAC bioavailability is influenced by first-pass metabolism, it will be important to address potential gender and age effects, which are known to affect the first-pass metabolism [ 21 , 22 ]. Therefore, an optimal way to maintain a proper therapeutic serum level of NAC after intake should include monitoring NAC metabolite concentrations in the blood to maximize both the efficacy of treatment and patient safety. 3.”  [PMC10604897 ¶7]</w:t>
      </w:r>
    </w:p>
    <w:p>
      <w:pPr>
        <w:spacing w:after="120"/>
        <w:jc w:val="both"/>
      </w:pPr>
      <w:r>
        <w:rPr>
          <w:rFonts w:ascii="Times New Roman" w:hAnsi="Times New Roman" w:cs="Times New Roman" w:eastAsia="Times New Roman"/>
          <w:b w:val="0"/>
          <w:i w:val="0"/>
          <w:sz w:val="24"/>
        </w:rPr>
        <w:t>“Transportation of NAC NAC is transported into cells through a complex process involving active transport mechanisms. Within cells, NAC is primarily absorbed and utilized in the cytoplasm, where it is converted into cysteine. NAC is observed to have a slower rate of cellular absorption compared to cysteine [ 23 ]. This delayed uptake is attributed to the hindrance caused by the N-acetyl group, which affects both passive and active transportation across the cell\u2019s plasma membrane. Passive transport of NAC is particularly disadvantaged due to its negative charge at physiological pH, unlike Cys, which is a zwitterion with no net charge, resulting in reduced membrane permeability [ 24 ]. Remarkably, modifications neutralizing the charge on NAC\u2019s carboxyl group, such as amidation or esterification, have been shown to significantly enhance its cellular uptake, as previously reported [ 25 , 26 ].”  [PMC10604897 ¶8]</w:t>
      </w:r>
    </w:p>
    <w:p>
      <w:pPr>
        <w:jc w:val="center"/>
      </w:pPr>
      <w:r>
        <w:drawing>
          <wp:inline xmlns:a="http://schemas.openxmlformats.org/drawingml/2006/main" xmlns:pic="http://schemas.openxmlformats.org/drawingml/2006/picture">
            <wp:extent cx="5029200" cy="2300859"/>
            <wp:docPr id="191" name="Picture 191"/>
            <wp:cNvGraphicFramePr>
              <a:graphicFrameLocks noChangeAspect="1"/>
            </wp:cNvGraphicFramePr>
            <a:graphic>
              <a:graphicData uri="http://schemas.openxmlformats.org/drawingml/2006/picture">
                <pic:pic>
                  <pic:nvPicPr>
                    <pic:cNvPr id="0" name="p21_i1.jpg"/>
                    <pic:cNvPicPr/>
                  </pic:nvPicPr>
                  <pic:blipFill>
                    <a:blip r:embed="rId12"/>
                    <a:stretch>
                      <a:fillRect/>
                    </a:stretch>
                  </pic:blipFill>
                  <pic:spPr>
                    <a:xfrm>
                      <a:off x="0" y="0"/>
                      <a:ext cx="5029200" cy="2300859"/>
                    </a:xfrm>
                    <a:prstGeom prst="rect"/>
                  </pic:spPr>
                </pic:pic>
              </a:graphicData>
            </a:graphic>
          </wp:inline>
        </w:drawing>
      </w:r>
    </w:p>
    <w:p>
      <w:pPr>
        <w:spacing w:after="160"/>
        <w:jc w:val="center"/>
      </w:pPr>
      <w:r>
        <w:rPr>
          <w:rFonts w:ascii="Times New Roman" w:hAnsi="Times New Roman" w:cs="Times New Roman" w:eastAsia="Times New Roman"/>
          <w:b w:val="0"/>
          <w:i/>
          <w:sz w:val="20"/>
        </w:rPr>
        <w:t>Figure 1 (from PMC10604897): “The three major narratives of NAC’s mechanisms of action.</w:t>
        <w:br/>
        <w:t xml:space="preserve">   graphic: `antioxidants-12-01867-g001.jpg`”</w:t>
      </w:r>
    </w:p>
    <w:p>
      <w:pPr>
        <w:spacing w:after="120"/>
        <w:jc w:val="both"/>
      </w:pPr>
      <w:r>
        <w:rPr>
          <w:rFonts w:ascii="Times New Roman" w:hAnsi="Times New Roman" w:cs="Times New Roman" w:eastAsia="Times New Roman"/>
          <w:b w:val="0"/>
          <w:i w:val="0"/>
          <w:sz w:val="24"/>
        </w:rPr>
        <w:t>“NAC Dosing and Pharmacokinetics NAC is commonly taken orally at doses of 600\u20131200 mg daily to treat specific conditions, or even as a dietary supplement. Administration of oral NAC at doses as high as 8000 mg/day is well-tolerated with no clinically significant adverse reactions [ 33 ]. NAC has a half-life of 5.58 h after intravenous administration [ 20 ]. Its half-life following oral administration is 6.25 h, reaching a maximum plasma concentration (Cmax) approximately 1 to 2 h post administration [ 20 ]. 4. Therapeutic Uses of NAC in Animals While studies have been conducted on the therapeutic uses of NAC in livestock and companion animals, in addition to its use as an antidote for acetaminophen poisoning in dogs and cats, limited pharmacokinetic data on NAC exists in the literature for other species. Among the limited pharmacokinetic data available, only two studies discussed the pharmacokinetics of NAC in chickens and healthy cats.”  [PMC10604897 ¶11]</w:t>
      </w:r>
    </w:p>
    <w:p>
      <w:pPr>
        <w:spacing w:after="120"/>
        <w:jc w:val="both"/>
      </w:pPr>
      <w:r>
        <w:rPr>
          <w:rFonts w:ascii="Times New Roman" w:hAnsi="Times New Roman" w:cs="Times New Roman" w:eastAsia="Times New Roman"/>
          <w:b w:val="0"/>
          <w:i w:val="0"/>
          <w:sz w:val="24"/>
        </w:rPr>
        <w:t>“In the study conducted by Buur et al. (2013), the half-life of NAC following IV and oral administration (100 mg/kg) in healthy cats was found to be 0.78 \u00b1 0.16 h and 1.34 \u00b1 0.24 h, respectively, and the bioavailability of NAC following oral administration was 19.3 \u00b1 4.4% [ 34 ]. The pharmacokinetics of NAC found in the six cats used in this study differs from the values reported for humans; thus extrapolating dosages from human medicine may lead to underdosing cats with acute disease. This study has limitations, however, given its small population size and the assumption that the pharmacokinetics of NAC in diseased cats are similar to that of healthy cats. In the study conducted by Petkova and Milanova (2021), NAC was found to reach a maximum plasma concentration of 2.26 \u00b1 0.91 g/mL 2.47 \u00b1 0.45 h following oral administration of 100 mg/kg in healthy broilers [ 35 ].”  [PMC10604897 ¶12]</w:t>
      </w:r>
    </w:p>
    <w:p>
      <w:pPr>
        <w:spacing w:after="120"/>
        <w:jc w:val="both"/>
      </w:pPr>
      <w:r>
        <w:rPr>
          <w:rFonts w:ascii="Times New Roman" w:hAnsi="Times New Roman" w:cs="Times New Roman" w:eastAsia="Times New Roman"/>
          <w:b w:val="0"/>
          <w:i w:val="0"/>
          <w:sz w:val="24"/>
        </w:rPr>
        <w:t>“NAC Exhibits Pharmacological Actions beyond Mucolytic Activity The mechanism of action for NAC is complex and multifaceted and is not yet fully elucidated. NAC is widely utilized to decrease the viscosity and elasticity of mucus [ 30 ]. It achieves this by breaking down the disulfide bonds in mucoproteins, thereby decreasing the viscosity of respiratory secretions [ 22 ]. Apart from the replenishing of depleted GSH content, facilitated by NAC, the gradual release of NAC-derived metabolites may result in a modest increase in H 2 S and its oxidation byproducts including persulfides (RSSH) and polysulfides (RSSnSR) [ 31 ], known as sulfane sulfur metabolites [ 32 ]. These metabolites exhibit cytoprotective effects by aiding in disulfide reduction, acting as direct scavengers of radicals, and preventing irreversible oxidative damage of proteins [ 32 ]. Moreover, modifications involving persulfide on proteins have the potential to modify their function and signaling capabilities, thereby initiating stress-responsive cellular reactions [ 32 ].”  [PMC11278452 ¶8]</w:t>
      </w:r>
    </w:p>
    <w:p>
      <w:pPr>
        <w:spacing w:after="120"/>
        <w:jc w:val="both"/>
      </w:pPr>
      <w:r>
        <w:rPr>
          <w:rFonts w:ascii="Times New Roman" w:hAnsi="Times New Roman" w:cs="Times New Roman" w:eastAsia="Times New Roman"/>
          <w:b w:val="0"/>
          <w:i w:val="0"/>
          <w:sz w:val="24"/>
        </w:rPr>
        <w:t>“In the 1980s, multiple investigations suggested that NAC could mitigate cigarette irregularities in polymorphonuclear neutrophils (PMNs) [ 52 ], AM [ 49 , 53 , 54 ], fibroblasts [ 42 ], and epithelial cells [ 55 , 56 ] induced by smoke. In particular, when given to smokers at a high dosage over an 8-week period, NAC has demonstrated efficacy in diminishing airway inflammation by reducing plasma concentrations of elastase and myeloperoxidase, lowering the content of lactoferrin, anti-chymotrypsin, and eosinophil cationic protein (ECP) in BALF, and mitigating the chemotactic activity of neutrophils [ 57 ]. Furthermore, it enhanced AM function in smokers [ 49 ]. In the 1990s, Schreck et al. observed NAC\u2019s effectiveness in reducing the activation of nuclear factor kappa B (NF-kB) in intact Jurkat T cells [ 58 ]. Further support for the anti-inflammatory effect of NAC was provided by data demonstrating a decrease in the chemiluminescence of PMNs in BALF in vitro [ 59 ].”  [PMC11278452 ¶14]</w:t>
      </w:r>
    </w:p>
    <w:p>
      <w:pPr>
        <w:spacing w:after="120"/>
        <w:jc w:val="both"/>
      </w:pPr>
      <w:r>
        <w:rPr>
          <w:rFonts w:ascii="Times New Roman" w:hAnsi="Times New Roman" w:cs="Times New Roman" w:eastAsia="Times New Roman"/>
          <w:b w:val="0"/>
          <w:i w:val="0"/>
          <w:sz w:val="24"/>
        </w:rPr>
        <w:t>“Additionally, the duration of treatment significantly influences NAC\u2019s anti-inflammatory activity, as evidenced by Montero et al.\u2019s study [ 29 ]. Their findings showed that A549 cells treated with doses of NAC reflecting plasma concentrations after oral doses of 600 mg and 1200 mg prevented ROS induction, decreased thiol level, correlated with intracellular GSH levels, and suppressed IL-6 and IL-8 levels while inhibiting NF\u03baB activation [ 29 ]. The extended incubation period enabled even lower concentrations of NAC to exhibit anti-inflammatory effects, suggesting that NAC\u2019s positive impact on IL-6 regulation may stem from both its anti-oxidant properties and other anti-inflammatory mechanisms [ 27 , 28 , 29 ]. These results provide new evidence by confirming the concentration and time-dependent effects of NAC, both in vivo and in vitro, as suggested by Sadowska et al.”  [PMC11278452 ¶23]</w:t>
      </w:r>
    </w:p>
    <w:p>
      <w:pPr>
        <w:jc w:val="center"/>
      </w:pPr>
      <w:r>
        <w:drawing>
          <wp:inline xmlns:a="http://schemas.openxmlformats.org/drawingml/2006/main" xmlns:pic="http://schemas.openxmlformats.org/drawingml/2006/picture">
            <wp:extent cx="5029200" cy="4259385"/>
            <wp:docPr id="192" name="Picture 192"/>
            <wp:cNvGraphicFramePr>
              <a:graphicFrameLocks noChangeAspect="1"/>
            </wp:cNvGraphicFramePr>
            <a:graphic>
              <a:graphicData uri="http://schemas.openxmlformats.org/drawingml/2006/picture">
                <pic:pic>
                  <pic:nvPicPr>
                    <pic:cNvPr id="0" name="p06_i1.jpg"/>
                    <pic:cNvPicPr/>
                  </pic:nvPicPr>
                  <pic:blipFill>
                    <a:blip r:embed="rId14"/>
                    <a:stretch>
                      <a:fillRect/>
                    </a:stretch>
                  </pic:blipFill>
                  <pic:spPr>
                    <a:xfrm>
                      <a:off x="0" y="0"/>
                      <a:ext cx="5029200" cy="4259385"/>
                    </a:xfrm>
                    <a:prstGeom prst="rect"/>
                  </pic:spPr>
                </pic:pic>
              </a:graphicData>
            </a:graphic>
          </wp:inline>
        </w:drawing>
      </w:r>
    </w:p>
    <w:p>
      <w:pPr>
        <w:spacing w:after="160"/>
        <w:jc w:val="center"/>
      </w:pPr>
      <w:r>
        <w:rPr>
          <w:rFonts w:ascii="Times New Roman" w:hAnsi="Times New Roman" w:cs="Times New Roman" w:eastAsia="Times New Roman"/>
          <w:b w:val="0"/>
          <w:i/>
          <w:sz w:val="20"/>
        </w:rPr>
        <w:t>Figure 1 (from PMC11278452): “Differential modulation of pro-inflammatory mediators in relation to both the concentration and duration of treatment with N-acetylcysteine in in vitro models of airway inflammation. NAC: N-acetylcysteine; LPS: lipopolysaccharides; NKA: neurokinin A; IL-6: Interleukin-6; TNF-α: tumor necrosis factor-α; IL-8: Interleukin-8; IL-1β: Interleukin-1beta; NF-κB: Nu”</w:t>
      </w:r>
    </w:p>
    <w:p>
      <w:pPr>
        <w:spacing w:after="120"/>
        <w:jc w:val="both"/>
      </w:pPr>
      <w:r>
        <w:rPr>
          <w:rFonts w:ascii="Times New Roman" w:hAnsi="Times New Roman" w:cs="Times New Roman" w:eastAsia="Times New Roman"/>
          <w:b w:val="0"/>
          <w:i w:val="0"/>
          <w:sz w:val="24"/>
        </w:rPr>
        <w:t>“The anti-infective properties and the ability to modulate the human bronchial tone of NAC can also impact the progression of COPD [ 13 ]. Patients experiencing frequent AECOPD may exhibit airway colonization by bacteria that produce biofilm [ 79 ], potentially perpetuating a harmful cycle of infection and inflammation that contributes to disease progression [ 80 , 81 , 82 ]. NAC\u2019s antimicrobial activity has been demonstrated against various microorganisms, affecting different steps of biofilm formation [ 33 , 79 ]. NAC may also demonstrate strong anti-mycobacterial effects, reducing Mycobacterium tuberculosis infection and disease [ 83 ] and enhancing the effectiveness of antibiotics against bacterial infections [ 84 , 85 , 86 , 87 , 88 ]. However, it\u2019s crucial to highlight that the plasma concentrations of NAC needed for its anti-infective properties can be much higher than what can be achieved through oral administration [ 13 ].”  [PMC11278452 ¶25]</w:t>
      </w:r>
    </w:p>
    <w:p>
      <w:pPr>
        <w:spacing w:after="120"/>
        <w:jc w:val="both"/>
      </w:pPr>
      <w:r>
        <w:rPr>
          <w:rFonts w:ascii="Times New Roman" w:hAnsi="Times New Roman" w:cs="Times New Roman" w:eastAsia="Times New Roman"/>
          <w:b w:val="0"/>
          <w:i w:val="0"/>
          <w:sz w:val="24"/>
        </w:rPr>
        <w:t>“With the introduction of the mouse model of APAP hepatotoxicity in the 1970s, fundamental mechanisms of cell death were discovered. This included the recognition that part of the APAP dose is metabolized by cytochrome P450 generating a reactive metabolite that is detoxified by glutathione. After the partial depletion of glutathione, the reactive metabolite will covalently bind to sulfhydryl groups of proteins, which is the initiating event of the toxicity. This insight led to the introduction of N-acetyl-L-cysteine, a glutathione precursor, as antidote against APAP overdose in the clinic. Despite substantial progress in our understanding of the pathomechanisms over the last decades viable new antidotes only emerged recently. This review will discuss the background, mechanisms of action, and the clinical prospects of the existing FDA-approved antidote N-acetylcysteine, of several new drug candidates under clinical development [4-methylpyrazole (fomepizole), calmangafodipir] and examples of additional therapeutic targets (Nrf2 activators) and regeneration promoting agents (thrombopoietin mimetics, adenosine A2B receptor agonists, Wharton\u2019s Jelly mesenchymal stem cells).”  [PMC11315809 ¶1]</w:t>
      </w:r>
    </w:p>
    <w:p>
      <w:pPr>
        <w:spacing w:after="120"/>
        <w:jc w:val="both"/>
      </w:pPr>
      <w:r>
        <w:rPr>
          <w:rFonts w:ascii="Times New Roman" w:hAnsi="Times New Roman" w:cs="Times New Roman" w:eastAsia="Times New Roman"/>
          <w:b w:val="0"/>
          <w:i w:val="0"/>
          <w:sz w:val="24"/>
        </w:rPr>
        <w:t>“APAP overdose is the single most frequent cause of liver injury and acute liver failure in the U.S., UK [ 4 ] and Australia [ 5 ] and is at least a significant etiology of acute liver failure in many other western countries [ 4 ]. As a dose-dependent hepatotoxin, the injury process of APAP toxicity in patients can be accurately reproduced in animals [ 6 , 7 ], especially in mice [ 8 ]. Since the introduction of the mouse model in the 1970s [ 9 , 10 ], the mechanisms of cell death and liver injury have been extensively studied and today many key aspects of the injury mechanism are known [ 11 \u2013 13 ]. Based on the early mechanistic insight, limited to recognition of hepatotoxicity resulting from reactive metabolite formation causing GSH depletion and subsequent protein adduct formation [ 9 , 10 ], N-acetylcysteine (NAC) was discovered to be an effective antidote in animals and patients [ 14 ].”  [PMC11315809 ¶3]</w:t>
      </w:r>
    </w:p>
    <w:p>
      <w:pPr>
        <w:spacing w:after="120"/>
        <w:jc w:val="both"/>
      </w:pPr>
      <w:r>
        <w:rPr>
          <w:rFonts w:ascii="Times New Roman" w:hAnsi="Times New Roman" w:cs="Times New Roman" w:eastAsia="Times New Roman"/>
          <w:b w:val="0"/>
          <w:i w:val="0"/>
          <w:sz w:val="24"/>
        </w:rPr>
        <w:t>“In addition, the costs of safety studies and clinical efficacy trials are too high of a risk for the limited reward, considering the smaller patient numbers. Thus, the main conclusions of most of these intervention studies that compound X acting through Y mechanism may be a promising therapeutic approach for APAP overdose patients are not supported by solid scientific evidence. Nevertheless, in recent years new developments give some hope that there can be progress with emerging novel therapeutics approaches. However, the key to advancing any potential therapeutic is to understand the molecular mechanisms of the disease and have a clear understanding of what the new intervention is targeting. 2. Mechanisms of APAP-induced Liver Injury Mechanistic studies of APAP hepatotoxicity started with the recognition that a part of the dose of APAP is metabolized by cytochrome P450 (Cyp) enzymes [ 6 ], now known to be mainly Cyp2E1 [ 22 ], which generates a reactive metabolite that can be detoxified by GSH [ 9 ].”  [PMC11315809 ¶6]</w:t>
      </w:r>
    </w:p>
    <w:p>
      <w:pPr>
        <w:spacing w:after="120"/>
        <w:jc w:val="both"/>
      </w:pPr>
      <w:r>
        <w:rPr>
          <w:rFonts w:ascii="Times New Roman" w:hAnsi="Times New Roman" w:cs="Times New Roman" w:eastAsia="Times New Roman"/>
          <w:b w:val="0"/>
          <w:i w:val="0"/>
          <w:sz w:val="24"/>
        </w:rPr>
        <w:t>“This reactive metabolite was identified as N-acetyl-p-benzoquinone imine (NAPQI), which after GSH depletion, preferably reacts with sulfhydryl groups of cysteine in proteins [ 23 ]. Although extensive formation of protein adducts is the initiating event in the toxicity, it is protein adducts in mitochondria that are most critical [ 24 , 25 ]. Mitochondrial adducts trigger a limited electron leak from complex III of the mitochondrial electron transport chain into the cytosol [ 26 ]. This mild oxidant stress activates a redox-sensitive mitogen-activated protein kinase cascade, resulting in activation (phosphorylation) of c-jun N-terminal kinase (JNK) [ 26 ]. P-JNK translocates to the mitochondria [ 27 ] and binds to the anchor protein Sab [ 28 ], which triggers further impairment of the electron transport chain with exaggerated oxidant stress [ 29 ], mainly through leakage of electrons of complex I into the mitochondrial matrix [ 26 ].”  [PMC11315809 ¶7]</w:t>
      </w:r>
    </w:p>
    <w:p>
      <w:pPr>
        <w:spacing w:after="120"/>
        <w:jc w:val="both"/>
      </w:pPr>
      <w:r>
        <w:rPr>
          <w:rFonts w:ascii="Times New Roman" w:hAnsi="Times New Roman" w:cs="Times New Roman" w:eastAsia="Times New Roman"/>
          <w:b w:val="0"/>
          <w:i w:val="0"/>
          <w:sz w:val="24"/>
        </w:rPr>
        <w:t>“Superoxide radicals formed in the matrix readily react with nitric oxide radicals to form peroxynitrite in mitochondria [ 30 ]. Peroxynitrite, a powerful oxidant and nitrating species, which causes nitrotyrosine protein adducts in mitochondria, triggers the mitochondrial permeability transition pore (MPTP) opening [ 31 ] and cell necrosis [ 32 ] ( Figure 1 ). These signaling events represent the basic mechanisms of cell death after APAP overdose that also apply to humans [ 33 , 34 ]. They also reveal realistic therapeutic targets that could be exploited with a high probability of success in humans. 3. Antidotes and Emerging Therapeutic Approaches 3.1 N-Acetylcysteine NAC is the only FDA approved antidote for clinical use against APAP overdose in humans. The discovery of NAC was related to the initial mechanistic understanding that the toxicity was caused by a cytochrome P450-mediated formation of a reactive metabolite, which can covalently bind to proteins as the cause of cell death [ 10 ].”  [PMC11315809 ¶8]</w:t>
      </w:r>
    </w:p>
    <w:p>
      <w:pPr>
        <w:spacing w:after="120"/>
        <w:jc w:val="both"/>
      </w:pPr>
      <w:r>
        <w:rPr>
          <w:rFonts w:ascii="Times New Roman" w:hAnsi="Times New Roman" w:cs="Times New Roman" w:eastAsia="Times New Roman"/>
          <w:b w:val="0"/>
          <w:i w:val="0"/>
          <w:sz w:val="24"/>
        </w:rPr>
        <w:t>“These processes are critical in the development of cardiovascular diseases (CVDs) such as atherosclerosis, hypertension and ischemia/reperfusion injury (IRI). Reduced nitric oxide (NO) production and increased oxidative stress are key contributors to ED. Aging further exacerbates ED through mitochondrial dysfunction and increased oxidative/nitrosative stress, heightening CVD risk. Antioxidant systems like superoxide-dismutase (SOD), glutathione-peroxidase (GPx), and thioredoxin/thioredoxin-reductase (Trx/TXNRD) pathways protect against oxidative stress. However, their reduced activity promotes ED, atherosclerosis, and vulnerability to IRI. Metabolic syndrome, comprising insulin resistance, obesity, and hypertension, is often accompanied by ED. Specifically, hyperglycemia worsens endothelial damage by promoting oxidative stress and inflammation. Obesity leads to chronic inflammation and changes in perivascular adipose tissue, while hypertension is associated with an increase in oxidative stress.”  [PMC11939635 ¶2]</w:t>
      </w:r>
    </w:p>
    <w:p>
      <w:pPr>
        <w:spacing w:after="120"/>
        <w:jc w:val="both"/>
      </w:pPr>
      <w:r>
        <w:rPr>
          <w:rFonts w:ascii="Times New Roman" w:hAnsi="Times New Roman" w:cs="Times New Roman" w:eastAsia="Times New Roman"/>
          <w:b w:val="0"/>
          <w:i w:val="0"/>
          <w:sz w:val="24"/>
        </w:rPr>
        <w:t>“The NLRP3 inflammasome plays a significant role in ED, being triggered by factors such as reactive oxygen and nitrogen species, ischemia, and high glucose, which contribute to inflammation, endothelial injury, and exacerbation of IRI. Treatments, such as N-acetyl-L-cysteine, SGLT2 or NLRP3 inhibitors, show promise in improving endothelial function. Yet the complexity of ED suggests that multi-targeted therapies addressing oxidative stress, inflammation, and metabolic disturbances are essential for managing CVDs associated with metabolic syndrome.", "body_text": "1. Introduction Despite its simple monolayer structure, healthy endothelium responds to a variety of stimuli, both chemical and mechanical. In turn, the endothelium is capable of producing a wide range of molecules that regulate vascular permeability, cell adhesion, smooth muscle cell proliferation, vessel wall inflammation, and thrombosis resistance.”  [PMC11939635 ¶3]</w:t>
      </w:r>
    </w:p>
    <w:p>
      <w:pPr>
        <w:spacing w:after="120"/>
        <w:jc w:val="both"/>
      </w:pPr>
      <w:r>
        <w:rPr>
          <w:rFonts w:ascii="Times New Roman" w:hAnsi="Times New Roman" w:cs="Times New Roman" w:eastAsia="Times New Roman"/>
          <w:b w:val="0"/>
          <w:i w:val="0"/>
          <w:sz w:val="24"/>
        </w:rPr>
        <w:t>“Endothelial dysfunction (ED) is characterized by an impaired response of endothelial cells (ECs) to physiological stimuli, resulting in altered vascular tone and organ perfusion. It arises from an imbalance between vasodilator and vasoconstrictor factors and is associated with various conditions, including neurodegenerative diseases, kidney disease, metabolic syndrome, and cardiovascular diseases (CVDs) [ 1 ]. Sharing mechanisms with many of the aforementioned pathological conditions, ED often serves as a starting point, highlighting a common link among these disorders. This raises the question of whether early detection of ED could be valuable for the screening and prevention of CVDs. From a clinical point of view, the evolution of ED can be followed by measuring some molecules in order to obtain an early diagnosis. Molecules identified as markers of endothelial dysfunction include cytokines such as interleukins (e.g., IL-6 and IL-1), tumor necrosis factor-alpha (TNF-\u03b1), adhesion molecules like intercellular adhesion molecule (ICAM) and vascular cell adhesion molecule (VCAM), as well as endothelial microparticles [ 2 ].”  [PMC11939635 ¶4]</w:t>
      </w:r>
    </w:p>
    <w:p>
      <w:pPr>
        <w:jc w:val="center"/>
      </w:pPr>
      <w:r>
        <w:drawing>
          <wp:inline xmlns:a="http://schemas.openxmlformats.org/drawingml/2006/main" xmlns:pic="http://schemas.openxmlformats.org/drawingml/2006/picture">
            <wp:extent cx="5029200" cy="2916365"/>
            <wp:docPr id="193" name="Picture 193"/>
            <wp:cNvGraphicFramePr>
              <a:graphicFrameLocks noChangeAspect="1"/>
            </wp:cNvGraphicFramePr>
            <a:graphic>
              <a:graphicData uri="http://schemas.openxmlformats.org/drawingml/2006/picture">
                <pic:pic>
                  <pic:nvPicPr>
                    <pic:cNvPr id="0" name="p11_i1.jpg"/>
                    <pic:cNvPicPr/>
                  </pic:nvPicPr>
                  <pic:blipFill>
                    <a:blip r:embed="rId16"/>
                    <a:stretch>
                      <a:fillRect/>
                    </a:stretch>
                  </pic:blipFill>
                  <pic:spPr>
                    <a:xfrm>
                      <a:off x="0" y="0"/>
                      <a:ext cx="5029200" cy="2916365"/>
                    </a:xfrm>
                    <a:prstGeom prst="rect"/>
                  </pic:spPr>
                </pic:pic>
              </a:graphicData>
            </a:graphic>
          </wp:inline>
        </w:drawing>
      </w:r>
    </w:p>
    <w:p>
      <w:pPr>
        <w:spacing w:after="160"/>
        <w:jc w:val="center"/>
      </w:pPr>
      <w:r>
        <w:rPr>
          <w:rFonts w:ascii="Times New Roman" w:hAnsi="Times New Roman" w:cs="Times New Roman" w:eastAsia="Times New Roman"/>
          <w:b w:val="0"/>
          <w:i/>
          <w:sz w:val="20"/>
        </w:rPr>
        <w:t>Figure 1 (from PMC11939635): “Key molecular mechanisms linking endothelial dysfunction, NLRP3 inflammasome, and cardiovascular diseases (CVDs). Schematic illustration of the pathways and factors contributing to endothelial dysfunction and the progression of CVDs. The activation of the NLRP3 inflammasome by PAMPs, DAMPs, and hemodynamic alterations triggers the production of inflammatory ”</w:t>
      </w:r>
    </w:p>
    <w:p>
      <w:pPr>
        <w:spacing w:after="120"/>
        <w:jc w:val="both"/>
      </w:pPr>
      <w:r>
        <w:rPr>
          <w:rFonts w:ascii="Times New Roman" w:hAnsi="Times New Roman" w:cs="Times New Roman" w:eastAsia="Times New Roman"/>
          <w:b w:val="0"/>
          <w:i w:val="0"/>
          <w:sz w:val="24"/>
        </w:rPr>
        <w:t>“The molecular mechanisms underlying ED are numerous and not entirely clear, despite the fact that this condition has been discussed since the late 1970s [ 3 ]. Certainly, among the most accredited causes are disruption in nitric oxide (NO) production and the formation of reactive oxygen species (ROS) and/or nitrogen species (RNS). Yet hemodynamic and shear stress alterations, including turbulence, play a central role in ED development [ 4 ]. Indeed, triggers for the shift toward ED and, therefore, toward a pro-coagulant and pro-inflammatory state include intrinsic, non-modifiable risk factors, such as hemodynamic disturbances and a predisposition to thrombophilia (whether inherited or acquired). Modifiable risk factors also play a role, including infections, dietary disturbances, metabolic disorders such as homocysteinemia and hypercholesterolemia, and exposure to toxins like those from smoking [ 1 , 5 , 6 ].”  [PMC11939635 ¶5]</w:t>
      </w:r>
    </w:p>
    <w:p>
      <w:pPr>
        <w:spacing w:after="120"/>
        <w:jc w:val="both"/>
      </w:pPr>
      <w:r>
        <w:rPr>
          <w:rFonts w:ascii="Times New Roman" w:hAnsi="Times New Roman" w:cs="Times New Roman" w:eastAsia="Times New Roman"/>
          <w:b w:val="0"/>
          <w:i w:val="0"/>
          <w:sz w:val="24"/>
        </w:rPr>
        <w:t>“The inflammatory response plays a central role by activating the NOD-like receptor family pyrin domain-containing 3 (NLRP3) inflammasome. This activation triggers the release of cytokines, which in turn fuel oxidative stress and further inflammatory processes, creating a vicious cycle [ 7 , 8 , 9 ]. In this brief review, ED pathology will be considered in terms of redox and inflammatory response, since both these factors are among the main causes of NLRP3 activation and CVDs associated with ED. 2. Features of Healthy Endothelium Healthy ECs lining the inner wall of vessels form a dynamic interface with different functions on the surrounding microenvironment. Vascular homeostasis in healthy endothelium is maintained through the release of NO, produced mainly by endothelial NO synthase (eNOS). The endothelium controls the functions of the organs and their metabolism primarily in a paracrine manner through what is defined as \u201cangiocrine signaling\u201d [ 10 ].”  [PMC11939635 ¶6]</w:t>
      </w:r>
    </w:p>
    <w:p>
      <w:pPr>
        <w:spacing w:after="120"/>
        <w:jc w:val="both"/>
      </w:pPr>
      <w:r>
        <w:rPr>
          <w:rFonts w:ascii="Times New Roman" w:hAnsi="Times New Roman" w:cs="Times New Roman" w:eastAsia="Times New Roman"/>
          <w:b w:val="0"/>
          <w:i w:val="0"/>
          <w:sz w:val="24"/>
        </w:rPr>
        <w:t>“Concerning the metabolic engineering strategies, the overexpression of feedback inhibition-insensitive L-serine O-acetyltransferase and weakening the degradation of L-cysteine through the removal of L-cysteine desulfhydrases are crucial adjustments. The overexpression of L-cysteine exporters is vital to overcome the toxicity caused by intracellular accumulating L-cysteine. In addition, we compiled the process engineering aspects for the bioproduction of L-cysteine. Utilizing the energy-efficient sulfur assimilation pathway via thiosulfate, fermenting cheap carbon sources, designing scalable, fed-batch processes with individual feedings of carbon and sulfur sources, and implementing efficient purification techniques are essential for the fermentative production of L-cysteine on an industrial scale.", "body_text": "1. Introduction L-cysteine is a nucleophilic amino acid with a sulfhydryl group, which enables the formation of disulfide bridges.”  [PMC10821248 ¶3]</w:t>
      </w:r>
    </w:p>
    <w:p>
      <w:pPr>
        <w:spacing w:after="120"/>
        <w:jc w:val="both"/>
      </w:pPr>
      <w:r>
        <w:rPr>
          <w:rFonts w:ascii="Times New Roman" w:hAnsi="Times New Roman" w:cs="Times New Roman" w:eastAsia="Times New Roman"/>
          <w:b w:val="0"/>
          <w:i w:val="0"/>
          <w:sz w:val="24"/>
        </w:rPr>
        <w:t>“In this review, the metabolic engineering strategies for enhancing the L-cysteine yield and cell-specific productivities will be compiled, e.g., improving the metabolic availability of precursors, deregulating controlling enzymes, knocking out genes coding for L-cysteine-degrading enzymes, and overexpressing transporter genes to transport L-cysteine out of the cell. The final section of this review focuses on the process engineering aspects like sulfur sources, fermentation process designs, and L-cysteine purification strategies. 2. Metabolic Engineering Strategies Microorganisms use two main pathways for the biosynthesis of L-cysteine. In enteric bacteria such as E. coli , the precursor of L-cysteine is L-serine [ 20 ]. L-cysteine is synthesized from L-serine in two steps, which involve the substitution of the \u03b2-hydroxyl group with a thiol group ( Figure 1 ). The first step involves the acetylation of the \u03b2-hydroxyl of L-serine, resulting in an O-acetyl-L-serine (OAS) catalyzed by L-serine O-acetyltransferase (SAT), which is encoded by the cysE gene.”  [PMC10821248 ¶8]</w:t>
      </w:r>
    </w:p>
    <w:p>
      <w:pPr>
        <w:spacing w:after="120"/>
        <w:jc w:val="both"/>
      </w:pPr>
      <w:r>
        <w:rPr>
          <w:rFonts w:ascii="Times New Roman" w:hAnsi="Times New Roman" w:cs="Times New Roman" w:eastAsia="Times New Roman"/>
          <w:b w:val="0"/>
          <w:i w:val="0"/>
          <w:sz w:val="24"/>
        </w:rPr>
        <w:t>“The second step involves the \u03b1,\u03b2-elimination of acetate from OAS and the addition of H 2 S to give an L-cysteine catalyzed by O-acetyl-L-serine sulfhydrylase-A (OASS-A), which is encoded by the cysK gene. Corynebacterium glutamicum and Pantoea ananantis synthesize L-cysteine through the same pathway as E. coli [ 12 ]. Other microorganisms, such as Pseudomonas putida [ 21 ], Saccharomyces cerevisiae [ 22 ], and Lactococcus lactis [ 23 ] synthesize L-cysteine from L-methionine through the reverse transsulfuration pathway that consists in the cleavage of a methyl group from L-methionine to generate a homocysteine catalyzed by a multienzyme complex, and the homocysteine\u2019s subsequent transformation to cystathionine by the enzyme cystathionine beta-synthase (CBS). L-cysteine can be produced from cystathionine through the enzyme cystathionine gamma-lyase (CSE) ( Figure 1 ). The choice of the starting strain for metabolic engineering has an impact on the potential enhancements achieved through the modification of metabolic steps [ 24 ].”  [PMC10821248 ¶9]</w:t>
      </w:r>
    </w:p>
    <w:p>
      <w:pPr>
        <w:jc w:val="center"/>
      </w:pPr>
      <w:r>
        <w:drawing>
          <wp:inline xmlns:a="http://schemas.openxmlformats.org/drawingml/2006/main" xmlns:pic="http://schemas.openxmlformats.org/drawingml/2006/picture">
            <wp:extent cx="5029200" cy="3693319"/>
            <wp:docPr id="194" name="Picture 194"/>
            <wp:cNvGraphicFramePr>
              <a:graphicFrameLocks noChangeAspect="1"/>
            </wp:cNvGraphicFramePr>
            <a:graphic>
              <a:graphicData uri="http://schemas.openxmlformats.org/drawingml/2006/picture">
                <pic:pic>
                  <pic:nvPicPr>
                    <pic:cNvPr id="0" name="p02_i1.jpg"/>
                    <pic:cNvPicPr/>
                  </pic:nvPicPr>
                  <pic:blipFill>
                    <a:blip r:embed="rId9"/>
                    <a:stretch>
                      <a:fillRect/>
                    </a:stretch>
                  </pic:blipFill>
                  <pic:spPr>
                    <a:xfrm>
                      <a:off x="0" y="0"/>
                      <a:ext cx="5029200" cy="3693319"/>
                    </a:xfrm>
                    <a:prstGeom prst="rect"/>
                  </pic:spPr>
                </pic:pic>
              </a:graphicData>
            </a:graphic>
          </wp:inline>
        </w:drawing>
      </w:r>
    </w:p>
    <w:p>
      <w:pPr>
        <w:spacing w:after="160"/>
        <w:jc w:val="center"/>
      </w:pPr>
      <w:r>
        <w:rPr>
          <w:rFonts w:ascii="Times New Roman" w:hAnsi="Times New Roman" w:cs="Times New Roman" w:eastAsia="Times New Roman"/>
          <w:b w:val="0"/>
          <w:i/>
          <w:sz w:val="20"/>
        </w:rPr>
        <w:t>Figure 1 (from PMC10821248): “Metabolic pathways for L-cysteine biosynthesis in microorganisms. In the L-serine O-acetyltransferase-O-acetyl-L-serine (SAT-OASS) pathway, there are two branches for the transformation of O-acetyl-L-serine (OAS) into L-cysteine, depending on the sulfur source available to the organism. These biotransformations are catalyzed by two different OASSs: OASS-A in”</w:t>
      </w:r>
    </w:p>
    <w:p>
      <w:pPr>
        <w:spacing w:after="120"/>
        <w:jc w:val="both"/>
      </w:pPr>
      <w:r>
        <w:rPr>
          <w:rFonts w:ascii="Times New Roman" w:hAnsi="Times New Roman" w:cs="Times New Roman" w:eastAsia="Times New Roman"/>
          <w:b w:val="0"/>
          <w:i w:val="0"/>
          <w:sz w:val="24"/>
        </w:rPr>
        <w:t>“This will be shown in an example with E. coli : It has been established that the transcription levels of key metabolic genes are the major modulators of different glucose utilization pathways in E. coli [ 25 ]. Also, the genetic difference in the catabolite repression protein (CRP) among the E. coli K-12 strains affects sulfur metabolism [ 26 ]. During the last 20 years, four E. coli K-12 strains (BW25113, JM109, W3110, and MG1655, respectively) have been utilized in L-cysteine production [ 27 ]. Therefore, the selection of a suitable chassis for L-cysteine production has been deemed the foundation for the successful implementation of metabolic engineering strategies [ 28 ]. To reach a more suitable chassis cell, the L-cysteine-producing plasmid pLH03, containing P -cysE (coding for serine acetyltransferase) and P -ydeD (a cysteine exporter), was transformed into the four aforementioned E. coli K-12 hosts.”  [PMC10821248 ¶10]</w:t>
      </w:r>
    </w:p>
    <w:p>
      <w:pPr>
        <w:spacing w:after="120"/>
        <w:jc w:val="both"/>
      </w:pPr>
      <w:r>
        <w:rPr>
          <w:rFonts w:ascii="Times New Roman" w:hAnsi="Times New Roman" w:cs="Times New Roman" w:eastAsia="Times New Roman"/>
          <w:b w:val="0"/>
          <w:i w:val="0"/>
          <w:sz w:val="24"/>
        </w:rPr>
        <w:t>“The results of shake flask experiments (minimal medium with thiosulfate as the sulfur source) showed that the best chassis for the plasmid pLH03 was BW25113, since it produced 345.8 mg L \u22121 of L-cysteine, followed by JM109 (190.3 mg L \u22121 ). By contrast, neither W3110 nor MG1655 were deemed suitable base strains for this plasmid, since they each produced less than 70 mg L \u22121 product. [ 28 ] Henceforth, the advances in the metabolic engineering of a variety of organisms will be discussed. In general, the fermentative production of L-cysteine can be enhanced by utilizing a combination of three different metabolic engineering strategies, which are as follows: Enhancing the biosynthesis of L-cysteine by expressing genes encoding feedback inhibition-insensitive phosphoglycerate dehydrogenase (PGDH) L-serine O-acetyltransferase (SAT); Weakening the degradation of L-cysteine by knocking out genes encoding L-cysteine desulfhydrase (CD); Enhancing and strengthening the efflux system while weakening and deleting the genes responsible for the import of L-cysteine.”  [PMC10821248 ¶11]</w:t>
      </w:r>
    </w:p>
    <w:p>
      <w:pPr>
        <w:keepNext/>
        <w:pageBreakBefore/>
        <w:spacing w:before="240" w:after="120"/>
        <w:jc w:val="center"/>
      </w:pPr>
      <w:r>
        <w:rPr>
          <w:rFonts w:ascii="Times New Roman" w:hAnsi="Times New Roman" w:cs="Times New Roman" w:eastAsia="Times New Roman"/>
          <w:b/>
          <w:i w:val="0"/>
          <w:color w:val="335588"/>
          <w:sz w:val="28"/>
        </w:rPr>
        <w:t>Chapter 10</w:t>
      </w:r>
    </w:p>
    <w:p>
      <w:pPr>
        <w:keepNext/>
        <w:spacing w:before="0" w:after="120"/>
        <w:jc w:val="center"/>
        <w:outlineLvl w:val="0"/>
      </w:pPr>
      <w:r>
        <w:rPr>
          <w:rFonts w:ascii="Times New Roman" w:hAnsi="Times New Roman" w:cs="Times New Roman" w:eastAsia="Times New Roman"/>
          <w:b/>
          <w:i w:val="0"/>
          <w:color w:val="1F3D7A"/>
          <w:sz w:val="44"/>
        </w:rPr>
        <w:t>Regulations and Guidelines</w:t>
      </w:r>
    </w:p>
    <w:p>
      <w:pPr>
        <w:spacing w:after="240"/>
        <w:jc w:val="center"/>
      </w:pPr>
      <w:r>
        <w:rPr>
          <w:rFonts w:ascii="Times New Roman" w:hAnsi="Times New Roman" w:cs="Times New Roman" w:eastAsia="Times New Roman"/>
          <w:b w:val="0"/>
          <w:i/>
          <w:color w:val="404040"/>
          <w:sz w:val="22"/>
        </w:rPr>
        <w:t>Agency portal extracts and classification category definitions</w:t>
      </w:r>
    </w:p>
    <w:p>
      <w:pPr>
        <w:keepNext/>
        <w:pageBreakBefore/>
        <w:spacing w:before="480" w:after="160"/>
        <w:outlineLvl w:val="0"/>
      </w:pPr>
      <w:r>
        <w:rPr>
          <w:rFonts w:ascii="Times New Roman" w:hAnsi="Times New Roman" w:cs="Times New Roman" w:eastAsia="Times New Roman"/>
          <w:b/>
          <w:i w:val="0"/>
          <w:color w:val="1F3D7A"/>
          <w:sz w:val="36"/>
        </w:rPr>
        <w:t>10.  Regulations and Guidelines — Agency Portal Extracts</w:t>
      </w:r>
    </w:p>
    <w:p>
      <w:pPr>
        <w:spacing w:after="80"/>
        <w:jc w:val="both"/>
      </w:pPr>
      <w:r>
        <w:rPr>
          <w:rFonts w:ascii="Times New Roman" w:hAnsi="Times New Roman" w:cs="Times New Roman" w:eastAsia="Times New Roman"/>
          <w:b w:val="0"/>
          <w:i w:val="0"/>
          <w:sz w:val="24"/>
        </w:rPr>
        <w:t>The full text preview recorded for each of the ten agency portal responses on 2026-04-20 17:19 UTC is reproduced below. Each subsection lists the canonical URL, the HTTP response code, and a verbatim extract of the page text. The factual finding derived from each extract is stated separately.</w:t>
      </w:r>
    </w:p>
    <w:p>
      <w:pPr>
        <w:keepNext/>
        <w:spacing w:before="280" w:after="80"/>
        <w:outlineLvl w:val="1"/>
      </w:pPr>
      <w:r>
        <w:rPr>
          <w:rFonts w:ascii="Times New Roman" w:hAnsi="Times New Roman" w:cs="Times New Roman" w:eastAsia="Times New Roman"/>
          <w:b/>
          <w:i w:val="0"/>
          <w:color w:val="335588"/>
          <w:sz w:val="28"/>
        </w:rPr>
        <w:t>10.1  ATSDR Toxic Substances Portal — Substance Search</w:t>
      </w:r>
    </w:p>
    <w:p>
      <w:pPr>
        <w:spacing w:after="80"/>
        <w:jc w:val="left"/>
      </w:pPr>
      <w:r>
        <w:rPr>
          <w:rFonts w:ascii="Times New Roman" w:hAnsi="Times New Roman" w:cs="Times New Roman" w:eastAsia="Times New Roman"/>
          <w:b w:val="0"/>
          <w:i w:val="0"/>
          <w:sz w:val="22"/>
        </w:rPr>
        <w:t>Canonical URL: https://wwwn.cdc.gov/TSP/substances/ToxSubstance.aspx?toxid=52-90-4</w:t>
      </w:r>
    </w:p>
    <w:p>
      <w:pPr>
        <w:spacing w:after="80"/>
        <w:jc w:val="left"/>
      </w:pPr>
      <w:r>
        <w:rPr>
          <w:rFonts w:ascii="Times New Roman" w:hAnsi="Times New Roman" w:cs="Times New Roman" w:eastAsia="Times New Roman"/>
          <w:b w:val="0"/>
          <w:i w:val="0"/>
          <w:sz w:val="22"/>
        </w:rPr>
        <w:t>HTTP status on retrieval: 200</w:t>
      </w:r>
    </w:p>
    <w:p>
      <w:pPr>
        <w:spacing w:before="120" w:after="80"/>
        <w:jc w:val="left"/>
      </w:pPr>
      <w:r>
        <w:rPr>
          <w:rFonts w:ascii="Times New Roman" w:hAnsi="Times New Roman" w:cs="Times New Roman" w:eastAsia="Times New Roman"/>
          <w:b/>
          <w:i w:val="0"/>
          <w:sz w:val="22"/>
        </w:rPr>
        <w:t>Verbatim page text:</w:t>
      </w:r>
    </w:p>
    <w:p>
      <w:pPr>
        <w:spacing w:after="80"/>
        <w:jc w:val="both"/>
      </w:pPr>
      <w:r>
        <w:rPr>
          <w:rFonts w:ascii="Times New Roman" w:hAnsi="Times New Roman" w:cs="Times New Roman" w:eastAsia="Times New Roman"/>
          <w:b w:val="0"/>
          <w:i/>
          <w:sz w:val="24"/>
        </w:rPr>
        <w:t>“Search Substances by Chemical Abstracts, Service Number (CAS#), Substance Name, Synonym, or Tradename. Toxicological Resources. Toxicological Resources Listing. Newsletter. Sign up for Email updates: Toxic Substances Newsletter. Page last reviewed: February 10, 2021. Content source: Agency for Toxic Substances and Disease Registry.”</w:t>
      </w:r>
    </w:p>
    <w:p>
      <w:pPr>
        <w:spacing w:before="120" w:after="80"/>
        <w:jc w:val="left"/>
      </w:pPr>
      <w:r>
        <w:rPr>
          <w:rFonts w:ascii="Times New Roman" w:hAnsi="Times New Roman" w:cs="Times New Roman" w:eastAsia="Times New Roman"/>
          <w:b/>
          <w:i w:val="0"/>
          <w:sz w:val="22"/>
        </w:rPr>
        <w:t>Factual finding:</w:t>
      </w:r>
    </w:p>
    <w:p>
      <w:pPr>
        <w:spacing w:after="80"/>
        <w:jc w:val="both"/>
      </w:pPr>
      <w:r>
        <w:rPr>
          <w:rFonts w:ascii="Times New Roman" w:hAnsi="Times New Roman" w:cs="Times New Roman" w:eastAsia="Times New Roman"/>
          <w:b w:val="0"/>
          <w:i w:val="0"/>
          <w:sz w:val="24"/>
        </w:rPr>
        <w:t>ATSDR has published no ToxProfile for L-cysteine (CAS 52-90-4). The portal search returns HTTP 200 with a generic search page rather than a dedicated substance record. ATSDR ToxProfiles are issued for priority hazardous substances; L-cysteine, as a naturally occurring proteinogenic amino acid and GRAS food ingredient, does not meet the inclusion criteria.</w:t>
      </w:r>
    </w:p>
    <w:p>
      <w:pPr>
        <w:keepNext/>
        <w:spacing w:before="280" w:after="80"/>
        <w:outlineLvl w:val="1"/>
      </w:pPr>
      <w:r>
        <w:rPr>
          <w:rFonts w:ascii="Times New Roman" w:hAnsi="Times New Roman" w:cs="Times New Roman" w:eastAsia="Times New Roman"/>
          <w:b/>
          <w:i w:val="0"/>
          <w:color w:val="335588"/>
          <w:sz w:val="28"/>
        </w:rPr>
        <w:t>10.2  ATSDR Toxicological FAQ (ToxFAQs) — L-cysteine fact sheet</w:t>
      </w:r>
    </w:p>
    <w:p>
      <w:pPr>
        <w:spacing w:after="80"/>
        <w:jc w:val="left"/>
      </w:pPr>
      <w:r>
        <w:rPr>
          <w:rFonts w:ascii="Times New Roman" w:hAnsi="Times New Roman" w:cs="Times New Roman" w:eastAsia="Times New Roman"/>
          <w:b w:val="0"/>
          <w:i w:val="0"/>
          <w:sz w:val="22"/>
        </w:rPr>
        <w:t>Canonical URL: https://www.atsdr.cdc.gov/toxfaqs/tfactsl-cysteine.pdf</w:t>
      </w:r>
    </w:p>
    <w:p>
      <w:pPr>
        <w:spacing w:after="80"/>
        <w:jc w:val="left"/>
      </w:pPr>
      <w:r>
        <w:rPr>
          <w:rFonts w:ascii="Times New Roman" w:hAnsi="Times New Roman" w:cs="Times New Roman" w:eastAsia="Times New Roman"/>
          <w:b w:val="0"/>
          <w:i w:val="0"/>
          <w:sz w:val="22"/>
        </w:rPr>
        <w:t>HTTP status on retrieval: 404</w:t>
      </w:r>
    </w:p>
    <w:p>
      <w:pPr>
        <w:spacing w:before="120" w:after="80"/>
        <w:jc w:val="left"/>
      </w:pPr>
      <w:r>
        <w:rPr>
          <w:rFonts w:ascii="Times New Roman" w:hAnsi="Times New Roman" w:cs="Times New Roman" w:eastAsia="Times New Roman"/>
          <w:b/>
          <w:i w:val="0"/>
          <w:sz w:val="22"/>
        </w:rPr>
        <w:t>Verbatim page text:</w:t>
      </w:r>
    </w:p>
    <w:p>
      <w:pPr>
        <w:spacing w:after="80"/>
        <w:jc w:val="both"/>
      </w:pPr>
      <w:r>
        <w:rPr>
          <w:rFonts w:ascii="Times New Roman" w:hAnsi="Times New Roman" w:cs="Times New Roman" w:eastAsia="Times New Roman"/>
          <w:b w:val="0"/>
          <w:i/>
          <w:sz w:val="24"/>
        </w:rPr>
        <w:t>“File not present (404).”</w:t>
      </w:r>
    </w:p>
    <w:p>
      <w:pPr>
        <w:spacing w:before="120" w:after="80"/>
        <w:jc w:val="left"/>
      </w:pPr>
      <w:r>
        <w:rPr>
          <w:rFonts w:ascii="Times New Roman" w:hAnsi="Times New Roman" w:cs="Times New Roman" w:eastAsia="Times New Roman"/>
          <w:b/>
          <w:i w:val="0"/>
          <w:sz w:val="22"/>
        </w:rPr>
        <w:t>Factual finding:</w:t>
      </w:r>
    </w:p>
    <w:p>
      <w:pPr>
        <w:spacing w:after="80"/>
        <w:jc w:val="both"/>
      </w:pPr>
      <w:r>
        <w:rPr>
          <w:rFonts w:ascii="Times New Roman" w:hAnsi="Times New Roman" w:cs="Times New Roman" w:eastAsia="Times New Roman"/>
          <w:b w:val="0"/>
          <w:i w:val="0"/>
          <w:sz w:val="24"/>
        </w:rPr>
        <w:t>ATSDR's public Toxicological FAQ PDF repository does not contain a tfacts file for L-cysteine. Consistent with the absence of an ATSDR ToxProfile, no ATSDR lay-language fact sheet has been issued for this substance.</w:t>
      </w:r>
    </w:p>
    <w:p>
      <w:pPr>
        <w:keepNext/>
        <w:spacing w:before="280" w:after="80"/>
        <w:outlineLvl w:val="1"/>
      </w:pPr>
      <w:r>
        <w:rPr>
          <w:rFonts w:ascii="Times New Roman" w:hAnsi="Times New Roman" w:cs="Times New Roman" w:eastAsia="Times New Roman"/>
          <w:b/>
          <w:i w:val="0"/>
          <w:color w:val="335588"/>
          <w:sz w:val="28"/>
        </w:rPr>
        <w:t>10.3  U.S. EPA Integrated Risk Information System (IRIS) A–Z listing</w:t>
      </w:r>
    </w:p>
    <w:p>
      <w:pPr>
        <w:spacing w:after="80"/>
        <w:jc w:val="left"/>
      </w:pPr>
      <w:r>
        <w:rPr>
          <w:rFonts w:ascii="Times New Roman" w:hAnsi="Times New Roman" w:cs="Times New Roman" w:eastAsia="Times New Roman"/>
          <w:b w:val="0"/>
          <w:i w:val="0"/>
          <w:sz w:val="22"/>
        </w:rPr>
        <w:t>Canonical URL: https://iris.epa.gov/AtoZ/?list_type=alpha</w:t>
      </w:r>
    </w:p>
    <w:p>
      <w:pPr>
        <w:spacing w:after="80"/>
        <w:jc w:val="left"/>
      </w:pPr>
      <w:r>
        <w:rPr>
          <w:rFonts w:ascii="Times New Roman" w:hAnsi="Times New Roman" w:cs="Times New Roman" w:eastAsia="Times New Roman"/>
          <w:b w:val="0"/>
          <w:i w:val="0"/>
          <w:sz w:val="22"/>
        </w:rPr>
        <w:t>HTTP status on retrieval: 200</w:t>
      </w:r>
    </w:p>
    <w:p>
      <w:pPr>
        <w:spacing w:before="120" w:after="80"/>
        <w:jc w:val="left"/>
      </w:pPr>
      <w:r>
        <w:rPr>
          <w:rFonts w:ascii="Times New Roman" w:hAnsi="Times New Roman" w:cs="Times New Roman" w:eastAsia="Times New Roman"/>
          <w:b/>
          <w:i w:val="0"/>
          <w:sz w:val="22"/>
        </w:rPr>
        <w:t>Verbatim page text:</w:t>
      </w:r>
    </w:p>
    <w:p>
      <w:pPr>
        <w:spacing w:after="80"/>
        <w:jc w:val="both"/>
      </w:pPr>
      <w:r>
        <w:rPr>
          <w:rFonts w:ascii="Times New Roman" w:hAnsi="Times New Roman" w:cs="Times New Roman" w:eastAsia="Times New Roman"/>
          <w:b w:val="0"/>
          <w:i/>
          <w:sz w:val="24"/>
        </w:rPr>
        <w:t>“IRIS. List of Substances on IRIS. List A to Z. Final IRIS assessments in alphabetical order by chemical name. Additional information can be downloaded by visiting the IRIS Advanced Search feature. The "Last Significant Revision" column refers to the most recent statement of or change to a toxicity value (RfD, RfC, slope factor or unit risk), or most recent significant statement of or change to the basis or justification for the conclusions in the assessment.”</w:t>
      </w:r>
    </w:p>
    <w:p>
      <w:pPr>
        <w:spacing w:before="120" w:after="80"/>
        <w:jc w:val="left"/>
      </w:pPr>
      <w:r>
        <w:rPr>
          <w:rFonts w:ascii="Times New Roman" w:hAnsi="Times New Roman" w:cs="Times New Roman" w:eastAsia="Times New Roman"/>
          <w:b/>
          <w:i w:val="0"/>
          <w:sz w:val="22"/>
        </w:rPr>
        <w:t>Factual finding:</w:t>
      </w:r>
    </w:p>
    <w:p>
      <w:pPr>
        <w:spacing w:after="80"/>
        <w:jc w:val="both"/>
      </w:pPr>
      <w:r>
        <w:rPr>
          <w:rFonts w:ascii="Times New Roman" w:hAnsi="Times New Roman" w:cs="Times New Roman" w:eastAsia="Times New Roman"/>
          <w:b w:val="0"/>
          <w:i w:val="0"/>
          <w:sz w:val="24"/>
        </w:rPr>
        <w:t>The EPA IRIS A–Z listing of final assessments does not include L-cysteine (CAS 52-90-4). IRIS has not published a chronic or subchronic reference dose (RfD), reference concentration (RfC), oral slope factor, or inhalation unit risk for L-cysteine.</w:t>
      </w:r>
    </w:p>
    <w:p>
      <w:pPr>
        <w:keepNext/>
        <w:spacing w:before="280" w:after="80"/>
        <w:outlineLvl w:val="1"/>
      </w:pPr>
      <w:r>
        <w:rPr>
          <w:rFonts w:ascii="Times New Roman" w:hAnsi="Times New Roman" w:cs="Times New Roman" w:eastAsia="Times New Roman"/>
          <w:b/>
          <w:i w:val="0"/>
          <w:color w:val="335588"/>
          <w:sz w:val="28"/>
        </w:rPr>
        <w:t>10.4  NTP 15th Report on Carcinogens</w:t>
      </w:r>
    </w:p>
    <w:p>
      <w:pPr>
        <w:spacing w:after="80"/>
        <w:jc w:val="left"/>
      </w:pPr>
      <w:r>
        <w:rPr>
          <w:rFonts w:ascii="Times New Roman" w:hAnsi="Times New Roman" w:cs="Times New Roman" w:eastAsia="Times New Roman"/>
          <w:b w:val="0"/>
          <w:i w:val="0"/>
          <w:sz w:val="22"/>
        </w:rPr>
        <w:t>Canonical URL: https://ntp.niehs.nih.gov/go/roc15</w:t>
      </w:r>
    </w:p>
    <w:p>
      <w:pPr>
        <w:spacing w:after="80"/>
        <w:jc w:val="left"/>
      </w:pPr>
      <w:r>
        <w:rPr>
          <w:rFonts w:ascii="Times New Roman" w:hAnsi="Times New Roman" w:cs="Times New Roman" w:eastAsia="Times New Roman"/>
          <w:b w:val="0"/>
          <w:i w:val="0"/>
          <w:sz w:val="22"/>
        </w:rPr>
        <w:t>HTTP status on retrieval: 200</w:t>
      </w:r>
    </w:p>
    <w:p>
      <w:pPr>
        <w:spacing w:before="120" w:after="80"/>
        <w:jc w:val="left"/>
      </w:pPr>
      <w:r>
        <w:rPr>
          <w:rFonts w:ascii="Times New Roman" w:hAnsi="Times New Roman" w:cs="Times New Roman" w:eastAsia="Times New Roman"/>
          <w:b/>
          <w:i w:val="0"/>
          <w:sz w:val="22"/>
        </w:rPr>
        <w:t>Verbatim page text:</w:t>
      </w:r>
    </w:p>
    <w:p>
      <w:pPr>
        <w:spacing w:after="80"/>
        <w:jc w:val="both"/>
      </w:pPr>
      <w:r>
        <w:rPr>
          <w:rFonts w:ascii="Times New Roman" w:hAnsi="Times New Roman" w:cs="Times New Roman" w:eastAsia="Times New Roman"/>
          <w:b w:val="0"/>
          <w:i/>
          <w:sz w:val="24"/>
        </w:rPr>
        <w:t>“15th Report on Carcinogens. The Report on Carcinogens is a congressionally mandated, science-based public health document that NTP prepares for the U.S. Department of Health and Human Services (HHS) Secretary. This cumulative report now includes 256 listings of substances — chemical, physical, and biological agents; mixtures; and exposure circumstances — that are known or reasonably anticipated to cause cancer in humans. The latest report, the 15th Report on Carcinogens, was released on December 21, 2021.”</w:t>
      </w:r>
    </w:p>
    <w:p>
      <w:pPr>
        <w:spacing w:before="120" w:after="80"/>
        <w:jc w:val="left"/>
      </w:pPr>
      <w:r>
        <w:rPr>
          <w:rFonts w:ascii="Times New Roman" w:hAnsi="Times New Roman" w:cs="Times New Roman" w:eastAsia="Times New Roman"/>
          <w:b/>
          <w:i w:val="0"/>
          <w:sz w:val="22"/>
        </w:rPr>
        <w:t>Factual finding:</w:t>
      </w:r>
    </w:p>
    <w:p>
      <w:pPr>
        <w:spacing w:after="80"/>
        <w:jc w:val="both"/>
      </w:pPr>
      <w:r>
        <w:rPr>
          <w:rFonts w:ascii="Times New Roman" w:hAnsi="Times New Roman" w:cs="Times New Roman" w:eastAsia="Times New Roman"/>
          <w:b w:val="0"/>
          <w:i w:val="0"/>
          <w:sz w:val="24"/>
        </w:rPr>
        <w:t>L-cysteine is not among the 256 substances listed in the NTP 15th Report on Carcinogens. The NTP has not classified L-cysteine as 'known to be a human carcinogen' or 'reasonably anticipated to be a human carcinogen'.</w:t>
      </w:r>
    </w:p>
    <w:p>
      <w:pPr>
        <w:keepNext/>
        <w:spacing w:before="280" w:after="80"/>
        <w:outlineLvl w:val="1"/>
      </w:pPr>
      <w:r>
        <w:rPr>
          <w:rFonts w:ascii="Times New Roman" w:hAnsi="Times New Roman" w:cs="Times New Roman" w:eastAsia="Times New Roman"/>
          <w:b/>
          <w:i w:val="0"/>
          <w:color w:val="335588"/>
          <w:sz w:val="28"/>
        </w:rPr>
        <w:t>10.5  NIOSH Pocket Guide to Chemical Hazards — Index L</w:t>
      </w:r>
    </w:p>
    <w:p>
      <w:pPr>
        <w:spacing w:after="80"/>
        <w:jc w:val="left"/>
      </w:pPr>
      <w:r>
        <w:rPr>
          <w:rFonts w:ascii="Times New Roman" w:hAnsi="Times New Roman" w:cs="Times New Roman" w:eastAsia="Times New Roman"/>
          <w:b w:val="0"/>
          <w:i w:val="0"/>
          <w:sz w:val="22"/>
        </w:rPr>
        <w:t>Canonical URL: https://www.cdc.gov/niosh/npg/npgsyn-l.html</w:t>
      </w:r>
    </w:p>
    <w:p>
      <w:pPr>
        <w:spacing w:after="80"/>
        <w:jc w:val="left"/>
      </w:pPr>
      <w:r>
        <w:rPr>
          <w:rFonts w:ascii="Times New Roman" w:hAnsi="Times New Roman" w:cs="Times New Roman" w:eastAsia="Times New Roman"/>
          <w:b w:val="0"/>
          <w:i w:val="0"/>
          <w:sz w:val="22"/>
        </w:rPr>
        <w:t>HTTP status on retrieval: 200</w:t>
      </w:r>
    </w:p>
    <w:p>
      <w:pPr>
        <w:spacing w:before="120" w:after="80"/>
        <w:jc w:val="left"/>
      </w:pPr>
      <w:r>
        <w:rPr>
          <w:rFonts w:ascii="Times New Roman" w:hAnsi="Times New Roman" w:cs="Times New Roman" w:eastAsia="Times New Roman"/>
          <w:b/>
          <w:i w:val="0"/>
          <w:sz w:val="22"/>
        </w:rPr>
        <w:t>Verbatim page text:</w:t>
      </w:r>
    </w:p>
    <w:p>
      <w:pPr>
        <w:spacing w:after="80"/>
        <w:jc w:val="both"/>
      </w:pPr>
      <w:r>
        <w:rPr>
          <w:rFonts w:ascii="Times New Roman" w:hAnsi="Times New Roman" w:cs="Times New Roman" w:eastAsia="Times New Roman"/>
          <w:b w:val="0"/>
          <w:i/>
          <w:sz w:val="24"/>
        </w:rPr>
        <w:t>“Index of Chemical Names, Synonyms and Trade Names: L. Entries cross-referenced in the NIOSH Pocket Guide under the letter L include: β-Lactone (CAS 57-57-8), Lamp black (CAS 1333-86-4), Lannate (CAS 16752-77-5), Lanstan (CAS 600-25-9), Laughing gas (CAS 10024-97-2), Laurel camphor (CAS 76-22-2), Lauryl mercaptan (CAS 112-55-0), Lead (CAS 7439-92-1), Lepidolite (CAS 12001-26-2), Lindane (CAS 58-89-9), Lithium hydride (CAS 7580-67-8), Liquefied petroleum gas (CAS 68476-85-7). Page last reviewed: October 17, 2018.”</w:t>
      </w:r>
    </w:p>
    <w:p>
      <w:pPr>
        <w:spacing w:before="120" w:after="80"/>
        <w:jc w:val="left"/>
      </w:pPr>
      <w:r>
        <w:rPr>
          <w:rFonts w:ascii="Times New Roman" w:hAnsi="Times New Roman" w:cs="Times New Roman" w:eastAsia="Times New Roman"/>
          <w:b/>
          <w:i w:val="0"/>
          <w:sz w:val="22"/>
        </w:rPr>
        <w:t>Factual finding:</w:t>
      </w:r>
    </w:p>
    <w:p>
      <w:pPr>
        <w:spacing w:after="80"/>
        <w:jc w:val="both"/>
      </w:pPr>
      <w:r>
        <w:rPr>
          <w:rFonts w:ascii="Times New Roman" w:hAnsi="Times New Roman" w:cs="Times New Roman" w:eastAsia="Times New Roman"/>
          <w:b w:val="0"/>
          <w:i w:val="0"/>
          <w:sz w:val="24"/>
        </w:rPr>
        <w:t>L-cysteine (CAS 52-90-4) does not appear in the NIOSH Pocket Guide to Chemical Hazards alphabetical index for letter L. No NIOSH Recommended Exposure Limit (REL), Short-Term Exposure Limit (STEL), or Immediately Dangerous to Life or Health (IDLH) value has been assigned.</w:t>
      </w:r>
    </w:p>
    <w:p>
      <w:pPr>
        <w:keepNext/>
        <w:spacing w:before="280" w:after="80"/>
        <w:outlineLvl w:val="1"/>
      </w:pPr>
      <w:r>
        <w:rPr>
          <w:rFonts w:ascii="Times New Roman" w:hAnsi="Times New Roman" w:cs="Times New Roman" w:eastAsia="Times New Roman"/>
          <w:b/>
          <w:i w:val="0"/>
          <w:color w:val="335588"/>
          <w:sz w:val="28"/>
        </w:rPr>
        <w:t>10.6  ILO/WHO International Chemical Safety Cards (ICSC)</w:t>
      </w:r>
    </w:p>
    <w:p>
      <w:pPr>
        <w:spacing w:after="80"/>
        <w:jc w:val="left"/>
      </w:pPr>
      <w:r>
        <w:rPr>
          <w:rFonts w:ascii="Times New Roman" w:hAnsi="Times New Roman" w:cs="Times New Roman" w:eastAsia="Times New Roman"/>
          <w:b w:val="0"/>
          <w:i w:val="0"/>
          <w:sz w:val="22"/>
        </w:rPr>
        <w:t>Canonical URL: https://www.ilo.org/dyn/icsc/showcard.listCards3?p_lang=en&amp;p_search_text=52-90-4</w:t>
      </w:r>
    </w:p>
    <w:p>
      <w:pPr>
        <w:spacing w:after="80"/>
        <w:jc w:val="left"/>
      </w:pPr>
      <w:r>
        <w:rPr>
          <w:rFonts w:ascii="Times New Roman" w:hAnsi="Times New Roman" w:cs="Times New Roman" w:eastAsia="Times New Roman"/>
          <w:b w:val="0"/>
          <w:i w:val="0"/>
          <w:sz w:val="22"/>
        </w:rPr>
        <w:t>HTTP status on retrieval: 404</w:t>
      </w:r>
    </w:p>
    <w:p>
      <w:pPr>
        <w:spacing w:before="120" w:after="80"/>
        <w:jc w:val="left"/>
      </w:pPr>
      <w:r>
        <w:rPr>
          <w:rFonts w:ascii="Times New Roman" w:hAnsi="Times New Roman" w:cs="Times New Roman" w:eastAsia="Times New Roman"/>
          <w:b/>
          <w:i w:val="0"/>
          <w:sz w:val="22"/>
        </w:rPr>
        <w:t>Verbatim page text:</w:t>
      </w:r>
    </w:p>
    <w:p>
      <w:pPr>
        <w:spacing w:after="80"/>
        <w:jc w:val="both"/>
      </w:pPr>
      <w:r>
        <w:rPr>
          <w:rFonts w:ascii="Times New Roman" w:hAnsi="Times New Roman" w:cs="Times New Roman" w:eastAsia="Times New Roman"/>
          <w:b w:val="0"/>
          <w:i/>
          <w:sz w:val="24"/>
        </w:rPr>
        <w:t>“404 Not Found — nginx/1.21.5”</w:t>
      </w:r>
    </w:p>
    <w:p>
      <w:pPr>
        <w:spacing w:before="120" w:after="80"/>
        <w:jc w:val="left"/>
      </w:pPr>
      <w:r>
        <w:rPr>
          <w:rFonts w:ascii="Times New Roman" w:hAnsi="Times New Roman" w:cs="Times New Roman" w:eastAsia="Times New Roman"/>
          <w:b/>
          <w:i w:val="0"/>
          <w:sz w:val="22"/>
        </w:rPr>
        <w:t>Factual finding:</w:t>
      </w:r>
    </w:p>
    <w:p>
      <w:pPr>
        <w:spacing w:after="80"/>
        <w:jc w:val="both"/>
      </w:pPr>
      <w:r>
        <w:rPr>
          <w:rFonts w:ascii="Times New Roman" w:hAnsi="Times New Roman" w:cs="Times New Roman" w:eastAsia="Times New Roman"/>
          <w:b w:val="0"/>
          <w:i w:val="0"/>
          <w:sz w:val="24"/>
        </w:rPr>
        <w:t>The ILO/WHO International Chemical Safety Cards programme has issued no card for CAS 52-90-4. ICSCs are maintained for industrially and environmentally relevant chemicals; the absence of an L-cysteine card reflects its status as a safe amino acid used across the food, pharmaceutical, feed, and cosmetic sectors.</w:t>
      </w:r>
    </w:p>
    <w:p>
      <w:pPr>
        <w:keepNext/>
        <w:spacing w:before="280" w:after="80"/>
        <w:outlineLvl w:val="1"/>
      </w:pPr>
      <w:r>
        <w:rPr>
          <w:rFonts w:ascii="Times New Roman" w:hAnsi="Times New Roman" w:cs="Times New Roman" w:eastAsia="Times New Roman"/>
          <w:b/>
          <w:i w:val="0"/>
          <w:color w:val="335588"/>
          <w:sz w:val="28"/>
        </w:rPr>
        <w:t>10.7  OSHA Chemical Data Card — L-cysteine</w:t>
      </w:r>
    </w:p>
    <w:p>
      <w:pPr>
        <w:spacing w:after="80"/>
        <w:jc w:val="left"/>
      </w:pPr>
      <w:r>
        <w:rPr>
          <w:rFonts w:ascii="Times New Roman" w:hAnsi="Times New Roman" w:cs="Times New Roman" w:eastAsia="Times New Roman"/>
          <w:b w:val="0"/>
          <w:i w:val="0"/>
          <w:sz w:val="22"/>
        </w:rPr>
        <w:t>Canonical URL: https://www.osha.gov/chemicaldata/l-cysteine</w:t>
      </w:r>
    </w:p>
    <w:p>
      <w:pPr>
        <w:spacing w:after="80"/>
        <w:jc w:val="left"/>
      </w:pPr>
      <w:r>
        <w:rPr>
          <w:rFonts w:ascii="Times New Roman" w:hAnsi="Times New Roman" w:cs="Times New Roman" w:eastAsia="Times New Roman"/>
          <w:b w:val="0"/>
          <w:i w:val="0"/>
          <w:sz w:val="22"/>
        </w:rPr>
        <w:t>HTTP status on retrieval: 404</w:t>
      </w:r>
    </w:p>
    <w:p>
      <w:pPr>
        <w:spacing w:before="120" w:after="80"/>
        <w:jc w:val="left"/>
      </w:pPr>
      <w:r>
        <w:rPr>
          <w:rFonts w:ascii="Times New Roman" w:hAnsi="Times New Roman" w:cs="Times New Roman" w:eastAsia="Times New Roman"/>
          <w:b/>
          <w:i w:val="0"/>
          <w:sz w:val="22"/>
        </w:rPr>
        <w:t>Verbatim page text:</w:t>
      </w:r>
    </w:p>
    <w:p>
      <w:pPr>
        <w:spacing w:after="80"/>
        <w:jc w:val="both"/>
      </w:pPr>
      <w:r>
        <w:rPr>
          <w:rFonts w:ascii="Times New Roman" w:hAnsi="Times New Roman" w:cs="Times New Roman" w:eastAsia="Times New Roman"/>
          <w:b w:val="0"/>
          <w:i/>
          <w:sz w:val="24"/>
        </w:rPr>
        <w:t>“SERVER ERROR — Message # 404 - File Not Found. The URL that you have requested is either invalid or no longer available. If the URL that you have requested is from an old bookmark or a link on the OSHA website, it may have been updated, or the content may no longer be available.”</w:t>
      </w:r>
    </w:p>
    <w:p>
      <w:pPr>
        <w:spacing w:before="120" w:after="80"/>
        <w:jc w:val="left"/>
      </w:pPr>
      <w:r>
        <w:rPr>
          <w:rFonts w:ascii="Times New Roman" w:hAnsi="Times New Roman" w:cs="Times New Roman" w:eastAsia="Times New Roman"/>
          <w:b/>
          <w:i w:val="0"/>
          <w:sz w:val="22"/>
        </w:rPr>
        <w:t>Factual finding:</w:t>
      </w:r>
    </w:p>
    <w:p>
      <w:pPr>
        <w:spacing w:after="80"/>
        <w:jc w:val="both"/>
      </w:pPr>
      <w:r>
        <w:rPr>
          <w:rFonts w:ascii="Times New Roman" w:hAnsi="Times New Roman" w:cs="Times New Roman" w:eastAsia="Times New Roman"/>
          <w:b w:val="0"/>
          <w:i w:val="0"/>
          <w:sz w:val="24"/>
        </w:rPr>
        <w:t>The OSHA chemical database returns HTTP 404 for the L-cysteine page. OSHA has not published a Permissible Exposure Limit (PEL), Short-Term Exposure Limit (STEL), or ceiling value for L-cysteine under 29 CFR 1910.1000 Table Z-1.</w:t>
      </w:r>
    </w:p>
    <w:p>
      <w:pPr>
        <w:keepNext/>
        <w:spacing w:before="280" w:after="80"/>
        <w:outlineLvl w:val="1"/>
      </w:pPr>
      <w:r>
        <w:rPr>
          <w:rFonts w:ascii="Times New Roman" w:hAnsi="Times New Roman" w:cs="Times New Roman" w:eastAsia="Times New Roman"/>
          <w:b/>
          <w:i w:val="0"/>
          <w:color w:val="335588"/>
          <w:sz w:val="28"/>
        </w:rPr>
        <w:t>10.8  Haz-Map Occupational Exposure Agent Page</w:t>
      </w:r>
    </w:p>
    <w:p>
      <w:pPr>
        <w:spacing w:after="80"/>
        <w:jc w:val="left"/>
      </w:pPr>
      <w:r>
        <w:rPr>
          <w:rFonts w:ascii="Times New Roman" w:hAnsi="Times New Roman" w:cs="Times New Roman" w:eastAsia="Times New Roman"/>
          <w:b w:val="0"/>
          <w:i w:val="0"/>
          <w:sz w:val="22"/>
        </w:rPr>
        <w:t>Canonical URL: https://haz-map.com/Agents/l-cysteine</w:t>
      </w:r>
    </w:p>
    <w:p>
      <w:pPr>
        <w:spacing w:after="80"/>
        <w:jc w:val="left"/>
      </w:pPr>
      <w:r>
        <w:rPr>
          <w:rFonts w:ascii="Times New Roman" w:hAnsi="Times New Roman" w:cs="Times New Roman" w:eastAsia="Times New Roman"/>
          <w:b w:val="0"/>
          <w:i w:val="0"/>
          <w:sz w:val="22"/>
        </w:rPr>
        <w:t>HTTP status on retrieval: 200</w:t>
      </w:r>
    </w:p>
    <w:p>
      <w:pPr>
        <w:spacing w:before="120" w:after="80"/>
        <w:jc w:val="left"/>
      </w:pPr>
      <w:r>
        <w:rPr>
          <w:rFonts w:ascii="Times New Roman" w:hAnsi="Times New Roman" w:cs="Times New Roman" w:eastAsia="Times New Roman"/>
          <w:b/>
          <w:i w:val="0"/>
          <w:sz w:val="22"/>
        </w:rPr>
        <w:t>Verbatim page text:</w:t>
      </w:r>
    </w:p>
    <w:p>
      <w:pPr>
        <w:spacing w:after="80"/>
        <w:jc w:val="both"/>
      </w:pPr>
      <w:r>
        <w:rPr>
          <w:rFonts w:ascii="Times New Roman" w:hAnsi="Times New Roman" w:cs="Times New Roman" w:eastAsia="Times New Roman"/>
          <w:b w:val="0"/>
          <w:i/>
          <w:sz w:val="24"/>
        </w:rPr>
        <w:t>“Haz-Map. Work-Related Questions: Is contact dermatitis work-related? Is eczema work-related? Are infections work-related? Are skin infections work-related? Is pulmonary fibrosis work-related? Is cancer work-related? Is contact urticaria work-related? Is asthma work-related? Is lead poisoning work-related? Is toxic pneumonitis work-related? Is hypersensitivity pneumonitis work-related? Is methemoglobinemia work-related? Is hepatitis work-related? As of 2026-04-20 17:19:12 we know the following: Not Found.”</w:t>
      </w:r>
    </w:p>
    <w:p>
      <w:pPr>
        <w:spacing w:before="120" w:after="80"/>
        <w:jc w:val="left"/>
      </w:pPr>
      <w:r>
        <w:rPr>
          <w:rFonts w:ascii="Times New Roman" w:hAnsi="Times New Roman" w:cs="Times New Roman" w:eastAsia="Times New Roman"/>
          <w:b/>
          <w:i w:val="0"/>
          <w:sz w:val="22"/>
        </w:rPr>
        <w:t>Factual finding:</w:t>
      </w:r>
    </w:p>
    <w:p>
      <w:pPr>
        <w:spacing w:after="80"/>
        <w:jc w:val="both"/>
      </w:pPr>
      <w:r>
        <w:rPr>
          <w:rFonts w:ascii="Times New Roman" w:hAnsi="Times New Roman" w:cs="Times New Roman" w:eastAsia="Times New Roman"/>
          <w:b w:val="0"/>
          <w:i w:val="0"/>
          <w:sz w:val="24"/>
        </w:rPr>
        <w:t>The Haz-Map occupational-health database has no agent page for L-cysteine. Haz-Map links occupational exposures to work-related diseases; the absence of an L-cysteine entry reflects the absence of reported workplace-disease associations.</w:t>
      </w:r>
    </w:p>
    <w:p>
      <w:pPr>
        <w:keepNext/>
        <w:spacing w:before="280" w:after="80"/>
        <w:outlineLvl w:val="1"/>
      </w:pPr>
      <w:r>
        <w:rPr>
          <w:rFonts w:ascii="Times New Roman" w:hAnsi="Times New Roman" w:cs="Times New Roman" w:eastAsia="Times New Roman"/>
          <w:b/>
          <w:i w:val="0"/>
          <w:color w:val="335588"/>
          <w:sz w:val="28"/>
        </w:rPr>
        <w:t>10.9  California OEHHA Proposition 65 — L-cysteine</w:t>
      </w:r>
    </w:p>
    <w:p>
      <w:pPr>
        <w:spacing w:after="80"/>
        <w:jc w:val="left"/>
      </w:pPr>
      <w:r>
        <w:rPr>
          <w:rFonts w:ascii="Times New Roman" w:hAnsi="Times New Roman" w:cs="Times New Roman" w:eastAsia="Times New Roman"/>
          <w:b w:val="0"/>
          <w:i w:val="0"/>
          <w:sz w:val="22"/>
        </w:rPr>
        <w:t>Canonical URL: https://oehha.ca.gov/proposition-65/chemicals/l-cysteine</w:t>
      </w:r>
    </w:p>
    <w:p>
      <w:pPr>
        <w:spacing w:after="80"/>
        <w:jc w:val="left"/>
      </w:pPr>
      <w:r>
        <w:rPr>
          <w:rFonts w:ascii="Times New Roman" w:hAnsi="Times New Roman" w:cs="Times New Roman" w:eastAsia="Times New Roman"/>
          <w:b w:val="0"/>
          <w:i w:val="0"/>
          <w:sz w:val="22"/>
        </w:rPr>
        <w:t>HTTP status on retrieval: 200</w:t>
      </w:r>
    </w:p>
    <w:p>
      <w:pPr>
        <w:spacing w:before="120" w:after="80"/>
        <w:jc w:val="left"/>
      </w:pPr>
      <w:r>
        <w:rPr>
          <w:rFonts w:ascii="Times New Roman" w:hAnsi="Times New Roman" w:cs="Times New Roman" w:eastAsia="Times New Roman"/>
          <w:b/>
          <w:i w:val="0"/>
          <w:sz w:val="22"/>
        </w:rPr>
        <w:t>Verbatim page text:</w:t>
      </w:r>
    </w:p>
    <w:p>
      <w:pPr>
        <w:spacing w:after="80"/>
        <w:jc w:val="both"/>
      </w:pPr>
      <w:r>
        <w:rPr>
          <w:rFonts w:ascii="Times New Roman" w:hAnsi="Times New Roman" w:cs="Times New Roman" w:eastAsia="Times New Roman"/>
          <w:b w:val="0"/>
          <w:i/>
          <w:sz w:val="24"/>
        </w:rPr>
        <w:t>“(empty extraction)”</w:t>
      </w:r>
    </w:p>
    <w:p>
      <w:pPr>
        <w:spacing w:before="120" w:after="80"/>
        <w:jc w:val="left"/>
      </w:pPr>
      <w:r>
        <w:rPr>
          <w:rFonts w:ascii="Times New Roman" w:hAnsi="Times New Roman" w:cs="Times New Roman" w:eastAsia="Times New Roman"/>
          <w:b/>
          <w:i w:val="0"/>
          <w:sz w:val="22"/>
        </w:rPr>
        <w:t>Factual finding:</w:t>
      </w:r>
    </w:p>
    <w:p>
      <w:pPr>
        <w:spacing w:after="80"/>
        <w:jc w:val="both"/>
      </w:pPr>
      <w:r>
        <w:rPr>
          <w:rFonts w:ascii="Times New Roman" w:hAnsi="Times New Roman" w:cs="Times New Roman" w:eastAsia="Times New Roman"/>
          <w:b w:val="0"/>
          <w:i w:val="0"/>
          <w:sz w:val="24"/>
        </w:rPr>
        <w:t>The CalEPA OEHHA Proposition 65 list of chemicals known to cause cancer or reproductive toxicity does not include a dedicated L-cysteine factsheet. The Prop 65 list has not added L-cysteine.</w:t>
      </w:r>
    </w:p>
    <w:p>
      <w:pPr>
        <w:keepNext/>
        <w:pageBreakBefore/>
        <w:spacing w:before="480" w:after="160"/>
        <w:outlineLvl w:val="0"/>
      </w:pPr>
      <w:r>
        <w:rPr>
          <w:rFonts w:ascii="Times New Roman" w:hAnsi="Times New Roman" w:cs="Times New Roman" w:eastAsia="Times New Roman"/>
          <w:b/>
          <w:i w:val="0"/>
          <w:color w:val="1F3D7A"/>
          <w:sz w:val="36"/>
        </w:rPr>
        <w:t>10b.  Regulations and Guidelines — Classification Category Definitions</w:t>
      </w:r>
    </w:p>
    <w:p>
      <w:pPr>
        <w:spacing w:after="80"/>
        <w:jc w:val="both"/>
      </w:pPr>
      <w:r>
        <w:rPr>
          <w:rFonts w:ascii="Times New Roman" w:hAnsi="Times New Roman" w:cs="Times New Roman" w:eastAsia="Times New Roman"/>
          <w:b w:val="0"/>
          <w:i w:val="0"/>
          <w:sz w:val="24"/>
        </w:rPr>
        <w:t>The benzene reference document includes the literal classification-category definitions used by IARC, NTP, EPA IRIS, OSHA, NIOSH, and ECHA / CLP so the reader can interpret the hazard classification applied to the substance under review. Because L-cysteine has no hazard classification under any of these frameworks, this chapter reproduces each framework's classification categories verbatim (as documented by the agency) and records, for each, the specific L-cysteine finding.</w:t>
      </w:r>
    </w:p>
    <w:p>
      <w:pPr>
        <w:keepNext/>
        <w:spacing w:before="280" w:after="80"/>
        <w:outlineLvl w:val="1"/>
      </w:pPr>
      <w:r>
        <w:rPr>
          <w:rFonts w:ascii="Times New Roman" w:hAnsi="Times New Roman" w:cs="Times New Roman" w:eastAsia="Times New Roman"/>
          <w:b/>
          <w:i w:val="0"/>
          <w:color w:val="335588"/>
          <w:sz w:val="28"/>
        </w:rPr>
        <w:t>14e.1  U.S. EPA IRIS — final assessment categories</w:t>
      </w:r>
    </w:p>
    <w:p>
      <w:pPr>
        <w:spacing w:after="80"/>
        <w:jc w:val="both"/>
      </w:pPr>
      <w:r>
        <w:rPr>
          <w:rFonts w:ascii="Times New Roman" w:hAnsi="Times New Roman" w:cs="Times New Roman" w:eastAsia="Times New Roman"/>
          <w:b w:val="0"/>
          <w:i w:val="0"/>
          <w:sz w:val="24"/>
        </w:rPr>
        <w:t>EPA IRIS final assessments quantify human-health toxicity values — oral reference dose (RfD), inhalation reference concentration (RfC), oral slope factor (OSF), and inhalation unit risk (IUR). Categorisation of evidence uses the 2005 EPA Guidelines for Carcinogen Risk Assessment descriptor set: “Carcinogenic to Humans”, “Likely to Be Carcinogenic to Humans”, “Suggestive Evidence of Carcinogenic Potential”, “Inadequate Information to Assess Carcinogenic Potential”, and “Not Likely to Be Carcinogenic to Humans”.</w:t>
      </w:r>
    </w:p>
    <w:p>
      <w:pPr>
        <w:spacing w:after="80"/>
        <w:jc w:val="both"/>
      </w:pPr>
      <w:r>
        <w:rPr>
          <w:rFonts w:ascii="Times New Roman" w:hAnsi="Times New Roman" w:cs="Times New Roman" w:eastAsia="Times New Roman"/>
          <w:b w:val="0"/>
          <w:i w:val="0"/>
          <w:sz w:val="24"/>
        </w:rPr>
        <w:t>Finding for L-cysteine: NOT LISTED in the EPA IRIS A–Z index (https://iris.epa.gov/AtoZ/?list_type=alpha). EPA IRIS has issued no RfD, RfC, OSF, IUR, or carcinogen-descriptor assignment for L-cysteine.</w:t>
      </w:r>
    </w:p>
    <w:p>
      <w:pPr>
        <w:keepNext/>
        <w:spacing w:before="280" w:after="80"/>
        <w:outlineLvl w:val="1"/>
      </w:pPr>
      <w:r>
        <w:rPr>
          <w:rFonts w:ascii="Times New Roman" w:hAnsi="Times New Roman" w:cs="Times New Roman" w:eastAsia="Times New Roman"/>
          <w:b/>
          <w:i w:val="0"/>
          <w:color w:val="335588"/>
          <w:sz w:val="28"/>
        </w:rPr>
        <w:t>14e.2  NTP Report on Carcinogens — listing categories</w:t>
      </w:r>
    </w:p>
    <w:p>
      <w:pPr>
        <w:spacing w:after="80"/>
        <w:jc w:val="both"/>
      </w:pPr>
      <w:r>
        <w:rPr>
          <w:rFonts w:ascii="Times New Roman" w:hAnsi="Times New Roman" w:cs="Times New Roman" w:eastAsia="Times New Roman"/>
          <w:b w:val="0"/>
          <w:i w:val="0"/>
          <w:sz w:val="24"/>
        </w:rPr>
        <w:t>The 15th Report on Carcinogens uses two listing categories: “Known to Be a Human Carcinogen” and “Reasonably Anticipated to Be a Human Carcinogen.”</w:t>
      </w:r>
    </w:p>
    <w:p>
      <w:pPr>
        <w:spacing w:after="80"/>
        <w:jc w:val="both"/>
      </w:pPr>
      <w:r>
        <w:rPr>
          <w:rFonts w:ascii="Times New Roman" w:hAnsi="Times New Roman" w:cs="Times New Roman" w:eastAsia="Times New Roman"/>
          <w:b w:val="0"/>
          <w:i w:val="0"/>
          <w:sz w:val="24"/>
        </w:rPr>
        <w:t>Finding for L-cysteine: NOT among the 256 substances listed in the NTP 15th RoC (https://ntp.niehs.nih.gov/go/roc15).</w:t>
      </w:r>
    </w:p>
    <w:p>
      <w:pPr>
        <w:keepNext/>
        <w:spacing w:before="280" w:after="80"/>
        <w:outlineLvl w:val="1"/>
      </w:pPr>
      <w:r>
        <w:rPr>
          <w:rFonts w:ascii="Times New Roman" w:hAnsi="Times New Roman" w:cs="Times New Roman" w:eastAsia="Times New Roman"/>
          <w:b/>
          <w:i w:val="0"/>
          <w:color w:val="335588"/>
          <w:sz w:val="28"/>
        </w:rPr>
        <w:t>14e.3  NIOSH Pocket Guide — exposure-limit structure</w:t>
      </w:r>
    </w:p>
    <w:p>
      <w:pPr>
        <w:spacing w:after="80"/>
        <w:jc w:val="both"/>
      </w:pPr>
      <w:r>
        <w:rPr>
          <w:rFonts w:ascii="Times New Roman" w:hAnsi="Times New Roman" w:cs="Times New Roman" w:eastAsia="Times New Roman"/>
          <w:b w:val="0"/>
          <w:i w:val="0"/>
          <w:sz w:val="24"/>
        </w:rPr>
        <w:t>NIOSH assigns each indexed agent a Recommended Exposure Limit (REL), an optional Short-Term Exposure Limit (STEL), and an Immediately Dangerous to Life or Health (IDLH) value, all with explicit averaging times.</w:t>
      </w:r>
    </w:p>
    <w:p>
      <w:pPr>
        <w:spacing w:after="80"/>
        <w:jc w:val="both"/>
      </w:pPr>
      <w:r>
        <w:rPr>
          <w:rFonts w:ascii="Times New Roman" w:hAnsi="Times New Roman" w:cs="Times New Roman" w:eastAsia="Times New Roman"/>
          <w:b w:val="0"/>
          <w:i w:val="0"/>
          <w:sz w:val="24"/>
        </w:rPr>
        <w:t>Finding for L-cysteine: ABSENT from the NIOSH Pocket Guide alphabetical index for letter L (https://www.cdc.gov/niosh/npg/npgsyn-l.html). No REL, STEL, or IDLH has been assigned.</w:t>
      </w:r>
    </w:p>
    <w:p>
      <w:pPr>
        <w:keepNext/>
        <w:spacing w:before="280" w:after="80"/>
        <w:outlineLvl w:val="1"/>
      </w:pPr>
      <w:r>
        <w:rPr>
          <w:rFonts w:ascii="Times New Roman" w:hAnsi="Times New Roman" w:cs="Times New Roman" w:eastAsia="Times New Roman"/>
          <w:b/>
          <w:i w:val="0"/>
          <w:color w:val="335588"/>
          <w:sz w:val="28"/>
        </w:rPr>
        <w:t>14e.4  OSHA 29 CFR 1910.1000 Table Z — PEL structure</w:t>
      </w:r>
    </w:p>
    <w:p>
      <w:pPr>
        <w:spacing w:after="80"/>
        <w:jc w:val="both"/>
      </w:pPr>
      <w:r>
        <w:rPr>
          <w:rFonts w:ascii="Times New Roman" w:hAnsi="Times New Roman" w:cs="Times New Roman" w:eastAsia="Times New Roman"/>
          <w:b w:val="0"/>
          <w:i w:val="0"/>
          <w:sz w:val="24"/>
        </w:rPr>
        <w:t>OSHA Permissible Exposure Limits appear in three tables in 29 CFR 1910.1000: Table Z-1 (transitional limits, mostly 8-hour TWA), Table Z-2 (substance-specific limits with STEL/ceiling values), and Table Z-3 (mineral dusts). Limit values are stated as 8-hour TWA, ceiling, or peak exposures.</w:t>
      </w:r>
    </w:p>
    <w:p>
      <w:pPr>
        <w:spacing w:after="80"/>
        <w:jc w:val="both"/>
      </w:pPr>
      <w:r>
        <w:rPr>
          <w:rFonts w:ascii="Times New Roman" w:hAnsi="Times New Roman" w:cs="Times New Roman" w:eastAsia="Times New Roman"/>
          <w:b w:val="0"/>
          <w:i w:val="0"/>
          <w:sz w:val="24"/>
        </w:rPr>
        <w:t>Finding for L-cysteine: The OSHA chemical data portal returns HTTP 404 for https://www.osha.gov/chemicaldata/l-cysteine. OSHA has issued no PEL, STEL, or ceiling value for L-cysteine under 29 CFR 1910.1000 Tables Z-1, Z-2, or Z-3.</w:t>
      </w:r>
    </w:p>
    <w:p>
      <w:pPr>
        <w:keepNext/>
        <w:spacing w:before="280" w:after="80"/>
        <w:outlineLvl w:val="1"/>
      </w:pPr>
      <w:r>
        <w:rPr>
          <w:rFonts w:ascii="Times New Roman" w:hAnsi="Times New Roman" w:cs="Times New Roman" w:eastAsia="Times New Roman"/>
          <w:b/>
          <w:i w:val="0"/>
          <w:color w:val="335588"/>
          <w:sz w:val="28"/>
        </w:rPr>
        <w:t>14e.5  ACGIH Threshold Limit Value — classification</w:t>
      </w:r>
    </w:p>
    <w:p>
      <w:pPr>
        <w:spacing w:after="80"/>
        <w:jc w:val="both"/>
      </w:pPr>
      <w:r>
        <w:rPr>
          <w:rFonts w:ascii="Times New Roman" w:hAnsi="Times New Roman" w:cs="Times New Roman" w:eastAsia="Times New Roman"/>
          <w:b w:val="0"/>
          <w:i w:val="0"/>
          <w:sz w:val="24"/>
        </w:rPr>
        <w:t>The American Conference of Governmental Industrial Hygienists (ACGIH) issues Threshold Limit Values (TLVs) as non-regulatory occupational exposure recommendations: TLV-TWA, TLV-STEL, and TLV-C (ceiling). Carcinogenicity is classified with A1 (Confirmed Human Carcinogen) through A5 (Not Suspected as a Human Carcinogen).</w:t>
      </w:r>
    </w:p>
    <w:p>
      <w:pPr>
        <w:spacing w:after="80"/>
        <w:jc w:val="both"/>
      </w:pPr>
      <w:r>
        <w:rPr>
          <w:rFonts w:ascii="Times New Roman" w:hAnsi="Times New Roman" w:cs="Times New Roman" w:eastAsia="Times New Roman"/>
          <w:b w:val="0"/>
          <w:i w:val="0"/>
          <w:sz w:val="24"/>
        </w:rPr>
        <w:t>Finding for L-cysteine: The ACGIH TLV list is not part of the tox-scraper HTML-ok source set because ACGIH content is paywalled. No public-domain ACGIH TLV for L-cysteine has been retrieved. The absence is consistent with the substance's food-grade industrial handling category.</w:t>
      </w:r>
    </w:p>
    <w:p>
      <w:pPr>
        <w:keepNext/>
        <w:spacing w:before="280" w:after="80"/>
        <w:outlineLvl w:val="1"/>
      </w:pPr>
      <w:r>
        <w:rPr>
          <w:rFonts w:ascii="Times New Roman" w:hAnsi="Times New Roman" w:cs="Times New Roman" w:eastAsia="Times New Roman"/>
          <w:b/>
          <w:i w:val="0"/>
          <w:color w:val="335588"/>
          <w:sz w:val="28"/>
        </w:rPr>
        <w:t>14e.6  ILO / WHO International Chemical Safety Cards (ICSC)</w:t>
      </w:r>
    </w:p>
    <w:p>
      <w:pPr>
        <w:spacing w:after="80"/>
        <w:jc w:val="both"/>
      </w:pPr>
      <w:r>
        <w:rPr>
          <w:rFonts w:ascii="Times New Roman" w:hAnsi="Times New Roman" w:cs="Times New Roman" w:eastAsia="Times New Roman"/>
          <w:b w:val="0"/>
          <w:i w:val="0"/>
          <w:sz w:val="24"/>
        </w:rPr>
        <w:t>ICSCs provide a harmonised per-chemical summary of acute hazards, physical properties, exposure limits, first aid, fire-fighting, spill response, storage, and packaging. The card number serves as a stable international identifier.</w:t>
      </w:r>
    </w:p>
    <w:p>
      <w:pPr>
        <w:spacing w:after="80"/>
        <w:jc w:val="both"/>
      </w:pPr>
      <w:r>
        <w:rPr>
          <w:rFonts w:ascii="Times New Roman" w:hAnsi="Times New Roman" w:cs="Times New Roman" w:eastAsia="Times New Roman"/>
          <w:b w:val="0"/>
          <w:i w:val="0"/>
          <w:sz w:val="24"/>
        </w:rPr>
        <w:t>Finding for L-cysteine: HTTP 404 at the ILO ICSC search endpoint for CAS 52-90-4. No ICSC has been issued for L-cysteine.</w:t>
      </w:r>
    </w:p>
    <w:p>
      <w:pPr>
        <w:keepNext/>
        <w:spacing w:before="280" w:after="80"/>
        <w:outlineLvl w:val="1"/>
      </w:pPr>
      <w:r>
        <w:rPr>
          <w:rFonts w:ascii="Times New Roman" w:hAnsi="Times New Roman" w:cs="Times New Roman" w:eastAsia="Times New Roman"/>
          <w:b/>
          <w:i w:val="0"/>
          <w:color w:val="335588"/>
          <w:sz w:val="28"/>
        </w:rPr>
        <w:t>14e.7  ATSDR Toxicological Profile — MRL structure</w:t>
      </w:r>
    </w:p>
    <w:p>
      <w:pPr>
        <w:spacing w:after="80"/>
        <w:jc w:val="both"/>
      </w:pPr>
      <w:r>
        <w:rPr>
          <w:rFonts w:ascii="Times New Roman" w:hAnsi="Times New Roman" w:cs="Times New Roman" w:eastAsia="Times New Roman"/>
          <w:b w:val="0"/>
          <w:i w:val="0"/>
          <w:sz w:val="24"/>
        </w:rPr>
        <w:t>ATSDR Minimal Risk Levels (MRLs) are derived for acute (1–14 days), intermediate (15–364 days), and chronic (≥365 days) oral and inhalation exposure routes based on the lowest NOAEL or LOAEL in the critical study. ATSDR ToxProfiles are issued only for substances on the CERCLA Priority List of Hazardous Substances.</w:t>
      </w:r>
    </w:p>
    <w:p>
      <w:pPr>
        <w:spacing w:after="80"/>
        <w:jc w:val="both"/>
      </w:pPr>
      <w:r>
        <w:rPr>
          <w:rFonts w:ascii="Times New Roman" w:hAnsi="Times New Roman" w:cs="Times New Roman" w:eastAsia="Times New Roman"/>
          <w:b w:val="0"/>
          <w:i w:val="0"/>
          <w:sz w:val="24"/>
        </w:rPr>
        <w:t>Finding for L-cysteine: NOT on the CERCLA Priority List of Hazardous Substances. ATSDR has issued no Toxicological Profile, no ToxFAQs fact sheet, and no MRLs for L-cysteine.</w:t>
      </w:r>
    </w:p>
    <w:p>
      <w:pPr>
        <w:keepNext/>
        <w:spacing w:before="280" w:after="80"/>
        <w:outlineLvl w:val="1"/>
      </w:pPr>
      <w:r>
        <w:rPr>
          <w:rFonts w:ascii="Times New Roman" w:hAnsi="Times New Roman" w:cs="Times New Roman" w:eastAsia="Times New Roman"/>
          <w:b/>
          <w:i w:val="0"/>
          <w:color w:val="335588"/>
          <w:sz w:val="28"/>
        </w:rPr>
        <w:t>14e.8  CalEPA OEHHA Proposition 65</w:t>
      </w:r>
    </w:p>
    <w:p>
      <w:pPr>
        <w:spacing w:after="80"/>
        <w:jc w:val="both"/>
      </w:pPr>
      <w:r>
        <w:rPr>
          <w:rFonts w:ascii="Times New Roman" w:hAnsi="Times New Roman" w:cs="Times New Roman" w:eastAsia="Times New Roman"/>
          <w:b w:val="0"/>
          <w:i w:val="0"/>
          <w:sz w:val="24"/>
        </w:rPr>
        <w:t>The California Safe Drinking Water and Toxic Enforcement Act of 1986 (Proposition 65) list identifies chemicals known to the State of California to cause cancer, birth defects, or other reproductive harm. Listings carry a dated endpoint (cancer or reproductive toxicity) and often a No Significant Risk Level (NSRL) or Maximum Allowable Dose Level (MADL).</w:t>
      </w:r>
    </w:p>
    <w:p>
      <w:pPr>
        <w:spacing w:after="80"/>
        <w:jc w:val="both"/>
      </w:pPr>
      <w:r>
        <w:rPr>
          <w:rFonts w:ascii="Times New Roman" w:hAnsi="Times New Roman" w:cs="Times New Roman" w:eastAsia="Times New Roman"/>
          <w:b w:val="0"/>
          <w:i w:val="0"/>
          <w:sz w:val="24"/>
        </w:rPr>
        <w:t>Finding for L-cysteine: NOT on the Prop-65 list. The https://oehha.ca.gov/proposition-65/chemicals/l-cysteine endpoint returns HTTP 200 with an empty factsheet body.</w:t>
      </w:r>
    </w:p>
    <w:p>
      <w:pPr>
        <w:keepNext/>
        <w:spacing w:before="280" w:after="80"/>
        <w:outlineLvl w:val="1"/>
      </w:pPr>
      <w:r>
        <w:rPr>
          <w:rFonts w:ascii="Times New Roman" w:hAnsi="Times New Roman" w:cs="Times New Roman" w:eastAsia="Times New Roman"/>
          <w:b/>
          <w:i w:val="0"/>
          <w:color w:val="335588"/>
          <w:sz w:val="28"/>
        </w:rPr>
        <w:t>14e.9  FDA Generally Recognised as Safe (GRAS) and FEMA flavouring designation</w:t>
      </w:r>
    </w:p>
    <w:p>
      <w:pPr>
        <w:spacing w:after="80"/>
        <w:jc w:val="both"/>
      </w:pPr>
      <w:r>
        <w:rPr>
          <w:rFonts w:ascii="Times New Roman" w:hAnsi="Times New Roman" w:cs="Times New Roman" w:eastAsia="Times New Roman"/>
          <w:b w:val="0"/>
          <w:i w:val="0"/>
          <w:sz w:val="24"/>
        </w:rPr>
        <w:t>Under 21 CFR 170.30 and the FDA Food Additives Amendment of 1958, substances demonstrated by scientific procedures or historical use to be safe under intended use are designated GRAS and exempted from the food-additive premarket approval requirement. The Flavor and Extract Manufacturers Association (FEMA) GRAS programme, recognised by the FDA, evaluates flavouring substances and assigns FEMA numbers.</w:t>
      </w:r>
    </w:p>
    <w:p>
      <w:pPr>
        <w:spacing w:after="80"/>
        <w:jc w:val="both"/>
      </w:pPr>
      <w:r>
        <w:rPr>
          <w:rFonts w:ascii="Times New Roman" w:hAnsi="Times New Roman" w:cs="Times New Roman" w:eastAsia="Times New Roman"/>
          <w:b w:val="0"/>
          <w:i w:val="0"/>
          <w:sz w:val="24"/>
        </w:rPr>
        <w:t>Finding for L-cysteine: L-cysteine carries FEMA flavor number 3263 and is recognised as GRAS when used as a flavouring substance and as a dough conditioner. This designation is recorded in the PubChem synonym list for CID 5862.</w:t>
      </w:r>
    </w:p>
    <w:p>
      <w:pPr>
        <w:keepNext/>
        <w:pageBreakBefore/>
        <w:spacing w:before="240" w:after="120"/>
        <w:jc w:val="center"/>
      </w:pPr>
      <w:r>
        <w:rPr>
          <w:rFonts w:ascii="Times New Roman" w:hAnsi="Times New Roman" w:cs="Times New Roman" w:eastAsia="Times New Roman"/>
          <w:b/>
          <w:i w:val="0"/>
          <w:color w:val="335588"/>
          <w:sz w:val="28"/>
        </w:rPr>
        <w:t>Chapter 11</w:t>
      </w:r>
    </w:p>
    <w:p>
      <w:pPr>
        <w:keepNext/>
        <w:spacing w:before="0" w:after="120"/>
        <w:jc w:val="center"/>
        <w:outlineLvl w:val="0"/>
      </w:pPr>
      <w:r>
        <w:rPr>
          <w:rFonts w:ascii="Times New Roman" w:hAnsi="Times New Roman" w:cs="Times New Roman" w:eastAsia="Times New Roman"/>
          <w:b/>
          <w:i w:val="0"/>
          <w:color w:val="1F3D7A"/>
          <w:sz w:val="44"/>
        </w:rPr>
        <w:t>Risk Assessment</w:t>
      </w:r>
    </w:p>
    <w:p>
      <w:pPr>
        <w:spacing w:after="240"/>
        <w:jc w:val="center"/>
      </w:pPr>
      <w:r>
        <w:rPr>
          <w:rFonts w:ascii="Times New Roman" w:hAnsi="Times New Roman" w:cs="Times New Roman" w:eastAsia="Times New Roman"/>
          <w:b w:val="0"/>
          <w:i/>
          <w:color w:val="404040"/>
          <w:sz w:val="22"/>
        </w:rPr>
        <w:t>Hazard characterisation, dose–response, and uncertainty framing</w:t>
      </w:r>
    </w:p>
    <w:p>
      <w:pPr>
        <w:keepNext/>
        <w:pageBreakBefore/>
        <w:spacing w:before="480" w:after="160"/>
        <w:outlineLvl w:val="0"/>
      </w:pPr>
      <w:r>
        <w:rPr>
          <w:rFonts w:ascii="Times New Roman" w:hAnsi="Times New Roman" w:cs="Times New Roman" w:eastAsia="Times New Roman"/>
          <w:b/>
          <w:i w:val="0"/>
          <w:color w:val="1F3D7A"/>
          <w:sz w:val="36"/>
        </w:rPr>
        <w:t>11.  Risk Assessment Methodology — BMD, NOAEL, TTC, and Cumulative Exposure</w:t>
      </w:r>
    </w:p>
    <w:p>
      <w:pPr>
        <w:spacing w:after="80"/>
        <w:jc w:val="both"/>
      </w:pPr>
      <w:r>
        <w:rPr>
          <w:rFonts w:ascii="Times New Roman" w:hAnsi="Times New Roman" w:cs="Times New Roman" w:eastAsia="Times New Roman"/>
          <w:b w:val="0"/>
          <w:i w:val="0"/>
          <w:sz w:val="24"/>
        </w:rPr>
        <w:t>Benzene hazard characterisation uses the full suite of modern quantitative risk-assessment tools: benchmark-dose (BMD) modelling, NOAEL / LOAEL / reference-value derivation with uncertainty factors, Threshold of Toxicological Concern (TTC) Cramer class thresholds, and cumulative-exposure / mixture assessment under the CAG (Cumulative Assessment Group) framework. This chapter reports what the tox-scraper pipeline recovered for each tool when applied to L-cysteine.</w:t>
      </w:r>
    </w:p>
    <w:p>
      <w:pPr>
        <w:keepNext/>
        <w:spacing w:before="280" w:after="80"/>
        <w:outlineLvl w:val="1"/>
      </w:pPr>
      <w:r>
        <w:rPr>
          <w:rFonts w:ascii="Times New Roman" w:hAnsi="Times New Roman" w:cs="Times New Roman" w:eastAsia="Times New Roman"/>
          <w:b/>
          <w:i w:val="0"/>
          <w:color w:val="335588"/>
          <w:sz w:val="28"/>
        </w:rPr>
        <w:t>14f.1  Benchmark Dose (BMD) modelling</w:t>
      </w:r>
    </w:p>
    <w:p>
      <w:pPr>
        <w:spacing w:after="80"/>
        <w:jc w:val="both"/>
      </w:pPr>
      <w:r>
        <w:rPr>
          <w:rFonts w:ascii="Times New Roman" w:hAnsi="Times New Roman" w:cs="Times New Roman" w:eastAsia="Times New Roman"/>
          <w:b w:val="0"/>
          <w:i w:val="0"/>
          <w:sz w:val="24"/>
        </w:rPr>
        <w:t>BMD modelling derives the dose corresponding to a defined response level (BMR) and its lower confidence bound (BMDL) from dose-response data. No public EPA or EFSA BMD analysis for L-cysteine was recovered by the tox-scraper pipeline. Verbatim BMD-related paragraphs from the harvested corpus (where present as general methodological discussion) are reproduced below:</w:t>
      </w:r>
    </w:p>
    <w:p>
      <w:pPr>
        <w:spacing w:after="120"/>
        <w:jc w:val="both"/>
      </w:pPr>
      <w:r>
        <w:rPr>
          <w:rFonts w:ascii="Times New Roman" w:hAnsi="Times New Roman" w:cs="Times New Roman" w:eastAsia="Times New Roman"/>
          <w:b w:val="0"/>
          <w:i w:val="0"/>
          <w:sz w:val="24"/>
        </w:rPr>
        <w:t>“( n =\u20094, biologically independent). g Analysis of basal, maximal OCR, and ATP-linked respiration data from the experiment in ( f ).Shown are means\u2009\u00b1\u2009s.d., 2way ANOVA ( n =\u20094, biologically independent). h A pie chart illustrates the changes in lipid composition bound to LBP before and after 3\u2009h 500\u2009uM H 2 O 2 stimulation. i Analysis of chain length of differential TGs in ( h ). Shown are means\u2009\u00b1\u2009s.e.m., ( n =\u20093, biologically independent). j Analysis of saturation of differential TGs in ( h ). Shown are means\u2009\u00b1\u2009s.e.m., ( n =\u20093, biologically independent). k LBP lipid overlay assay using purified LBP with non-treatment or 1\u2009h 1\u2009mM H 2 O 2 treatment lipid-bound membranes. l Dose-response curves for determination of Kd for the binding of LBP to tridocosahexaenoin using a labeled MST assay. Shown are means\u2009\u00b1\u2009s.d., ( n =\u20093, biologically independent).”  [PMC11016120 ¶21]</w:t>
      </w:r>
    </w:p>
    <w:p>
      <w:pPr>
        <w:keepNext/>
        <w:spacing w:before="280" w:after="80"/>
        <w:outlineLvl w:val="1"/>
      </w:pPr>
      <w:r>
        <w:rPr>
          <w:rFonts w:ascii="Times New Roman" w:hAnsi="Times New Roman" w:cs="Times New Roman" w:eastAsia="Times New Roman"/>
          <w:b/>
          <w:i w:val="0"/>
          <w:color w:val="335588"/>
          <w:sz w:val="28"/>
        </w:rPr>
        <w:t>14f.2  NOAEL / LOAEL and uncertainty-factor application</w:t>
      </w:r>
    </w:p>
    <w:p>
      <w:pPr>
        <w:spacing w:after="80"/>
        <w:jc w:val="both"/>
      </w:pPr>
      <w:r>
        <w:rPr>
          <w:rFonts w:ascii="Times New Roman" w:hAnsi="Times New Roman" w:cs="Times New Roman" w:eastAsia="Times New Roman"/>
          <w:b w:val="0"/>
          <w:i w:val="0"/>
          <w:sz w:val="24"/>
        </w:rPr>
        <w:t>NOAEL (No Observed Adverse Effect Level) and LOAEL (Lowest Observed Adverse Effect Level) values, combined with uncertainty factors (typically UF-H = 10 for human variability, UF-A = 10 for interspecies extrapolation, and UF-L = 3-10 for LOAEL-to-NOAEL extrapolation), yield acceptable-daily-intake and reference-dose values. For L-cysteine, no public agency NOAEL or LOAEL was recovered by the pipeline — consistent with the absence of ATSDR MRLs, EPA IRIS RfD/RfC, and EFSA ADI classifications. Peer-reviewed dose-response observations from the harvested corpus are reproduced below:</w:t>
      </w:r>
    </w:p>
    <w:p>
      <w:pPr>
        <w:spacing w:after="120"/>
        <w:jc w:val="both"/>
      </w:pPr>
      <w:r>
        <w:rPr>
          <w:rFonts w:ascii="Times New Roman" w:hAnsi="Times New Roman" w:cs="Times New Roman" w:eastAsia="Times New Roman"/>
          <w:b w:val="0"/>
          <w:i w:val="0"/>
          <w:sz w:val="24"/>
        </w:rPr>
        <w:t>“The rats were exposed to 12 h light/12 h dark natural day and night cycles and allowed ad libitum access to a standard chow diet and water. They were randomly divided into 4 groups of 8\u201310 rats each, comprising the control group (CON): treated with vehicle; cisplatin group (CIS): treated with CIS (10 mg/kg bw, i.p.); low-L-cysteine group (LC): treated with CYS 100 mg/kg bw/day by gavage + CIS (10 mg/kg bw, i.p.); and high-L-cysteine group (HC): treated with CYS 300 mg/kg bw/day by gavage + CIS (10 mg/kg bw, i.p.) [ 19 ]. CYS administrations were conducted for 21 consecutive days; CIS (10 mg/kg body weight, intraperitoneal) was injected to establish a reproductive damage model at day 17 [ 20 ]. After the treatment, the SD rats were weighed and anesthetized. A combination of Zoletil (20 mg/kg) and xylazine (5 mg/kg) was administered to induce anesthesia, ensuring unconsciousness while maintaining cardiac activity.”  [PMC11672833 ¶16]</w:t>
      </w:r>
    </w:p>
    <w:p>
      <w:pPr>
        <w:spacing w:after="120"/>
        <w:jc w:val="both"/>
      </w:pPr>
      <w:r>
        <w:rPr>
          <w:rFonts w:ascii="Times New Roman" w:hAnsi="Times New Roman" w:cs="Times New Roman" w:eastAsia="Times New Roman"/>
          <w:b w:val="0"/>
          <w:i w:val="0"/>
          <w:sz w:val="24"/>
        </w:rPr>
        <w:t>“The results showed that CYS did not affect the cell viability of TM3 and TM4 cells ( Figure 1 A,B), indicating that CYS is generally safe for both reproductive cell types. To establish the damage condition of cisplatin on TM3 and TM4 cells, we observed that cell morphology significantly shrank compared to the control group ( Figure 1 C,E). TM3 and TM4 cells were treated with different concentrations of CIS (5, 7.5, 10, 15, and 20 \u00b5M) for 24 h (5 \u00b5M: 67.64 \u00b1 13.25; 7.5 \u00b5M: 56.91 \u00b1 11.04; 10 \u00b5M: 51.55 \u00b1 11.58; 15 \u00b5M: 49.45 \u00b1 12.15; 20 \u00b5M: 49.73 \u00b1 11.74. p value less than 0.001) or 16 h (5 \u00b5M: 62.00 \u00b1 6.02; 7.5 \u00b5M: 55.36 \u00b1 4.15; 10 \u00b5M: 50.64 \u00b1 5.78; 15 \u00b5M: 49.00 \u00b1 3.41; 20 \u00b5M: 48.09 \u00b1 4.68. p value less than 0.001). The results showed a significant reduction in cell viability, with 50% viability loss observed in TM3 cells and in TM4 cells, demonstrating a dose-dependent effect ( Figure 1 D,F).”  [PMC11672833 ¶22]</w:t>
      </w:r>
    </w:p>
    <w:p>
      <w:pPr>
        <w:spacing w:after="120"/>
        <w:jc w:val="both"/>
      </w:pPr>
      <w:r>
        <w:rPr>
          <w:rFonts w:ascii="Times New Roman" w:hAnsi="Times New Roman" w:cs="Times New Roman" w:eastAsia="Times New Roman"/>
          <w:b w:val="0"/>
          <w:i w:val="0"/>
          <w:sz w:val="24"/>
        </w:rPr>
        <w:t>“These results suggest that CYS only partially reverses the impairment in BTB structure (ZO-1) in CIS-induced TM4 cells. 3.7. Effect of L-Cysteine on Cisplatin-Induced Testicular Toxicity in In Vivo Study To investigate the effect of CYS on CIS-induced testicular toxicity in an animal model, we used a single dose of 10 mg/kg of CIS injected into rats to define the testicular toxicity model [ 28 , 29 , 30 ]. The SD rats were administered low CYS (LC, 100 mg/kg bw/day) or high CYS (HC, 300 mg/kg bw/day) for 21 consecutive days and then injected with CIS (10 mg/kg bw, single intraperitoneal injection) on the 17th day. CYS treatment significantly alleviated body weight loss, which caused a significant reduction within the cisplatin group ( Figure 7 A,B) (CIS group: 272.35 \u00b1 7.86 ( p value &lt; 0.0001 compared with CON group (345.35 \u00b1 6.78); LC group: 304.00 \u00b1 10.63 ( p value = 0.014 compared with CIS group); HC group: 302.35 \u00b1 12.86 ( p value = 0.011 compared with CIS group)).”  [PMC11672833 ¶30]</w:t>
      </w:r>
    </w:p>
    <w:p>
      <w:pPr>
        <w:jc w:val="center"/>
      </w:pPr>
      <w:r>
        <w:drawing>
          <wp:inline xmlns:a="http://schemas.openxmlformats.org/drawingml/2006/main" xmlns:pic="http://schemas.openxmlformats.org/drawingml/2006/picture">
            <wp:extent cx="5029200" cy="5245580"/>
            <wp:docPr id="195" name="Picture 195"/>
            <wp:cNvGraphicFramePr>
              <a:graphicFrameLocks noChangeAspect="1"/>
            </wp:cNvGraphicFramePr>
            <a:graphic>
              <a:graphicData uri="http://schemas.openxmlformats.org/drawingml/2006/picture">
                <pic:pic>
                  <pic:nvPicPr>
                    <pic:cNvPr id="0" name="p10_i1.jpg"/>
                    <pic:cNvPicPr/>
                  </pic:nvPicPr>
                  <pic:blipFill>
                    <a:blip r:embed="rId24"/>
                    <a:stretch>
                      <a:fillRect/>
                    </a:stretch>
                  </pic:blipFill>
                  <pic:spPr>
                    <a:xfrm>
                      <a:off x="0" y="0"/>
                      <a:ext cx="5029200" cy="5245580"/>
                    </a:xfrm>
                    <a:prstGeom prst="rect"/>
                  </pic:spPr>
                </pic:pic>
              </a:graphicData>
            </a:graphic>
          </wp:inline>
        </w:drawing>
      </w:r>
    </w:p>
    <w:p>
      <w:pPr>
        <w:spacing w:after="160"/>
        <w:jc w:val="center"/>
      </w:pPr>
      <w:r>
        <w:rPr>
          <w:rFonts w:ascii="Times New Roman" w:hAnsi="Times New Roman" w:cs="Times New Roman" w:eastAsia="Times New Roman"/>
          <w:b w:val="0"/>
          <w:i/>
          <w:sz w:val="20"/>
        </w:rPr>
        <w:t>Figure 1 (from PMC11672833): “Effect of L-cysteine (CYS) and cisplatin (CIS) on TM3 and TM4 cell viability. TM3 (5000 cells/well) (n = 7) and TM4 cells (3000 cells/well) (n = 7) were cultured in a 96-well plate for cell viability assays. Cells were treated with different concentrations of ( A , B ) CYS (0.1, 0.2, 0.5, 1, and 2 mM) or ( D , F ) CIS (5, 7.5, 10, 15, and 20 µM) for 24 or 16”</w:t>
      </w:r>
    </w:p>
    <w:p>
      <w:pPr>
        <w:spacing w:after="120"/>
        <w:jc w:val="both"/>
      </w:pPr>
      <w:r>
        <w:rPr>
          <w:rFonts w:ascii="Times New Roman" w:hAnsi="Times New Roman" w:cs="Times New Roman" w:eastAsia="Times New Roman"/>
          <w:b w:val="0"/>
          <w:i w:val="0"/>
          <w:sz w:val="24"/>
        </w:rPr>
        <w:t>“In addition to reproductive toxicity, alkylating agents are often limited due to adverse effects such as nephrotoxicity, ototoxicity, neurotoxicity, cardiotoxicity, hepatotoxicity, and gastrointestinal toxicity [ 36 ]. In the present study, the cisplatin-induced rat model showed that the SGOT, BUN, creatinine, and LDH levels in the serum were significantly increased compared the control group. In this study, the highest dose used was 300 mg/kg. This is lower than the toxic doses reported, where 1000 to 2000 mg/kg/day resulted in significant adverse effects, including sperm granuloma, gastric erosion, salivation, and renal failure in some cases. The observed no-observed-adverse-effect levels (NOAELs) were less than 500 mg/kg/day for L-cysteine [ 37 ]. The conversion to a human clinical dosage is approximately 48.4 mg/kg/day [ 38 ]. Although this falls within a range used in some clinical settings, further studies are needed to confirm safety, particularly regarding long-term exposure and potential cumulative effects.”  [PMC11672833 ¶36]</w:t>
      </w:r>
    </w:p>
    <w:p>
      <w:pPr>
        <w:spacing w:after="120"/>
        <w:jc w:val="both"/>
      </w:pPr>
      <w:r>
        <w:rPr>
          <w:rFonts w:ascii="Times New Roman" w:hAnsi="Times New Roman" w:cs="Times New Roman" w:eastAsia="Times New Roman"/>
          <w:b w:val="0"/>
          <w:i w:val="0"/>
          <w:sz w:val="24"/>
        </w:rPr>
        <w:t>“Additionally, NAC administered 1 h before LPS exposure in rats showed a dose-dependent reduction in lung NF-\u03baB activation, leading to significant suppression of endotoxin-induced neutrophilic alveolitis [ 60 ]. Cytokines are pivotal in pulmonary immune defense but may lead to lung injury when produced excessively or dysregulated [ 60 ]. Given NF-\u03baB dependent regulation of various cytokines, it emerges as a key factor in the pathobiology of pulmonary injury caused by excessive inflammation [ 60 ]. Consequently, targeting the NF-\u03baB pathway becomes an appealing strategy for therapies aiming to limit neutrophilic lung inflammation and host-derived lung injury [ 60 ]. NAC\u2019s anti-inflammatory activity in cells of the respiratory tract was demonstrated by Desaki et al. [ 61 ] in 2000, showing its efficacy in reducing the activation of NF-\u03baB in human bronchial epithelial cells treated with silica.”  [PMC11278452 ¶15]</w:t>
      </w:r>
    </w:p>
    <w:p>
      <w:pPr>
        <w:spacing w:after="120"/>
        <w:jc w:val="both"/>
      </w:pPr>
      <w:r>
        <w:rPr>
          <w:rFonts w:ascii="Times New Roman" w:hAnsi="Times New Roman" w:cs="Times New Roman" w:eastAsia="Times New Roman"/>
          <w:b w:val="0"/>
          <w:i w:val="0"/>
          <w:sz w:val="24"/>
        </w:rPr>
        <w:t>“APAP overdose is the single most frequent cause of liver injury and acute liver failure in the U.S., UK [ 4 ] and Australia [ 5 ] and is at least a significant etiology of acute liver failure in many other western countries [ 4 ]. As a dose-dependent hepatotoxin, the injury process of APAP toxicity in patients can be accurately reproduced in animals [ 6 , 7 ], especially in mice [ 8 ]. Since the introduction of the mouse model in the 1970s [ 9 , 10 ], the mechanisms of cell death and liver injury have been extensively studied and today many key aspects of the injury mechanism are known [ 11 \u2013 13 ]. Based on the early mechanistic insight, limited to recognition of hepatotoxicity resulting from reactive metabolite formation causing GSH depletion and subsequent protein adduct formation [ 9 , 10 ], N-acetylcysteine (NAC) was discovered to be an effective antidote in animals and patients [ 14 ].”  [PMC11315809 ¶3]</w:t>
      </w:r>
    </w:p>
    <w:p>
      <w:pPr>
        <w:spacing w:after="120"/>
        <w:jc w:val="both"/>
      </w:pPr>
      <w:r>
        <w:rPr>
          <w:rFonts w:ascii="Times New Roman" w:hAnsi="Times New Roman" w:cs="Times New Roman" w:eastAsia="Times New Roman"/>
          <w:b w:val="0"/>
          <w:i w:val="0"/>
          <w:sz w:val="24"/>
        </w:rPr>
        <w:t>“Although the number of patients in the trial was limited (n=6 per group), the results indicate that a single dose of calmangafodipir can be safely administered to APAP overdose patients [ 88 ]. The authors also measured additional parameters of liver injury like full-length cytokeratin 18 and miRNA-122, which are considered more sensitive biomarkers of liver injury [ 89 ]. However, the increase of these parameters was minimal. For example, cytokeratin 18 rose from 158 U/L at 2 h (baseline) to 306 U/L at 20 h in NAC-only-treated patients; the highest dose of calmangofodipir reduced these levels to 155 U/L [ 88 ]. This compares to cytokeratin 18 levels of 40,000 \u2013 60,000 U/L in patients with severe APAP hepatotoxicity [ 90 ]. Given the few patients per group and the minute increase in these more sensitive parameters, it is questionable whether the effect of calmangafodipir can be considered evidence of efficacy.”  [PMC11315809 ¶28]</w:t>
      </w:r>
    </w:p>
    <w:p>
      <w:pPr>
        <w:spacing w:after="120"/>
        <w:jc w:val="both"/>
      </w:pPr>
      <w:r>
        <w:rPr>
          <w:rFonts w:ascii="Times New Roman" w:hAnsi="Times New Roman" w:cs="Times New Roman" w:eastAsia="Times New Roman"/>
          <w:b w:val="0"/>
          <w:i w:val="0"/>
          <w:sz w:val="24"/>
        </w:rPr>
        <w:t>“J. Prev. Med", "pmid": "21565648", "doi": "10.1016/j.amepre.2011.02.026" }, { "title": "Effect of the UK\u2019s revised paracetamol poisoning management guidelines on admissions, adverse reactions and costs of treatment", "year": "2014", "source": "Br. J. Clin. Pharmacol", "pmid": "24666324", "doi": "10.1111/bcp.12362", "pmcid": "PMC4243911" }, { "title": "Paracetamol poisoning-related hospital admissions and deaths in Australia, 2004\u20132017", "year": "2019", "source": "Med. J. Aust", "pmid": "31389025", "doi": "10.5694/mja2.50296" }, { "title": "Acute liver failure", "year": "2013", "source": "N. Engl. J. Med", "pmid": "24369077", "doi": "10.1056/NEJMra1208937" }, { "title": "Epidemiology and outcomes of acute liver failure in Australia", "year": "2019", "source": "World J. Hepatol", "pmid": "31388400", "doi": "10.4254/wjh.v11.i7.586", "pmcid": "PMC6669190" }, { "title": "Acetaminophen: Dose-Dependent Drug Hepatotoxicity and Acute Liver Failure in Patients", "year": "2015", "source": "Dig.”  [PMC11315809 ¶45]</w:t>
      </w:r>
    </w:p>
    <w:p>
      <w:pPr>
        <w:spacing w:after="120"/>
        <w:jc w:val="both"/>
      </w:pPr>
      <w:r>
        <w:rPr>
          <w:rFonts w:ascii="Times New Roman" w:hAnsi="Times New Roman" w:cs="Times New Roman" w:eastAsia="Times New Roman"/>
          <w:b w:val="0"/>
          <w:i w:val="0"/>
          <w:sz w:val="24"/>
        </w:rPr>
        <w:t>“NAC\u2019s half-life was found to be 1.04 \u00b1 0.53 h. The authors also did not find any significant difference between NAC\u2019s pharmacokinetics in healthy broilers versus Mycoplasma gallisepticum-infected broilers. 5. Therapeutic Uses of NAC in Humans NAC is one of the most used antioxidants in clinical practice to date [ 16 , 17 , 36 ]. There has been a growing interest over the past few decades to use NAC as a potential treatment for a wide range of diseases and disorders in which oxidative stress is suspected to play a role [ 17 , 37 ], including respiratory, cardiovascular, neurodegenerative, liver, kidney, gastrointestinal, and infectious diseases [ 1 ]. antioxidants-12-01867-t001_Table 1 Table 1 N-acetylcysteine adverse events. Study Study Type Study Size NAC Treatment Type and Incidence of Adverse Events following NAC Treatment Moderate Severe [ 38 ] Double-blinded, placebo-controlled, crossover design 17 healthy individuals (age 30 \u00b1 2 years) 9 mg/kg NAC capsule Upset stomach (2), nausea (1), stomach/intestinal gas (1), cough (1) 18 mg/kg NAC capsule Upset stomach (1), nausea (1), stomach/intestinal gas (2), sleepiness (2), metallic taste (1) 35 mg/kg oral NAC solution Upset stomach (2), stomach/intestinal gas (2), sleepiness (1), metallic taste (1) 70 mg/kg oral NAC solution Upset stomach (2), stomach/intestinal gas (1), sleepiness (3), metallic taste (3), light-headedness (1), cough (1) Upset stomach (1), Stomach/intestinal gas (1) 140 mg/kg oral NAC solution Upset stomach (5), nausea (3), stomach/intestinal gas (2), sleepiness (2), metallic taste (4), light-headedness (1) Upset stomach (1), stomach/intestinal gas (4) [ 39 ] Randomized, placebo-controlled study 28 individuals (\u226475 years) 20 mg/min intravenous NAC for first hour, then 10 mg/min for next 23 h; total dose of 15 g over 24 h Haemorrhage (3), headache (4) Transient episode of extreme sinus bradycardia (1) [ 40 ] Randomized, placebo-controlled study 4 healthy individuals (age 35 \u00b1 3 years) 150 mg/kg intravenous Transient skin flushing (2), pruritus (2), nausea (2) [ 41 ] Double-blind, randomized trial 65 chronic bronchitis patients 4 puffs of NAC (1 mg/puff) two times daily Coughing (4), Dyspnoea (7) 5.1.”  [PMC10604897 ¶13]</w:t>
      </w:r>
    </w:p>
    <w:p>
      <w:pPr>
        <w:spacing w:after="120"/>
        <w:jc w:val="both"/>
      </w:pPr>
      <w:r>
        <w:rPr>
          <w:rFonts w:ascii="Times New Roman" w:hAnsi="Times New Roman" w:cs="Times New Roman" w:eastAsia="Times New Roman"/>
          <w:b w:val="0"/>
          <w:i w:val="0"/>
          <w:sz w:val="24"/>
        </w:rPr>
        <w:t>“Furthermore, studies involving diabetic patients demonstrated that the administration of intravenous NAC during hyperglycemic clamp, which measures insulin secretion and pancreatic-cell function, was shown to improve insulin sensitivity and increase peripheral glucose uptake [ 89 ]. antioxidants-12-01867-t002_Table 2 Table 2 N-acetylcysteine clinical studies. Disease Study Type Study Phase Dose Treatment Duration Administration Routes Liver diseases Acute acetaminophen overdose Interventional (Clinical Trial) NCT03679442 Phase 1 Dose corresponding to the clinical treatment guidelines for acetaminophen overdosed patients 16 h Intravenous Non-alcoholic fatty liver disease Interventional (Clinical Trial) NCT02117700 Phase 2 600 mg twice/ day 16 weeks Oral Pulmonary diseases Cystic fibrosis Interventional (Clinical Trial) NCT00809094 Phase 2 900 mg twice/day 24 weeks Oral Chronic Obstructive Pulmonary Disease Interventional (Clinical Trial) NCT01136239 Phase 4 600 mg twice/ day One year Oral Interventional (Clinical Trial) NCT00969904 Phase 4 600 mg twice/ day 12 weeks Oral Interventional (Clinical Trial) NCT03388853 Phase 4 1200 mg once daily 4 weeks Oral Interventional (Clinical Trial) NCT02579772 Phase 4 600 mg three times/ day for 4 days prior to experimental procedures and 600 mg on the day of the experiment 4 days Oral Interventional (Clinical Trial) NCT00184977 Phase 4 600 mg once daily 3 years Oral Infectious Diseases Influenza Interventional (Clinical Trial) NCT03900988 Phase 4 100 mg/kg daily as a continuous IV infusion over 24 h 28 days Intravenous COVID-19 Interventional (Clinical Trial) NCT04374461 Phase 2 6 g/day Patients will receive treatment for a max of 3 weeks Intravenous Interventional (Clinical Trial) NCT04928495 Phase 3 1800 mg once daily 10 days Oral Interventional (Clinical Trial) NCT04900129 Phase 1 1.2 g twice/day One month Inhalation Interventional (Clinical Trial) NCT04792021 Phase 3 600 mg/day Two weeks/ until hospital discharge or death Oral Interventional (Clinical Trial) NCT04419025 Phase 2 Inpatients : 25 mg/kg (rounded up to the nearest 600 mg) every 4 h until discharge and then 1200 mg twice daily \u00d7 1 week post-discharge Outpatients : 2400 mg \u00d7 1 then 1200 mg twice daily \u00d7 2 weeks Inpatients : until 1 week post-discharge Outpatients : 15 days Oral Interventional (Clinical Trial) NCT04455243 Phase 3 150 mg/kg every 12 h diluted in 200 mL diluent (D5%, NS) 14 days Oral or intravenous Diabetes Mellitus Interventional (Clinical Trial) NCT02206152 Phase 1 and 2 150 mg/kg loading dose over the first hour and then follow that with a 50 mg/kg maintenance dose infused over the next 4 h during a controlled hyperinsulinemic hypoglycemic insulin clamp Two 2-day treatments separated by 8 weeks Intravenous Interventional (Clinical Trial) NCT01394510 N/A 600 mg twice daily \u00d7 2 weeks, then 1200 mg twice daily \u00d7 2 weeks 4 weeks Oral Interventional (Clinical Trial) NCT04531163 Phase 2 and 3 1200 mg/day 2 months Oral Interventional (Clinical Trial) NCT00556465 Phase 2 and 3 600 mg twice/ day 3 months Oral 9.”  [PMC10604897 ¶40]</w:t>
      </w:r>
    </w:p>
    <w:p>
      <w:pPr>
        <w:keepNext/>
        <w:spacing w:before="280" w:after="80"/>
        <w:outlineLvl w:val="1"/>
      </w:pPr>
      <w:r>
        <w:rPr>
          <w:rFonts w:ascii="Times New Roman" w:hAnsi="Times New Roman" w:cs="Times New Roman" w:eastAsia="Times New Roman"/>
          <w:b/>
          <w:i w:val="0"/>
          <w:color w:val="335588"/>
          <w:sz w:val="28"/>
        </w:rPr>
        <w:t>14f.3  Threshold of Toxicological Concern (TTC)</w:t>
      </w:r>
    </w:p>
    <w:p>
      <w:pPr>
        <w:spacing w:after="80"/>
        <w:jc w:val="both"/>
      </w:pPr>
      <w:r>
        <w:rPr>
          <w:rFonts w:ascii="Times New Roman" w:hAnsi="Times New Roman" w:cs="Times New Roman" w:eastAsia="Times New Roman"/>
          <w:b w:val="0"/>
          <w:i w:val="0"/>
          <w:sz w:val="24"/>
        </w:rPr>
        <w:t>The TTC approach assigns a human-exposure threshold below which a substance is considered to pose negligible risk in the absence of chemical-specific data. Cramer class I, II, and III thresholds are 1800, 540, and 90 µg/person/day respectively (per EFSA 2019 scientific opinion DOI: 10.2903/j.efsa.2019.5708). Proteinogenic amino acids are typically excluded from TTC scope because endogenous exposure dominates dietary or contaminant exposure by orders of magnitude. The tox-scraper pipeline did not recover a TTC-specific evaluation for L-cysteine.</w:t>
      </w:r>
    </w:p>
    <w:p>
      <w:pPr>
        <w:keepNext/>
        <w:spacing w:before="280" w:after="80"/>
        <w:outlineLvl w:val="1"/>
      </w:pPr>
      <w:r>
        <w:rPr>
          <w:rFonts w:ascii="Times New Roman" w:hAnsi="Times New Roman" w:cs="Times New Roman" w:eastAsia="Times New Roman"/>
          <w:b/>
          <w:i w:val="0"/>
          <w:color w:val="335588"/>
          <w:sz w:val="28"/>
        </w:rPr>
        <w:t>14f.4  Cumulative / mixture risk assessment</w:t>
      </w:r>
    </w:p>
    <w:p>
      <w:pPr>
        <w:spacing w:after="80"/>
        <w:jc w:val="both"/>
      </w:pPr>
      <w:r>
        <w:rPr>
          <w:rFonts w:ascii="Times New Roman" w:hAnsi="Times New Roman" w:cs="Times New Roman" w:eastAsia="Times New Roman"/>
          <w:b w:val="0"/>
          <w:i w:val="0"/>
          <w:sz w:val="24"/>
        </w:rPr>
        <w:t>Cumulative Assessment Groups (CAGs) for pesticide residues (EFSA) and for environmental contaminants (EPA 2000 Cumulative Risk Guidance) group chemicals with common mechanisms or toxicity endpoints. No public CAG includes L-cysteine.</w:t>
      </w:r>
    </w:p>
    <w:p>
      <w:pPr>
        <w:spacing w:after="80"/>
        <w:jc w:val="both"/>
      </w:pPr>
      <w:r>
        <w:rPr>
          <w:rFonts w:ascii="Times New Roman" w:hAnsi="Times New Roman" w:cs="Times New Roman" w:eastAsia="Times New Roman"/>
          <w:b w:val="0"/>
          <w:i w:val="0"/>
          <w:sz w:val="24"/>
        </w:rPr>
        <w:t>From a mechanistic standpoint, L-cysteine intersects the glutathione-cycle and sulfur-amino-acid metabolism of virtually every other substance subjected to mixture risk assessment (acetaminophen, benzene itself, ethanol, heavy metals, and many others) by acting as a GSH precursor. The harvested corpus contains verbatim paragraphs on this role reproduced in Chapter 13 (Redox Biology) and Chapter 7 (Biosynthesis).</w:t>
      </w:r>
    </w:p>
    <w:p>
      <w:pPr>
        <w:keepNext/>
        <w:spacing w:before="280" w:after="80"/>
        <w:outlineLvl w:val="1"/>
      </w:pPr>
      <w:r>
        <w:rPr>
          <w:rFonts w:ascii="Times New Roman" w:hAnsi="Times New Roman" w:cs="Times New Roman" w:eastAsia="Times New Roman"/>
          <w:b/>
          <w:i w:val="0"/>
          <w:color w:val="335588"/>
          <w:sz w:val="28"/>
        </w:rPr>
        <w:t>14f.5  Endocrine-disruption screening (ToxCast / EDSP)</w:t>
      </w:r>
    </w:p>
    <w:p>
      <w:pPr>
        <w:spacing w:after="80"/>
        <w:jc w:val="both"/>
      </w:pPr>
      <w:r>
        <w:rPr>
          <w:rFonts w:ascii="Times New Roman" w:hAnsi="Times New Roman" w:cs="Times New Roman" w:eastAsia="Times New Roman"/>
          <w:b w:val="0"/>
          <w:i w:val="0"/>
          <w:sz w:val="24"/>
        </w:rPr>
        <w:t>EPA's ToxCast programme and Endocrine Disruptor Screening Program (EDSP) run high-throughput assays on thousands of chemicals and publish per-chemical activity summaries through CompTox. The tox-scraper pipeline is configured to query ToxCast via the EPA CompTox REST API; as of 2026-04-20, no ToxCast entry for CAS 52-90-4 was returned. No EDSP flag has been raised for L-cysteine.</w:t>
      </w:r>
    </w:p>
    <w:p>
      <w:pPr>
        <w:keepNext/>
        <w:pageBreakBefore/>
        <w:spacing w:before="240" w:after="120"/>
        <w:jc w:val="center"/>
      </w:pPr>
      <w:r>
        <w:rPr>
          <w:rFonts w:ascii="Times New Roman" w:hAnsi="Times New Roman" w:cs="Times New Roman" w:eastAsia="Times New Roman"/>
          <w:b/>
          <w:i w:val="0"/>
          <w:color w:val="335588"/>
          <w:sz w:val="28"/>
        </w:rPr>
        <w:t>Chapter 12</w:t>
      </w:r>
    </w:p>
    <w:p>
      <w:pPr>
        <w:keepNext/>
        <w:spacing w:before="0" w:after="120"/>
        <w:jc w:val="center"/>
        <w:outlineLvl w:val="0"/>
      </w:pPr>
      <w:r>
        <w:rPr>
          <w:rFonts w:ascii="Times New Roman" w:hAnsi="Times New Roman" w:cs="Times New Roman" w:eastAsia="Times New Roman"/>
          <w:b/>
          <w:i w:val="0"/>
          <w:color w:val="1F3D7A"/>
          <w:sz w:val="44"/>
        </w:rPr>
        <w:t>Vulnerable Populations</w:t>
      </w:r>
    </w:p>
    <w:p>
      <w:pPr>
        <w:spacing w:after="240"/>
        <w:jc w:val="center"/>
      </w:pPr>
      <w:r>
        <w:rPr>
          <w:rFonts w:ascii="Times New Roman" w:hAnsi="Times New Roman" w:cs="Times New Roman" w:eastAsia="Times New Roman"/>
          <w:b w:val="0"/>
          <w:i/>
          <w:color w:val="404040"/>
          <w:sz w:val="22"/>
        </w:rPr>
        <w:t>Sensitive sub-groups, life-stage and disease context, and susceptibility factors</w:t>
      </w:r>
    </w:p>
    <w:p>
      <w:pPr>
        <w:keepNext/>
        <w:pageBreakBefore/>
        <w:spacing w:before="480" w:after="160"/>
        <w:outlineLvl w:val="0"/>
      </w:pPr>
      <w:r>
        <w:rPr>
          <w:rFonts w:ascii="Times New Roman" w:hAnsi="Times New Roman" w:cs="Times New Roman" w:eastAsia="Times New Roman"/>
          <w:b/>
          <w:i w:val="0"/>
          <w:color w:val="1F3D7A"/>
          <w:sz w:val="36"/>
        </w:rPr>
        <w:t>12.  Vulnerable Populations</w:t>
      </w:r>
    </w:p>
    <w:p>
      <w:pPr>
        <w:spacing w:after="80"/>
        <w:jc w:val="both"/>
      </w:pPr>
      <w:r>
        <w:rPr>
          <w:rFonts w:ascii="Times New Roman" w:hAnsi="Times New Roman" w:cs="Times New Roman" w:eastAsia="Times New Roman"/>
          <w:b w:val="0"/>
          <w:i w:val="0"/>
          <w:sz w:val="24"/>
        </w:rPr>
        <w:t>Benzene hazard assessment conventionally distinguishes four categories of potentially more-sensitive human sub-populations: pregnant women and developing foetuses; neonates, infants, and children; older adults; and genetically susceptible individuals. This structural chapter reproduces the evidence that the tox-scraper pipeline recovered for each category in the L-cysteine literature. Because L-cysteine is a proteinogenic amino acid with well-established clinical use as N-acetyl-L-cysteine (NAC) and approved paediatric dosing, sensitivity here is assessed in a therapeutic-pharmacology framework rather than an environmental-toxicology framework.</w:t>
      </w:r>
    </w:p>
    <w:p>
      <w:pPr>
        <w:keepNext/>
        <w:spacing w:before="280" w:after="80"/>
        <w:outlineLvl w:val="1"/>
      </w:pPr>
      <w:r>
        <w:rPr>
          <w:rFonts w:ascii="Times New Roman" w:hAnsi="Times New Roman" w:cs="Times New Roman" w:eastAsia="Times New Roman"/>
          <w:b/>
          <w:i w:val="0"/>
          <w:color w:val="335588"/>
          <w:sz w:val="28"/>
        </w:rPr>
        <w:t>14c.1  Pregnancy and foetal development</w:t>
      </w:r>
    </w:p>
    <w:p>
      <w:pPr>
        <w:spacing w:before="120" w:after="80"/>
        <w:jc w:val="both"/>
      </w:pPr>
      <w:r>
        <w:rPr>
          <w:rFonts w:ascii="Times New Roman" w:hAnsi="Times New Roman" w:cs="Times New Roman" w:eastAsia="Times New Roman"/>
          <w:b/>
          <w:i w:val="0"/>
          <w:sz w:val="24"/>
        </w:rPr>
        <w:t>Verbatim paragraphs on pregnancy, gestational, and perinatal considerations:</w:t>
      </w:r>
    </w:p>
    <w:p>
      <w:pPr>
        <w:spacing w:after="120"/>
        <w:jc w:val="both"/>
      </w:pPr>
      <w:r>
        <w:rPr>
          <w:rFonts w:ascii="Times New Roman" w:hAnsi="Times New Roman" w:cs="Times New Roman" w:eastAsia="Times New Roman"/>
          <w:b w:val="0"/>
          <w:i w:val="0"/>
          <w:sz w:val="24"/>
        </w:rPr>
        <w:t>“( A ) Experimental scheme (see Materials and Methods for details). Panels (B–E) show the number of eggs produced by three animals within 3 h for strains carrying mutations for ( B ) xpc-1 , ( C ) csb-1 , ( D ) xpc-1 ; csb-1 and ( E ) xpa-1 . Panels (F–I) display the hatching rate as c graphic: `gkae519fig3.jpg` 5. **Figure 4.** — Loss of ADH-5 does not shorten the lifespan of animals deficient for xpa-1 and csb-1 , while formaldehyde-sensitivity is increased. ( A ) and ( B ) show full lifespan experiments of wildtype and adh-5 mutants, while (A) includes csb-1 and csb-1 ; adh-5 mutants, and (B) includes xpa-1 and xpa-1 ; adh-5 deficient animals. In ( C ) and ( D ), animals were exposed to 5 mM formaldehyde (FA) from the L4 graphic: `gkae519fig4.jpg` 6. **Figure 5.** — Simultaneous loss of redundant formaldehyde-detoxification pathways causes embryonic lethality and developmental delay, which is enhanced in NER-deficient animals.”  [PMC11317141 ¶2]</w:t>
      </w:r>
    </w:p>
    <w:p>
      <w:pPr>
        <w:spacing w:after="120"/>
        <w:jc w:val="both"/>
      </w:pPr>
      <w:r>
        <w:rPr>
          <w:rFonts w:ascii="Times New Roman" w:hAnsi="Times New Roman" w:cs="Times New Roman" w:eastAsia="Times New Roman"/>
          <w:b w:val="0"/>
          <w:i w:val="0"/>
          <w:sz w:val="24"/>
        </w:rPr>
        <w:t>“We have here investigated the consequence of a range of DNA repair mutants in a model of endogenous FA overload generated by downregulating the orthologs of human ADH5 and ALDH2 in C. elegans . We have focused on the distinct components of nucleotide excision repair (NER) during developmental growth, reproduction and aging. Our results reveal three distinct modes of repair of FA-induced DNA damage: Transcription-coupled repair (TCR) operating NER-independently during developmental growth or through NER during adulthood, and, in concert with global-genome (GG-) NER, in the germline and early embryonic development. Additionally, we show that the Cockayne syndrome B (CSB) factor is involved in the resolution of FA-induced DNA\u2013protein crosslinks, and that the antioxidant and FA quencher N -acetyl- l -cysteine (NAC) reverses the sensitivity of detoxification and DNA repair defects during development, suggesting a therapeutic intervention to revert FA-pathogenic consequences.", "body_text": "Introduction Formaldehyde (FA) is a widely recognized environmental cytotoxin and genotoxin.”  [PMC11317141 ¶5]</w:t>
      </w:r>
    </w:p>
    <w:p>
      <w:pPr>
        <w:spacing w:after="120"/>
        <w:jc w:val="both"/>
      </w:pPr>
      <w:r>
        <w:rPr>
          <w:rFonts w:ascii="Times New Roman" w:hAnsi="Times New Roman" w:cs="Times New Roman" w:eastAsia="Times New Roman"/>
          <w:b w:val="0"/>
          <w:i w:val="0"/>
          <w:sz w:val="24"/>
        </w:rPr>
        <w:t>“A prevailing hypothesis suggests that FA-induced damage overwhelms DNA repair mechanisms, yet the extensive array of FA-induced lesions might necessitate safeguarding the genome by multiple DNA repair systems. However, establishing genetic evidence in animals to validate these mechanisms remains experimentally challenging. Here, we employed the genetically traceable animal model organism C. elegans to explore DNA repair components safeguarding the genome against FA-induced damage. C. elegans undergoes most cell divisions during embryogenesis and hatches as L1 larvae that are comprised of mostly differentiated somatic cell types that grow in size during the L2, L3\u00a0and L4 larval stages until adulthood. Germ cells, in contrast, remain replicative active throughout adulthood. We first systematically determined the contribution of a wide range of DNA repair mechanisms to the survival of FA treatment in the presence and absence of adh-5 .”  [PMC11317141 ¶9]</w:t>
      </w:r>
    </w:p>
    <w:p>
      <w:pPr>
        <w:jc w:val="center"/>
      </w:pPr>
      <w:r>
        <w:drawing>
          <wp:inline xmlns:a="http://schemas.openxmlformats.org/drawingml/2006/main" xmlns:pic="http://schemas.openxmlformats.org/drawingml/2006/picture">
            <wp:extent cx="5029200" cy="3519430"/>
            <wp:docPr id="196" name="Picture 196"/>
            <wp:cNvGraphicFramePr>
              <a:graphicFrameLocks noChangeAspect="1"/>
            </wp:cNvGraphicFramePr>
            <a:graphic>
              <a:graphicData uri="http://schemas.openxmlformats.org/drawingml/2006/picture">
                <pic:pic>
                  <pic:nvPicPr>
                    <pic:cNvPr id="0" name="p04_i4.jpg"/>
                    <pic:cNvPicPr/>
                  </pic:nvPicPr>
                  <pic:blipFill>
                    <a:blip r:embed="rId34"/>
                    <a:stretch>
                      <a:fillRect/>
                    </a:stretch>
                  </pic:blipFill>
                  <pic:spPr>
                    <a:xfrm>
                      <a:off x="0" y="0"/>
                      <a:ext cx="5029200" cy="3519430"/>
                    </a:xfrm>
                    <a:prstGeom prst="rect"/>
                  </pic:spPr>
                </pic:pic>
              </a:graphicData>
            </a:graphic>
          </wp:inline>
        </w:drawing>
      </w:r>
    </w:p>
    <w:p>
      <w:pPr>
        <w:spacing w:after="160"/>
        <w:jc w:val="center"/>
      </w:pPr>
      <w:r>
        <w:rPr>
          <w:rFonts w:ascii="Times New Roman" w:hAnsi="Times New Roman" w:cs="Times New Roman" w:eastAsia="Times New Roman"/>
          <w:b w:val="0"/>
          <w:i/>
          <w:sz w:val="20"/>
        </w:rPr>
        <w:t>Figure panel from PMC11317141 (source bitmap p04_i4.jpg).</w:t>
      </w:r>
    </w:p>
    <w:p>
      <w:pPr>
        <w:spacing w:after="120"/>
        <w:jc w:val="both"/>
      </w:pPr>
      <w:r>
        <w:rPr>
          <w:rFonts w:ascii="Times New Roman" w:hAnsi="Times New Roman" w:cs="Times New Roman" w:eastAsia="Times New Roman"/>
          <w:b w:val="0"/>
          <w:i w:val="0"/>
          <w:sz w:val="24"/>
        </w:rPr>
        <w:t>“Based on these results, we further determined tissue and development specific roles of NER components for FA tolerance. CSB-induced NER-independent TCR was required for FA resistance in postmitotic somatic tissues during developmental growth, while CSB-induced NER-dependent TCR was required in adulthood. In contrast, GG-NER was essential in germ cell and embryonic development. We further identified the ortholog of human ALDH2 ( alh-1 ) and developed a nematode model of AMeDS, ascertaining the roles of TCR and NER in this model. Lastly, we determined that N-acetyl cysteine (NAC) supplement could effectively restore FA resistance suggesting a potential intervention strategy for AMeDS. Materials and methods C. elegans maintenance Caenorhabditis elegans were maintained on Escherichia coli strain (OP50) seeded NGM plates at 20\u00b0C ( 29 ). The strains BJS885, BJS938, BJS939\u00a0and BJS940 were produced via standard genetic crossing in the Schumacher lab.”  [PMC11317141 ¶10]</w:t>
      </w:r>
    </w:p>
    <w:p>
      <w:pPr>
        <w:spacing w:after="120"/>
        <w:jc w:val="both"/>
      </w:pPr>
      <w:r>
        <w:rPr>
          <w:rFonts w:ascii="Times New Roman" w:hAnsi="Times New Roman" w:cs="Times New Roman" w:eastAsia="Times New Roman"/>
          <w:b w:val="0"/>
          <w:i w:val="0"/>
          <w:sz w:val="24"/>
        </w:rPr>
        <w:t>“For experiments downregulating alh-1 in Figure 5 , we isolated alh-1(RNAi) from the Ahringer genome-wide RNAi library (Fwd primer sequence GGGAGTCTGCGGACAGATTA, Rev primer sequence CAGGGAAAGCGAAAATTCAA, Source Bioscience location III-2N01) and prepared the RNAi plates as indicated above ( 30 ). We exposed the P0 generation to RNAi from L1 stage for 72 h before transferring the adults to fresh RNAi plates with or without FA in the indicated concentrations for 24 h. The animals were transferred to fresh RNAi plates and allowed to lay eggs for 3 h. Then, the adults were removed, and the eggs were counted, and hatching was scored after 24 h. After 48 h we determined the developmental stages and re-examined the plates for dead embryos. For GSH-precursor experiments in Figure 6 , we added NAC (LINARIS Biologische Produkte GmbH, Germany) into the NGM agar at a 10 mM concentration. To determine cell viability, we used a resazurin-based assay.”  [PMC11317141 ¶15]</w:t>
      </w:r>
    </w:p>
    <w:p>
      <w:pPr>
        <w:spacing w:after="120"/>
        <w:jc w:val="both"/>
      </w:pPr>
      <w:r>
        <w:rPr>
          <w:rFonts w:ascii="Times New Roman" w:hAnsi="Times New Roman" w:cs="Times New Roman" w:eastAsia="Times New Roman"/>
          <w:b w:val="0"/>
          <w:i w:val="0"/>
          <w:sz w:val="24"/>
        </w:rPr>
        <w:t>“Subsequently, CIS causes reproductive toxicity, resulting in the production of free reactive oxygen species (ROS), pro-inflammatory cytokines, mitochondrial dysfunction, and apoptosis. The testis is the target of chemotherapeutic agents due to spermatogenesis and spermiogenesis, in which testicular cell division and morphological changes occur [ 6 , 7 , 8 ]. Leydig cells are interstitial cells located adjacent to the seminiferous tubules in the testis [ 9 ].The mature function of Leydig cells is mainly to produce testosterone under the control of pituitary luteinizing hormone (LH) by action on steroidogenesis. Sertoli cells are the epithelial supporting cells of the seminiferous tubules. Sertoli cells are mainly regulators of spermatogenesis in the adult testis and express functional receptors for follicle-stimulating hormone (FSH) [ 10 , 11 ]. They support fetal germ cell changing in the adult male pathway and are essential for germ cell development.”  [PMC11672833 ¶9]</w:t>
      </w:r>
    </w:p>
    <w:p>
      <w:pPr>
        <w:spacing w:after="120"/>
        <w:jc w:val="both"/>
      </w:pPr>
      <w:r>
        <w:rPr>
          <w:rFonts w:ascii="Times New Roman" w:hAnsi="Times New Roman" w:cs="Times New Roman" w:eastAsia="Times New Roman"/>
          <w:b w:val="0"/>
          <w:i w:val="0"/>
          <w:sz w:val="24"/>
        </w:rPr>
        <w:t>“Therefore, this study aimed to investigate the protective effects of CYS on CIS-induced testicular damage through comprehensive in vivo and in vitro experiments. We assess the potential of CYS to mitigate oxidative stress, reduce apoptosis, and preserve the structural integrity and function of testicular cells in the presence of CIS. We explore the mechanisms by which CYS may counteract the adverse effects of CIS on male reproductive health. 2. Materials and Methods 2.1. Chemicals, Reagents, and Antibodies The materials used include Dulbecco\u2019s modified Eagle\u2019s medium (DMEM)/Ham\u2019s F-12 (12500062, Gibco (Grand Island, NY, USA)), Penicillin streptomycin solution, 100\u00d7 (30-002-CI, CORNING (Manassas, VA, USA)), fetal bovine serum (FBS, MT-35-010-CV, CORNING), Horse serum (HS, 16050114, Thermo fisher (Waltham, MA, USA)), vitamin C (VITC, A4544, Sigma (St. Louis, MO, USA)), gallic acid (GA, G7384, Sigma), L-cysteine (CYS, 168149, Sigma), cisplatin (CIS, 13119, Cayman (Ann Arbor, MI, USA)), a 2\u2032, 7\u2032-dichlorodihydrofluorescein diacetate (DCFDA, 601520, Cayman), 3-(4,5-dimethylthiazol-2-yl)-5-(3-carboxymethoxyphenyl)-2-(4-sulfophenyl)-2H-tetrazolium (MTS) assay kit (ab197010, Abcam (Cambridge, MA, USA)), and a 2,2-Diphenyl-1-Picrylhydrazyl (DPPH) Commercial kit (D678, Dojindo, Kumamoto, Japan). 2.2.”  [PMC11672833 ¶11]</w:t>
      </w:r>
    </w:p>
    <w:p>
      <w:pPr>
        <w:spacing w:after="120"/>
        <w:jc w:val="both"/>
      </w:pPr>
      <w:r>
        <w:rPr>
          <w:rFonts w:ascii="Times New Roman" w:hAnsi="Times New Roman" w:cs="Times New Roman" w:eastAsia="Times New Roman"/>
          <w:b w:val="0"/>
          <w:i w:val="0"/>
          <w:sz w:val="24"/>
        </w:rPr>
        <w:t>“Experimental Cell Model The TM3 mouse Leydig cell line and the TM4 mouse Sertoli cell line were used as experimental models and were obtained from the American Type Culture Collection (ATCC, Manassas, VA, USA). Cells were maintained within passages 3 to 15. The TM3 and TM4 cells were cultured in Dulbecco\u2019s modified Eagle\u2019s medium/Ham\u2019s F-12 supplemented with 5% horse serum, 2.5% fetal bovine serum, 100 \u03bcg/mL streptomycin, and 100 U/mL penicillin at 37 \u00b0C in an atmosphere containing 5% CO 2 . The cells were passaged every 3 days once they grew to approximately 90% confluence. 2.3. Cell Viability Analysis The cytotoxicity of CIS and CYS was determined by MTS. TM3 and TM4 cells were, respectively, seeded in 96-well plates at a density of 5 \u00d7 10 3 and 3 \u00d7 10 3 cells per well for 48 h. TM3 and TM4 cells were co-treated with different concentrations of CYS (0.1, 0.2, 0.5, 1, and 2 mM) or CIS (5, 7.5, 10, 15, and 20 \u00b5M) for 24 or 16 h.”  [PMC11672833 ¶12]</w:t>
      </w:r>
    </w:p>
    <w:p>
      <w:pPr>
        <w:jc w:val="center"/>
      </w:pPr>
      <w:r>
        <w:drawing>
          <wp:inline xmlns:a="http://schemas.openxmlformats.org/drawingml/2006/main" xmlns:pic="http://schemas.openxmlformats.org/drawingml/2006/picture">
            <wp:extent cx="5029200" cy="5245580"/>
            <wp:docPr id="197" name="Picture 197"/>
            <wp:cNvGraphicFramePr>
              <a:graphicFrameLocks noChangeAspect="1"/>
            </wp:cNvGraphicFramePr>
            <a:graphic>
              <a:graphicData uri="http://schemas.openxmlformats.org/drawingml/2006/picture">
                <pic:pic>
                  <pic:nvPicPr>
                    <pic:cNvPr id="0" name="p10_i1.jpg"/>
                    <pic:cNvPicPr/>
                  </pic:nvPicPr>
                  <pic:blipFill>
                    <a:blip r:embed="rId24"/>
                    <a:stretch>
                      <a:fillRect/>
                    </a:stretch>
                  </pic:blipFill>
                  <pic:spPr>
                    <a:xfrm>
                      <a:off x="0" y="0"/>
                      <a:ext cx="5029200" cy="5245580"/>
                    </a:xfrm>
                    <a:prstGeom prst="rect"/>
                  </pic:spPr>
                </pic:pic>
              </a:graphicData>
            </a:graphic>
          </wp:inline>
        </w:drawing>
      </w:r>
    </w:p>
    <w:p>
      <w:pPr>
        <w:spacing w:after="160"/>
        <w:jc w:val="center"/>
      </w:pPr>
      <w:r>
        <w:rPr>
          <w:rFonts w:ascii="Times New Roman" w:hAnsi="Times New Roman" w:cs="Times New Roman" w:eastAsia="Times New Roman"/>
          <w:b w:val="0"/>
          <w:i/>
          <w:sz w:val="20"/>
        </w:rPr>
        <w:t>Figure 1 (from PMC11672833): “Effect of L-cysteine (CYS) and cisplatin (CIS) on TM3 and TM4 cell viability. TM3 (5000 cells/well) (n = 7) and TM4 cells (3000 cells/well) (n = 7) were cultured in a 96-well plate for cell viability assays. Cells were treated with different concentrations of ( A , B ) CYS (0.1, 0.2, 0.5, 1, and 2 mM) or ( D , F ) CIS (5, 7.5, 10, 15, and 20 µM) for 24 or 16”</w:t>
      </w:r>
    </w:p>
    <w:p>
      <w:pPr>
        <w:spacing w:after="120"/>
        <w:jc w:val="both"/>
      </w:pPr>
      <w:r>
        <w:rPr>
          <w:rFonts w:ascii="Times New Roman" w:hAnsi="Times New Roman" w:cs="Times New Roman" w:eastAsia="Times New Roman"/>
          <w:b w:val="0"/>
          <w:i w:val="0"/>
          <w:sz w:val="24"/>
        </w:rPr>
        <w:t>“For the analysis of sperm morphological abnormality, the 5\u201320 \u03bcL sperm suspension was placed on the slides and smeared. After the slides dried naturally, they were stained with the modified Diff-Quik (Eosin Y and crystal violet) method [ 21 , 22 ] and examined under a 400\u00d7 light microscope to assess morphological abnormalities [ 23 ]. 2.10. Hormonal and Biochemical Estimations Blood serum was collected from the cardiac puncture after the treatment and then centrifuged (3500\u00d7 g , 4 \u00b0C) for 10 min to obtain serum. The serum levels of testosterone, serum glutamic-oxalocetic transaminase (SGOT), serum glutamic-pyruvic transaminase (SGPT), blood urea nitrogen (BUN), creatinine, uric acid (UA), lactate dehydrogenase (LDH), and creatine kinase (CPK) were delivered on the day to Le Zen Reference Lab (Taipei, Taiwan) for hormonal and biochemical examinations. 2.11. Western Blot Analysis The cells and testis tissues were lysed in lysis buffer containing radioimmunoprecipitation assay (RIPA) buffer and protease and phosphatase inhibitors.”  [PMC11672833 ¶18]</w:t>
      </w:r>
    </w:p>
    <w:p>
      <w:pPr>
        <w:spacing w:after="120"/>
        <w:jc w:val="both"/>
      </w:pPr>
      <w:r>
        <w:rPr>
          <w:rFonts w:ascii="Times New Roman" w:hAnsi="Times New Roman" w:cs="Times New Roman" w:eastAsia="Times New Roman"/>
          <w:b w:val="0"/>
          <w:i w:val="0"/>
          <w:sz w:val="24"/>
        </w:rPr>
        <w:t>“Nevertheless, as pointed out by Toldo et al. [ 145 ], this conclusion is not fully supported by the data, as troponin I levels\u2014an indicator of myocardial damage\u2014remained comparable between treated and control groups after 24 h of reperfusion, in Sandanger et al.\u2019s study [ 144 ]. Consistent with a causative role of NLRP3 inflammasome in myocardial IRI, we demonstrated that mice subjected to a high-fat, high-fructose diet for 12 weeks exhibited increased NLRP3 expression alongside markers of oxidative metabolism, while simultaneously showing a downregulation of key components of the RISK (Reperfusion Injury Salvage Kinase) pathway. When these hearts were subjected to an ex vivo I/R protocol, they displayed larger infarcts and greater lactate dehydrogenase release compared to controls [ 146 ]. More recently, using INF200, a 1,3,4-oxadiazol-2-one NLRP3 inhibitor, we were able to efficiently reduce cardiac IRI and metabolic complications in an in vivo model of diet-induced metaflammation [ 126 ].”  [PMC11939635 ¶48]</w:t>
      </w:r>
    </w:p>
    <w:p>
      <w:pPr>
        <w:keepNext/>
        <w:spacing w:before="280" w:after="80"/>
        <w:outlineLvl w:val="1"/>
      </w:pPr>
      <w:r>
        <w:rPr>
          <w:rFonts w:ascii="Times New Roman" w:hAnsi="Times New Roman" w:cs="Times New Roman" w:eastAsia="Times New Roman"/>
          <w:b/>
          <w:i w:val="0"/>
          <w:color w:val="335588"/>
          <w:sz w:val="28"/>
        </w:rPr>
        <w:t>14c.2  Neonates, infants, and children</w:t>
      </w:r>
    </w:p>
    <w:p>
      <w:pPr>
        <w:spacing w:before="120" w:after="80"/>
        <w:jc w:val="both"/>
      </w:pPr>
      <w:r>
        <w:rPr>
          <w:rFonts w:ascii="Times New Roman" w:hAnsi="Times New Roman" w:cs="Times New Roman" w:eastAsia="Times New Roman"/>
          <w:b/>
          <w:i w:val="0"/>
          <w:sz w:val="24"/>
        </w:rPr>
        <w:t>Verbatim paragraphs on neonatal, paediatric, and adolescent populations:</w:t>
      </w:r>
    </w:p>
    <w:p>
      <w:pPr>
        <w:spacing w:after="120"/>
        <w:jc w:val="both"/>
      </w:pPr>
      <w:r>
        <w:rPr>
          <w:rFonts w:ascii="Times New Roman" w:hAnsi="Times New Roman" w:cs="Times New Roman" w:eastAsia="Times New Roman"/>
          <w:b w:val="0"/>
          <w:i w:val="0"/>
          <w:sz w:val="24"/>
        </w:rPr>
        <w:t>“Many studies have shown the protective effects of NAC for neonatal animals immune challenged with bacterial lipopolysaccharide (LPS) endotoxin, particularly studies involving piglets [ 13 , 14 ]. NAC administration has consistently been shown to increase daily body weight gain and alleviate LPS-mediated growth depression. Furthermore, the porcine model of ulcerative colitis (UC) can be used to support NAC usage for humans. For example, in a study conducted by Wang et al. (2013), the piglet model of UC demonstrated that administration of NAC was able to reduce colon histopathology score and ameliorate UC histological abnormalities [ 15 ]. Despite the numerous NAC studies and its increasing popularity, the mechanisms of action (MOA) by which NAC exerts its antioxidant and cytoprotective properties remain unclear [ 1 , 16 ]. It is often assumed that the effects conferred by NAC are due to it acting as a scavenger of reactive oxygen species (ROS), a precursor for glutathione (GSH) biosynthesis, and a disulfide reductant [ 16 , 17 ].”  [PMC10604897 ¶4]</w:t>
      </w:r>
    </w:p>
    <w:p>
      <w:pPr>
        <w:spacing w:after="120"/>
        <w:jc w:val="both"/>
      </w:pPr>
      <w:r>
        <w:rPr>
          <w:rFonts w:ascii="Times New Roman" w:hAnsi="Times New Roman" w:cs="Times New Roman" w:eastAsia="Times New Roman"/>
          <w:b w:val="0"/>
          <w:i w:val="0"/>
          <w:sz w:val="24"/>
        </w:rPr>
        <w:t>“Use of NAC in Domesticated Animal Health and Production Intestinal integrity is essential to normal physiological function as it is critically involved in nutrition, metabolism, and whole-body homeostasis [ 10 ]. Damage to the mucosal epithelium impairs nutrient absorption and compromises immunity. Consequently, this reduces animal growth performance and compromises animal health [ 10 ]. Animal stressors, such as early weaning and infection, result in injury and dysfunction of the intestinal mucosal barrier [ 10 ], which serves as the first line of defense against endogenous and exogenous microbes and their toxins [ 10 ]. While the use of NAC for domesticated animals is not widespread, or common, there is substantial evidence to support its use, particularly during the weaning period to help increase average daily gain, increase food intake, and improve growth performance of neonates. Many nutrients have recently been reported to improve immune function, particularly during stress [ 90 ], and, therefore, it is not surprising that NAC may also be considered an immunoceutical because of its immunomodulatory properties. 10.”  [PMC10604897 ¶41]</w:t>
      </w:r>
    </w:p>
    <w:p>
      <w:pPr>
        <w:spacing w:after="120"/>
        <w:jc w:val="both"/>
      </w:pPr>
      <w:r>
        <w:rPr>
          <w:rFonts w:ascii="Times New Roman" w:hAnsi="Times New Roman" w:cs="Times New Roman" w:eastAsia="Times New Roman"/>
          <w:b w:val="0"/>
          <w:i w:val="0"/>
          <w:sz w:val="24"/>
        </w:rPr>
        <w:t>“( A ) Cartoon showing the putative lesions caused on DNA by formaldehyde (FA). In blue the factors inactivated in this work. Light blue shows some factors that might participate in multiple DNA repair pathways. ( B ) Scheme of the protocol applied to address FA tolerance and development in the data shown in C and D (see Materials a graphic: `gkae519fig1.jpg` 3. **Figure 2.** — NER-deficient animals show somatic formaldehyde sensitivity, which is further enhanced by loss of ADH-5. ( A ) Experimental scheme (see Materials and methods for details). ( B ) Survival of NER mutants upon formaldehyde (FA) after 48 h and ( C ) after 72 h on plate. ( D ) Developmental timing of NER mutants upon FA after 48h on plate and ( E ) after 72 h on plate. ( F ) Survival of NER mutants in graphic: `gkae519fig2.jpg` 4. **Figure 3.** — Fecundity is reduced in NER mutants upon formaldehyde (FA) toxicity, which is further enhanced upon loss of ADH-5.”  [PMC11317141 ¶1]</w:t>
      </w:r>
    </w:p>
    <w:p>
      <w:pPr>
        <w:spacing w:after="120"/>
        <w:jc w:val="both"/>
      </w:pPr>
      <w:r>
        <w:rPr>
          <w:rFonts w:ascii="Times New Roman" w:hAnsi="Times New Roman" w:cs="Times New Roman" w:eastAsia="Times New Roman"/>
          <w:b w:val="0"/>
          <w:i w:val="0"/>
          <w:sz w:val="24"/>
        </w:rPr>
        <w:t>“( A ) Experimental scheme (see Materials and Methods for details). Panels (B–E) show the number of eggs produced by three animals within 3 h for strains carrying mutations for ( B ) xpc-1 , ( C ) csb-1 , ( D ) xpc-1 ; csb-1 and ( E ) xpa-1 . Panels (F–I) display the hatching rate as c graphic: `gkae519fig3.jpg` 5. **Figure 4.** — Loss of ADH-5 does not shorten the lifespan of animals deficient for xpa-1 and csb-1 , while formaldehyde-sensitivity is increased. ( A ) and ( B ) show full lifespan experiments of wildtype and adh-5 mutants, while (A) includes csb-1 and csb-1 ; adh-5 mutants, and (B) includes xpa-1 and xpa-1 ; adh-5 deficient animals. In ( C ) and ( D ), animals were exposed to 5 mM formaldehyde (FA) from the L4 graphic: `gkae519fig4.jpg` 6. **Figure 5.** — Simultaneous loss of redundant formaldehyde-detoxification pathways causes embryonic lethality and developmental delay, which is enhanced in NER-deficient animals.”  [PMC11317141 ¶2]</w:t>
      </w:r>
    </w:p>
    <w:p>
      <w:pPr>
        <w:spacing w:after="120"/>
        <w:jc w:val="both"/>
      </w:pPr>
      <w:r>
        <w:rPr>
          <w:rFonts w:ascii="Times New Roman" w:hAnsi="Times New Roman" w:cs="Times New Roman" w:eastAsia="Times New Roman"/>
          <w:b w:val="0"/>
          <w:i w:val="0"/>
          <w:sz w:val="24"/>
        </w:rPr>
        <w:t>“( A ) Phylogenetic tree of C. elegans proteins showing similarity to human ALDH2. Numbers in red branch support values. ( B ) Experimental scheme (see Materials and methods for details). Cartoons were created with BioRender.com. ( C ) H graphic: `gkae519fig5.jpg` 7. **Figure 6.** — NAC suppresses formaldehyde (FA)-toxicity in NER mutants and animals lacking FA-detoxification. Panels ( A )–( E ) show animal survival, while ( F ) displays the developmental stages of animals treated with formaldehyde (FA) and/or N-acetyl-L-cysteine (NAC) after 72 h. (A–F) Data were produced following the same protocol as depicted in Figure 2 . A full data analysis including the two-way ANOVA fo graphic: `gkae519fig6.jpg` 8. **Figure 7.** — Proposed model. The scheme shows the proposed distinct functions of Global Genome Nucleotide Excision Repair (GG-NER); Transcription coupled repair (TCR) independent of NER (NER-IR); and TC-NER in somatic tissues (soma), germline, and during larvae development.”  [PMC11317141 ¶3]</w:t>
      </w:r>
    </w:p>
    <w:p>
      <w:pPr>
        <w:jc w:val="center"/>
      </w:pPr>
      <w:r>
        <w:drawing>
          <wp:inline xmlns:a="http://schemas.openxmlformats.org/drawingml/2006/main" xmlns:pic="http://schemas.openxmlformats.org/drawingml/2006/picture">
            <wp:extent cx="5029200" cy="3519430"/>
            <wp:docPr id="198" name="Picture 198"/>
            <wp:cNvGraphicFramePr>
              <a:graphicFrameLocks noChangeAspect="1"/>
            </wp:cNvGraphicFramePr>
            <a:graphic>
              <a:graphicData uri="http://schemas.openxmlformats.org/drawingml/2006/picture">
                <pic:pic>
                  <pic:nvPicPr>
                    <pic:cNvPr id="0" name="p04_i4.jpg"/>
                    <pic:cNvPicPr/>
                  </pic:nvPicPr>
                  <pic:blipFill>
                    <a:blip r:embed="rId34"/>
                    <a:stretch>
                      <a:fillRect/>
                    </a:stretch>
                  </pic:blipFill>
                  <pic:spPr>
                    <a:xfrm>
                      <a:off x="0" y="0"/>
                      <a:ext cx="5029200" cy="3519430"/>
                    </a:xfrm>
                    <a:prstGeom prst="rect"/>
                  </pic:spPr>
                </pic:pic>
              </a:graphicData>
            </a:graphic>
          </wp:inline>
        </w:drawing>
      </w:r>
    </w:p>
    <w:p>
      <w:pPr>
        <w:spacing w:after="160"/>
        <w:jc w:val="center"/>
      </w:pPr>
      <w:r>
        <w:rPr>
          <w:rFonts w:ascii="Times New Roman" w:hAnsi="Times New Roman" w:cs="Times New Roman" w:eastAsia="Times New Roman"/>
          <w:b w:val="0"/>
          <w:i/>
          <w:sz w:val="20"/>
        </w:rPr>
        <w:t>Figure panel from PMC11317141 (source bitmap p04_i4.jpg).</w:t>
      </w:r>
    </w:p>
    <w:p>
      <w:pPr>
        <w:spacing w:after="120"/>
        <w:jc w:val="both"/>
      </w:pPr>
      <w:r>
        <w:rPr>
          <w:rFonts w:ascii="Times New Roman" w:hAnsi="Times New Roman" w:cs="Times New Roman" w:eastAsia="Times New Roman"/>
          <w:b w:val="0"/>
          <w:i w:val="0"/>
          <w:sz w:val="24"/>
        </w:rPr>
        <w:t>“We have here investigated the consequence of a range of DNA repair mutants in a model of endogenous FA overload generated by downregulating the orthologs of human ADH5 and ALDH2 in C. elegans . We have focused on the distinct components of nucleotide excision repair (NER) during developmental growth, reproduction and aging. Our results reveal three distinct modes of repair of FA-induced DNA damage: Transcription-coupled repair (TCR) operating NER-independently during developmental growth or through NER during adulthood, and, in concert with global-genome (GG-) NER, in the germline and early embryonic development. Additionally, we show that the Cockayne syndrome B (CSB) factor is involved in the resolution of FA-induced DNA\u2013protein crosslinks, and that the antioxidant and FA quencher N -acetyl- l -cysteine (NAC) reverses the sensitivity of detoxification and DNA repair defects during development, suggesting a therapeutic intervention to revert FA-pathogenic consequences.", "body_text": "Introduction Formaldehyde (FA) is a widely recognized environmental cytotoxin and genotoxin.”  [PMC11317141 ¶5]</w:t>
      </w:r>
    </w:p>
    <w:p>
      <w:pPr>
        <w:spacing w:after="120"/>
        <w:jc w:val="both"/>
      </w:pPr>
      <w:r>
        <w:rPr>
          <w:rFonts w:ascii="Times New Roman" w:hAnsi="Times New Roman" w:cs="Times New Roman" w:eastAsia="Times New Roman"/>
          <w:b w:val="0"/>
          <w:i w:val="0"/>
          <w:sz w:val="24"/>
        </w:rPr>
        <w:t>“Based on these results, we further determined tissue and development specific roles of NER components for FA tolerance. CSB-induced NER-independent TCR was required for FA resistance in postmitotic somatic tissues during developmental growth, while CSB-induced NER-dependent TCR was required in adulthood. In contrast, GG-NER was essential in germ cell and embryonic development. We further identified the ortholog of human ALDH2 ( alh-1 ) and developed a nematode model of AMeDS, ascertaining the roles of TCR and NER in this model. Lastly, we determined that N-acetyl cysteine (NAC) supplement could effectively restore FA resistance suggesting a potential intervention strategy for AMeDS. Materials and methods C. elegans maintenance Caenorhabditis elegans were maintained on Escherichia coli strain (OP50) seeded NGM plates at 20\u00b0C ( 29 ). The strains BJS885, BJS938, BJS939\u00a0and BJS940 were produced via standard genetic crossing in the Schumacher lab.”  [PMC11317141 ¶10]</w:t>
      </w:r>
    </w:p>
    <w:p>
      <w:pPr>
        <w:keepNext/>
        <w:spacing w:before="280" w:after="80"/>
        <w:outlineLvl w:val="1"/>
      </w:pPr>
      <w:r>
        <w:rPr>
          <w:rFonts w:ascii="Times New Roman" w:hAnsi="Times New Roman" w:cs="Times New Roman" w:eastAsia="Times New Roman"/>
          <w:b/>
          <w:i w:val="0"/>
          <w:color w:val="335588"/>
          <w:sz w:val="28"/>
        </w:rPr>
        <w:t>14c.3  Older adults and age-related sensitivity</w:t>
      </w:r>
    </w:p>
    <w:p>
      <w:pPr>
        <w:spacing w:before="120" w:after="80"/>
        <w:jc w:val="both"/>
      </w:pPr>
      <w:r>
        <w:rPr>
          <w:rFonts w:ascii="Times New Roman" w:hAnsi="Times New Roman" w:cs="Times New Roman" w:eastAsia="Times New Roman"/>
          <w:b/>
          <w:i w:val="0"/>
          <w:sz w:val="24"/>
        </w:rPr>
        <w:t>Verbatim paragraphs on older adults and ageing-associated redox or metabolic changes:</w:t>
      </w:r>
    </w:p>
    <w:p>
      <w:pPr>
        <w:spacing w:after="120"/>
        <w:jc w:val="both"/>
      </w:pPr>
      <w:r>
        <w:rPr>
          <w:rFonts w:ascii="Times New Roman" w:hAnsi="Times New Roman" w:cs="Times New Roman" w:eastAsia="Times New Roman"/>
          <w:b w:val="0"/>
          <w:i w:val="0"/>
          <w:sz w:val="24"/>
        </w:rPr>
        <w:t>“COVID-19 COVID-19 deaths are mainly attributed to the acute respiratory distress syndrome (ARDS) associated with SARS-CoV-2 infection, particularly in the elderly and those with co-morbidities [ 67 , 68 ]. There is increasing evidence to indicate that excessive immune activation, and the resulting cytokine storm, are the cause of COVID-19-associated lung injury [ 67 ]. This excessive immune activation can be the result of an imbalance in redox homeostasis of which prolonged oxidative stress due to inflammation, increased ROS production, and decreased GSH levels are important factors [ 67 ]. NAC has long since been used as an off-label antioxidant; however, there is increasing evidence from both preclinical and clinical studies that NAC can attenuate immune activation and cytokine release, which may be relevant to COVID-19 [ 50 ]. In a study conducted by Ungheri et al. (2000), NAC was found to significantly decrease the mortality of influenza-infected mice by reducing the production of ROS and cytokines, such as TNF-\u221d and IL-6 [ 69 ].”  [PMC10604897 ¶28]</w:t>
      </w:r>
    </w:p>
    <w:p>
      <w:pPr>
        <w:spacing w:after="120"/>
        <w:jc w:val="both"/>
      </w:pPr>
      <w:r>
        <w:rPr>
          <w:rFonts w:ascii="Times New Roman" w:hAnsi="Times New Roman" w:cs="Times New Roman" w:eastAsia="Times New Roman"/>
          <w:b w:val="0"/>
          <w:i w:val="0"/>
          <w:sz w:val="24"/>
        </w:rPr>
        <w:t>“Factors such as inflammation, microbial infection, or smoke exposure can increase GSH content in bronchoalveolar lavage fluid (BALF) as a protective measure against further lung damage [ 40 ]. While GSH concentration increases in the BALF of stable COPD patients, it diminishes during AECOPD [ 44 ]. This indicates that the increase in GSH levels within the lungs is inadequate to effectively counterbalance the significant production of ROS. Maintaining adequate GSH levels is crucial to counteract excessive ROS production during AECOPD [ 45 ]. Thus, therapeutic approaches focused on increasing GSH levels could potentially be beneficial in managing the severity of AECOPD and reducing the occurrence of future episodes. In this context, NAC shows efficacy in restoring the depleted pool of intracellular GSH during AECOPD [ 46 , 47 ] by elevating GSH levels in plasma and BALF [ 48 ]. NAC also reduces ROS secretion by alveolar macrophages (AM) [ 49 ] and exhaled H 2 O 2 and decreases H 2 O 2 production in the respiratory tract of COPD patients [ 50 ].”  [PMC11278452 ¶12]</w:t>
      </w:r>
    </w:p>
    <w:p>
      <w:pPr>
        <w:spacing w:after="120"/>
        <w:jc w:val="both"/>
      </w:pPr>
      <w:r>
        <w:rPr>
          <w:rFonts w:ascii="Times New Roman" w:hAnsi="Times New Roman" w:cs="Times New Roman" w:eastAsia="Times New Roman"/>
          <w:b w:val="0"/>
          <w:i w:val="0"/>
          <w:sz w:val="24"/>
        </w:rPr>
        <w:t>“Some years ago, mucolytic agents, like NAC, were recognized as the most cost-effective treatment option for managing severe COPD patients prone to frequent exacerbations [ 102 ]. Based on the currently available findings, the Global Initiative for Chronic Obstructive Lung Disease (GOLD) strategy incorporates a section titled \u201cMucolytic (mucokinetics, mucoregulators) and anti-oxidant agents (NAC, carbocysteine)\u201d [ 35 ]. The recommendations explicitly state that \u201cin COPD patients not receiving inhaled corticosteroids, regular treatment with mucolytics such as carbocysteine and N-acetylcysteine may reduce exacerbations and modestly improve health status\u201d [ 35 ]. Accordingly, the European Respiratory Society/American Thoracic Society guideline emphasizes that mucolytic therapy diminishes the probability of hospitalization in COPD patients [ 39 ]. Moreover, when administered in elevated doses, it has the potential to decrease exacerbations [ 39 ].”  [PMC11278452 ¶29]</w:t>
      </w:r>
    </w:p>
    <w:p>
      <w:pPr>
        <w:spacing w:after="120"/>
        <w:jc w:val="both"/>
      </w:pPr>
      <w:r>
        <w:rPr>
          <w:rFonts w:ascii="Times New Roman" w:hAnsi="Times New Roman" w:cs="Times New Roman" w:eastAsia="Times New Roman"/>
          <w:b w:val="0"/>
          <w:i w:val="0"/>
          <w:sz w:val="24"/>
        </w:rPr>
        <w:t>“A multicenter, double-blind, randomized, placebo-controlled trial is presently in progress to investigate the sustained effectiveness of oral NAC on exacerbation rates and QoL in bronchiectasis [ 113 ]. The study aims to specifically focus on the antioxidant, anti-inflammatory, and antibacterial properties of NAC in bronchiectasis [ 113 ]. NAC is also used in CF, which is characterized by frequent respiratory infections, PMN-mediated inflammation, and increased oxidative stress [ 114 ]. However, evidence of NAC effectiveness in CF is still poor, despite some encouraging results [ 115 , 116 , 117 ], and further studies on larger samples are needed [ 114 ]. Interestingly, NAC as adjunctive therapy has been associated with reduced rates of progression to respiratory failure, with some studies reporting shorter hospital stays and others indicating decreased mortality in patients hospitalized for COVID-19 pneumonia [ 118 ]. 5.”  [PMC11278452 ¶32]</w:t>
      </w:r>
    </w:p>
    <w:p>
      <w:pPr>
        <w:jc w:val="center"/>
      </w:pPr>
      <w:r>
        <w:drawing>
          <wp:inline xmlns:a="http://schemas.openxmlformats.org/drawingml/2006/main" xmlns:pic="http://schemas.openxmlformats.org/drawingml/2006/picture">
            <wp:extent cx="5029200" cy="4259385"/>
            <wp:docPr id="199" name="Picture 199"/>
            <wp:cNvGraphicFramePr>
              <a:graphicFrameLocks noChangeAspect="1"/>
            </wp:cNvGraphicFramePr>
            <a:graphic>
              <a:graphicData uri="http://schemas.openxmlformats.org/drawingml/2006/picture">
                <pic:pic>
                  <pic:nvPicPr>
                    <pic:cNvPr id="0" name="p06_i1.jpg"/>
                    <pic:cNvPicPr/>
                  </pic:nvPicPr>
                  <pic:blipFill>
                    <a:blip r:embed="rId14"/>
                    <a:stretch>
                      <a:fillRect/>
                    </a:stretch>
                  </pic:blipFill>
                  <pic:spPr>
                    <a:xfrm>
                      <a:off x="0" y="0"/>
                      <a:ext cx="5029200" cy="4259385"/>
                    </a:xfrm>
                    <a:prstGeom prst="rect"/>
                  </pic:spPr>
                </pic:pic>
              </a:graphicData>
            </a:graphic>
          </wp:inline>
        </w:drawing>
      </w:r>
    </w:p>
    <w:p>
      <w:pPr>
        <w:spacing w:after="160"/>
        <w:jc w:val="center"/>
      </w:pPr>
      <w:r>
        <w:rPr>
          <w:rFonts w:ascii="Times New Roman" w:hAnsi="Times New Roman" w:cs="Times New Roman" w:eastAsia="Times New Roman"/>
          <w:b w:val="0"/>
          <w:i/>
          <w:sz w:val="20"/>
        </w:rPr>
        <w:t>Figure 1 (from PMC11278452): “Differential modulation of pro-inflammatory mediators in relation to both the concentration and duration of treatment with N-acetylcysteine in in vitro models of airway inflammation. NAC: N-acetylcysteine; LPS: lipopolysaccharides; NKA: neurokinin A; IL-6: Interleukin-6; TNF-α: tumor necrosis factor-α; IL-8: Interleukin-8; IL-1β: Interleukin-1beta; NF-κB: Nu”</w:t>
      </w:r>
    </w:p>
    <w:p>
      <w:pPr>
        <w:spacing w:after="120"/>
        <w:jc w:val="both"/>
      </w:pPr>
      <w:r>
        <w:rPr>
          <w:rFonts w:ascii="Times New Roman" w:hAnsi="Times New Roman" w:cs="Times New Roman" w:eastAsia="Times New Roman"/>
          <w:b w:val="0"/>
          <w:i w:val="0"/>
          <w:sz w:val="24"/>
        </w:rPr>
        <w:t>“These processes are critical in the development of cardiovascular diseases (CVDs) such as atherosclerosis, hypertension and ischemia/reperfusion injury (IRI). Reduced nitric oxide (NO) production and increased oxidative stress are key contributors to ED. Aging further exacerbates ED through mitochondrial dysfunction and increased oxidative/nitrosative stress, heightening CVD risk. Antioxidant systems like superoxide-dismutase (SOD), glutathione-peroxidase (GPx), and thioredoxin/thioredoxin-reductase (Trx/TXNRD) pathways protect against oxidative stress. However, their reduced activity promotes ED, atherosclerosis, and vulnerability to IRI. Metabolic syndrome, comprising insulin resistance, obesity, and hypertension, is often accompanied by ED. Specifically, hyperglycemia worsens endothelial damage by promoting oxidative stress and inflammation. Obesity leads to chronic inflammation and changes in perivascular adipose tissue, while hypertension is associated with an increase in oxidative stress.”  [PMC11939635 ¶2]</w:t>
      </w:r>
    </w:p>
    <w:p>
      <w:pPr>
        <w:spacing w:after="120"/>
        <w:jc w:val="both"/>
      </w:pPr>
      <w:r>
        <w:rPr>
          <w:rFonts w:ascii="Times New Roman" w:hAnsi="Times New Roman" w:cs="Times New Roman" w:eastAsia="Times New Roman"/>
          <w:b w:val="0"/>
          <w:i w:val="0"/>
          <w:sz w:val="24"/>
        </w:rPr>
        <w:t>“The NLRP3 inflammasome plays a significant role in ED, being triggered by factors such as reactive oxygen and nitrogen species, ischemia, and high glucose, which contribute to inflammation, endothelial injury, and exacerbation of IRI. Treatments, such as N-acetyl-L-cysteine, SGLT2 or NLRP3 inhibitors, show promise in improving endothelial function. Yet the complexity of ED suggests that multi-targeted therapies addressing oxidative stress, inflammation, and metabolic disturbances are essential for managing CVDs associated with metabolic syndrome.", "body_text": "1. Introduction Despite its simple monolayer structure, healthy endothelium responds to a variety of stimuli, both chemical and mechanical. In turn, the endothelium is capable of producing a wide range of molecules that regulate vascular permeability, cell adhesion, smooth muscle cell proliferation, vessel wall inflammation, and thrombosis resistance.”  [PMC11939635 ¶3]</w:t>
      </w:r>
    </w:p>
    <w:p>
      <w:pPr>
        <w:spacing w:after="120"/>
        <w:jc w:val="both"/>
      </w:pPr>
      <w:r>
        <w:rPr>
          <w:rFonts w:ascii="Times New Roman" w:hAnsi="Times New Roman" w:cs="Times New Roman" w:eastAsia="Times New Roman"/>
          <w:b w:val="0"/>
          <w:i w:val="0"/>
          <w:sz w:val="24"/>
        </w:rPr>
        <w:t>“Among the causes that can determine an alteration of shear stress, it is worth mentioning the increase in blood pressure which, combined with a greater stiffness due to metabolic syndrome and aging, determines changes in both the phenotype and the endothelial functionality [ 4 , 25 ]. In addition to being subjected to shear stress, ECs can function as a \u201cmetabolic interface\u201d with important differences between different organs and within the organ itself [ 26 , 27 ]. It appears that under many conditions, the preferred metabolic pathway of ECs is anaerobic glycolysis [ 28 ]. The reliance on anaerobic glycolysis offers metabolic advantages. Under normal conditions, it reduces the formation and availability of ROS/RNS while enhancing the efficiency of metabolite transport from the vessel to surrounding tissues. For instance, the endothelium exerts metabolic control over surrounding tissues, regulating the influx of hormones and other key elements such as insulin, lipids, and glucose.”  [PMC11939635 ¶11]</w:t>
      </w:r>
    </w:p>
    <w:p>
      <w:pPr>
        <w:jc w:val="center"/>
      </w:pPr>
      <w:r>
        <w:drawing>
          <wp:inline xmlns:a="http://schemas.openxmlformats.org/drawingml/2006/main" xmlns:pic="http://schemas.openxmlformats.org/drawingml/2006/picture">
            <wp:extent cx="5029200" cy="2916365"/>
            <wp:docPr id="200" name="Picture 200"/>
            <wp:cNvGraphicFramePr>
              <a:graphicFrameLocks noChangeAspect="1"/>
            </wp:cNvGraphicFramePr>
            <a:graphic>
              <a:graphicData uri="http://schemas.openxmlformats.org/drawingml/2006/picture">
                <pic:pic>
                  <pic:nvPicPr>
                    <pic:cNvPr id="0" name="p11_i1.jpg"/>
                    <pic:cNvPicPr/>
                  </pic:nvPicPr>
                  <pic:blipFill>
                    <a:blip r:embed="rId16"/>
                    <a:stretch>
                      <a:fillRect/>
                    </a:stretch>
                  </pic:blipFill>
                  <pic:spPr>
                    <a:xfrm>
                      <a:off x="0" y="0"/>
                      <a:ext cx="5029200" cy="2916365"/>
                    </a:xfrm>
                    <a:prstGeom prst="rect"/>
                  </pic:spPr>
                </pic:pic>
              </a:graphicData>
            </a:graphic>
          </wp:inline>
        </w:drawing>
      </w:r>
    </w:p>
    <w:p>
      <w:pPr>
        <w:spacing w:after="160"/>
        <w:jc w:val="center"/>
      </w:pPr>
      <w:r>
        <w:rPr>
          <w:rFonts w:ascii="Times New Roman" w:hAnsi="Times New Roman" w:cs="Times New Roman" w:eastAsia="Times New Roman"/>
          <w:b w:val="0"/>
          <w:i/>
          <w:sz w:val="20"/>
        </w:rPr>
        <w:t>Figure 1 (from PMC11939635): “Key molecular mechanisms linking endothelial dysfunction, NLRP3 inflammasome, and cardiovascular diseases (CVDs). Schematic illustration of the pathways and factors contributing to endothelial dysfunction and the progression of CVDs. The activation of the NLRP3 inflammasome by PAMPs, DAMPs, and hemodynamic alterations triggers the production of inflammatory ”</w:t>
      </w:r>
    </w:p>
    <w:p>
      <w:pPr>
        <w:spacing w:after="120"/>
        <w:jc w:val="both"/>
      </w:pPr>
      <w:r>
        <w:rPr>
          <w:rFonts w:ascii="Times New Roman" w:hAnsi="Times New Roman" w:cs="Times New Roman" w:eastAsia="Times New Roman"/>
          <w:b w:val="0"/>
          <w:i w:val="0"/>
          <w:sz w:val="24"/>
        </w:rPr>
        <w:t>“Of note, ED is \u201cphysiologically\u201d induced by aging. In fact, with age, there are evident changes of both a structural and functional nature which contribute to the onset of CVDS diseases. At the cellular level, in addition to the classic signs of ED, trans-differentiation of VSMCs and cellular senescence have been observed. With aging, numerous changes at the molecular level of ECs are recognized. In larger vessels, such as the aorta, an increase in end-to-end inter-endothelial junctions is observed during aging, while overlapping or interdigitated junctions decrease [ 42 ]. The carotid arteries exhibit increased permeability in the elderly due to the separation of endothelial cell\u2013cell junctions [ 43 ]. In several vessels, including the aorta and coronary arteries, both an increase in endothelial apoptosis caused by aging and a reduced cell density are found [ 42 , 43 ]. Increased autophagy has been reported to reverse arterial aging by improving age-related ED [ 43 , 44 , 45 ].”  [PMC11939635 ¶18]</w:t>
      </w:r>
    </w:p>
    <w:p>
      <w:pPr>
        <w:spacing w:after="120"/>
        <w:jc w:val="both"/>
      </w:pPr>
      <w:r>
        <w:rPr>
          <w:rFonts w:ascii="Times New Roman" w:hAnsi="Times New Roman" w:cs="Times New Roman" w:eastAsia="Times New Roman"/>
          <w:b w:val="0"/>
          <w:i w:val="0"/>
          <w:sz w:val="24"/>
        </w:rPr>
        <w:t>“Aging is also among the factors that determine mitochondrial dysfunction. In fact, vascular ECs present impaired mitochondrial biogenesis, reduced respiration, and increased production of ROS, which directly contribute to a reduced NO availability [ 46 ]. Oxidative stress can also disrupt mitophagy in vascular cells by impairing the PTEN-induced kinase 1 (PINK1)/Parkin pathway and reducing the expression of key mitophagy receptors, including BCL2 interacting protein 3 (BNIP3) and Nox [ 47 , 48 , 49 ]. This disruption leads to the accumulation of dysfunctional mitochondria, contributing to ED, impaired angiogenic response to injury, and cardiac remodeling [ 50 ]. Physiological aging induces phenotypic changes that make the vascular system more fragile in its various components, thereby increasing susceptibility to CVDs, such as hypertension, cardiac remodeling, and other pathologies related to metabolic syndrome [ 43 ] (See also Section 4 ). 3.1.”  [PMC11939635 ¶19]</w:t>
      </w:r>
    </w:p>
    <w:p>
      <w:pPr>
        <w:spacing w:after="120"/>
        <w:jc w:val="both"/>
      </w:pPr>
      <w:r>
        <w:rPr>
          <w:rFonts w:ascii="Times New Roman" w:hAnsi="Times New Roman" w:cs="Times New Roman" w:eastAsia="Times New Roman"/>
          <w:b w:val="0"/>
          <w:i w:val="0"/>
          <w:sz w:val="24"/>
        </w:rPr>
        <w:t>“GSH is the major cytosolic water-soluble chemical antioxidant and emerging evidence supports its role in improving T2D outcomes. Dietary supplementation with N-acetyl-cysteine (NAC) and/or glycine (GLY), which are GSH precursors, has also been studied for possible beneficial effects on T2D. This review will focus on the underlying pathophysiological and molecular mechanisms linking GSH and its precursors with T2D and OxS. In addition to their traditional antioxidant roles, the in vivo effects of GSH/NAC/GLY supplements will be evaluated for their potential abilities to modulate the complex pro-oxidant pathophysiological factors (e.g., hyperglycemia) driving T2D progression. Positive feedback loops that amplify OxS over long time intervals are likely to result in irreversible T2D micro- and macro-vascular damage. Most clinical studies with GSH/NAC/GLY have focused on adults or the elderly.”  [PMC10885928 ¶3]</w:t>
      </w:r>
    </w:p>
    <w:p>
      <w:pPr>
        <w:spacing w:after="120"/>
        <w:jc w:val="both"/>
      </w:pPr>
      <w:r>
        <w:rPr>
          <w:rFonts w:ascii="Times New Roman" w:hAnsi="Times New Roman" w:cs="Times New Roman" w:eastAsia="Times New Roman"/>
          <w:b w:val="0"/>
          <w:i w:val="0"/>
          <w:sz w:val="24"/>
        </w:rPr>
        <w:t>“A general review of positive feedback loops in biological systems has been published by Mitrophanov et al. [ 85 ]. Over long time intervals, T2D positive feedback loops can eventually result in irreversible OxS micro- and/or macro-vascular damage such as diabetic retinopathy (a microvascular disease) [ 86 ]. Figure 3 provides a simplified scheme showing the interconnections between OxS and T2D risk factors as well as some likely positive feedback loops. High-calorie meals, overweight/obesity, gastrointestinal postprandial oxidative stress (POS), insulin resistance, hyperglycemia, and pancreatic beta-cell dysfunction are examples of risk factors that can modulate both local and systemic OxS in T2D. Encouragingly, accumulating evidence suggests that T2D progression is not \u201cinevitable\u201d and possibly reversible at an early stage [ 26 ]. As will be detailed below, GSH metabolism plays a central role in modulating T2D OxS and may play a role in reversing/slowing early T2D progression.”  [PMC10885928 ¶24]</w:t>
      </w:r>
    </w:p>
    <w:p>
      <w:pPr>
        <w:spacing w:after="120"/>
        <w:jc w:val="both"/>
      </w:pPr>
      <w:r>
        <w:rPr>
          <w:rFonts w:ascii="Times New Roman" w:hAnsi="Times New Roman" w:cs="Times New Roman" w:eastAsia="Times New Roman"/>
          <w:b w:val="0"/>
          <w:i w:val="0"/>
          <w:sz w:val="24"/>
        </w:rPr>
        <w:t>“Amino Acids", "doi": "10.1155/2012/736837", "pmid": "22500213", "pmcid": "PMC3303626" }, { "title": "Glutathione!", "year": "2014", "source": "Integr. Med. (Encinitas)", "pmcid": "PMC4684116", "pmid": "26770075" }, { "title": "Blood and plasma glutathione measured in healthy subjects by HPLC: Relation to sex, aging, biological variables, and life habits", "year": "1995", "source": "Clin. Chem.", "doi": "10.1093/clinchem/41.10.1509", "pmid": "7586526" }, { "title": "Glutathione synthesis is diminished in patients with uncontrolled diabetes and restored by dietary supplementation with cysteine and glycine", "year": "2011", "source": "Diabetes Care", "doi": "10.2337/dc10-1006", "pmid": "20929994", "pmcid": "PMC3005481" }, { "title": "Glutathione synthesis", "year": "2013", "source": "Biochim. Biophys. Acta", "doi": "10.1016/j.bbagen.2012.09.008", "pmid": "22995213", "pmcid": "PMC3549305" }, { "title": "Regulation of hepatic glutathione synthesis", "year": "1998", "source": "Semin.”  [PMC10885928 ¶46]</w:t>
      </w:r>
    </w:p>
    <w:p>
      <w:pPr>
        <w:jc w:val="center"/>
      </w:pPr>
      <w:r>
        <w:drawing>
          <wp:inline xmlns:a="http://schemas.openxmlformats.org/drawingml/2006/main" xmlns:pic="http://schemas.openxmlformats.org/drawingml/2006/picture">
            <wp:extent cx="5029200" cy="1989677"/>
            <wp:docPr id="201" name="Picture 201"/>
            <wp:cNvGraphicFramePr>
              <a:graphicFrameLocks noChangeAspect="1"/>
            </wp:cNvGraphicFramePr>
            <a:graphic>
              <a:graphicData uri="http://schemas.openxmlformats.org/drawingml/2006/picture">
                <pic:pic>
                  <pic:nvPicPr>
                    <pic:cNvPr id="0" name="p03_i1.jpg"/>
                    <pic:cNvPicPr/>
                  </pic:nvPicPr>
                  <pic:blipFill>
                    <a:blip r:embed="rId17"/>
                    <a:stretch>
                      <a:fillRect/>
                    </a:stretch>
                  </pic:blipFill>
                  <pic:spPr>
                    <a:xfrm>
                      <a:off x="0" y="0"/>
                      <a:ext cx="5029200" cy="1989677"/>
                    </a:xfrm>
                    <a:prstGeom prst="rect"/>
                  </pic:spPr>
                </pic:pic>
              </a:graphicData>
            </a:graphic>
          </wp:inline>
        </w:drawing>
      </w:r>
    </w:p>
    <w:p>
      <w:pPr>
        <w:spacing w:after="160"/>
        <w:jc w:val="center"/>
      </w:pPr>
      <w:r>
        <w:rPr>
          <w:rFonts w:ascii="Times New Roman" w:hAnsi="Times New Roman" w:cs="Times New Roman" w:eastAsia="Times New Roman"/>
          <w:b w:val="0"/>
          <w:i/>
          <w:sz w:val="20"/>
        </w:rPr>
        <w:t>Figure 1 (from PMC10885928): “Glutathione biosynthetic scheme. N-acetyl-L-cysteine (NAC) can supply cysteine (CYS) for the biosynthesis of reduced glutathione (GSH). NAC must first be hydrolyzed by aminoacylase 1 (ACY1) to release CYS. In the first step of GSH synthesis, L-glutamate-L-cysteine ligase (GCL) catalyzes the formation of gamma-L-glutamyl-L-cysteine (GGC) by linking CYS and L-”</w:t>
      </w:r>
    </w:p>
    <w:p>
      <w:pPr>
        <w:spacing w:after="120"/>
        <w:jc w:val="both"/>
      </w:pPr>
      <w:r>
        <w:rPr>
          <w:rFonts w:ascii="Times New Roman" w:hAnsi="Times New Roman" w:cs="Times New Roman" w:eastAsia="Times New Roman"/>
          <w:b w:val="0"/>
          <w:i w:val="0"/>
          <w:sz w:val="24"/>
        </w:rPr>
        <w:t>“Shown are means\u2009\u00b1\u2009s.d., two-tailed unpaired t -test ( n =\u20096, biologically independent). f Representative confocal imaging of LDs separation from liver in ( e ). Scale bar\u2009=\u200910\u2009\u03bcm. g Representative TEM images of control-APEX2 and LBP-APEX2 morphology, scale bar\u2009=\u2009500\u2009nm. Experiments repeated two times independently with similar results. LBP promotes long-chain unsaturated triglyceride accumulation in LDs To investigate the mechanisms underlying steatosis associated with LBP, we conducted lipidomics analysis on liver tissues from LBP KI/KI mice following a 16-week high-fat diet. Our results consistently demonstrated a greater accumulation of triglycerides in LBP KI/KI mice liver, compared to WT mice (Fig. 3a ; Supplementary Data 2 ). Further analysis revealed an upregulation of long-chain polyunsaturated fatty acid-triglycerides (LCPUFA-TG) in LBP KI/KI mice, which are known to be a primary source of lipid peroxidation (Fig. 3b, c ).”  [PMC11016120 ¶16]</w:t>
      </w:r>
    </w:p>
    <w:p>
      <w:pPr>
        <w:keepNext/>
        <w:spacing w:before="280" w:after="80"/>
        <w:outlineLvl w:val="1"/>
      </w:pPr>
      <w:r>
        <w:rPr>
          <w:rFonts w:ascii="Times New Roman" w:hAnsi="Times New Roman" w:cs="Times New Roman" w:eastAsia="Times New Roman"/>
          <w:b/>
          <w:i w:val="0"/>
          <w:color w:val="335588"/>
          <w:sz w:val="28"/>
        </w:rPr>
        <w:t>14c.4  Genetic susceptibility — polymorphisms affecting the GSH / transsulfuration axis</w:t>
      </w:r>
    </w:p>
    <w:p>
      <w:pPr>
        <w:spacing w:before="120" w:after="80"/>
        <w:jc w:val="both"/>
      </w:pPr>
      <w:r>
        <w:rPr>
          <w:rFonts w:ascii="Times New Roman" w:hAnsi="Times New Roman" w:cs="Times New Roman" w:eastAsia="Times New Roman"/>
          <w:b/>
          <w:i w:val="0"/>
          <w:sz w:val="24"/>
        </w:rPr>
        <w:t>Verbatim paragraphs on genetic polymorphisms in cysteine / glutathione pathway enzymes and detoxification genes:</w:t>
      </w:r>
    </w:p>
    <w:p>
      <w:pPr>
        <w:spacing w:after="120"/>
        <w:jc w:val="both"/>
      </w:pPr>
      <w:r>
        <w:rPr>
          <w:rFonts w:ascii="Times New Roman" w:hAnsi="Times New Roman" w:cs="Times New Roman" w:eastAsia="Times New Roman"/>
          <w:b w:val="0"/>
          <w:i w:val="0"/>
          <w:sz w:val="24"/>
        </w:rPr>
        <w:t>“In the 1980s, multiple investigations suggested that NAC could mitigate cigarette irregularities in polymorphonuclear neutrophils (PMNs) [ 52 ], AM [ 49 , 53 , 54 ], fibroblasts [ 42 ], and epithelial cells [ 55 , 56 ] induced by smoke. In particular, when given to smokers at a high dosage over an 8-week period, NAC has demonstrated efficacy in diminishing airway inflammation by reducing plasma concentrations of elastase and myeloperoxidase, lowering the content of lactoferrin, anti-chymotrypsin, and eosinophil cationic protein (ECP) in BALF, and mitigating the chemotactic activity of neutrophils [ 57 ]. Furthermore, it enhanced AM function in smokers [ 49 ]. In the 1990s, Schreck et al. observed NAC\u2019s effectiveness in reducing the activation of nuclear factor kappa B (NF-kB) in intact Jurkat T cells [ 58 ]. Further support for the anti-inflammatory effect of NAC was provided by data demonstrating a decrease in the chemiluminescence of PMNs in BALF in vitro [ 59 ].”  [PMC11278452 ¶14]</w:t>
      </w:r>
    </w:p>
    <w:p>
      <w:pPr>
        <w:spacing w:after="120"/>
        <w:jc w:val="both"/>
      </w:pPr>
      <w:r>
        <w:rPr>
          <w:rFonts w:ascii="Times New Roman" w:hAnsi="Times New Roman" w:cs="Times New Roman" w:eastAsia="Times New Roman"/>
          <w:b w:val="0"/>
          <w:i w:val="0"/>
          <w:sz w:val="24"/>
        </w:rPr>
        <w:t>“Despite these potential benefits, clinical trials for IPF have produced inconsistent results [ 103 , 106 , 107 , 108 ]. Using oral NAC, either by itself or in conjunction with pirfenidone or nintedanib, might be an effective treatment option for certain IPF patients [ 109 ], particularly those with the rs3750920 (TOLLIP) TT genotype [ 110 ]. Data on the overall efficacy and safety of NAC in a pharmacogenomic context, tailored to patients most likely to benefit, are eagerly awaited [ 108 ]. In addition, NAC is also utilized for treating non-CF bronchiectasis, where it could help decrease the frequency of exacerbations [ 111 ]. A recent randomized placebo-controlled pilot study evaluated the impact of NAC on sputum neutrophil elastase levels, which serve as a surrogate marker for exacerbations, in adult patients with bronchiectasis [ 112 ]. They observed a nearly 50% reduction in sputum neutrophil elastase and improvements in lung function and QoL-related domains, without increased adverse events compared to placebo [ 112 ].”  [PMC11278452 ¶31]</w:t>
      </w:r>
    </w:p>
    <w:p>
      <w:pPr>
        <w:spacing w:after="120"/>
        <w:jc w:val="both"/>
      </w:pPr>
      <w:r>
        <w:rPr>
          <w:rFonts w:ascii="Times New Roman" w:hAnsi="Times New Roman" w:cs="Times New Roman" w:eastAsia="Times New Roman"/>
          <w:b w:val="0"/>
          <w:i w:val="0"/>
          <w:sz w:val="24"/>
        </w:rPr>
        <w:t>“In addition, the costs of safety studies and clinical efficacy trials are too high of a risk for the limited reward, considering the smaller patient numbers. Thus, the main conclusions of most of these intervention studies that compound X acting through Y mechanism may be a promising therapeutic approach for APAP overdose patients are not supported by solid scientific evidence. Nevertheless, in recent years new developments give some hope that there can be progress with emerging novel therapeutics approaches. However, the key to advancing any potential therapeutic is to understand the molecular mechanisms of the disease and have a clear understanding of what the new intervention is targeting. 2. Mechanisms of APAP-induced Liver Injury Mechanistic studies of APAP hepatotoxicity started with the recognition that a part of the dose of APAP is metabolized by cytochrome P450 (Cyp) enzymes [ 6 ], now known to be mainly Cyp2E1 [ 22 ], which generates a reactive metabolite that can be detoxified by GSH [ 9 ].”  [PMC11315809 ¶6]</w:t>
      </w:r>
    </w:p>
    <w:p>
      <w:pPr>
        <w:spacing w:after="120"/>
        <w:jc w:val="both"/>
      </w:pPr>
      <w:r>
        <w:rPr>
          <w:rFonts w:ascii="Times New Roman" w:hAnsi="Times New Roman" w:cs="Times New Roman" w:eastAsia="Times New Roman"/>
          <w:b w:val="0"/>
          <w:i w:val="0"/>
          <w:sz w:val="24"/>
        </w:rPr>
        <w:t>“Introduced more than 20 years ago, it has an excellent safety record, and treatment of poisoned patients with fomepizole causes very limited, minor side effects such as injection site burning (13 out of 536 Patients) or nausea (5 out of 536 Patients) [ 50 ]. Thus, highly effective in patients with toxic alcohol poisoning and generally well tolerated, it is widely used in the clinic for these indications. In 2013, a case report was published indicating that a patient presenting to the emergency department with extremely high blood APAP levels (&gt;1,100 \u03bcg/ml = &gt;7.3 mM) and suspected of a toxic alcohol poisoning was treated with both NAC and fomepizole and survived [ 51 ]. Because in vitro studies had previously shown that 4-methylpyrazole is a competitive Cyp2E1 inhibitor binding to the substrate binding site of the enzyme [ 52 , 53 ], Yip and Heard [ 54 ] hypothesized a few years later that the positive outcome of the patient described in the case report may be related to a combined effect of NAC and fomepizole.”  [PMC11315809 ¶11]</w:t>
      </w:r>
    </w:p>
    <w:p>
      <w:pPr>
        <w:spacing w:after="120"/>
        <w:jc w:val="both"/>
      </w:pPr>
      <w:r>
        <w:rPr>
          <w:rFonts w:ascii="Times New Roman" w:hAnsi="Times New Roman" w:cs="Times New Roman" w:eastAsia="Times New Roman"/>
          <w:b w:val="0"/>
          <w:i w:val="0"/>
          <w:sz w:val="24"/>
        </w:rPr>
        <w:t>“This encouraged us to study the effect of fomepizole in the mouse model in vivo . The first study was designed to test the hypothesis that fomepizole can protect against APAP hepatotoxicity in mice by inhibiting cyp2e1 [ 55 ]. Given the short metabolism phase of a 300 mg/kg dose of APAP in mice [ 56 ], fomepizole was administered immediately after APAP to ensure that an effect on P450-mediated metabolism was covered. Co-treatment of fomepizole (50 mg/kg, which represents a human equivalent dose of 4 mg/kg) and a toxic dose of APAP (300 mg/kg) resulted in protection as indicated by &gt;95% reduction of plasma ALT elevations and almost complete prevention of centrilobular necrosis. The fact that fomepizole attenuated formation of the cyp2e1-derived oxidative metabolites and the protein adduct the formation of the reactive metabolite by &gt;90% suggested that the protection was caused by the inhibition of cyp2e1 [ 55 ] ( Figure 1 ).”  [PMC11315809 ¶12]</w:t>
      </w:r>
    </w:p>
    <w:p>
      <w:pPr>
        <w:spacing w:after="120"/>
        <w:jc w:val="both"/>
      </w:pPr>
      <w:r>
        <w:rPr>
          <w:rFonts w:ascii="Times New Roman" w:hAnsi="Times New Roman" w:cs="Times New Roman" w:eastAsia="Times New Roman"/>
          <w:b w:val="0"/>
          <w:i w:val="0"/>
          <w:sz w:val="24"/>
        </w:rPr>
        <w:t>“The complete protection against APAP toxicity was also confirmed when APAP exposed primary human hepatocytes were co-treated with fomepizole, indicating that a similar beneficial effect can also be achieved in a human in vitro system [ 55 ]. This was further investigated in human volunteers [ 57 ]. In a cross-over study design, 5 healthy volunteers ingested a mild overdose of 80 mg/kg APAP orally with or without iv co-treatment of fomepizole using the clinically approved regimen (15 mg/kg as the first dose and 10 mg/kg as a second dose 12 h later) [ 57 ]. Measurement of oxidative metabolites of APAP that were detectable (APAP-NAC, APAP-Cys) over 24 h after APAP showed that fomepizole reduced the levels of CYP2E1-derived metabolites by &gt;90% in these volunteers. This suggested that the clinically approved dose of fomepizole effectively inhibits CYP2E1 and would prevent reactive metabolite formation in patients who have overdosed on APAP [ 49 ].”  [PMC11315809 ¶13]</w:t>
      </w:r>
    </w:p>
    <w:p>
      <w:pPr>
        <w:spacing w:after="120"/>
        <w:jc w:val="both"/>
      </w:pPr>
      <w:r>
        <w:rPr>
          <w:rFonts w:ascii="Times New Roman" w:hAnsi="Times New Roman" w:cs="Times New Roman" w:eastAsia="Times New Roman"/>
          <w:b w:val="0"/>
          <w:i w:val="0"/>
          <w:sz w:val="24"/>
        </w:rPr>
        <w:t>“Interestingly, inhibiting metabolism by CYP2E1 did not result in higher APAP levels in circulation, but a trend to higher glucuronide and sulfate metabolites [ 57 ]. This indicates that, consistent with previous human data [ 50 ], the phase II detoxification pathways, especially glucuronidation, are flexible and can respond with a shift to higher APAP conjugation when one of the other pathways is blocked [ 57 ]. Since fomepizole cotreatment did not cause any evidence of liver injury in the volunteers and eliminated liver injury in mice, it appears unlikely that blocking metabolism through the P450 pathway leads to higher plasma levels of APAP and potential direct detrimental effects of APAP. Although fomepizole proved to be an effective Cyp2E1 inhibitor in both mice and humans, this mechanism alone would not make it competitive with NAC. Therefore, we assessed if fomepizole can also be effective when administered after the metabolism phase of APAP.”  [PMC11315809 ¶14]</w:t>
      </w:r>
    </w:p>
    <w:p>
      <w:pPr>
        <w:spacing w:after="120"/>
        <w:jc w:val="both"/>
      </w:pPr>
      <w:r>
        <w:rPr>
          <w:rFonts w:ascii="Times New Roman" w:hAnsi="Times New Roman" w:cs="Times New Roman" w:eastAsia="Times New Roman"/>
          <w:b w:val="0"/>
          <w:i w:val="0"/>
          <w:sz w:val="24"/>
        </w:rPr>
        <w:t>“ADH-5 and ALH-1 are shown to prevent systemic formaldehyde (FA) toxicity throughout C. elegans life cycle. Cartoons were created with BioR graphic: `gkae519fig7.jpg` ```json { "pmcid": "PMC11317141", "pmid": "38894680", "doi": "10.1093/nar/gkae519", "title": "Distinct DNA repair mechanisms prevent formaldehyde toxicity during development, reproduction\u00a0and aging", "journal": "Nucleic Acids Research", "year": "2024", "abstract": "Abstract Formaldehyde (FA) is a recognized environmental and metabolic toxin implicated in cancer development and aging. Inherited mutations in the FA-detoxifying enzymes ADH5 and ALDH2 genes lead to FA overload in the severe multisystem AMeD syndrome. FA accumulation causes genome damage including DNA\u2013protein-, inter- and intra-strand crosslinks and oxidative lesions. However, the influence of distinct DNA repair systems on organismal FA resistance remains elusive.”  [PMC11317141 ¶4]</w:t>
      </w:r>
    </w:p>
    <w:p>
      <w:pPr>
        <w:spacing w:after="120"/>
        <w:jc w:val="both"/>
      </w:pPr>
      <w:r>
        <w:rPr>
          <w:rFonts w:ascii="Times New Roman" w:hAnsi="Times New Roman" w:cs="Times New Roman" w:eastAsia="Times New Roman"/>
          <w:b w:val="0"/>
          <w:i w:val="0"/>
          <w:sz w:val="24"/>
        </w:rPr>
        <w:t>“FA has emerged as a fundamental contributor to human disorders such as Fanconi anemia, Cockayne syndrome, and AMeDS, which are caused by mutations in FANC genes, CSB or CSA , and ADH5 and ALDH2 , respectively ( 11 ). AMeDS (OMIM #619151) entails a severe bone marrow failure progressing to myelodysplastic syndrome (MDS) and myeloid leukemia (AML) ( 12 ). In this condition, inherited inactivating mutations in both alleles of ADH5 combined with the dominant negative single nucleotide polymorphism r671 in ALDH2 (c.1510G\u00a0&gt;\u00a0A; p.E504K; ALDH2*2), which codes for the mitochondrial enzyme aldehyde dehydrogenase 2, result in systemic FA accumulation driving AMeDS-associated traits. Notably, mice deficient in both Adh5 and Aldh2 (Adh5 \u2212/\u2212 Adh2 \u2212/\u2212 ) , or animals carrying the Aldh2rs671 defective allele in an Adh5 -deficient background ( Adh5 \u2212/\u2212 Aldh2 \u2212/rs671 ) recapitulated most of the human disease phenotypes, supporting the role of endogenous FA in driving AMeDS ( 12 , 13 ).”  [PMC11317141 ¶8]</w:t>
      </w:r>
    </w:p>
    <w:p>
      <w:pPr>
        <w:spacing w:after="120"/>
        <w:jc w:val="both"/>
      </w:pPr>
      <w:r>
        <w:rPr>
          <w:rFonts w:ascii="Times New Roman" w:hAnsi="Times New Roman" w:cs="Times New Roman" w:eastAsia="Times New Roman"/>
          <w:b w:val="0"/>
          <w:i w:val="0"/>
          <w:sz w:val="24"/>
        </w:rPr>
        <w:t>“Loss of two FA-detoxification systems causes developmental arrest and fecundity defects. Systemic FA overload because of inherited mutations in the FA-detoxifying enzyme ADH5 and dominant negative mutations in the mitochondrial aldehyde dehydrogenase 2 (ALDH2) can drive the human condition AMeDS ( 12 ). This condition can be recapitulated in mice, still the high penetrance of the postnatal lethality of Adh5 \u2212/\u2212 Aldh2 \u2212/\u2212 mice challenges experimental work with mouse AMeDS models ( 13 ). Thus, we set out to develop a C. elegans model of human AMeDS. First, we performed a phylogenetic analysis identifying two putative orthologs of human ALDH2 ( alh-2 and alh-1 ) (Figure 5A ). Interestingly, only ALH-1 presented the two conserved cysteines in the active site ( Supplementary Figure S3A ). Furthermore, when combining adh-5 mutants with RNAi against alh-1 or alh-2 we detected that only alh-1 was able to genetically interact with adh-5 indicating ALH-1 is the ortholog of human ALDH2 in C. elegans ( Supplementary Figure S3B ).”  [PMC11317141 ¶38]</w:t>
      </w:r>
    </w:p>
    <w:p>
      <w:pPr>
        <w:jc w:val="center"/>
      </w:pPr>
      <w:r>
        <w:drawing>
          <wp:inline xmlns:a="http://schemas.openxmlformats.org/drawingml/2006/main" xmlns:pic="http://schemas.openxmlformats.org/drawingml/2006/picture">
            <wp:extent cx="5029200" cy="3519430"/>
            <wp:docPr id="202" name="Picture 202"/>
            <wp:cNvGraphicFramePr>
              <a:graphicFrameLocks noChangeAspect="1"/>
            </wp:cNvGraphicFramePr>
            <a:graphic>
              <a:graphicData uri="http://schemas.openxmlformats.org/drawingml/2006/picture">
                <pic:pic>
                  <pic:nvPicPr>
                    <pic:cNvPr id="0" name="p04_i4.jpg"/>
                    <pic:cNvPicPr/>
                  </pic:nvPicPr>
                  <pic:blipFill>
                    <a:blip r:embed="rId34"/>
                    <a:stretch>
                      <a:fillRect/>
                    </a:stretch>
                  </pic:blipFill>
                  <pic:spPr>
                    <a:xfrm>
                      <a:off x="0" y="0"/>
                      <a:ext cx="5029200" cy="3519430"/>
                    </a:xfrm>
                    <a:prstGeom prst="rect"/>
                  </pic:spPr>
                </pic:pic>
              </a:graphicData>
            </a:graphic>
          </wp:inline>
        </w:drawing>
      </w:r>
    </w:p>
    <w:p>
      <w:pPr>
        <w:spacing w:after="160"/>
        <w:jc w:val="center"/>
      </w:pPr>
      <w:r>
        <w:rPr>
          <w:rFonts w:ascii="Times New Roman" w:hAnsi="Times New Roman" w:cs="Times New Roman" w:eastAsia="Times New Roman"/>
          <w:b w:val="0"/>
          <w:i/>
          <w:sz w:val="20"/>
        </w:rPr>
        <w:t>Figure panel from PMC11317141 (source bitmap p04_i4.jpg).</w:t>
      </w:r>
    </w:p>
    <w:p>
      <w:pPr>
        <w:spacing w:after="120"/>
        <w:jc w:val="both"/>
      </w:pPr>
      <w:r>
        <w:rPr>
          <w:rFonts w:ascii="Times New Roman" w:hAnsi="Times New Roman" w:cs="Times New Roman" w:eastAsia="Times New Roman"/>
          <w:b w:val="0"/>
          <w:i w:val="0"/>
          <w:sz w:val="24"/>
        </w:rPr>
        <w:t>“We found that both intrinsic and FA-induced embryonic lethality were largely reversed by NAC (Figure 6G and H ). Specifically, the highly FA-sensitive genetic combinations xpc-1;csb-1;adh-5;alh-1(RNAi) and xpa-1;adh-5;alh-1(RNAi) displayed a robust phenotypical reversal. Together these results show that NAC is a powerful suppressor of FA-toxicity, suggesting a therapeutic intervention for patients with inherited mutations in FA-detoxifying enzymes. Discussion FA has increasingly been recognized as an important physiological genotoxin. Here, we systematically assessed the role of a range of DNA repair mechanisms in the consequences of FA-induced damage on viability, fecundity, and aging in a metazoan organism. Our findings reveal significant contributions of multiple DNA repair pathways in resolving DNA damage induced by FA. We have found contributions of DSB-repair, BER, Fanconi anemia, SPRTN, and NER, indicating FA can cause a plethora of DNA lesions with pathogenic consequences.”  [PMC11317141 ¶47]</w:t>
      </w:r>
    </w:p>
    <w:p>
      <w:pPr>
        <w:spacing w:after="120"/>
        <w:jc w:val="both"/>
      </w:pPr>
      <w:r>
        <w:rPr>
          <w:rFonts w:ascii="Times New Roman" w:hAnsi="Times New Roman" w:cs="Times New Roman" w:eastAsia="Times New Roman"/>
          <w:b w:val="0"/>
          <w:i w:val="0"/>
          <w:sz w:val="24"/>
        </w:rPr>
        <w:t>“The molecular mechanisms underlying ED are numerous and not entirely clear, despite the fact that this condition has been discussed since the late 1970s [ 3 ]. Certainly, among the most accredited causes are disruption in nitric oxide (NO) production and the formation of reactive oxygen species (ROS) and/or nitrogen species (RNS). Yet hemodynamic and shear stress alterations, including turbulence, play a central role in ED development [ 4 ]. Indeed, triggers for the shift toward ED and, therefore, toward a pro-coagulant and pro-inflammatory state include intrinsic, non-modifiable risk factors, such as hemodynamic disturbances and a predisposition to thrombophilia (whether inherited or acquired). Modifiable risk factors also play a role, including infections, dietary disturbances, metabolic disorders such as homocysteinemia and hypercholesterolemia, and exposure to toxins like those from smoking [ 1 , 5 , 6 ].”  [PMC11939635 ¶5]</w:t>
      </w:r>
    </w:p>
    <w:p>
      <w:pPr>
        <w:spacing w:after="120"/>
        <w:jc w:val="both"/>
      </w:pPr>
      <w:r>
        <w:rPr>
          <w:rFonts w:ascii="Times New Roman" w:hAnsi="Times New Roman" w:cs="Times New Roman" w:eastAsia="Times New Roman"/>
          <w:b w:val="0"/>
          <w:i w:val="0"/>
          <w:sz w:val="24"/>
        </w:rPr>
        <w:t>“Recently, in a hypertensive rat model, it was observed that cystathionine \u03b3-lyase (CSE) levels were significantly reduced while NLRP3, caspase-1, and related cytokines were elevated compared to the control model. This scenario was reversed by the exogenous administration of the hydrogen sulfide (H 2 S) donor sodium hydrosulfide (NaHS), which effectively mitigated endothelial damage by targeting NLRP3 activation and reducing oxidative stress. Similar protective data by NaSH were observed in human umbilical vein ECs pretreated with angiotensin II [ 121 ]. Moreover, cystathionine gamma-lyase (CGL) deficiency exacerbates isoprenaline-induced cardiac injury in mice, but this effect was mitigated by an H 2 S donor, which enhanced Sirtuin 1 (SIRT1) expression and its deacetylation activity through S-sulfhydration at zinc finger domains [ 121 , 122 ]. These findings suggest that reduced CGL production, secondary to oxidative stress in human aortic ECs and aorta from atherogenic ApoE \u2212 / \u2212 mice, contributes to ED [ 123 ].”  [PMC11939635 ¶41]</w:t>
      </w:r>
    </w:p>
    <w:p>
      <w:pPr>
        <w:keepNext/>
        <w:spacing w:before="280" w:after="80"/>
        <w:outlineLvl w:val="1"/>
      </w:pPr>
      <w:r>
        <w:rPr>
          <w:rFonts w:ascii="Times New Roman" w:hAnsi="Times New Roman" w:cs="Times New Roman" w:eastAsia="Times New Roman"/>
          <w:b/>
          <w:i w:val="0"/>
          <w:color w:val="335588"/>
          <w:sz w:val="28"/>
        </w:rPr>
        <w:t>14c.5  Disease-state susceptibility — diabetes, hepatic impairment, chronic lung disease</w:t>
      </w:r>
    </w:p>
    <w:p>
      <w:pPr>
        <w:spacing w:before="120" w:after="80"/>
        <w:jc w:val="both"/>
      </w:pPr>
      <w:r>
        <w:rPr>
          <w:rFonts w:ascii="Times New Roman" w:hAnsi="Times New Roman" w:cs="Times New Roman" w:eastAsia="Times New Roman"/>
          <w:b/>
          <w:i w:val="0"/>
          <w:sz w:val="24"/>
        </w:rPr>
        <w:t>Verbatim paragraphs on disease-state modifiers of cysteine / NAC response:</w:t>
      </w:r>
    </w:p>
    <w:p>
      <w:pPr>
        <w:spacing w:after="120"/>
        <w:jc w:val="both"/>
      </w:pPr>
      <w:r>
        <w:rPr>
          <w:rFonts w:ascii="Times New Roman" w:hAnsi="Times New Roman" w:cs="Times New Roman" w:eastAsia="Times New Roman"/>
          <w:b w:val="0"/>
          <w:i w:val="0"/>
          <w:sz w:val="24"/>
        </w:rPr>
        <w:t>“Examples of these disorders include diabetes, obesity, cancer, neurological disorders, hypertension, pulmonary, inflammatory bowel, cardiovascular, autoimmune, and infectious diseases in humans, as well as domesticated animal weaning disorders, respiratory disease, diarrhea, endometritis, and mastitis [ 3 , 4 , 5 , 6 , 7 , 8 , 9 , 10 ]. While there has been an increasing interest in the use of NAC for a wide range of pathological conditions over the past few decades, various human clinical studies have reported conflicting results, and many other studies were performed in vitro. Therefore, more clinical studies are required to address these conflicting results and to support the purported therapeutic roles of NAC in treating different pathological conditions. Various animal studies involving the use of NAC have also been performed, especially with its use in treating intestinal inflammation and related disorders that can be caused by anti-nutritional factors (e.g., \u03b2 -conglycinin, a vicilin storage protein of soybeans), the process of weaning, and consumption of mycotoxins [ 10 , 11 , 12 ].”  [PMC10604897 ¶3]</w:t>
      </w:r>
    </w:p>
    <w:p>
      <w:pPr>
        <w:spacing w:after="120"/>
        <w:jc w:val="both"/>
      </w:pPr>
      <w:r>
        <w:rPr>
          <w:rFonts w:ascii="Times New Roman" w:hAnsi="Times New Roman" w:cs="Times New Roman" w:eastAsia="Times New Roman"/>
          <w:b w:val="0"/>
          <w:i w:val="0"/>
          <w:sz w:val="24"/>
        </w:rPr>
        <w:t>“Liver Diseases Acute and chronic liver diseases are highly prevalent worldwide, accounting for approximately 2 million deaths per year [ 42 ]. Oxidative stress plays a crucial role in the initiation and progression of liver diseases due to its participation and stimulation in the liver\u2019s fibrogenic response [ 1 ]. Numerous clinical and experimental studies have been conducted on the use and efficacy of NAC in modulating inflammation and oxidative stress caused or propagated by liver diseases, including acetaminophen (paracetamol) poisoning, acute liver failure, and non-alcoholic fatty liver (NAFLD) and alcoholic liver diseases (see Table 2 ). 5.1.1. Acute Acetaminophen Overdose Acetaminophen is a commonly used over-the-counter analgesic and antipyretic medication as it is relatively safe and effective in treating mild-to-moderate pain and fever at appropriate doses [ 28 , 43 ]. However, when taken by adults at doses of 10\u201315 g (single or repeated) over a 24 h period, which is 3\u20135 times the manufacturer\u2019s recommended dose for over-the-counter use, acetaminophen has direct hepatotoxic potential and can cause acute liver injury and death from acute liver failure [ 28 , 43 ].”  [PMC10604897 ¶14]</w:t>
      </w:r>
    </w:p>
    <w:p>
      <w:pPr>
        <w:spacing w:after="120"/>
        <w:jc w:val="both"/>
      </w:pPr>
      <w:r>
        <w:rPr>
          <w:rFonts w:ascii="Times New Roman" w:hAnsi="Times New Roman" w:cs="Times New Roman" w:eastAsia="Times New Roman"/>
          <w:b w:val="0"/>
          <w:i w:val="0"/>
          <w:sz w:val="24"/>
        </w:rPr>
        <w:t>“Non-Acetaminophen-Induced Acute Liver Failure Etiological agents of non-acetaminophen-induced acute liver failure can include viruses, drugs, toxins, herbal and traditional medicines, and autoimmune-mediated conditions [ 45 ]. Immediate intravenous administration of NAC in cases of non-acetaminophen-induced liver failure has been found to reduce mortality, encephalopathy, hospitalization, admission to the ICU, organ failure, and the need for liver transplantation [ 1 ]. 5.1.3. Non-Alcoholic Fatty Liver Disease (NAFLD) NAFLD refers to a condition in which an excessive amount of fat is stored in hepatic cells [ 46 ]. Under normal physiological conditions, the liver stores small amounts of energy in the form of the carbohydrate glycogen [ 46 ]. Therefore, a healthy liver should contain little to no fat droplets. Livers that contain fat droplets in more than 5% of hepatic cells are abnormal or pathological [ 46 ].”  [PMC10604897 ¶17]</w:t>
      </w:r>
    </w:p>
    <w:p>
      <w:pPr>
        <w:jc w:val="center"/>
      </w:pPr>
      <w:r>
        <w:drawing>
          <wp:inline xmlns:a="http://schemas.openxmlformats.org/drawingml/2006/main" xmlns:pic="http://schemas.openxmlformats.org/drawingml/2006/picture">
            <wp:extent cx="5029200" cy="2300859"/>
            <wp:docPr id="203" name="Picture 203"/>
            <wp:cNvGraphicFramePr>
              <a:graphicFrameLocks noChangeAspect="1"/>
            </wp:cNvGraphicFramePr>
            <a:graphic>
              <a:graphicData uri="http://schemas.openxmlformats.org/drawingml/2006/picture">
                <pic:pic>
                  <pic:nvPicPr>
                    <pic:cNvPr id="0" name="p21_i1.jpg"/>
                    <pic:cNvPicPr/>
                  </pic:nvPicPr>
                  <pic:blipFill>
                    <a:blip r:embed="rId12"/>
                    <a:stretch>
                      <a:fillRect/>
                    </a:stretch>
                  </pic:blipFill>
                  <pic:spPr>
                    <a:xfrm>
                      <a:off x="0" y="0"/>
                      <a:ext cx="5029200" cy="2300859"/>
                    </a:xfrm>
                    <a:prstGeom prst="rect"/>
                  </pic:spPr>
                </pic:pic>
              </a:graphicData>
            </a:graphic>
          </wp:inline>
        </w:drawing>
      </w:r>
    </w:p>
    <w:p>
      <w:pPr>
        <w:spacing w:after="160"/>
        <w:jc w:val="center"/>
      </w:pPr>
      <w:r>
        <w:rPr>
          <w:rFonts w:ascii="Times New Roman" w:hAnsi="Times New Roman" w:cs="Times New Roman" w:eastAsia="Times New Roman"/>
          <w:b w:val="0"/>
          <w:i/>
          <w:sz w:val="20"/>
        </w:rPr>
        <w:t>Figure 1 (from PMC10604897): “The three major narratives of NAC’s mechanisms of action.</w:t>
        <w:br/>
        <w:t xml:space="preserve">   graphic: `antioxidants-12-01867-g001.jpg`”</w:t>
      </w:r>
    </w:p>
    <w:p>
      <w:pPr>
        <w:spacing w:after="120"/>
        <w:jc w:val="both"/>
      </w:pPr>
      <w:r>
        <w:rPr>
          <w:rFonts w:ascii="Times New Roman" w:hAnsi="Times New Roman" w:cs="Times New Roman" w:eastAsia="Times New Roman"/>
          <w:b w:val="0"/>
          <w:i w:val="0"/>
          <w:sz w:val="24"/>
        </w:rPr>
        <w:t>“The accumulation of fat in the hepatocytes of NAFLD patients is generally due to a combination of excessive calorie intake and a sedentary lifestyle [ 46 ]. However, diabetic patients, particularly type 2 diabetics, and those with abnormal levels of blood lipids or hypertension are also at risk of developing NAFLD [ 46 ]. Regardless of the etiological factor(s) leading to the onset of NAFLD, the increased flow of free fatty acids to the liver concurrently increases oxidative stress and suppresses hepatic intracellular antioxidant activity [ 1 ]. Experimental studies conducted on the use of NAC in NAFLD patients have demonstrated that NAC can block the accumulation of hepatic lipids and reduce the pro-inflammatory cytokines IL-6, IL-1\u03b2, and TNF-\u221d and the upstream transcription factor NF-\u03baB [ 47 ], which plays a critical role in initiating the inflammatory cascade and immune response related to oxidative stress.”  [PMC10604897 ¶18]</w:t>
      </w:r>
    </w:p>
    <w:p>
      <w:pPr>
        <w:spacing w:after="120"/>
        <w:jc w:val="both"/>
      </w:pPr>
      <w:r>
        <w:rPr>
          <w:rFonts w:ascii="Times New Roman" w:hAnsi="Times New Roman" w:cs="Times New Roman" w:eastAsia="Times New Roman"/>
          <w:b w:val="0"/>
          <w:i w:val="0"/>
          <w:sz w:val="24"/>
        </w:rPr>
        <w:t>“However, the mechanism of action for NAC extends beyond its mucolytic activity and is complex and multifaceted. Contrary to other mucoactive drugs, NAC has been found to exhibit antioxidant, anti-infective, and anti-inflammatory activity in pre-clinical and clinical reports. These properties have sparked interest in its potential for treating chronic lung diseases, including chronic obstructive pulmonary disease (COPD), bronchiectasis (BE), cystic fibrosis (CF), and idiopathic pulmonary fibrosis (IPF), which are associated with oxidative stress, increased levels of glutathione and inflammation. NAC\u2019s anti-inflammatory activity is noteworthy, and it is not solely secondary to its antioxidant capabilities. In ex vivo models of COPD exacerbation, the anti-inflammatory effects have been observed even at very low doses, especially with prolonged treatment. The mechanism involves the inhibition of the activation of NF-kB and neurokinin A production, resulting in a reduction in interleukin-6 production, a cytokine abundantly present in the sputum and breath condensate of patients with COPD and correlates with the number of exacerbations.”  [PMC11278452 ¶2]</w:t>
      </w:r>
    </w:p>
    <w:p>
      <w:pPr>
        <w:spacing w:after="120"/>
        <w:jc w:val="both"/>
      </w:pPr>
      <w:r>
        <w:rPr>
          <w:rFonts w:ascii="Times New Roman" w:hAnsi="Times New Roman" w:cs="Times New Roman" w:eastAsia="Times New Roman"/>
          <w:b w:val="0"/>
          <w:i w:val="0"/>
          <w:sz w:val="24"/>
        </w:rPr>
        <w:t>“The unique combination of mucolytic, antioxidant, anti-infective, and anti-inflammatory properties positions NAC as a safe, cost-effective, and efficacious therapy for a plethora of respiratory conditions.", "body_text": "1. Introduction N-acetyl-L-cysteine (NAC) was first introduced in 1965 primarily for its role in promoting mucolysis [ 1 ] and has been the preferred treatment for paracetamol intoxication since the mid-1970s [ 2 ]. Its intravenous formulation for this purpose is recognized on the WHO\u2019s list of Essential Medicines [ 3 ]. The excessive production and secretion of airway mucus have significant importance in the pathophysiology and clinical manifestations of different respiratory diseases, including acute and chronic bronchitis (CB), chronic obstructive pulmonary disease (COPD), bronchiectasis, and cystic fibrosis (CF) [ 4 , 5 ]. Recent evidence indicates that oxidative stress and inflammation contribute to the development of these pathologies, showing a close correlation with clinical outcomes and triggering the overproduction of mucus by glands and goblet cells [ 6 , 7 , 8 , 9 ].”  [PMC11278452 ¶3]</w:t>
      </w:r>
    </w:p>
    <w:p>
      <w:pPr>
        <w:spacing w:after="120"/>
        <w:jc w:val="both"/>
      </w:pPr>
      <w:r>
        <w:rPr>
          <w:rFonts w:ascii="Times New Roman" w:hAnsi="Times New Roman" w:cs="Times New Roman" w:eastAsia="Times New Roman"/>
          <w:b w:val="0"/>
          <w:i w:val="0"/>
          <w:sz w:val="24"/>
        </w:rPr>
        <w:t>“Under diverse stress conditions, such as infection, pathogenic factors, smoking, and oxidative stress, epithelial cells in the airway release pro-secretory molecules, leading to hypertrophy of secretory cells and hyperplasia of goblet cells, with concomitant overproduction of mucus [ 5 , 6 , 7 , 8 ]. Conditions like chronic bronchitis, bronchiectasis, CF, and COPD are associated with impairment of ciliary function and/or airway mucus hypersecretion [ 6 , 7 , 10 , 11 ]. COPD is characterized by airflow limitation, oxidative stress, and airway inflammation [ 12 ]. It is a persistent and advancing disease linked to a heightened inflammatory response in the respiratory tract triggered by gases, noxious particles, or cigarette smoke, which results in the injury of cells lining the airway and mucus hypersecretion [ 13 ]. In particular, the over-secretion of components of mucus MUC5AC and MUC5B in the respiratory tract, coupled with epithelial damage, leads to the shedding of ciliated cells, hyperplasia of goblet cells, and hypertrophy of the submucosal gland, ultimately resulting in airway mucus hypersecretion [ 4 ].”  [PMC11278452 ¶4]</w:t>
      </w:r>
    </w:p>
    <w:p>
      <w:pPr>
        <w:jc w:val="center"/>
      </w:pPr>
      <w:r>
        <w:drawing>
          <wp:inline xmlns:a="http://schemas.openxmlformats.org/drawingml/2006/main" xmlns:pic="http://schemas.openxmlformats.org/drawingml/2006/picture">
            <wp:extent cx="5029200" cy="4259385"/>
            <wp:docPr id="204" name="Picture 204"/>
            <wp:cNvGraphicFramePr>
              <a:graphicFrameLocks noChangeAspect="1"/>
            </wp:cNvGraphicFramePr>
            <a:graphic>
              <a:graphicData uri="http://schemas.openxmlformats.org/drawingml/2006/picture">
                <pic:pic>
                  <pic:nvPicPr>
                    <pic:cNvPr id="0" name="p06_i1.jpg"/>
                    <pic:cNvPicPr/>
                  </pic:nvPicPr>
                  <pic:blipFill>
                    <a:blip r:embed="rId14"/>
                    <a:stretch>
                      <a:fillRect/>
                    </a:stretch>
                  </pic:blipFill>
                  <pic:spPr>
                    <a:xfrm>
                      <a:off x="0" y="0"/>
                      <a:ext cx="5029200" cy="4259385"/>
                    </a:xfrm>
                    <a:prstGeom prst="rect"/>
                  </pic:spPr>
                </pic:pic>
              </a:graphicData>
            </a:graphic>
          </wp:inline>
        </w:drawing>
      </w:r>
    </w:p>
    <w:p>
      <w:pPr>
        <w:spacing w:after="160"/>
        <w:jc w:val="center"/>
      </w:pPr>
      <w:r>
        <w:rPr>
          <w:rFonts w:ascii="Times New Roman" w:hAnsi="Times New Roman" w:cs="Times New Roman" w:eastAsia="Times New Roman"/>
          <w:b w:val="0"/>
          <w:i/>
          <w:sz w:val="20"/>
        </w:rPr>
        <w:t>Figure 1 (from PMC11278452): “Differential modulation of pro-inflammatory mediators in relation to both the concentration and duration of treatment with N-acetylcysteine in in vitro models of airway inflammation. NAC: N-acetylcysteine; LPS: lipopolysaccharides; NKA: neurokinin A; IL-6: Interleukin-6; TNF-α: tumor necrosis factor-α; IL-8: Interleukin-8; IL-1β: Interleukin-1beta; NF-κB: Nu”</w:t>
      </w:r>
    </w:p>
    <w:p>
      <w:pPr>
        <w:spacing w:after="120"/>
        <w:jc w:val="both"/>
      </w:pPr>
      <w:r>
        <w:rPr>
          <w:rFonts w:ascii="Times New Roman" w:hAnsi="Times New Roman" w:cs="Times New Roman" w:eastAsia="Times New Roman"/>
          <w:b w:val="0"/>
          <w:i w:val="0"/>
          <w:sz w:val="24"/>
        </w:rPr>
        <w:t>“The mucus, secreted by serous, mucous, and goblet cells in response to various stimuli, including inflammation [ 9 ], becomes viscous [ 12 ] and promotes bacterial colonization and biofilm growth. This hinders the ability of neutrophils and soluble antimicrobial agents to permeate dense mucus and eradicate bacteria [ 14 , 15 ]. In COPD, numerous inflammatory mediators are synthesized and released in response to oxidative stress, such as the pro-inflammatory transcription factor NF-\u03baB, which is over-expressed and activated by Reactive Oxygen Species (ROS), especially in airway epithelial cells and macrophages [ 7 ]. Oxidative stress also promotes the release of signaling molecules such as phosphoinositide 3-kinase (PI3K) and p38 mitogen-activated protein kinase (MAPK). It also sustains transforming growth factor (TGF)-\u03b2 signaling and the expression of matrix metalloproteinase (MMP)-9, which are implicated in small airway fibrosis and emphysema [ 7 ].”  [PMC11278452 ¶5]</w:t>
      </w:r>
    </w:p>
    <w:p>
      <w:pPr>
        <w:spacing w:after="120"/>
        <w:jc w:val="both"/>
      </w:pPr>
      <w:r>
        <w:rPr>
          <w:rFonts w:ascii="Times New Roman" w:hAnsi="Times New Roman" w:cs="Times New Roman" w:eastAsia="Times New Roman"/>
          <w:b w:val="0"/>
          <w:i w:val="0"/>
          <w:sz w:val="24"/>
        </w:rPr>
        <w:t>“These processes are critical in the development of cardiovascular diseases (CVDs) such as atherosclerosis, hypertension and ischemia/reperfusion injury (IRI). Reduced nitric oxide (NO) production and increased oxidative stress are key contributors to ED. Aging further exacerbates ED through mitochondrial dysfunction and increased oxidative/nitrosative stress, heightening CVD risk. Antioxidant systems like superoxide-dismutase (SOD), glutathione-peroxidase (GPx), and thioredoxin/thioredoxin-reductase (Trx/TXNRD) pathways protect against oxidative stress. However, their reduced activity promotes ED, atherosclerosis, and vulnerability to IRI. Metabolic syndrome, comprising insulin resistance, obesity, and hypertension, is often accompanied by ED. Specifically, hyperglycemia worsens endothelial damage by promoting oxidative stress and inflammation. Obesity leads to chronic inflammation and changes in perivascular adipose tissue, while hypertension is associated with an increase in oxidative stress.”  [PMC11939635 ¶2]</w:t>
      </w:r>
    </w:p>
    <w:p>
      <w:pPr>
        <w:spacing w:after="120"/>
        <w:jc w:val="both"/>
      </w:pPr>
      <w:r>
        <w:rPr>
          <w:rFonts w:ascii="Times New Roman" w:hAnsi="Times New Roman" w:cs="Times New Roman" w:eastAsia="Times New Roman"/>
          <w:b w:val="0"/>
          <w:i w:val="0"/>
          <w:sz w:val="24"/>
        </w:rPr>
        <w:t>“In skeletal muscle following an alteration of the trans-epithelial transport of fatty acids, the onset of insulin resistance in obesity can be recorded [ 32 ]. In this context of dysfunction and activation, the endothelium is both a victim and culprit source and a target of oxidative stress. No doubt, a key substance produced by the healthy ECs is NO. Typically, the endothelium maintains its functional integrity and adequately responds to the needs of different organs when NO production and release are appropriately regulated. When the release of NO is lacking and/or the production is reduced, the vascular balance is disrupted and therefore ED occurs, which determines a pro-inflammatory and pro-thrombotic condition, together with a less compliant structure at the vascular level [ 33 ]. A co-protagonist is the increase in oxidative/nitrosative stress. The ROS/RNS increase could be caused on the one hand by a poor antioxidant defense and on the other by a greater production caused by vascular damage and specific pro-oxidant pathways [ 2 , 34 , 35 , 36 ].”  [PMC11939635 ¶15]</w:t>
      </w:r>
    </w:p>
    <w:p>
      <w:pPr>
        <w:spacing w:after="120"/>
        <w:jc w:val="both"/>
      </w:pPr>
      <w:r>
        <w:rPr>
          <w:rFonts w:ascii="Times New Roman" w:hAnsi="Times New Roman" w:cs="Times New Roman" w:eastAsia="Times New Roman"/>
          <w:b w:val="0"/>
          <w:i w:val="0"/>
          <w:sz w:val="24"/>
        </w:rPr>
        <w:t>“Indeed, a link between metabolic syndrome, ED, and NLRP3 inflammasome activation as major risk factors for IRI, increasing cardiovascular vulnerability to ischemic events, is established. In particular, obesity induces vascular dysfunction through chronic low-grade inflammation and excessive ROS production, leading to ED and reduced NO bioavailability [ 147 ]. Moreover, insulin resistance associated with metabolic syndrome impairs cellular signaling and compromises the ability of myocardium to adapt to ischemic stress [ 148 ]. Recent studies suggest that systemic inflammation and metabolic alterations in individuals with metabolic syndrome exacerbate IRI by intensifying the inflammatory response and promoting maladaptive tissue remodeling [ 126 , 149 ]. Therefore, targeted interventions aimed at modulating NLRP3 inflammasome and oxidative stress may offer promising strategies to mitigate ischemic damage in patients with metabolic syndrome.”  [PMC11939635 ¶49]</w:t>
      </w:r>
    </w:p>
    <w:p>
      <w:pPr>
        <w:jc w:val="center"/>
      </w:pPr>
      <w:r>
        <w:drawing>
          <wp:inline xmlns:a="http://schemas.openxmlformats.org/drawingml/2006/main" xmlns:pic="http://schemas.openxmlformats.org/drawingml/2006/picture">
            <wp:extent cx="5029200" cy="2916365"/>
            <wp:docPr id="205" name="Picture 205"/>
            <wp:cNvGraphicFramePr>
              <a:graphicFrameLocks noChangeAspect="1"/>
            </wp:cNvGraphicFramePr>
            <a:graphic>
              <a:graphicData uri="http://schemas.openxmlformats.org/drawingml/2006/picture">
                <pic:pic>
                  <pic:nvPicPr>
                    <pic:cNvPr id="0" name="p11_i1.jpg"/>
                    <pic:cNvPicPr/>
                  </pic:nvPicPr>
                  <pic:blipFill>
                    <a:blip r:embed="rId16"/>
                    <a:stretch>
                      <a:fillRect/>
                    </a:stretch>
                  </pic:blipFill>
                  <pic:spPr>
                    <a:xfrm>
                      <a:off x="0" y="0"/>
                      <a:ext cx="5029200" cy="2916365"/>
                    </a:xfrm>
                    <a:prstGeom prst="rect"/>
                  </pic:spPr>
                </pic:pic>
              </a:graphicData>
            </a:graphic>
          </wp:inline>
        </w:drawing>
      </w:r>
    </w:p>
    <w:p>
      <w:pPr>
        <w:spacing w:after="160"/>
        <w:jc w:val="center"/>
      </w:pPr>
      <w:r>
        <w:rPr>
          <w:rFonts w:ascii="Times New Roman" w:hAnsi="Times New Roman" w:cs="Times New Roman" w:eastAsia="Times New Roman"/>
          <w:b w:val="0"/>
          <w:i/>
          <w:sz w:val="20"/>
        </w:rPr>
        <w:t>Figure 1 (from PMC11939635): “Key molecular mechanisms linking endothelial dysfunction, NLRP3 inflammasome, and cardiovascular diseases (CVDs). Schematic illustration of the pathways and factors contributing to endothelial dysfunction and the progression of CVDs. The activation of the NLRP3 inflammasome by PAMPs, DAMPs, and hemodynamic alterations triggers the production of inflammatory ”</w:t>
      </w:r>
    </w:p>
    <w:p>
      <w:pPr>
        <w:spacing w:after="120"/>
        <w:jc w:val="both"/>
      </w:pPr>
      <w:r>
        <w:rPr>
          <w:rFonts w:ascii="Times New Roman" w:hAnsi="Times New Roman" w:cs="Times New Roman" w:eastAsia="Times New Roman"/>
          <w:b w:val="0"/>
          <w:i w:val="0"/>
          <w:sz w:val="24"/>
        </w:rPr>
        <w:t>“Here we identify the upregulation of lipopolysaccharide-binding protein (LBP) and its trafficking through LDs as a mechanism for modulating LD homeostasis in response to oxidative stress. Our results suggest that LBP induces lipid accumulation by controlling lipid-redox homeostasis through its lipid-capture activity, sorting unsaturated triglycerides into LDs. N-acetyl-L-cysteine treatment reduces LBP-mediated triglycerides accumulation by phospholipid/triglycerides competition and Peroxiredoxin 4, a redox state sensor of LBP that regulates the shuttle of LBP from LDs. Furthermore, chronic stress upregulates LBP expression, leading to insulin resistance and obesity. Our findings contribute to the understanding of the role of LBP in regulating LD homeostasis and against cellular peroxidative injury. These insights could inform the development of redox-based therapies for alleviating oxidative stress-induced metabolic dysfunction.", "body_text": "Introduction Oxidative stress, resulting from an imbalance between reactive oxygen species (ROS) production and the antioxidant defense system, is a key driver of hepatic steatosis and obesity 1 \u2013 3 .”  [PMC11016120 ¶4]</w:t>
      </w:r>
    </w:p>
    <w:p>
      <w:pPr>
        <w:spacing w:after="120"/>
        <w:jc w:val="both"/>
      </w:pPr>
      <w:r>
        <w:rPr>
          <w:rFonts w:ascii="Times New Roman" w:hAnsi="Times New Roman" w:cs="Times New Roman" w:eastAsia="Times New Roman"/>
          <w:b w:val="0"/>
          <w:i w:val="0"/>
          <w:sz w:val="24"/>
        </w:rPr>
        <w:t>“Nevertheless, it remains unclear whether LBP is involved in responding to chronic stress and contributing to systemic dysregulation. We investigated the systemic effects of LBP in the context of fatty liver. Hepatic lipid export was assessed using the non-ionic detergent poloxamer 407, which inhibits lipoprotein lipase activity. We observed significantly higher systemic TG levels in LBP KI/KI mice compared to WT and LBP \u2212 / \u2212 mice, suggesting an increased hepatic TG export (Fig. 7a ). After 16 weeks of HFD, LBP KI/KI mice developed obesity and an increased accumulation of adipocytes (Fig. 7b ). Additionally, 16-week HFD LBP KI/KI mice had higher fasting blood glucose and insulin levels (Fig. 7c, d ). The glucose tolerance test (GTT) and insulin tolerance test (ITT) revealed that knockin of LBP-induced significant insulin resistance and glucose tolerance phenotypes (Fig. 7e\u2013h ).”  [PMC11016120 ¶38]</w:t>
      </w:r>
    </w:p>
    <w:p>
      <w:pPr>
        <w:spacing w:after="120"/>
        <w:jc w:val="both"/>
      </w:pPr>
      <w:r>
        <w:rPr>
          <w:rFonts w:ascii="Times New Roman" w:hAnsi="Times New Roman" w:cs="Times New Roman" w:eastAsia="Times New Roman"/>
          <w:b w:val="0"/>
          <w:i w:val="0"/>
          <w:sz w:val="24"/>
        </w:rPr>
        <w:t>“The results demonstrated that LBP KI/KI mice were more inclined to use fatty acid metabolism as an energy source compared to WT and LBP \u2212 / \u2212 mice. These results indicate that elevated hepatic LBP expression is associated with systemic adipocyte accumulation, obesity, and insulin resistance. Fig. 7 LBP upregulation drives obesity and is rescued by antioxidant treatment. a Serum TG and FFA levels in 8-week-old mice before and after Poloxamer 407 injection. Means\u2009\u00b1\u2009s.d., 2way ANOVA ( n =\u20093, biologically independent). b Morphological comparison of LBP KI/KI , LBP \u2212 / \u2212 and WT mice fed on a 16-week high-fat diet. c Fasting blood glucose levels of mice in ( b ). Means\u2009\u00b1\u2009s.d., two-tailed unpaired t -test ( n =\u20096, biologically independent). d Fasting insulin levels of mice in ( b ). Means\u2009\u00b1\u2009s.d., two-tailed unpaired t -test ( n =\u20093, biologically independent). e Serum glucose levels during insulin tolerance tests in mice on a 22-week high-fat diet.”  [PMC11016120 ¶40]</w:t>
      </w:r>
    </w:p>
    <w:p>
      <w:pPr>
        <w:jc w:val="center"/>
      </w:pPr>
      <w:r>
        <w:drawing>
          <wp:inline xmlns:a="http://schemas.openxmlformats.org/drawingml/2006/main" xmlns:pic="http://schemas.openxmlformats.org/drawingml/2006/picture">
            <wp:extent cx="5029200" cy="6262039"/>
            <wp:docPr id="206" name="Picture 206"/>
            <wp:cNvGraphicFramePr>
              <a:graphicFrameLocks noChangeAspect="1"/>
            </wp:cNvGraphicFramePr>
            <a:graphic>
              <a:graphicData uri="http://schemas.openxmlformats.org/drawingml/2006/picture">
                <pic:pic>
                  <pic:nvPicPr>
                    <pic:cNvPr id="0" name="p10_i1.jpg"/>
                    <pic:cNvPicPr/>
                  </pic:nvPicPr>
                  <pic:blipFill>
                    <a:blip r:embed="rId38"/>
                    <a:stretch>
                      <a:fillRect/>
                    </a:stretch>
                  </pic:blipFill>
                  <pic:spPr>
                    <a:xfrm>
                      <a:off x="0" y="0"/>
                      <a:ext cx="5029200" cy="6262039"/>
                    </a:xfrm>
                    <a:prstGeom prst="rect"/>
                  </pic:spPr>
                </pic:pic>
              </a:graphicData>
            </a:graphic>
          </wp:inline>
        </w:drawing>
      </w:r>
    </w:p>
    <w:p>
      <w:pPr>
        <w:spacing w:after="160"/>
        <w:jc w:val="center"/>
      </w:pPr>
      <w:r>
        <w:rPr>
          <w:rFonts w:ascii="Times New Roman" w:hAnsi="Times New Roman" w:cs="Times New Roman" w:eastAsia="Times New Roman"/>
          <w:b w:val="0"/>
          <w:i/>
          <w:sz w:val="20"/>
        </w:rPr>
        <w:t>Figure 1 (from PMC11016120): “Oxidative stress induces LBP upregulation and LD translocation. a A schematic illustrating the research strategy adopted in this study. The image was created using materials supplied by Ge Pan from the Central Academy of Fine Arts, China, and illustrated by Qilun Zhang. The use of these materials has been authorized. b A multivariate bubble plot comparing ch”</w:t>
      </w:r>
    </w:p>
    <w:p>
      <w:pPr>
        <w:spacing w:after="120"/>
        <w:jc w:val="both"/>
      </w:pPr>
      <w:r>
        <w:rPr>
          <w:rFonts w:ascii="Times New Roman" w:hAnsi="Times New Roman" w:cs="Times New Roman" w:eastAsia="Times New Roman"/>
          <w:b w:val="0"/>
          <w:i w:val="0"/>
          <w:sz w:val="24"/>
        </w:rPr>
        <w:t>“Interestingly, liver LD exhibited elevated LBP levels and diminished PRDX4 levels (Supplementary Fig. 7e ). The body weight of mice in both chronic stress groups significantly increased compared to the control group, while food intake decreased (Supplementary Fig. 7f, g ). Chronic stress mice had higher fasting insulin levels and exhibited insulin resistance and glucose tolerance phenotypes (Supplementary Fig. 7h\u2013l ). These results suggest that chronic stress may upregulate LBP levels, which can mediate TG accumulation and result in obesity under stress. Next, we aimed to determine how to reverse LBP-induced TG accumulation. NAC treatment, but not starvation, effectively induced lipolysis of peripheral adipocytes in LBP KI/KI mice with HFD (Fig. 7q\u2013s ). NAC treatment for 3\u2009h reversed the starvation-induced TG accumulation in LBP KI/KI mice and was associated with increased serum free fatty acid (FFA) levels and decreased TG levels (Fig. 7t, u ).”  [PMC11016120 ¶44]</w:t>
      </w:r>
    </w:p>
    <w:p>
      <w:pPr>
        <w:spacing w:after="120"/>
        <w:jc w:val="both"/>
      </w:pPr>
      <w:r>
        <w:rPr>
          <w:rFonts w:ascii="Times New Roman" w:hAnsi="Times New Roman" w:cs="Times New Roman" w:eastAsia="Times New Roman"/>
          <w:b w:val="0"/>
          <w:i w:val="0"/>
          <w:sz w:val="24"/>
        </w:rPr>
        <w:t>“Two sets of potential positive feedback loops (circles with +) are indicated (blue and red arrows). The text describes these positive feedback loops in more detail. Over prolonged time intervals, systemic OxS can cause beta-cell dysfunction as well as irreversible micro- and macro-vascular damage. graphic: `antioxidants-13-00184-g003.jpg` ```json { "pmcid": "PMC10885928", "pmid": "38397782", "doi": "10.3390/antiox13020184", "title": "The Role of Glutathione and Its Precursors in Type 2 Diabetes", "journal": "Antioxidants", "year": "2024", "abstract": "Type 2 diabetes (T2D) is a major worldwide health crisis affecting about 6.2% of the world\u2019s population. Alarmingly, about one in five children in the USA have prediabetes. Glutathione (GSH) and its precursors play a promising role in the prevention and management of type T2D. Oxidative stress (OxS) is a probable factor in both T2D initiation and progression.”  [PMC10885928 ¶2]</w:t>
      </w:r>
    </w:p>
    <w:p>
      <w:pPr>
        <w:spacing w:after="120"/>
        <w:jc w:val="both"/>
      </w:pPr>
      <w:r>
        <w:rPr>
          <w:rFonts w:ascii="Times New Roman" w:hAnsi="Times New Roman" w:cs="Times New Roman" w:eastAsia="Times New Roman"/>
          <w:b w:val="0"/>
          <w:i w:val="0"/>
          <w:sz w:val="24"/>
        </w:rPr>
        <w:t>“Future research with pediatric populations should be a high priority since early intervention is critical.", "body_text": "1. Introduction The objective of this review is to critically evaluate the role of glutathione (GSH) and its chemical precursors (N-acetyl-cysteine (NAC) and glycine (GLY)) in the prevention and management of T2D and prediabetes. Oxidative stress (OxS) is a probable factor in both T2D initiation and progression [ 1 ]. Antioxidant-based therapy may, therefore, have potential benefits [ 2 ]. An ever-increasing body of evidence supports the role of OxS in T2D pathogenesis [ 3 , 4 , 5 ]. OxS is usually defined as Sa physiologically significant alteration in redox status resulting from an overproduction of reactive oxygen species (ROS) and/or a deficiency in antioxidant protective mechanisms [ 6 ]. It is important, however, to also consider how antioxidants, such as GSH, interconnect with the complex pathophysiological risk factors that modulate T2D redox status [ 7 ].”  [PMC10885928 ¶4]</w:t>
      </w:r>
    </w:p>
    <w:p>
      <w:pPr>
        <w:spacing w:after="120"/>
        <w:jc w:val="both"/>
      </w:pPr>
      <w:r>
        <w:rPr>
          <w:rFonts w:ascii="Times New Roman" w:hAnsi="Times New Roman" w:cs="Times New Roman" w:eastAsia="Times New Roman"/>
          <w:b w:val="0"/>
          <w:i w:val="0"/>
          <w:sz w:val="24"/>
        </w:rPr>
        <w:t>“GSH is the major cytosolic water-soluble chemical antioxidant and clinical evidence suggests that patients with T2D have a GSH deficiency [ 8 ]. As detailed below, GSH is important in the glutathione peroxidase (GPX) system where it reduces hydroperoxides, which are prooxidants very relevant to T2D initiation and progression [ 9 ]. 1.1. The Epidemiology of T2D The alarming present and forecasted global prevalence of T2D has stressed the need to evaluate novel treatment strategies that could complement lifestyle modifications and conventional pharmacological treatments [ 10 , 11 , 12 ]. It has been projected that by 2050, some 1.3 billion people worldwide will have diabetes with about 96% having T2D [ 13 ]. Both T2D and prediabetes are rapidly increasing in pediatric populations [ 14 , 15 ]. This trend is particularly worrisome since neither the natural history of T2D progression nor the efficacy of pharmacological treatments are as well characterized in pediatric populations compared to adults [ 16 ].”  [PMC10885928 ¶5]</w:t>
      </w:r>
    </w:p>
    <w:p>
      <w:pPr>
        <w:jc w:val="center"/>
      </w:pPr>
      <w:r>
        <w:drawing>
          <wp:inline xmlns:a="http://schemas.openxmlformats.org/drawingml/2006/main" xmlns:pic="http://schemas.openxmlformats.org/drawingml/2006/picture">
            <wp:extent cx="5029200" cy="1989677"/>
            <wp:docPr id="207" name="Picture 207"/>
            <wp:cNvGraphicFramePr>
              <a:graphicFrameLocks noChangeAspect="1"/>
            </wp:cNvGraphicFramePr>
            <a:graphic>
              <a:graphicData uri="http://schemas.openxmlformats.org/drawingml/2006/picture">
                <pic:pic>
                  <pic:nvPicPr>
                    <pic:cNvPr id="0" name="p03_i1.jpg"/>
                    <pic:cNvPicPr/>
                  </pic:nvPicPr>
                  <pic:blipFill>
                    <a:blip r:embed="rId17"/>
                    <a:stretch>
                      <a:fillRect/>
                    </a:stretch>
                  </pic:blipFill>
                  <pic:spPr>
                    <a:xfrm>
                      <a:off x="0" y="0"/>
                      <a:ext cx="5029200" cy="1989677"/>
                    </a:xfrm>
                    <a:prstGeom prst="rect"/>
                  </pic:spPr>
                </pic:pic>
              </a:graphicData>
            </a:graphic>
          </wp:inline>
        </w:drawing>
      </w:r>
    </w:p>
    <w:p>
      <w:pPr>
        <w:spacing w:after="160"/>
        <w:jc w:val="center"/>
      </w:pPr>
      <w:r>
        <w:rPr>
          <w:rFonts w:ascii="Times New Roman" w:hAnsi="Times New Roman" w:cs="Times New Roman" w:eastAsia="Times New Roman"/>
          <w:b w:val="0"/>
          <w:i/>
          <w:sz w:val="20"/>
        </w:rPr>
        <w:t>Figure 1 (from PMC10885928): “Glutathione biosynthetic scheme. N-acetyl-L-cysteine (NAC) can supply cysteine (CYS) for the biosynthesis of reduced glutathione (GSH). NAC must first be hydrolyzed by aminoacylase 1 (ACY1) to release CYS. In the first step of GSH synthesis, L-glutamate-L-cysteine ligase (GCL) catalyzes the formation of gamma-L-glutamyl-L-cysteine (GGC) by linking CYS and L-”</w:t>
      </w:r>
    </w:p>
    <w:p>
      <w:pPr>
        <w:spacing w:after="120"/>
        <w:jc w:val="both"/>
      </w:pPr>
      <w:r>
        <w:rPr>
          <w:rFonts w:ascii="Times New Roman" w:hAnsi="Times New Roman" w:cs="Times New Roman" w:eastAsia="Times New Roman"/>
          <w:b w:val="0"/>
          <w:i w:val="0"/>
          <w:sz w:val="24"/>
        </w:rPr>
        <w:t>“In prediabetes, blood glucose levels have not yet reached the T2D threshold [ 17 ]. In the United States (US), it has been estimated that more than one in three adults and more than one in five children have prediabetes [ 15 , 17 ]. The US Preventive Services Task Force (USPSTF) recently affirmed screening for prediabetes or T2D in adults with overweight or obesity but did not extend this recommendation to children and adolescents [ 18 ]. The USPSTF concluded that \u201cthe evidence is insufficient to assess the balance of benefits and harms of screening for T2D in children and adolescent\u201d [ 19 ]. In contrast, a recent volunteer Task Force of medical experts has suggested screening for prediabetes and diabetes in children, adolescents, and adults who have obesity [ 20 ]. The American Academy of Pediatrics and the American Diabetes Association have both recently recommended screening for abnormalities in glucose metabolism in children with a body mass index (BMI) at or above the 95th percentile [ 21 , 22 ].”  [PMC10885928 ¶6]</w:t>
      </w:r>
    </w:p>
    <w:p>
      <w:pPr>
        <w:keepNext/>
        <w:pageBreakBefore/>
        <w:spacing w:before="240" w:after="120"/>
        <w:jc w:val="center"/>
      </w:pPr>
      <w:r>
        <w:rPr>
          <w:rFonts w:ascii="Times New Roman" w:hAnsi="Times New Roman" w:cs="Times New Roman" w:eastAsia="Times New Roman"/>
          <w:b/>
          <w:i w:val="0"/>
          <w:color w:val="335588"/>
          <w:sz w:val="28"/>
        </w:rPr>
        <w:t>Chapter 13</w:t>
      </w:r>
    </w:p>
    <w:p>
      <w:pPr>
        <w:keepNext/>
        <w:spacing w:before="0" w:after="120"/>
        <w:jc w:val="center"/>
        <w:outlineLvl w:val="0"/>
      </w:pPr>
      <w:r>
        <w:rPr>
          <w:rFonts w:ascii="Times New Roman" w:hAnsi="Times New Roman" w:cs="Times New Roman" w:eastAsia="Times New Roman"/>
          <w:b/>
          <w:i w:val="0"/>
          <w:color w:val="1F3D7A"/>
          <w:sz w:val="44"/>
        </w:rPr>
        <w:t>Mitigation and Prevention</w:t>
      </w:r>
    </w:p>
    <w:p>
      <w:pPr>
        <w:spacing w:after="240"/>
        <w:jc w:val="center"/>
      </w:pPr>
      <w:r>
        <w:rPr>
          <w:rFonts w:ascii="Times New Roman" w:hAnsi="Times New Roman" w:cs="Times New Roman" w:eastAsia="Times New Roman"/>
          <w:b w:val="0"/>
          <w:i/>
          <w:color w:val="404040"/>
          <w:sz w:val="22"/>
        </w:rPr>
        <w:t>Engineering controls, PPE, and downstream processing safeguards</w:t>
      </w:r>
    </w:p>
    <w:p>
      <w:pPr>
        <w:keepNext/>
        <w:pageBreakBefore/>
        <w:spacing w:before="480" w:after="160"/>
        <w:outlineLvl w:val="0"/>
      </w:pPr>
      <w:r>
        <w:rPr>
          <w:rFonts w:ascii="Times New Roman" w:hAnsi="Times New Roman" w:cs="Times New Roman" w:eastAsia="Times New Roman"/>
          <w:b/>
          <w:i w:val="0"/>
          <w:color w:val="1F3D7A"/>
          <w:sz w:val="36"/>
        </w:rPr>
        <w:t>13.  Mitigation and Prevention — Engineering Controls and PPE</w:t>
      </w:r>
    </w:p>
    <w:p>
      <w:pPr>
        <w:spacing w:after="80"/>
        <w:jc w:val="both"/>
      </w:pPr>
      <w:r>
        <w:rPr>
          <w:rFonts w:ascii="Times New Roman" w:hAnsi="Times New Roman" w:cs="Times New Roman" w:eastAsia="Times New Roman"/>
          <w:b w:val="0"/>
          <w:i w:val="0"/>
          <w:sz w:val="24"/>
        </w:rPr>
        <w:t>Benzene reference documents specify a hierarchy of controls — elimination, substitution, engineering controls, administrative controls, and personal protective equipment (PPE) — built on an authoritative occupational exposure limit (OSHA PEL 1 ppm 8-hour TWA; NIOSH REL 0.1 ppm 8-hour TWA; ACGIH TLV 0.5 ppm 8-hour TWA). The tox-scraper pipeline documents (see Chapter 6) that NONE of these limits exists for L-cysteine: OSHA has issued no PEL, NIOSH has issued no REL, and the NIOSH Pocket Guide (alphabetical index for letter L) does not contain an entry for this substance. The absence of a quantitative limit is itself a verified HTTP 404 response for https://www.osha.gov/chemicaldata/l-cysteine and an absence from https://www.cdc.gov/niosh/npg/npgsyn-l.html.</w:t>
      </w:r>
    </w:p>
    <w:p>
      <w:pPr>
        <w:keepNext/>
        <w:spacing w:before="280" w:after="80"/>
        <w:outlineLvl w:val="1"/>
      </w:pPr>
      <w:r>
        <w:rPr>
          <w:rFonts w:ascii="Times New Roman" w:hAnsi="Times New Roman" w:cs="Times New Roman" w:eastAsia="Times New Roman"/>
          <w:b/>
          <w:i w:val="0"/>
          <w:color w:val="335588"/>
          <w:sz w:val="28"/>
        </w:rPr>
        <w:t>14d.1  Hierarchy-of-controls framework applied to L-cysteine</w:t>
      </w:r>
    </w:p>
    <w:p>
      <w:pPr>
        <w:spacing w:after="80"/>
        <w:jc w:val="both"/>
      </w:pPr>
      <w:r>
        <w:rPr>
          <w:rFonts w:ascii="Times New Roman" w:hAnsi="Times New Roman" w:cs="Times New Roman" w:eastAsia="Times New Roman"/>
          <w:b w:val="0"/>
          <w:i w:val="0"/>
          <w:sz w:val="24"/>
        </w:rPr>
        <w:t>In the absence of an occupational exposure limit, the hierarchy-of-controls framework defaults to handling the substance as a general industrial chemical under Globally Harmonised System (GHS) hazard categories assigned to its safety data sheet (SDS). Common commercial SDS classifications for L-cysteine assign Category 2 skin and eye irritation and no systemic health hazard classification — but because the tox-scraper pipeline intentionally restricts itself to authoritative public sources (not vendor SDS documents), this review does not reproduce SDS content verbatim. The pipeline instead reports the agency-level regulatory-absence finding directly from the HTTP responses documented in Chapter 6.</w:t>
      </w:r>
    </w:p>
    <w:p>
      <w:pPr>
        <w:keepNext/>
        <w:spacing w:before="280" w:after="80"/>
        <w:outlineLvl w:val="1"/>
      </w:pPr>
      <w:r>
        <w:rPr>
          <w:rFonts w:ascii="Times New Roman" w:hAnsi="Times New Roman" w:cs="Times New Roman" w:eastAsia="Times New Roman"/>
          <w:b/>
          <w:i w:val="0"/>
          <w:color w:val="335588"/>
          <w:sz w:val="28"/>
        </w:rPr>
        <w:t>14d.2  Engineering controls applicable to industrial bioproduction of L-cysteine</w:t>
      </w:r>
    </w:p>
    <w:p>
      <w:pPr>
        <w:spacing w:after="80"/>
        <w:jc w:val="both"/>
      </w:pPr>
      <w:r>
        <w:rPr>
          <w:rFonts w:ascii="Times New Roman" w:hAnsi="Times New Roman" w:cs="Times New Roman" w:eastAsia="Times New Roman"/>
          <w:b w:val="0"/>
          <w:i/>
          <w:sz w:val="22"/>
        </w:rPr>
        <w:t>PMC10821248 (Molecules 2024 — "Challenges and Advances in the Bioproduction of L-Cysteine") is the only paper in the corpus addressing industrial-scale cysteine handling. Section 7.3 of this review reproduces verbatim extracts from PMC10821248 on fermentation strategy, strain engineering, and yield bottlenecks; additional bioprocess-engineering paragraphs bearing on engineering controls are reproduced in Section 14d.2.a below.</w:t>
      </w:r>
    </w:p>
    <w:p>
      <w:pPr>
        <w:keepNext/>
        <w:spacing w:before="280" w:after="80"/>
        <w:outlineLvl w:val="1"/>
      </w:pPr>
      <w:r>
        <w:rPr>
          <w:rFonts w:ascii="Times New Roman" w:hAnsi="Times New Roman" w:cs="Times New Roman" w:eastAsia="Times New Roman"/>
          <w:b/>
          <w:i w:val="0"/>
          <w:color w:val="335588"/>
          <w:sz w:val="28"/>
        </w:rPr>
        <w:t>14d.3  Personal Protective Equipment (PPE)</w:t>
      </w:r>
    </w:p>
    <w:p>
      <w:pPr>
        <w:spacing w:after="80"/>
        <w:jc w:val="both"/>
      </w:pPr>
      <w:r>
        <w:rPr>
          <w:rFonts w:ascii="Times New Roman" w:hAnsi="Times New Roman" w:cs="Times New Roman" w:eastAsia="Times New Roman"/>
          <w:b w:val="0"/>
          <w:i w:val="0"/>
          <w:sz w:val="24"/>
        </w:rPr>
        <w:t>Under OSHA 29 CFR 1910.132 (General PPE requirements) and 1910.138 (Hand protection), employers assess workplace hazards and select PPE accordingly. In the absence of an OSHA PEL, NIOSH REL, or ACGIH TLV for L-cysteine, PPE selection for this substance is governed by the general duty clause and by the physical-form hazards of the specific process (e.g., dust mask selection for powder-handling operations per OSHA 29 CFR 1910.134). The tox-scraper pipeline did not recover a dedicated PPE guidance document for CAS 52-90-4 from any of the nine agency portals sampled.</w:t>
      </w:r>
    </w:p>
    <w:p>
      <w:pPr>
        <w:keepNext/>
        <w:spacing w:before="280" w:after="80"/>
        <w:outlineLvl w:val="1"/>
      </w:pPr>
      <w:r>
        <w:rPr>
          <w:rFonts w:ascii="Times New Roman" w:hAnsi="Times New Roman" w:cs="Times New Roman" w:eastAsia="Times New Roman"/>
          <w:b/>
          <w:i w:val="0"/>
          <w:color w:val="335588"/>
          <w:sz w:val="28"/>
        </w:rPr>
        <w:t>14d.4  Risk communication — consumer and patient context</w:t>
      </w:r>
    </w:p>
    <w:p>
      <w:pPr>
        <w:spacing w:after="80"/>
        <w:jc w:val="both"/>
      </w:pPr>
      <w:r>
        <w:rPr>
          <w:rFonts w:ascii="Times New Roman" w:hAnsi="Times New Roman" w:cs="Times New Roman" w:eastAsia="Times New Roman"/>
          <w:b w:val="0"/>
          <w:i w:val="0"/>
          <w:sz w:val="24"/>
        </w:rPr>
        <w:t>L-cysteine and its N-acetylated derivative NAC are marketed as over-the-counter dietary supplements in the United States and many other jurisdictions. NAC is additionally available as a prescription mucolytic (generic Mucomyst®; in oral, intravenous, and inhaled formulations depending on region) and as the FDA-approved antidote for acetaminophen overdose. The regulatory landscape for L-cysteine therefore spans food, nutraceutical, and pharmaceutical channels; risk communication in each channel is governed by the corresponding FDA / EMA / other agency labelling framework rather than by an occupational-hazard communication standard.</w:t>
      </w:r>
    </w:p>
    <w:p>
      <w:pPr>
        <w:keepNext/>
        <w:spacing w:before="280" w:after="80"/>
        <w:outlineLvl w:val="1"/>
      </w:pPr>
      <w:r>
        <w:rPr>
          <w:rFonts w:ascii="Times New Roman" w:hAnsi="Times New Roman" w:cs="Times New Roman" w:eastAsia="Times New Roman"/>
          <w:b/>
          <w:i w:val="0"/>
          <w:color w:val="335588"/>
          <w:sz w:val="28"/>
        </w:rPr>
        <w:t>14d.5  Emergency-response considerations</w:t>
      </w:r>
    </w:p>
    <w:p>
      <w:pPr>
        <w:spacing w:after="80"/>
        <w:jc w:val="both"/>
      </w:pPr>
      <w:r>
        <w:rPr>
          <w:rFonts w:ascii="Times New Roman" w:hAnsi="Times New Roman" w:cs="Times New Roman" w:eastAsia="Times New Roman"/>
          <w:b w:val="0"/>
          <w:i w:val="0"/>
          <w:sz w:val="24"/>
        </w:rPr>
        <w:t>The tox-scraper pipeline queried the ATSDR Toxic Substances Portal, the ATSDR Toxicological FAQ (ToxFAQs) PDF repository, and the ATSDR Managing Hazardous Materials Incidents (MHMI) resource set for emergency-response documentation on L-cysteine. As documented in Chapter 6 and Appendix D, both ATSDR endpoints returned generic search pages or HTTP 404 for CAS 52-90-4. No MHMI three-volume set entry, no ATSDR Medical Management Guideline, and no ATSDR ToxFAQ fact sheet was issued for this substance at the time of retrieval (2026-04-20).</w:t>
      </w:r>
    </w:p>
    <w:p>
      <w:pPr>
        <w:keepNext/>
        <w:spacing w:before="160" w:after="40"/>
        <w:outlineLvl w:val="2"/>
      </w:pPr>
      <w:r>
        <w:rPr>
          <w:rFonts w:ascii="Times New Roman" w:hAnsi="Times New Roman" w:cs="Times New Roman" w:eastAsia="Times New Roman"/>
          <w:b/>
          <w:i w:val="0"/>
          <w:color w:val="404040"/>
          <w:sz w:val="24"/>
        </w:rPr>
        <w:t>14d.2.a  Verbatim bioprocess-engineering paragraphs (PMC10821248)</w:t>
      </w:r>
    </w:p>
    <w:p>
      <w:pPr>
        <w:spacing w:after="120"/>
        <w:jc w:val="both"/>
      </w:pPr>
      <w:r>
        <w:rPr>
          <w:rFonts w:ascii="Times New Roman" w:hAnsi="Times New Roman" w:cs="Times New Roman" w:eastAsia="Times New Roman"/>
          <w:b w:val="0"/>
          <w:i w:val="0"/>
          <w:sz w:val="24"/>
        </w:rPr>
        <w:t>“These biotransformations are catalyzed by two different OASSs: OASS-A in the case of sulfate as the S-source and graphic: `molecules-29-00486-g001.jpg` 2. **Figure 2** — Transformation of DL-ATC to L-cysteine. In this enzymatic three-step process, DL-ATC is isomerized to L-ATC by ATC racemase. Then, L-ATC is hydrolyzed to S-carbamyl-L-cysteine (SCC) by L-ATC hydrolase. Finally, SCC is cleaved into L-cysteine, CO 2 , and ammonia by S-cabamyl-L-cysteine amidohydrolase. graphic: `molecules-29-00486-g002.jpg` 3. **Figure 3** — ( a ) Substrate feeding profiles followed by [ 59 ] in the fed-batch L-cysteine production process. The thiosulfate feeding started two hours after the process was inoculated in order to avoid unnecessary oxidative stress on the cells in the initial lag phase. The glucose feeding started after five hours, once the initially added glucose was completely consumed. ( b ) L-cysteine concentration prof graphic: `molecules-29-00486-g003.jpg` 4. **Figure 4** — Flow diagram representation of an L-cysteine purification process according to Boehm [ 62 ].”  [PMC10821248 ¶1]</w:t>
      </w:r>
    </w:p>
    <w:p>
      <w:pPr>
        <w:spacing w:after="120"/>
        <w:jc w:val="both"/>
      </w:pPr>
      <w:r>
        <w:rPr>
          <w:rFonts w:ascii="Times New Roman" w:hAnsi="Times New Roman" w:cs="Times New Roman" w:eastAsia="Times New Roman"/>
          <w:b w:val="0"/>
          <w:i w:val="0"/>
          <w:sz w:val="24"/>
        </w:rPr>
        <w:t>“This process relies on the L-cysteine remaining in an unoxidized state. Hence, the oxidants in the fermentation broth are removed during the anion-exchange chromatography, and the pH of the L-cysteine-rich solution must be closely monitored and adjusted throughout the purification line. graphic: `molecules-29-00486-g004.jpg` ```json { "pmcid": "PMC10821248", "pmid": "38257399", "doi": "10.3390/molecules29020486", "title": "Challenges and Advances in the Bioproduction of L-Cysteine", "journal": "Molecules", "year": "2024", "abstract": "L-cysteine is a proteogenic amino acid with many applications in the pharmaceutical, food, animal feed, and cosmetic industries. Due to safety and environmental issues in extracting L-cysteine from animal hair and feathers, the fermentative production of L-cysteine offers an attractive alternative using renewable feedstocks. Strategies to improve microbial production hosts like Pantoea ananatis , Corynebacterium\u00a0glutamicum , Pseudomonas sp., and Escherichia coli are summarized.”  [PMC10821248 ¶2]</w:t>
      </w:r>
    </w:p>
    <w:p>
      <w:pPr>
        <w:spacing w:after="120"/>
        <w:jc w:val="both"/>
      </w:pPr>
      <w:r>
        <w:rPr>
          <w:rFonts w:ascii="Times New Roman" w:hAnsi="Times New Roman" w:cs="Times New Roman" w:eastAsia="Times New Roman"/>
          <w:b w:val="0"/>
          <w:i w:val="0"/>
          <w:sz w:val="24"/>
        </w:rPr>
        <w:t>“Concerning the metabolic engineering strategies, the overexpression of feedback inhibition-insensitive L-serine O-acetyltransferase and weakening the degradation of L-cysteine through the removal of L-cysteine desulfhydrases are crucial adjustments. The overexpression of L-cysteine exporters is vital to overcome the toxicity caused by intracellular accumulating L-cysteine. In addition, we compiled the process engineering aspects for the bioproduction of L-cysteine. Utilizing the energy-efficient sulfur assimilation pathway via thiosulfate, fermenting cheap carbon sources, designing scalable, fed-batch processes with individual feedings of carbon and sulfur sources, and implementing efficient purification techniques are essential for the fermentative production of L-cysteine on an industrial scale.", "body_text": "1. Introduction L-cysteine is a nucleophilic amino acid with a sulfhydryl group, which enables the formation of disulfide bridges.”  [PMC10821248 ¶3]</w:t>
      </w:r>
    </w:p>
    <w:p>
      <w:pPr>
        <w:jc w:val="center"/>
      </w:pPr>
      <w:r>
        <w:drawing>
          <wp:inline xmlns:a="http://schemas.openxmlformats.org/drawingml/2006/main" xmlns:pic="http://schemas.openxmlformats.org/drawingml/2006/picture">
            <wp:extent cx="5029200" cy="3693319"/>
            <wp:docPr id="208" name="Picture 208"/>
            <wp:cNvGraphicFramePr>
              <a:graphicFrameLocks noChangeAspect="1"/>
            </wp:cNvGraphicFramePr>
            <a:graphic>
              <a:graphicData uri="http://schemas.openxmlformats.org/drawingml/2006/picture">
                <pic:pic>
                  <pic:nvPicPr>
                    <pic:cNvPr id="0" name="p02_i1.jpg"/>
                    <pic:cNvPicPr/>
                  </pic:nvPicPr>
                  <pic:blipFill>
                    <a:blip r:embed="rId9"/>
                    <a:stretch>
                      <a:fillRect/>
                    </a:stretch>
                  </pic:blipFill>
                  <pic:spPr>
                    <a:xfrm>
                      <a:off x="0" y="0"/>
                      <a:ext cx="5029200" cy="3693319"/>
                    </a:xfrm>
                    <a:prstGeom prst="rect"/>
                  </pic:spPr>
                </pic:pic>
              </a:graphicData>
            </a:graphic>
          </wp:inline>
        </w:drawing>
      </w:r>
    </w:p>
    <w:p>
      <w:pPr>
        <w:spacing w:after="160"/>
        <w:jc w:val="center"/>
      </w:pPr>
      <w:r>
        <w:rPr>
          <w:rFonts w:ascii="Times New Roman" w:hAnsi="Times New Roman" w:cs="Times New Roman" w:eastAsia="Times New Roman"/>
          <w:b w:val="0"/>
          <w:i/>
          <w:sz w:val="20"/>
        </w:rPr>
        <w:t>Figure 1 (from PMC10821248): “Metabolic pathways for L-cysteine biosynthesis in microorganisms. In the L-serine O-acetyltransferase-O-acetyl-L-serine (SAT-OASS) pathway, there are two branches for the transformation of O-acetyl-L-serine (OAS) into L-cysteine, depending on the sulfur source available to the organism. These biotransformations are catalyzed by two different OASSs: OASS-A in”</w:t>
      </w:r>
    </w:p>
    <w:p>
      <w:pPr>
        <w:spacing w:after="120"/>
        <w:jc w:val="both"/>
      </w:pPr>
      <w:r>
        <w:rPr>
          <w:rFonts w:ascii="Times New Roman" w:hAnsi="Times New Roman" w:cs="Times New Roman" w:eastAsia="Times New Roman"/>
          <w:b w:val="0"/>
          <w:i w:val="0"/>
          <w:sz w:val="24"/>
        </w:rPr>
        <w:t>“In this review, the metabolic engineering strategies for enhancing the L-cysteine yield and cell-specific productivities will be compiled, e.g., improving the metabolic availability of precursors, deregulating controlling enzymes, knocking out genes coding for L-cysteine-degrading enzymes, and overexpressing transporter genes to transport L-cysteine out of the cell. The final section of this review focuses on the process engineering aspects like sulfur sources, fermentation process designs, and L-cysteine purification strategies. 2. Metabolic Engineering Strategies Microorganisms use two main pathways for the biosynthesis of L-cysteine. In enteric bacteria such as E. coli , the precursor of L-cysteine is L-serine [ 20 ]. L-cysteine is synthesized from L-serine in two steps, which involve the substitution of the \u03b2-hydroxyl group with a thiol group ( Figure 1 ). The first step involves the acetylation of the \u03b2-hydroxyl of L-serine, resulting in an O-acetyl-L-serine (OAS) catalyzed by L-serine O-acetyltransferase (SAT), which is encoded by the cysE gene.”  [PMC10821248 ¶8]</w:t>
      </w:r>
    </w:p>
    <w:p>
      <w:pPr>
        <w:spacing w:after="120"/>
        <w:jc w:val="both"/>
      </w:pPr>
      <w:r>
        <w:rPr>
          <w:rFonts w:ascii="Times New Roman" w:hAnsi="Times New Roman" w:cs="Times New Roman" w:eastAsia="Times New Roman"/>
          <w:b w:val="0"/>
          <w:i w:val="0"/>
          <w:sz w:val="24"/>
        </w:rPr>
        <w:t>“However, the economic L-cysteine production by fermentation must also take into account the process engineering viewpoint. Emphasizing energy-efficient sulfur pathways [ 7 , 60 ], selecting economically viable carbon sources [ 61 ], designing scalable fed-batch processes with individual feedings of carbon and sulfur sources [ 59 ], and implementing efficient purification techniques [ 62 ] are important for the industrial-scale production of L-cysteine. 3.1. Sulfur Assimilation Pathways in Bacteria E. coli has two sulfur assimilation pathways for L-cysteine biosynthesis ( Figure 2 ). One is the sulfate (SO 4 2\u2212 ) pathway, which consumes two molecules of ATP and four molecules of NADPH as a reducing power to produce L-cysteine from sulfate. The other is the thiosulfate (S 2 O 3 2\u2212 ) pathway, which spends only one molecule of NADPH from thiosulfate [ 63 ]. Thiosulfate is receiving attention as a sulfur source due to its advantageous effects on bacterial growth and L-cysteine production in comparison to sulfate [ 64 ].”  [PMC10821248 ¶35]</w:t>
      </w:r>
    </w:p>
    <w:p>
      <w:pPr>
        <w:spacing w:after="120"/>
        <w:jc w:val="both"/>
      </w:pPr>
      <w:r>
        <w:rPr>
          <w:rFonts w:ascii="Times New Roman" w:hAnsi="Times New Roman" w:cs="Times New Roman" w:eastAsia="Times New Roman"/>
          <w:b w:val="0"/>
          <w:i w:val="0"/>
          <w:sz w:val="24"/>
        </w:rPr>
        <w:t>“Significant progress has been made towards the bioproduction of L-cysteine from glycerol, as its essential precursor, L-serine, has already been produced effectively using glycerol [ 67 ]. The highest recorded concentration of L-cysteine from glycerol achieved so far is 313.4 mg L \u22121 with E. coli in shake flasks [ 67 ]. First, L-serine production was enhanced by making use of an L-serine biosensor based on the transcriptional regulator NCgl0581 for coupling L-serine biosynthesis to the growth rate of E. coli and using adaptive laboratory evolution (ALE). Following this, the L-cysteine degradation pathway (encoded by tnaA ) was eliminated, while serine acetyltransferase (encoded by cysE ) and the L-cysteine exporter (encoded by ydeD ) were overexpressed [ 67 ]. 3.3. Fed-Batch Processes in Stirred-Tank Bioreactors Up to this point, most research presented had been carried out as simple batch processes in shake flasks, which allow for easier preparation and higher throughput than the scalable stirred-tank bioreactor.”  [PMC10821248 ¶39]</w:t>
      </w:r>
    </w:p>
    <w:p>
      <w:pPr>
        <w:jc w:val="center"/>
      </w:pPr>
      <w:r>
        <w:drawing>
          <wp:inline xmlns:a="http://schemas.openxmlformats.org/drawingml/2006/main" xmlns:pic="http://schemas.openxmlformats.org/drawingml/2006/picture">
            <wp:extent cx="5029200" cy="2124837"/>
            <wp:docPr id="209" name="Picture 209"/>
            <wp:cNvGraphicFramePr>
              <a:graphicFrameLocks noChangeAspect="1"/>
            </wp:cNvGraphicFramePr>
            <a:graphic>
              <a:graphicData uri="http://schemas.openxmlformats.org/drawingml/2006/picture">
                <pic:pic>
                  <pic:nvPicPr>
                    <pic:cNvPr id="0" name="p12_i1.jpg"/>
                    <pic:cNvPicPr/>
                  </pic:nvPicPr>
                  <pic:blipFill>
                    <a:blip r:embed="rId10"/>
                    <a:stretch>
                      <a:fillRect/>
                    </a:stretch>
                  </pic:blipFill>
                  <pic:spPr>
                    <a:xfrm>
                      <a:off x="0" y="0"/>
                      <a:ext cx="5029200" cy="2124837"/>
                    </a:xfrm>
                    <a:prstGeom prst="rect"/>
                  </pic:spPr>
                </pic:pic>
              </a:graphicData>
            </a:graphic>
          </wp:inline>
        </w:drawing>
      </w:r>
    </w:p>
    <w:p>
      <w:pPr>
        <w:spacing w:after="160"/>
        <w:jc w:val="center"/>
      </w:pPr>
      <w:r>
        <w:rPr>
          <w:rFonts w:ascii="Times New Roman" w:hAnsi="Times New Roman" w:cs="Times New Roman" w:eastAsia="Times New Roman"/>
          <w:b w:val="0"/>
          <w:i/>
          <w:sz w:val="20"/>
        </w:rPr>
        <w:t>Figure 2 (from PMC10821248): “Transformation of DL-ATC to L-cysteine. In this enzymatic three-step process, DL-ATC is isomerized to L-ATC by ATC racemase. Then, L-ATC is hydrolyzed to S-carbamyl-L-cysteine (SCC) by L-ATC hydrolase. Finally, SCC is cleaved into L-cysteine, CO 2 , and ammonia by S-cabamyl-L-cysteine amidohydrolase.</w:t>
        <w:br/>
        <w:t xml:space="preserve">   graphic: `molecules-29-00486-g002.jpg`”</w:t>
      </w:r>
    </w:p>
    <w:p>
      <w:pPr>
        <w:spacing w:after="120"/>
        <w:jc w:val="both"/>
      </w:pPr>
      <w:r>
        <w:rPr>
          <w:rFonts w:ascii="Times New Roman" w:hAnsi="Times New Roman" w:cs="Times New Roman" w:eastAsia="Times New Roman"/>
          <w:b w:val="0"/>
          <w:i w:val="0"/>
          <w:sz w:val="24"/>
        </w:rPr>
        <w:t>“Investigations in fed-batch operated and fully controlled stirred-tank bioreactors using the observations provided by the studies in shake flasks and optimizing the reaction conditions may lead to an L-cysteine production scenario that is more in line with the expectations of the industry. Liu et al. [ 13 ] utilized a rational approach which combined previously discussed metabolic engineering approaches to enhance the L-cysteine production of the E. coli strain JM109, including the overexpression of the enzymes in the L-serine biosynthetic pathway, feedback-insensitive phosphoglycerate dehydrogenase and serine acetyltransferase, the ydeD exporter, and the deletion of L-cysteine and serine deaminases. These modifications lead to a total L-cysteine production in shake flasks of 600 mg L \u22121 . They then cultivated this modified strain in a 5 L stirred-tank reactor in a fed-batch operation, where a glucose solution was fed constantly into the reactor, but thiosulfate (the sulfur source) was only supplied at the beginning of the process.”  [PMC10821248 ¶40]</w:t>
      </w:r>
    </w:p>
    <w:p>
      <w:pPr>
        <w:spacing w:after="120"/>
        <w:jc w:val="both"/>
      </w:pPr>
      <w:r>
        <w:rPr>
          <w:rFonts w:ascii="Times New Roman" w:hAnsi="Times New Roman" w:cs="Times New Roman" w:eastAsia="Times New Roman"/>
          <w:b w:val="0"/>
          <w:i w:val="0"/>
          <w:sz w:val="24"/>
        </w:rPr>
        <w:t>“This led to an increase in the maximal achieved L-cysteine concentration to 5.1 g L \u22121 . Caballero et al. [ 59 ] transferred the shake flask experiments of Da\u00dfler et al. [ 51 ] with E. coli W3110, carrying L-cysteine production plasmids to a stirred-tank bioreactor on a 15 L scale using continuous but independent glucose and ammonium thiosulfate feedings (presented in Figure 3 a), thereby increasing the maximal achieved L-cysteine concentration from 72 mg L \u22121 in shake flasks to 16 g L \u22121 in the fed-batch process. An in vivo metabolic control analysis (MCA) was applied after rapid media transition [ 68 ] and short-term perturbation experiments [ 69 , 70 ] for the identification of bottlenecks in the L-cysteine synthesis pathway of producer cells withdrawn from this fed-batch process in the production phase. Synthetic biology efforts to increase the expression of OASS-A based on the results of the in vivo MCA led to an increase in the L-cysteine product concentration by 46% in the dual-feeding, fed-batch process, reaching maximal L-cysteine concentrations of 22 g L \u22121 , which are the highest reported in the literature so far [ 59 ].”  [PMC10821248 ¶41]</w:t>
      </w:r>
    </w:p>
    <w:p>
      <w:pPr>
        <w:spacing w:after="120"/>
        <w:jc w:val="both"/>
      </w:pPr>
      <w:r>
        <w:rPr>
          <w:rFonts w:ascii="Times New Roman" w:hAnsi="Times New Roman" w:cs="Times New Roman" w:eastAsia="Times New Roman"/>
          <w:b w:val="0"/>
          <w:i w:val="0"/>
          <w:sz w:val="24"/>
        </w:rPr>
        <w:t>“The L-cysteine concentration profiles of this process before and after the strain optimization are presented in Figure 3 b. 3.4. Purification of L-Cysteine from the Fermentation Broth L-cysteine, due to its high solubility in water and the vulnerability of its thiol group to oxidation, presents challenges in its purification for industrial applications. Several approaches have been proposed to address this issue [ 62 ]. Most approaches follow a two-stage process, which involves converting L-cysteine into L-cystine by treating the clarified solution with an oxidizing agent. The reduced solubility and increased chemical stability of L-cystine allow for its purification through crystallization. The resulting crystals are then dissolved in water and reduced back to L-cysteine using electrolysis [ 71 ]. More recently, Wacker AG (Munich, Germany) has developed a method for the direct purification of L-cysteine from a clarified fermentation broth [ 62 ].”  [PMC10821248 ¶42]</w:t>
      </w:r>
    </w:p>
    <w:p>
      <w:pPr>
        <w:jc w:val="center"/>
      </w:pPr>
      <w:r>
        <w:drawing>
          <wp:inline xmlns:a="http://schemas.openxmlformats.org/drawingml/2006/main" xmlns:pic="http://schemas.openxmlformats.org/drawingml/2006/picture">
            <wp:extent cx="5029200" cy="1200731"/>
            <wp:docPr id="210" name="Picture 210"/>
            <wp:cNvGraphicFramePr>
              <a:graphicFrameLocks noChangeAspect="1"/>
            </wp:cNvGraphicFramePr>
            <a:graphic>
              <a:graphicData uri="http://schemas.openxmlformats.org/drawingml/2006/picture">
                <pic:pic>
                  <pic:nvPicPr>
                    <pic:cNvPr id="0" name="p03_i1.jpg"/>
                    <pic:cNvPicPr/>
                  </pic:nvPicPr>
                  <pic:blipFill>
                    <a:blip r:embed="rId11"/>
                    <a:stretch>
                      <a:fillRect/>
                    </a:stretch>
                  </pic:blipFill>
                  <pic:spPr>
                    <a:xfrm>
                      <a:off x="0" y="0"/>
                      <a:ext cx="5029200" cy="1200731"/>
                    </a:xfrm>
                    <a:prstGeom prst="rect"/>
                  </pic:spPr>
                </pic:pic>
              </a:graphicData>
            </a:graphic>
          </wp:inline>
        </w:drawing>
      </w:r>
    </w:p>
    <w:p>
      <w:pPr>
        <w:spacing w:after="160"/>
        <w:jc w:val="center"/>
      </w:pPr>
      <w:r>
        <w:rPr>
          <w:rFonts w:ascii="Times New Roman" w:hAnsi="Times New Roman" w:cs="Times New Roman" w:eastAsia="Times New Roman"/>
          <w:b w:val="0"/>
          <w:i/>
          <w:sz w:val="20"/>
        </w:rPr>
        <w:t>Figure 3 (from PMC10821248): “( a ) Substrate feeding profiles followed by [ 59 ] in the fed-batch L-cysteine production process. The thiosulfate feeding started two hours after the process was inoculated in order to avoid unnecessary oxidative stress on the cells in the initial lag phase. The glucose feeding started after five hours, once the initially added glucose was completely consu”</w:t>
      </w:r>
    </w:p>
    <w:p>
      <w:pPr>
        <w:spacing w:after="120"/>
        <w:jc w:val="both"/>
      </w:pPr>
      <w:r>
        <w:rPr>
          <w:rFonts w:ascii="Times New Roman" w:hAnsi="Times New Roman" w:cs="Times New Roman" w:eastAsia="Times New Roman"/>
          <w:b w:val="0"/>
          <w:i w:val="0"/>
          <w:sz w:val="24"/>
        </w:rPr>
        <w:t>“This approach selectively isolates L-cysteine while eliminating its derivatives, emphasizing the importance of preventing the oxidation of L-cysteine to L-cystine. The oxidation of L-cysteine\u2019s sulfhydryl (SH) groups by oxygen, the primary oxidizing agent present in fermentation broths, is particularly favored under alkaline conditions. Additionally, thiosulfate, which serves as the preferred sulfur source for the fermentative production of L-cysteine, oxidizes L-cysteine at a pH of 5 and below. It is recommended to maintain a pH of 5\u20137 during fermentation to minimize any loss in yield due to the formation of L-cystine as a by-product [ 62 ]. The first step in the direct purification process ( Figure 4 ) involves ion exchange chromatography. In this step, L-cysteine, as well as L-cystine and other cations present in the clarified fermentation broth, are adsorbed onto an ion exchanger containing sulfonic and phosphonic acid groups in their protonated (H + ) form.”  [PMC10821248 ¶43]</w:t>
      </w:r>
    </w:p>
    <w:p>
      <w:pPr>
        <w:spacing w:after="120"/>
        <w:jc w:val="both"/>
      </w:pPr>
      <w:r>
        <w:rPr>
          <w:rFonts w:ascii="Times New Roman" w:hAnsi="Times New Roman" w:cs="Times New Roman" w:eastAsia="Times New Roman"/>
          <w:b w:val="0"/>
          <w:i w:val="0"/>
          <w:sz w:val="24"/>
        </w:rPr>
        <w:t>“The absorbed compounds are subsequently eluted using ammonia solution (1\u20132 molar NH 4 + ) as the eluant. The use of a gradually increasing ammonia concentration and fractioned separation of the product solution further improves the purity of L-cysteine. It is important to note that although the L-cysteine-containing solution is highly acidic, the chromatography process effectively removes all oxidizing agents, mitigating concerns about the oxidation of L-cysteine [ 62 ]. Subsequently, to further purify L-cysteine from the solution, fractioned crystallization is performed as described previously [ 72 ]. This method involves the addition of hydrochloric acid at 20 \u00b0C to facilitate the crystallization of remaining impurities. The resulting deposits are then removed through filtration, and the filtrate is cooled to \u221220 \u00b0C to induce the crystallization of L-cysteine. 4. Conclusions In general, the most widely researched microorganism for L-cysteine bioproduction is E. coli.”  [PMC10821248 ¶44]</w:t>
      </w:r>
    </w:p>
    <w:p>
      <w:pPr>
        <w:spacing w:after="120"/>
        <w:jc w:val="both"/>
      </w:pPr>
      <w:r>
        <w:rPr>
          <w:rFonts w:ascii="Times New Roman" w:hAnsi="Times New Roman" w:cs="Times New Roman" w:eastAsia="Times New Roman"/>
          <w:b w:val="0"/>
          <w:i w:val="0"/>
          <w:sz w:val="24"/>
        </w:rPr>
        <w:t>“Emphasizing energy-efficient sulfur pathways, selecting economically viable carbon sources, designing scalable fed-batch processes with individual feedings of carbon and sulfur sources, and implementing efficient purification techniques are important for the production of L-cysteine on an industrial scale. The utilization of thiosulfate instead of sulfates requires fewer reduction equivalents, and thus, enhances L-cysteine production rates. Even though the highest L-cysteine concentrations are still obtained with glucose as a carbon source, microbial L-cysteine production with glycerol has been shown. Glycerol is abundant as a by-product of the biodiesel industry, and thus, its low cost might improve the industrial-scale L-cysteine production in the future. The different ways to enhance the bioproduction of L-cysteine show a high potential for success. A holistic approach which combines the presented methodologies may uncover synergies that may result in higher L-cysteine yields and increased productivity in the future.", "tables": [ { "label": "Table 1", "caption": "Summary of metabolic engineering approaches increasing the fermentative L-cysteine production.”  [PMC10821248 ¶47]</w:t>
      </w:r>
    </w:p>
    <w:p>
      <w:pPr>
        <w:keepNext/>
        <w:pageBreakBefore/>
        <w:spacing w:before="240" w:after="120"/>
        <w:jc w:val="center"/>
      </w:pPr>
      <w:r>
        <w:rPr>
          <w:rFonts w:ascii="Times New Roman" w:hAnsi="Times New Roman" w:cs="Times New Roman" w:eastAsia="Times New Roman"/>
          <w:b/>
          <w:i w:val="0"/>
          <w:color w:val="335588"/>
          <w:sz w:val="28"/>
        </w:rPr>
        <w:t>Chapter 14</w:t>
      </w:r>
    </w:p>
    <w:p>
      <w:pPr>
        <w:keepNext/>
        <w:spacing w:before="0" w:after="120"/>
        <w:jc w:val="center"/>
        <w:outlineLvl w:val="0"/>
      </w:pPr>
      <w:r>
        <w:rPr>
          <w:rFonts w:ascii="Times New Roman" w:hAnsi="Times New Roman" w:cs="Times New Roman" w:eastAsia="Times New Roman"/>
          <w:b/>
          <w:i w:val="0"/>
          <w:color w:val="1F3D7A"/>
          <w:sz w:val="44"/>
        </w:rPr>
        <w:t>Recent Research Findings</w:t>
      </w:r>
    </w:p>
    <w:p>
      <w:pPr>
        <w:spacing w:after="240"/>
        <w:jc w:val="center"/>
      </w:pPr>
      <w:r>
        <w:rPr>
          <w:rFonts w:ascii="Times New Roman" w:hAnsi="Times New Roman" w:cs="Times New Roman" w:eastAsia="Times New Roman"/>
          <w:b w:val="0"/>
          <w:i/>
          <w:color w:val="404040"/>
          <w:sz w:val="22"/>
        </w:rPr>
        <w:t>Cross-paper thematic synthesis, peer-reviewed full extracts, and provenance ledger</w:t>
      </w:r>
    </w:p>
    <w:p>
      <w:pPr>
        <w:keepNext/>
        <w:pageBreakBefore/>
        <w:spacing w:before="480" w:after="160"/>
        <w:outlineLvl w:val="0"/>
      </w:pPr>
      <w:r>
        <w:rPr>
          <w:rFonts w:ascii="Times New Roman" w:hAnsi="Times New Roman" w:cs="Times New Roman" w:eastAsia="Times New Roman"/>
          <w:b/>
          <w:i w:val="0"/>
          <w:color w:val="1F3D7A"/>
          <w:sz w:val="36"/>
        </w:rPr>
        <w:t>14.  Recent Research — Cross-Paper Thematic Synthesis</w:t>
      </w:r>
    </w:p>
    <w:p>
      <w:pPr>
        <w:spacing w:after="80"/>
        <w:jc w:val="both"/>
      </w:pPr>
      <w:r>
        <w:rPr>
          <w:rFonts w:ascii="Times New Roman" w:hAnsi="Times New Roman" w:cs="Times New Roman" w:eastAsia="Times New Roman"/>
          <w:b w:val="0"/>
          <w:i w:val="0"/>
          <w:sz w:val="24"/>
        </w:rPr>
        <w:t>This chapter consolidates verbatim paragraph extracts across the harvested corpus that map onto the top-level themes in the Summary (Chapter 1) and Key Findings (Chapter 3). Each subsection groups quotes from multiple papers that speak to the same theme, providing a traceable foundation for each high-level finding.</w:t>
      </w:r>
    </w:p>
    <w:p>
      <w:pPr>
        <w:keepNext/>
        <w:spacing w:before="280" w:after="80"/>
        <w:outlineLvl w:val="1"/>
      </w:pPr>
      <w:r>
        <w:rPr>
          <w:rFonts w:ascii="Times New Roman" w:hAnsi="Times New Roman" w:cs="Times New Roman" w:eastAsia="Times New Roman"/>
          <w:b/>
          <w:i w:val="0"/>
          <w:color w:val="335588"/>
          <w:sz w:val="28"/>
        </w:rPr>
        <w:t>3b.1  L-Cysteine is a semi-essential proteinogenic amino acid</w:t>
      </w:r>
    </w:p>
    <w:p>
      <w:pPr>
        <w:spacing w:after="120"/>
        <w:jc w:val="both"/>
      </w:pPr>
      <w:r>
        <w:rPr>
          <w:rFonts w:ascii="Times New Roman" w:hAnsi="Times New Roman" w:cs="Times New Roman" w:eastAsia="Times New Roman"/>
          <w:b w:val="0"/>
          <w:i w:val="0"/>
          <w:sz w:val="24"/>
        </w:rPr>
        <w:t>“The purpose of this review is to provide a concise overview of promising NAC usages for the treatment of different human and domestic animal disorders.", "body_text": "1. Introduction N-acetylcysteine (NAC) comes from the amino acid L-cysteine and has been a Food and Drug Administration (FDA) approved drug since 1963. It is recognized as the standard treatment for acetaminophen overdose and has been used as a mucolytic drug since the 1960s [ 1 ]. NAC has also been used as a supplement for decades and, as such, can be found as an over-the-counter nutritional supplement in countries such as the United States, Canada, and Australia [ 1 ]. Therefore, NAC falls into a grey zone with other compounds such as cannabidiol (CBD), but as of August 2022, the FDA has backed away from its hard stance on classifying NAC as a drug and is allowing its sale as a dietary supplement [ 2 ]. NAC\u2019s antioxidant and anti-inflammatory properties make it a promising therapeutic agent for conditions in which oxidative stress is involved [ 1 ].”  [PMC10604897 ¶2]</w:t>
      </w:r>
    </w:p>
    <w:p>
      <w:pPr>
        <w:spacing w:after="120"/>
        <w:jc w:val="both"/>
      </w:pPr>
      <w:r>
        <w:rPr>
          <w:rFonts w:ascii="Times New Roman" w:hAnsi="Times New Roman" w:cs="Times New Roman" w:eastAsia="Times New Roman"/>
          <w:b w:val="0"/>
          <w:i w:val="0"/>
          <w:sz w:val="24"/>
        </w:rPr>
        <w:t>“Despite these findings, there is currently no substantial evidence suggesting the existence of active membrane transport systems specific to NAC. ASCT1, the canonical importer of reduced Cys, does not transport negatively charged amino acids, including NAC [ 27 ]. While there have been reports implicating anion exchanger 1 (AE1) as a potential facilitator of NAC uptake into erythrocytes, this remains an area requiring further investigation, as pointed out by Raftos et al. (2007) [ 23 ]. Once absorbed, NAC must undergo deacetylation to yield cysteine. Aminoacylase 1 is believed to be the primary enzyme responsible for deacetylating NAC in this process. 3.1. Adverse Reactions Adverse effects following administration of NAC range from mild to severe and are dependent on the formulation, concentration, and route of administration [ 1 , 28 ] ( Table 1 ). Intravenous NAC and oral NAC are commonly associated with minimal side-effects [ 1 ], such as symptoms of nausea, vomiting, pruritus, and erythema [ 28 , 29 ].”  [PMC10604897 ¶9]</w:t>
      </w:r>
    </w:p>
    <w:p>
      <w:pPr>
        <w:spacing w:after="120"/>
        <w:jc w:val="both"/>
      </w:pPr>
      <w:r>
        <w:rPr>
          <w:rFonts w:ascii="Times New Roman" w:hAnsi="Times New Roman" w:cs="Times New Roman" w:eastAsia="Times New Roman"/>
          <w:b w:val="0"/>
          <w:i w:val="0"/>
          <w:sz w:val="24"/>
        </w:rPr>
        <w:t>“As a therapeutic agent, NAC is commonly administered orally in the tablet form of 600\u20131200 mg up to three times a day to treat pulmonary diseases [ 1 ]. Studies have shown that dosages of NAC up to 3000 mg/day continue to remain safe and are well-tolerated [ 1 ]. 5.2.1. Cystic Fibrosis (CF) CF is a genetic disorder affecting multiple organ systems including the lungs and upper airways, pancreas, liver, intestine, and reproductive organs [ 51 ]. The lungs of CF patients produce prolific amounts of viscous mucus, which is difficult to clear. This thick mucus increases susceptibility to recurring chronic infections due to poor expectoration [ 28 ]. NAC has been extensively used in the treatment of CF to help improve lung function and eliminate mucus due to its mucolytic properties [ 1 ], which are attributed to its cysteine residues that break down the sulfhydryl bridges between glycoproteins in mucus, thereby reducing mucus viscosity [ 28 ].”  [PMC10604897 ¶20]</w:t>
      </w:r>
    </w:p>
    <w:p>
      <w:pPr>
        <w:jc w:val="center"/>
      </w:pPr>
      <w:r>
        <w:drawing>
          <wp:inline xmlns:a="http://schemas.openxmlformats.org/drawingml/2006/main" xmlns:pic="http://schemas.openxmlformats.org/drawingml/2006/picture">
            <wp:extent cx="5029200" cy="2300859"/>
            <wp:docPr id="211" name="Picture 211"/>
            <wp:cNvGraphicFramePr>
              <a:graphicFrameLocks noChangeAspect="1"/>
            </wp:cNvGraphicFramePr>
            <a:graphic>
              <a:graphicData uri="http://schemas.openxmlformats.org/drawingml/2006/picture">
                <pic:pic>
                  <pic:nvPicPr>
                    <pic:cNvPr id="0" name="p21_i1.jpg"/>
                    <pic:cNvPicPr/>
                  </pic:nvPicPr>
                  <pic:blipFill>
                    <a:blip r:embed="rId12"/>
                    <a:stretch>
                      <a:fillRect/>
                    </a:stretch>
                  </pic:blipFill>
                  <pic:spPr>
                    <a:xfrm>
                      <a:off x="0" y="0"/>
                      <a:ext cx="5029200" cy="2300859"/>
                    </a:xfrm>
                    <a:prstGeom prst="rect"/>
                  </pic:spPr>
                </pic:pic>
              </a:graphicData>
            </a:graphic>
          </wp:inline>
        </w:drawing>
      </w:r>
    </w:p>
    <w:p>
      <w:pPr>
        <w:spacing w:after="160"/>
        <w:jc w:val="center"/>
      </w:pPr>
      <w:r>
        <w:rPr>
          <w:rFonts w:ascii="Times New Roman" w:hAnsi="Times New Roman" w:cs="Times New Roman" w:eastAsia="Times New Roman"/>
          <w:b w:val="0"/>
          <w:i/>
          <w:sz w:val="20"/>
        </w:rPr>
        <w:t>Figure 1 (from PMC10604897): “The three major narratives of NAC’s mechanisms of action.</w:t>
        <w:br/>
        <w:t xml:space="preserve">   graphic: `antioxidants-12-01867-g001.jpg`”</w:t>
      </w:r>
    </w:p>
    <w:p>
      <w:pPr>
        <w:spacing w:after="120"/>
        <w:jc w:val="both"/>
      </w:pPr>
      <w:r>
        <w:rPr>
          <w:rFonts w:ascii="Times New Roman" w:hAnsi="Times New Roman" w:cs="Times New Roman" w:eastAsia="Times New Roman"/>
          <w:b w:val="0"/>
          <w:i w:val="0"/>
          <w:sz w:val="24"/>
        </w:rPr>
        <w:t>“This process relies on the L-cysteine remaining in an unoxidized state. Hence, the oxidants in the fermentation broth are removed during the anion-exchange chromatography, and the pH of the L-cysteine-rich solution must be closely monitored and adjusted throughout the purification line. graphic: `molecules-29-00486-g004.jpg` ```json { "pmcid": "PMC10821248", "pmid": "38257399", "doi": "10.3390/molecules29020486", "title": "Challenges and Advances in the Bioproduction of L-Cysteine", "journal": "Molecules", "year": "2024", "abstract": "L-cysteine is a proteogenic amino acid with many applications in the pharmaceutical, food, animal feed, and cosmetic industries. Due to safety and environmental issues in extracting L-cysteine from animal hair and feathers, the fermentative production of L-cysteine offers an attractive alternative using renewable feedstocks. Strategies to improve microbial production hosts like Pantoea ananatis , Corynebacterium\u00a0glutamicum , Pseudomonas sp., and Escherichia coli are summarized.”  [PMC10821248 ¶2]</w:t>
      </w:r>
    </w:p>
    <w:p>
      <w:pPr>
        <w:spacing w:after="120"/>
        <w:jc w:val="both"/>
      </w:pPr>
      <w:r>
        <w:rPr>
          <w:rFonts w:ascii="Times New Roman" w:hAnsi="Times New Roman" w:cs="Times New Roman" w:eastAsia="Times New Roman"/>
          <w:b w:val="0"/>
          <w:i w:val="0"/>
          <w:sz w:val="24"/>
        </w:rPr>
        <w:t>“Concerning the metabolic engineering strategies, the overexpression of feedback inhibition-insensitive L-serine O-acetyltransferase and weakening the degradation of L-cysteine through the removal of L-cysteine desulfhydrases are crucial adjustments. The overexpression of L-cysteine exporters is vital to overcome the toxicity caused by intracellular accumulating L-cysteine. In addition, we compiled the process engineering aspects for the bioproduction of L-cysteine. Utilizing the energy-efficient sulfur assimilation pathway via thiosulfate, fermenting cheap carbon sources, designing scalable, fed-batch processes with individual feedings of carbon and sulfur sources, and implementing efficient purification techniques are essential for the fermentative production of L-cysteine on an industrial scale.", "body_text": "1. Introduction L-cysteine is a nucleophilic amino acid with a sulfhydryl group, which enables the formation of disulfide bridges.”  [PMC10821248 ¶3]</w:t>
      </w:r>
    </w:p>
    <w:p>
      <w:pPr>
        <w:spacing w:after="120"/>
        <w:jc w:val="both"/>
      </w:pPr>
      <w:r>
        <w:rPr>
          <w:rFonts w:ascii="Times New Roman" w:hAnsi="Times New Roman" w:cs="Times New Roman" w:eastAsia="Times New Roman"/>
          <w:b w:val="0"/>
          <w:i w:val="0"/>
          <w:sz w:val="24"/>
        </w:rPr>
        <w:t>“It can be produced by most eukaryotic and prokaryotic organisms. This amino acid is semi-essential in humans, since it can be synthesized endogenously or directly absorbed from an L-cysteine-rich diet. In cells, cysteine can be produced via the reverse transsulfuration pathway from L-methionine [ 1 ] or from L-serine through acetylation and subsequent sulfhydration [ 2 ]. Figure 1 presents a step-by-step diagram for these pathways. The cells tightly control the intracellular L-cysteine concentration because already-low concentrations can be cytotoxic [ 3 , 4 ]. Intracellular L-cysteine plays a vital role as a precursor for protein synthesis, and for the production of glutathione, hydrogen sulfide, and taurine [ 5 ]. In humans and animals, L-cysteine is primarily found in the hair, nails, and skin, especially in collagen. Prokaryotic cells use L-cysteine mostly in proteins, in enzymes for the formation of iron\u2013sulfur clusters, or as a source of sulfur for other macromolecules [ 6 ].”  [PMC10821248 ¶4]</w:t>
      </w:r>
    </w:p>
    <w:p>
      <w:pPr>
        <w:jc w:val="center"/>
      </w:pPr>
      <w:r>
        <w:drawing>
          <wp:inline xmlns:a="http://schemas.openxmlformats.org/drawingml/2006/main" xmlns:pic="http://schemas.openxmlformats.org/drawingml/2006/picture">
            <wp:extent cx="5029200" cy="3693319"/>
            <wp:docPr id="212" name="Picture 212"/>
            <wp:cNvGraphicFramePr>
              <a:graphicFrameLocks noChangeAspect="1"/>
            </wp:cNvGraphicFramePr>
            <a:graphic>
              <a:graphicData uri="http://schemas.openxmlformats.org/drawingml/2006/picture">
                <pic:pic>
                  <pic:nvPicPr>
                    <pic:cNvPr id="0" name="p02_i1.jpg"/>
                    <pic:cNvPicPr/>
                  </pic:nvPicPr>
                  <pic:blipFill>
                    <a:blip r:embed="rId9"/>
                    <a:stretch>
                      <a:fillRect/>
                    </a:stretch>
                  </pic:blipFill>
                  <pic:spPr>
                    <a:xfrm>
                      <a:off x="0" y="0"/>
                      <a:ext cx="5029200" cy="3693319"/>
                    </a:xfrm>
                    <a:prstGeom prst="rect"/>
                  </pic:spPr>
                </pic:pic>
              </a:graphicData>
            </a:graphic>
          </wp:inline>
        </w:drawing>
      </w:r>
    </w:p>
    <w:p>
      <w:pPr>
        <w:spacing w:after="160"/>
        <w:jc w:val="center"/>
      </w:pPr>
      <w:r>
        <w:rPr>
          <w:rFonts w:ascii="Times New Roman" w:hAnsi="Times New Roman" w:cs="Times New Roman" w:eastAsia="Times New Roman"/>
          <w:b w:val="0"/>
          <w:i/>
          <w:sz w:val="20"/>
        </w:rPr>
        <w:t>Figure 1 (from PMC10821248): “Metabolic pathways for L-cysteine biosynthesis in microorganisms. In the L-serine O-acetyltransferase-O-acetyl-L-serine (SAT-OASS) pathway, there are two branches for the transformation of O-acetyl-L-serine (OAS) into L-cysteine, depending on the sulfur source available to the organism. These biotransformations are catalyzed by two different OASSs: OASS-A in”</w:t>
      </w:r>
    </w:p>
    <w:p>
      <w:pPr>
        <w:spacing w:after="120"/>
        <w:jc w:val="both"/>
      </w:pPr>
      <w:r>
        <w:rPr>
          <w:rFonts w:ascii="Times New Roman" w:hAnsi="Times New Roman" w:cs="Times New Roman" w:eastAsia="Times New Roman"/>
          <w:b w:val="0"/>
          <w:i w:val="0"/>
          <w:sz w:val="24"/>
        </w:rPr>
        <w:t>“As an intermediate, one pathway produces N-carbamoyl cysteine, and the other, S-carbamoyl cysteine [ 17 ]. However, in the Pseudomonas cells, L-cysteine is converted to pyruvate, hydrogen sulfide, and ammonia by L-cysteine desulfhydrase (CD). The L-cysteine desulfhydrase gene could not be knocked out to increase the production of L-cysteine during the bioconversion of DL-ATC by Pseudomonas sp., since the degradation of L-cysteine is required to supply the cells with carbon and nitrogen [ 18 ]. Furthermore, the difficulty of procurement of the substrate DL-ATC and the low enzymatic yields of this process limited its application as an industrial process [ 12 ]. Through the understanding of the complex regulation system of the L-cysteine synthesis in bacteria, and with the advancements in synthetic biology, the direct fermentative L-cysteine production from glucose became feasible and has been exploited by global amino acid producers to supply an increasing portion of the global L-cysteine demand [ 19 ].”  [PMC10821248 ¶7]</w:t>
      </w:r>
    </w:p>
    <w:p>
      <w:pPr>
        <w:spacing w:after="120"/>
        <w:jc w:val="both"/>
      </w:pPr>
      <w:r>
        <w:rPr>
          <w:rFonts w:ascii="Times New Roman" w:hAnsi="Times New Roman" w:cs="Times New Roman" w:eastAsia="Times New Roman"/>
          <w:b w:val="0"/>
          <w:i w:val="0"/>
          <w:sz w:val="24"/>
        </w:rPr>
        <w:t>“In this review, the metabolic engineering strategies for enhancing the L-cysteine yield and cell-specific productivities will be compiled, e.g., improving the metabolic availability of precursors, deregulating controlling enzymes, knocking out genes coding for L-cysteine-degrading enzymes, and overexpressing transporter genes to transport L-cysteine out of the cell. The final section of this review focuses on the process engineering aspects like sulfur sources, fermentation process designs, and L-cysteine purification strategies. 2. Metabolic Engineering Strategies Microorganisms use two main pathways for the biosynthesis of L-cysteine. In enteric bacteria such as E. coli , the precursor of L-cysteine is L-serine [ 20 ]. L-cysteine is synthesized from L-serine in two steps, which involve the substitution of the \u03b2-hydroxyl group with a thiol group ( Figure 1 ). The first step involves the acetylation of the \u03b2-hydroxyl of L-serine, resulting in an O-acetyl-L-serine (OAS) catalyzed by L-serine O-acetyltransferase (SAT), which is encoded by the cysE gene.”  [PMC10821248 ¶8]</w:t>
      </w:r>
    </w:p>
    <w:p>
      <w:pPr>
        <w:spacing w:after="120"/>
        <w:jc w:val="both"/>
      </w:pPr>
      <w:r>
        <w:rPr>
          <w:rFonts w:ascii="Times New Roman" w:hAnsi="Times New Roman" w:cs="Times New Roman" w:eastAsia="Times New Roman"/>
          <w:b w:val="0"/>
          <w:i w:val="0"/>
          <w:sz w:val="24"/>
        </w:rPr>
        <w:t>“CySSG is also found in non-mammalian species, most notably in the polychaete Nereis succinea where it functions as a spawning pheromone [ 16 , 17 , 18 , 19 ]. 1.2. CaSR Function in Parathyroid, Kidney, and Other Tissues CaSR was first identified in parathyroid gland, where it solved the long-standing problem of what receptor mediated up- and down-regulation of parathyroid hormone (PTH) synthesis and release by Ca [ 20 ]. Unlike most secretory processes, PTH release is decreased by increases of extracellular Ca. CaSR was discovered to be a G-protein-coupled receptor that mediates responses in parathyroid cells by activating Gq, which regulates phospholipase C (PLC), and Gi, which inhibits cAMP synthesis (as reviewed by Ward [ 21 ]). CaSR activity is affected by small changes in Ca in the physiological extracellular range (1\u201310 mM) [ 20 ], and its sensitivity can be shifted by various agents, such as amino acids [ 22 ].”  [PMC8776003 ¶8]</w:t>
      </w:r>
    </w:p>
    <w:p>
      <w:pPr>
        <w:spacing w:after="120"/>
        <w:jc w:val="both"/>
      </w:pPr>
      <w:r>
        <w:rPr>
          <w:rFonts w:ascii="Times New Roman" w:hAnsi="Times New Roman" w:cs="Times New Roman" w:eastAsia="Times New Roman"/>
          <w:b w:val="0"/>
          <w:i w:val="0"/>
          <w:sz w:val="24"/>
        </w:rPr>
        <w:t>“Numerous other actions in kidney mediated by CaSR include increases in TAL PGE2 production [ 29 ], changes in aquaporin trafficking and water transport regulation in renal collecting duct [ 30 ], decreases in renin secretion by juxtaglomerular cells [ 31 ] and stimulation of claudin-14 expression in TAL mediated by a microRNA-signaling pathway downstream from CaSR activation [ 32 ]. CaSR protein is also expressed in the gastrointestinal system, bone cells, the nervous system, etc., where these receptors may mediate other Ca-sensitive responses [ 33 ]. Among other tissues expressing CaSR are liver cells that stimulate bile flow [ 34 ], endothelial cells and vascular smooth muscle cells in many tissues [ 35 ] notably in pulmonary arteries [ 36 ], pancreatic beta cells [ 37 , 38 ], and taste buds [ 39 , 40 , 41 ]. 1.3. Amino Acid and Peptide Modulation of CaSR Activity The sensitivity of the CaSR to Ca is enhanced by a variety of naturally occurring organic molecules of which amino acids were among the earliest to be described; tryptophan, phenylalanine, tyrosine, and histidine are among the most effective modulators of CaSR activity, generally having EC50 concentrations in the range of 1\u201310 mM [ 42 , 43 , 44 ].”  [PMC8776003 ¶10]</w:t>
      </w:r>
    </w:p>
    <w:p>
      <w:pPr>
        <w:spacing w:after="120"/>
        <w:jc w:val="both"/>
      </w:pPr>
      <w:r>
        <w:rPr>
          <w:rFonts w:ascii="Times New Roman" w:hAnsi="Times New Roman" w:cs="Times New Roman" w:eastAsia="Times New Roman"/>
          <w:b w:val="0"/>
          <w:i w:val="0"/>
          <w:sz w:val="24"/>
        </w:rPr>
        <w:t>“Allosteric antagonists targeting the TMD include NPS 2143 and others [ 50 , 51 , 52 ]. Calcimimetics that target the ECD have also been developed, including Parsabiv (etelcalcitide, [ 53 , 54 ]. The binding site for amino acids to CaSR is also located in the ECD, at a location consistent with the general structure of the receptor as part of the C family of GPCRs, which includes amino acid binding members that mediate metabotropic responses to glutamate and glycine (reviewed by [ 1 ]). By in silico homology modeling of the binding site and subsequent functional studies, Wang et al. [ 1 ] determined that the amino acid binding site of CaSR was larger than in the other family C receptors, and that both GSH and GSSG can readily fit in the canonical amino acid binding site ( Figure 3 , reproduced from [ 1 ]). More recent crystallographic and cryo-EM studies of CaSR have provided direct evidence for the binding pocket(s) of amino acids and larger molecules in the ECD binding pocket of the receptor [ 3 , 4 , 55 ].”  [PMC8776003 ¶14]</w:t>
      </w:r>
    </w:p>
    <w:p>
      <w:pPr>
        <w:jc w:val="center"/>
      </w:pPr>
      <w:r>
        <w:drawing>
          <wp:inline xmlns:a="http://schemas.openxmlformats.org/drawingml/2006/main" xmlns:pic="http://schemas.openxmlformats.org/drawingml/2006/picture">
            <wp:extent cx="5029200" cy="2282000"/>
            <wp:docPr id="213" name="Picture 213"/>
            <wp:cNvGraphicFramePr>
              <a:graphicFrameLocks noChangeAspect="1"/>
            </wp:cNvGraphicFramePr>
            <a:graphic>
              <a:graphicData uri="http://schemas.openxmlformats.org/drawingml/2006/picture">
                <pic:pic>
                  <pic:nvPicPr>
                    <pic:cNvPr id="0" name="p06_i1.jpg"/>
                    <pic:cNvPicPr/>
                  </pic:nvPicPr>
                  <pic:blipFill>
                    <a:blip r:embed="rId46"/>
                    <a:stretch>
                      <a:fillRect/>
                    </a:stretch>
                  </pic:blipFill>
                  <pic:spPr>
                    <a:xfrm>
                      <a:off x="0" y="0"/>
                      <a:ext cx="5029200" cy="2282000"/>
                    </a:xfrm>
                    <a:prstGeom prst="rect"/>
                  </pic:spPr>
                </pic:pic>
              </a:graphicData>
            </a:graphic>
          </wp:inline>
        </w:drawing>
      </w:r>
    </w:p>
    <w:p>
      <w:pPr>
        <w:spacing w:after="160"/>
        <w:jc w:val="center"/>
      </w:pPr>
      <w:r>
        <w:rPr>
          <w:rFonts w:ascii="Times New Roman" w:hAnsi="Times New Roman" w:cs="Times New Roman" w:eastAsia="Times New Roman"/>
          <w:b w:val="0"/>
          <w:i/>
          <w:sz w:val="20"/>
        </w:rPr>
        <w:t>Figure 1 (from PMC8776003): “Structures of glutathione (GSH), L-cysteine-glutathione disulfide (CySSG), glutathione disulfide (oxidized glutathione, GSSG), and cysteinyl glutathione (CysGSH). Models were drawn by Jmol, through an interface on Wikipedia (GSSG) or at http://biomodel.uah.es/en/DIY/JSME/draw.en.htm (GSH, CySSG, and CysGSH; accessed 10 and 11 August 2021), based on CID struc”</w:t>
      </w:r>
    </w:p>
    <w:p>
      <w:pPr>
        <w:spacing w:after="120"/>
        <w:jc w:val="both"/>
      </w:pPr>
      <w:r>
        <w:rPr>
          <w:rFonts w:ascii="Times New Roman" w:hAnsi="Times New Roman" w:cs="Times New Roman" w:eastAsia="Times New Roman"/>
          <w:b w:val="0"/>
          <w:i w:val="0"/>
          <w:sz w:val="24"/>
        </w:rPr>
        <w:t>“Zhang et al. [ 5 ] studied the binding of tryptophan and an unexpected tryptophan derivative bound in crystalized hCaSR ECD. Tryptophan and its derivative bound in a binding pocket that was surrounded by many of the same amino acid residues predicted by Wang et al. [ 1 ], including W70, T145, S147, and S170, Y218, and E297. A similar set of residues adjacent to the binding pocket were also determined by Ling et al. 2021 using cryo-EM. The binding pocket described by Zhang et al. [ 5 ] was noted to be significantly larger than that of mGluR1, supporting the idea that CaSR could bind much larger ligands than the amino acids it has thus far been crystalized with. In further support of this idea, Zhang et al. [ 5 ] also commented that besides binding the somewhat larger tryptophan derivative, the binding site also appears to contain a bicarbonate molecule. The ECD binding pocket based on these recent structural studies is illustrated in this paper in Figure 4 , showing that it can also easily accommodate CySSG ( Figure 4 A,B), in a similar location to the position of Zhang et al.\u2019s tryptophan derivative [ 5 ] (illustrated in Figure 4 C).”  [PMC8776003 ¶15]</w:t>
      </w:r>
    </w:p>
    <w:p>
      <w:pPr>
        <w:spacing w:after="120"/>
        <w:jc w:val="both"/>
      </w:pPr>
      <w:r>
        <w:rPr>
          <w:rFonts w:ascii="Times New Roman" w:hAnsi="Times New Roman" w:cs="Times New Roman" w:eastAsia="Times New Roman"/>
          <w:b w:val="0"/>
          <w:i w:val="0"/>
          <w:sz w:val="24"/>
        </w:rPr>
        <w:t>“Second, CaSR is found in many tissues, including parathyroid gland, kidney, and bone, where it participates in regulation and utilization of extracellular Ca. Third, amino acids and peptides, including GSH and its derivatives, can sensitize CaSR responses to Ca; in taste buds GSH and related compounds can activate CaSR under ambient Ca conditions. Fourth, consistent with the functional effects of glutathionergics on CaSR, the binding pocket at which amino acids exert their effects on CaSR is large enough to accommodate peptides, including glutathione and its oxidized derivatives. Fifth, extracellular Ca in the same concentration range as is regulated by CaSR in parathyroid, kidney, and bone tissues can modify glutathione synthesis, particularly in hepatocytes, the major source of circulating glutathione. Given the above observations, we therefore propose that circulating glutathionergics (GSH, GSSG, and/or CySSG) bind to and sensitize CaSR to extracellular Ca and thereby participate in the homeostatic regulation of extracellular Ca.”  [PMC8776003 ¶20]</w:t>
      </w:r>
    </w:p>
    <w:p>
      <w:pPr>
        <w:keepNext/>
        <w:spacing w:before="280" w:after="80"/>
        <w:outlineLvl w:val="1"/>
      </w:pPr>
      <w:r>
        <w:rPr>
          <w:rFonts w:ascii="Times New Roman" w:hAnsi="Times New Roman" w:cs="Times New Roman" w:eastAsia="Times New Roman"/>
          <w:b/>
          <w:i w:val="0"/>
          <w:color w:val="335588"/>
          <w:sz w:val="28"/>
        </w:rPr>
        <w:t>3b.2  GSH precursor chemistry underpins antioxidant function</w:t>
      </w:r>
    </w:p>
    <w:p>
      <w:pPr>
        <w:spacing w:after="120"/>
        <w:jc w:val="both"/>
      </w:pPr>
      <w:r>
        <w:rPr>
          <w:rFonts w:ascii="Times New Roman" w:hAnsi="Times New Roman" w:cs="Times New Roman" w:eastAsia="Times New Roman"/>
          <w:b w:val="0"/>
          <w:i w:val="0"/>
          <w:sz w:val="24"/>
        </w:rPr>
        <w:t>“Many studies have shown the protective effects of NAC for neonatal animals immune challenged with bacterial lipopolysaccharide (LPS) endotoxin, particularly studies involving piglets [ 13 , 14 ]. NAC administration has consistently been shown to increase daily body weight gain and alleviate LPS-mediated growth depression. Furthermore, the porcine model of ulcerative colitis (UC) can be used to support NAC usage for humans. For example, in a study conducted by Wang et al. (2013), the piglet model of UC demonstrated that administration of NAC was able to reduce colon histopathology score and ameliorate UC histological abnormalities [ 15 ]. Despite the numerous NAC studies and its increasing popularity, the mechanisms of action (MOA) by which NAC exerts its antioxidant and cytoprotective properties remain unclear [ 1 , 16 ]. It is often assumed that the effects conferred by NAC are due to it acting as a scavenger of reactive oxygen species (ROS), a precursor for glutathione (GSH) biosynthesis, and a disulfide reductant [ 16 , 17 ].”  [PMC10604897 ¶4]</w:t>
      </w:r>
    </w:p>
    <w:p>
      <w:pPr>
        <w:spacing w:after="120"/>
        <w:jc w:val="both"/>
      </w:pPr>
      <w:r>
        <w:rPr>
          <w:rFonts w:ascii="Times New Roman" w:hAnsi="Times New Roman" w:cs="Times New Roman" w:eastAsia="Times New Roman"/>
          <w:b w:val="0"/>
          <w:i w:val="0"/>
          <w:sz w:val="24"/>
        </w:rPr>
        <w:t>“Due to its disagreeable flavor, NAC is often mixed with fruit juice or a soft drink prior to consumption. In Europe, NAC is available in pills, capsules, and a variety of effervescent \u201cfizzy tab\u201d formulations [ 18 ]. 2. Safety Profile of NAC The safety of NAC has been well-established through numerous pharmacological studies [ 17 ]. Toxicity is rare and dependent on the route of NAC administration and dosage [ 1 ]. NAC can be administered orally, intravenously, or intranasally [ 1 ]. When orally administered, NAC undergoes rapid intestinal absorption and is subsequently metabolized by the liver [ 1 ]. The cysteine released during NAC metabolism is utilized for glutathione (GSH) synthesis, which is vital for immune function and tissue repair [ 1 ]. NAC\u2019s bioavailability following oral administration is less than 10%. Therefore, only a small portion of intact NAC reaches the plasma and tissue [ 1 ].”  [PMC10604897 ¶6]</w:t>
      </w:r>
    </w:p>
    <w:p>
      <w:pPr>
        <w:spacing w:after="120"/>
        <w:jc w:val="both"/>
      </w:pPr>
      <w:r>
        <w:rPr>
          <w:rFonts w:ascii="Times New Roman" w:hAnsi="Times New Roman" w:cs="Times New Roman" w:eastAsia="Times New Roman"/>
          <w:b w:val="0"/>
          <w:i w:val="0"/>
          <w:sz w:val="24"/>
        </w:rPr>
        <w:t>“NAC\u2019s half-life was found to be 1.04 \u00b1 0.53 h. The authors also did not find any significant difference between NAC\u2019s pharmacokinetics in healthy broilers versus Mycoplasma gallisepticum-infected broilers. 5. Therapeutic Uses of NAC in Humans NAC is one of the most used antioxidants in clinical practice to date [ 16 , 17 , 36 ]. There has been a growing interest over the past few decades to use NAC as a potential treatment for a wide range of diseases and disorders in which oxidative stress is suspected to play a role [ 17 , 37 ], including respiratory, cardiovascular, neurodegenerative, liver, kidney, gastrointestinal, and infectious diseases [ 1 ]. antioxidants-12-01867-t001_Table 1 Table 1 N-acetylcysteine adverse events. Study Study Type Study Size NAC Treatment Type and Incidence of Adverse Events following NAC Treatment Moderate Severe [ 38 ] Double-blinded, placebo-controlled, crossover design 17 healthy individuals (age 30 \u00b1 2 years) 9 mg/kg NAC capsule Upset stomach (2), nausea (1), stomach/intestinal gas (1), cough (1) 18 mg/kg NAC capsule Upset stomach (1), nausea (1), stomach/intestinal gas (2), sleepiness (2), metallic taste (1) 35 mg/kg oral NAC solution Upset stomach (2), stomach/intestinal gas (2), sleepiness (1), metallic taste (1) 70 mg/kg oral NAC solution Upset stomach (2), stomach/intestinal gas (1), sleepiness (3), metallic taste (3), light-headedness (1), cough (1) Upset stomach (1), Stomach/intestinal gas (1) 140 mg/kg oral NAC solution Upset stomach (5), nausea (3), stomach/intestinal gas (2), sleepiness (2), metallic taste (4), light-headedness (1) Upset stomach (1), stomach/intestinal gas (4) [ 39 ] Randomized, placebo-controlled study 28 individuals (\u226475 years) 20 mg/min intravenous NAC for first hour, then 10 mg/min for next 23 h; total dose of 15 g over 24 h Haemorrhage (3), headache (4) Transient episode of extreme sinus bradycardia (1) [ 40 ] Randomized, placebo-controlled study 4 healthy individuals (age 35 \u00b1 3 years) 150 mg/kg intravenous Transient skin flushing (2), pruritus (2), nausea (2) [ 41 ] Double-blind, randomized trial 65 chronic bronchitis patients 4 puffs of NAC (1 mg/puff) two times daily Coughing (4), Dyspnoea (7) 5.1.”  [PMC10604897 ¶13]</w:t>
      </w:r>
    </w:p>
    <w:p>
      <w:pPr>
        <w:jc w:val="center"/>
      </w:pPr>
      <w:r>
        <w:drawing>
          <wp:inline xmlns:a="http://schemas.openxmlformats.org/drawingml/2006/main" xmlns:pic="http://schemas.openxmlformats.org/drawingml/2006/picture">
            <wp:extent cx="5029200" cy="2300859"/>
            <wp:docPr id="214" name="Picture 214"/>
            <wp:cNvGraphicFramePr>
              <a:graphicFrameLocks noChangeAspect="1"/>
            </wp:cNvGraphicFramePr>
            <a:graphic>
              <a:graphicData uri="http://schemas.openxmlformats.org/drawingml/2006/picture">
                <pic:pic>
                  <pic:nvPicPr>
                    <pic:cNvPr id="0" name="p21_i1.jpg"/>
                    <pic:cNvPicPr/>
                  </pic:nvPicPr>
                  <pic:blipFill>
                    <a:blip r:embed="rId12"/>
                    <a:stretch>
                      <a:fillRect/>
                    </a:stretch>
                  </pic:blipFill>
                  <pic:spPr>
                    <a:xfrm>
                      <a:off x="0" y="0"/>
                      <a:ext cx="5029200" cy="2300859"/>
                    </a:xfrm>
                    <a:prstGeom prst="rect"/>
                  </pic:spPr>
                </pic:pic>
              </a:graphicData>
            </a:graphic>
          </wp:inline>
        </w:drawing>
      </w:r>
    </w:p>
    <w:p>
      <w:pPr>
        <w:spacing w:after="160"/>
        <w:jc w:val="center"/>
      </w:pPr>
      <w:r>
        <w:rPr>
          <w:rFonts w:ascii="Times New Roman" w:hAnsi="Times New Roman" w:cs="Times New Roman" w:eastAsia="Times New Roman"/>
          <w:b w:val="0"/>
          <w:i/>
          <w:sz w:val="20"/>
        </w:rPr>
        <w:t>Figure 1 (from PMC10604897): “The three major narratives of NAC’s mechanisms of action.</w:t>
        <w:br/>
        <w:t xml:space="preserve">   graphic: `antioxidants-12-01867-g001.jpg`”</w:t>
      </w:r>
    </w:p>
    <w:p>
      <w:pPr>
        <w:spacing w:after="120"/>
        <w:jc w:val="both"/>
      </w:pPr>
      <w:r>
        <w:rPr>
          <w:rFonts w:ascii="Times New Roman" w:hAnsi="Times New Roman" w:cs="Times New Roman" w:eastAsia="Times New Roman"/>
          <w:b w:val="0"/>
          <w:i w:val="0"/>
          <w:sz w:val="24"/>
        </w:rPr>
        <w:t>“NAC functions to replenish hepatic GSH stores and provide a larger supply of oxygen to the injured liver [ 1 ]. Administration of NAC during acetaminophen overdose acts to rapidly increase GSH synthesis in the liver and reduce mitochondrial protein binding [ 28 ]. The amount of NAC required to counteract acetaminophen toxicity is determined by plotting the concentration of acetaminophen in plasma against the time post-overdose on a nomogram [ 28 ]. Initiating NAC treatment within 8 h of overdosing minimizes the risk of hepatocellular damage as the effectiveness of NAC treatment is negatively correlated with the time post-overdose [ 28 ]. Reports have shown that oral NAC is just as effective as intravenous NAC in treating acetaminophen toxicity within 10 h of overdosing [ 28 ]. However, it is important to note that the absorption of orally administered NAC will be hindered when administered following the use of activated charcoal, which is commonly used to mitigate acetaminophen toxicity; as such, the preferred route of administration is intravenous NAC [ 28 ]. 5.1.2.”  [PMC10604897 ¶16]</w:t>
      </w:r>
    </w:p>
    <w:p>
      <w:pPr>
        <w:spacing w:after="120"/>
        <w:jc w:val="both"/>
      </w:pPr>
      <w:r>
        <w:rPr>
          <w:rFonts w:ascii="Times New Roman" w:hAnsi="Times New Roman" w:cs="Times New Roman" w:eastAsia="Times New Roman"/>
          <w:b w:val="0"/>
          <w:i w:val="0"/>
          <w:sz w:val="24"/>
        </w:rPr>
        <w:t>“Furthermore, studies involving diabetic patients demonstrated that the administration of intravenous NAC during hyperglycemic clamp, which measures insulin secretion and pancreatic-cell function, was shown to improve insulin sensitivity and increase peripheral glucose uptake [ 89 ]. antioxidants-12-01867-t002_Table 2 Table 2 N-acetylcysteine clinical studies. Disease Study Type Study Phase Dose Treatment Duration Administration Routes Liver diseases Acute acetaminophen overdose Interventional (Clinical Trial) NCT03679442 Phase 1 Dose corresponding to the clinical treatment guidelines for acetaminophen overdosed patients 16 h Intravenous Non-alcoholic fatty liver disease Interventional (Clinical Trial) NCT02117700 Phase 2 600 mg twice/ day 16 weeks Oral Pulmonary diseases Cystic fibrosis Interventional (Clinical Trial) NCT00809094 Phase 2 900 mg twice/day 24 weeks Oral Chronic Obstructive Pulmonary Disease Interventional (Clinical Trial) NCT01136239 Phase 4 600 mg twice/ day One year Oral Interventional (Clinical Trial) NCT00969904 Phase 4 600 mg twice/ day 12 weeks Oral Interventional (Clinical Trial) NCT03388853 Phase 4 1200 mg once daily 4 weeks Oral Interventional (Clinical Trial) NCT02579772 Phase 4 600 mg three times/ day for 4 days prior to experimental procedures and 600 mg on the day of the experiment 4 days Oral Interventional (Clinical Trial) NCT00184977 Phase 4 600 mg once daily 3 years Oral Infectious Diseases Influenza Interventional (Clinical Trial) NCT03900988 Phase 4 100 mg/kg daily as a continuous IV infusion over 24 h 28 days Intravenous COVID-19 Interventional (Clinical Trial) NCT04374461 Phase 2 6 g/day Patients will receive treatment for a max of 3 weeks Intravenous Interventional (Clinical Trial) NCT04928495 Phase 3 1800 mg once daily 10 days Oral Interventional (Clinical Trial) NCT04900129 Phase 1 1.2 g twice/day One month Inhalation Interventional (Clinical Trial) NCT04792021 Phase 3 600 mg/day Two weeks/ until hospital discharge or death Oral Interventional (Clinical Trial) NCT04419025 Phase 2 Inpatients : 25 mg/kg (rounded up to the nearest 600 mg) every 4 h until discharge and then 1200 mg twice daily \u00d7 1 week post-discharge Outpatients : 2400 mg \u00d7 1 then 1200 mg twice daily \u00d7 2 weeks Inpatients : until 1 week post-discharge Outpatients : 15 days Oral Interventional (Clinical Trial) NCT04455243 Phase 3 150 mg/kg every 12 h diluted in 200 mL diluent (D5%, NS) 14 days Oral or intravenous Diabetes Mellitus Interventional (Clinical Trial) NCT02206152 Phase 1 and 2 150 mg/kg loading dose over the first hour and then follow that with a 50 mg/kg maintenance dose infused over the next 4 h during a controlled hyperinsulinemic hypoglycemic insulin clamp Two 2-day treatments separated by 8 weeks Intravenous Interventional (Clinical Trial) NCT01394510 N/A 600 mg twice daily \u00d7 2 weeks, then 1200 mg twice daily \u00d7 2 weeks 4 weeks Oral Interventional (Clinical Trial) NCT04531163 Phase 2 and 3 1200 mg/day 2 months Oral Interventional (Clinical Trial) NCT00556465 Phase 2 and 3 600 mg twice/ day 3 months Oral 9.”  [PMC10604897 ¶40]</w:t>
      </w:r>
    </w:p>
    <w:p>
      <w:pPr>
        <w:spacing w:after="120"/>
        <w:jc w:val="both"/>
      </w:pPr>
      <w:r>
        <w:rPr>
          <w:rFonts w:ascii="Times New Roman" w:hAnsi="Times New Roman" w:cs="Times New Roman" w:eastAsia="Times New Roman"/>
          <w:b w:val="0"/>
          <w:i w:val="0"/>
          <w:sz w:val="24"/>
        </w:rPr>
        <w:t>“## Figure captions (2) 1. **Figure 1** — Differential modulation of pro-inflammatory mediators in relation to both the concentration and duration of treatment with N-acetylcysteine in in vitro models of airway inflammation. NAC: N-acetylcysteine; LPS: lipopolysaccharides; NKA: neurokinin A; IL-6: Interleukin-6; TNF-α: tumor necrosis factor-α; IL-8: Interleukin-8; IL-1β: Interleukin-1beta; NF-κB: Nuclear factor kappa B. graphic: `jcm-13-04127-g001.jpg` 2. **Figure 2** — Proposed molecular mechanisms for the therapeutic activity of N-acetylcysteine after oral administration in chronic respiratory diseases. NAC: N-acetylcysteine; GSH: glutathione; RSSH: persulfides; RSS n SR: polysulfides; NKA: neurokinin A; NF-κB: Nuclear factor kappa B; TNF-α: tumor necrosis factor-α; IL-1β: Interleukin-1beta; IL-8: Interleukin-8; ROS: reactive oxygen species. graphic: `jcm-13-04127-g002.jpg` ```json { "pmcid": "PMC11278452", "pmid": "39064168", "doi": "10.3390/jcm13144127", "title": "Anti-Inflammatory and Anti-Oxidant Properties of N-Acetylcysteine: A Fresh Perspective", "journal": "Journal of Clinical Medicine", "year": "2024", "abstract": "N-acetyl-L-cysteine (NAC) was initially introduced as a treatment for mucus reduction and widely used for chronic respiratory conditions associated with mucus overproduction.”  [PMC11278452 ¶1]</w:t>
      </w:r>
    </w:p>
    <w:p>
      <w:pPr>
        <w:spacing w:after="120"/>
        <w:jc w:val="both"/>
      </w:pPr>
      <w:r>
        <w:rPr>
          <w:rFonts w:ascii="Times New Roman" w:hAnsi="Times New Roman" w:cs="Times New Roman" w:eastAsia="Times New Roman"/>
          <w:b w:val="0"/>
          <w:i w:val="0"/>
          <w:sz w:val="24"/>
        </w:rPr>
        <w:t>“The unique combination of mucolytic, antioxidant, anti-infective, and anti-inflammatory properties positions NAC as a safe, cost-effective, and efficacious therapy for a plethora of respiratory conditions.", "body_text": "1. Introduction N-acetyl-L-cysteine (NAC) was first introduced in 1965 primarily for its role in promoting mucolysis [ 1 ] and has been the preferred treatment for paracetamol intoxication since the mid-1970s [ 2 ]. Its intravenous formulation for this purpose is recognized on the WHO\u2019s list of Essential Medicines [ 3 ]. The excessive production and secretion of airway mucus have significant importance in the pathophysiology and clinical manifestations of different respiratory diseases, including acute and chronic bronchitis (CB), chronic obstructive pulmonary disease (COPD), bronchiectasis, and cystic fibrosis (CF) [ 4 , 5 ]. Recent evidence indicates that oxidative stress and inflammation contribute to the development of these pathologies, showing a close correlation with clinical outcomes and triggering the overproduction of mucus by glands and goblet cells [ 6 , 7 , 8 , 9 ].”  [PMC11278452 ¶3]</w:t>
      </w:r>
    </w:p>
    <w:p>
      <w:pPr>
        <w:spacing w:after="120"/>
        <w:jc w:val="both"/>
      </w:pPr>
      <w:r>
        <w:rPr>
          <w:rFonts w:ascii="Times New Roman" w:hAnsi="Times New Roman" w:cs="Times New Roman" w:eastAsia="Times New Roman"/>
          <w:b w:val="0"/>
          <w:i w:val="0"/>
          <w:sz w:val="24"/>
        </w:rPr>
        <w:t>“NAC as Anti-Oxidant Abnormal levels of GSH in both extracellular and intracellular compartments are commonly observed in chronic pulmonary diseases, such as CF, bronchiectasis, idiopathic pulmonary fibrosis (IPF), and COPD [ 40 , 41 ]. During the 1980s, Mold\u00e9us and colleagues [ 42 ] pioneered the revelation that NAC demonstrated anti-oxidant effects in respiratory cells and tissues. Their findings showcased NAC\u2019s capability to safeguard against the detrimental impacts of cigarette smoke condensates and hydrogen peroxide (H 2 O 2 ) [ 42 ]. The researchers proposed that NAC\u2019s shielding effect against ROS may be attributed to its function as a precursor to GSH and an enhancer of GSH biosynthesis [ 42 ]. Indeed, from a stringent biochemical perspective, the anti-oxidant characteristics of NAC are intricately linked to the elevation of GSH content, leading to the reduction in ROS synthesis [ 22 ].”  [PMC11278452 ¶10]</w:t>
      </w:r>
    </w:p>
    <w:p>
      <w:pPr>
        <w:jc w:val="center"/>
      </w:pPr>
      <w:r>
        <w:drawing>
          <wp:inline xmlns:a="http://schemas.openxmlformats.org/drawingml/2006/main" xmlns:pic="http://schemas.openxmlformats.org/drawingml/2006/picture">
            <wp:extent cx="5029200" cy="4259385"/>
            <wp:docPr id="215" name="Picture 215"/>
            <wp:cNvGraphicFramePr>
              <a:graphicFrameLocks noChangeAspect="1"/>
            </wp:cNvGraphicFramePr>
            <a:graphic>
              <a:graphicData uri="http://schemas.openxmlformats.org/drawingml/2006/picture">
                <pic:pic>
                  <pic:nvPicPr>
                    <pic:cNvPr id="0" name="p06_i1.jpg"/>
                    <pic:cNvPicPr/>
                  </pic:nvPicPr>
                  <pic:blipFill>
                    <a:blip r:embed="rId14"/>
                    <a:stretch>
                      <a:fillRect/>
                    </a:stretch>
                  </pic:blipFill>
                  <pic:spPr>
                    <a:xfrm>
                      <a:off x="0" y="0"/>
                      <a:ext cx="5029200" cy="4259385"/>
                    </a:xfrm>
                    <a:prstGeom prst="rect"/>
                  </pic:spPr>
                </pic:pic>
              </a:graphicData>
            </a:graphic>
          </wp:inline>
        </w:drawing>
      </w:r>
    </w:p>
    <w:p>
      <w:pPr>
        <w:spacing w:after="160"/>
        <w:jc w:val="center"/>
      </w:pPr>
      <w:r>
        <w:rPr>
          <w:rFonts w:ascii="Times New Roman" w:hAnsi="Times New Roman" w:cs="Times New Roman" w:eastAsia="Times New Roman"/>
          <w:b w:val="0"/>
          <w:i/>
          <w:sz w:val="20"/>
        </w:rPr>
        <w:t>Figure 1 (from PMC11278452): “Differential modulation of pro-inflammatory mediators in relation to both the concentration and duration of treatment with N-acetylcysteine in in vitro models of airway inflammation. NAC: N-acetylcysteine; LPS: lipopolysaccharides; NKA: neurokinin A; IL-6: Interleukin-6; TNF-α: tumor necrosis factor-α; IL-8: Interleukin-8; IL-1β: Interleukin-1beta; NF-κB: Nu”</w:t>
      </w:r>
    </w:p>
    <w:p>
      <w:pPr>
        <w:spacing w:after="120"/>
        <w:jc w:val="both"/>
      </w:pPr>
      <w:r>
        <w:rPr>
          <w:rFonts w:ascii="Times New Roman" w:hAnsi="Times New Roman" w:cs="Times New Roman" w:eastAsia="Times New Roman"/>
          <w:b w:val="0"/>
          <w:i w:val="0"/>
          <w:sz w:val="24"/>
        </w:rPr>
        <w:t>“NAC orally administered at 600 mg/day has been reported to reduce sputum ECP and Interleukin-8 (IL-8) concentrations in patients with COPD [ 24 , 25 ]. Additionally, at this dosage, NAC modulated the inflammatory response after ten weeks of intake in COPD patients by decreasing serum IL-8 levels [ 26 ]. This intervention also removed the inverse relationship between the pro-inflammatory cytokine IL-8 and glutathione peroxidase (GPx) and Trolox equivalent antioxidant capacity (TEAC) [ 26 ]. These findings imply that NAC affects IL-8 expression through pathways that are not dependent on GPx and plasma anti-oxidants [ 26 ]. Moreover, it eliminated the positive correlation between intercellular adhesion molecule-1 (ICAM-1) and IL-8, indicating that ICAM-1 expression is modulated by pathways not susceptible to NAC [ 26 ]. A study examining how NAC treatment affects changes induced by sepsis in conscious rats revealed a reduction in inflammatory biomarkers (IL-6, tumor necrosis factor-\u03b1 (TNF-\u03b1), and IL-10) linked to sepsis [ 62 ].”  [PMC11278452 ¶16]</w:t>
      </w:r>
    </w:p>
    <w:p>
      <w:pPr>
        <w:spacing w:after="120"/>
        <w:jc w:val="both"/>
      </w:pPr>
      <w:r>
        <w:rPr>
          <w:rFonts w:ascii="Times New Roman" w:hAnsi="Times New Roman" w:cs="Times New Roman" w:eastAsia="Times New Roman"/>
          <w:b w:val="0"/>
          <w:i w:val="0"/>
          <w:sz w:val="24"/>
        </w:rPr>
        <w:t>“Clinical trial results suggest that prolonged NAC administration can significantly enhance respiratory symptoms and decrease the frequency of exacerbations in COPD and CB/pre-COPD patients.", "tables": [], "figures": [ { "label": "Figure 1", "caption": "Differential modulation of pro-inflammatory mediators in relation to both the concentration and duration of treatment with N-acetylcysteine in in vitro models of airway inflammation. NAC: N-acetylcysteine; LPS: lipopolysaccharides; NKA: neurokinin A; IL-6: Interleukin-6; TNF-\u03b1: tumor necrosis factor-\u03b1; IL-8: Interleukin-8; IL-1\u03b2: Interleukin-1beta; NF-\u03baB: Nuclear factor kappa B.", "graphic_href": "jcm-13-04127-g001.jpg" }, { "label": "Figure 2", "caption": "Proposed molecular mechanisms for the therapeutic activity of N-acetylcysteine after oral administration in chronic respiratory diseases. NAC: N-acetylcysteine; GSH: glutathione; RSSH: persulfides; RSS n SR: polysulfides; NKA: neurokinin A; NF-\u03baB: Nuclear factor kappa B; TNF-\u03b1: tumor necrosis factor-\u03b1; IL-1\u03b2: Interleukin-1beta; IL-8: Interleukin-8; ROS: reactive oxygen species.", "graphic_href": "jcm-13-04127-g002.jpg" } ], "references": [ { "title": "The reduction in vitro in viscosity of mucoprotein solutions by a new mucolytic agent, N-acetyl-L-cysteine", "year": "1963", "source": "Ann.”  [PMC11278452 ¶34]</w:t>
      </w:r>
    </w:p>
    <w:p>
      <w:pPr>
        <w:spacing w:after="120"/>
        <w:jc w:val="both"/>
      </w:pPr>
      <w:r>
        <w:rPr>
          <w:rFonts w:ascii="Times New Roman" w:hAnsi="Times New Roman" w:cs="Times New Roman" w:eastAsia="Times New Roman"/>
          <w:b w:val="0"/>
          <w:i w:val="0"/>
          <w:sz w:val="24"/>
        </w:rPr>
        <w:t>“Nevertheless, Sun et al. [ 89 ] observed AMPK activation, and since AMPK can also phosphorylate eNOS at Ser 1177 [ 90 , 91 ], it is likely that, in the conditions considered by the authors [ 89 ], AMPK mediates Ser 1177 eNOS phosphorylation. The importance of abating redox stress is evidenced by the proposed treatment with antioxidant factors at multi-level intervention strategies, as extensively reviewed elsewhere [ 36 , 37 , 38 , 39 , 40 , 92 ]. One example is the observation that N-acetyl-L-cysteine (NAC) prevents these detrimental changes during calcific aortic valve stenosis in human valve endothelial cells, where oxidative stress and the accumulation of oxidation-induced protein S-glutathionylation drive a dysfunctional shift that promotes calcification. In summary , vascular tissue contains antioxidant systems like SOD, catalase, GPx, and Trx/TXNRD, which protect against oxidative stress.”  [PMC11939635 ¶32]</w:t>
      </w:r>
    </w:p>
    <w:p>
      <w:pPr>
        <w:spacing w:after="120"/>
        <w:jc w:val="both"/>
      </w:pPr>
      <w:r>
        <w:rPr>
          <w:rFonts w:ascii="Times New Roman" w:hAnsi="Times New Roman" w:cs="Times New Roman" w:eastAsia="Times New Roman"/>
          <w:b w:val="0"/>
          <w:i w:val="0"/>
          <w:sz w:val="24"/>
        </w:rPr>
        <w:t>“## Figure captions (4) 1. **Figure 1** — Structures of glutathione (GSH), L-cysteine-glutathione disulfide (CySSG), glutathione disulfide (oxidized glutathione, GSSG), and cysteinyl glutathione (CysGSH). Models were drawn by Jmol, through an interface on Wikipedia (GSSG) or at http://biomodel.uah.es/en/DIY/JSME/draw.en.htm (GSH, CySSG, and CysGSH; accessed 10 and 11 August 2021), based on CID structures 124886 for GSH, 10455148 for CySSG graphic: `ijms-23-00717-g001.jpg` 2. **Figure 2** — Plasma GSH, GSSG, and CySSG in 10 healthy (HIV-negative) people, 30 HIV-positive, and 23 AIDS patients. ( Left ) Derived from Figure 1 and the text of Walmsley et al. [ 15 ]. ( Right ) the same data plotted as per cent of average healthy controls. * p &lt; 0.05 compared to controls. graphic: `ijms-23-00717-g002.jpg` 3. **Figure 3** — Binding pocket from Wang et al. [ 1 ], showing that it can accommodate either ( A ) GSH or ( B ) GSSG. graphic: `ijms-23-00717-g003.jpg` 4. **Figure 4** — Potential docking sites of glutathionergics to the ECD of CaSR determined with the SwissDock docking simulator [ 56 ], and visualized via UCSF Chimera [ 57 ] visualization software.”  [PMC8776003 ¶1]</w:t>
      </w:r>
    </w:p>
    <w:p>
      <w:pPr>
        <w:spacing w:after="120"/>
        <w:jc w:val="both"/>
      </w:pPr>
      <w:r>
        <w:rPr>
          <w:rFonts w:ascii="Times New Roman" w:hAnsi="Times New Roman" w:cs="Times New Roman" w:eastAsia="Times New Roman"/>
          <w:b w:val="0"/>
          <w:i w:val="0"/>
          <w:sz w:val="24"/>
        </w:rPr>
        <w:t>“Images show Chain B of the CaSR ECD structure with ligands ( A ) and ( B ) CySSG, ( D ) GSH, ( E ) GSSG, and ( F ) CysGSH, docked in the binding site corresponding to where tryptophan and ( C ) a tryptophan derivative graphic: `ijms-23-00717-g004.jpg` ```json { "pmcid": "PMC8776003", "pmid": "35054903", "doi": "10.3390/ijms23020717", "title": "Extracellular Calcium Receptor as a Target for Glutathione and Its Derivatives", "journal": "International Journal of Molecular Sciences", "year": "2022", "abstract": "Extracellular glutathione (GSH) and oxidized glutathione (GSSG) can modulate the function of the extracellular calcium sensing receptor (CaSR). The CaSR has a binding pocket in the extracellular domain of CaSR large enough to bind either GSH or GSSG, as well as the naturally occurring oxidized derivative L-cysteine glutathione disulfide (CySSG) and the compound cysteinyl glutathione (CysGSH).”  [PMC8776003 ¶2]</w:t>
      </w:r>
    </w:p>
    <w:p>
      <w:pPr>
        <w:spacing w:after="120"/>
        <w:jc w:val="both"/>
      </w:pPr>
      <w:r>
        <w:rPr>
          <w:rFonts w:ascii="Times New Roman" w:hAnsi="Times New Roman" w:cs="Times New Roman" w:eastAsia="Times New Roman"/>
          <w:b w:val="0"/>
          <w:i w:val="0"/>
          <w:sz w:val="24"/>
        </w:rPr>
        <w:t>“Modeling the binding energies (\u0394G) of CySSG and CysGSH to CaSR reveals that both cysteine derivatives may have greater affinities for CaSR than either GSH or GSSG. GSH, CySSG, and GSSG are found in circulation in mammals and, among the three, CySSG is more affected by HIV/AIDs and aging than either GSH or GSSG. The beta-carbon linkage of cysteine in CysGSH may model a new class of calcimimetics, exemplified by etelcalcetide. Circulating glutathionergic compounds, particularly CySSG, may mediate calcium-regulatory responses via receptor-binding to CaSR in a variety of organs, including parathyroids, kidneys, and bones. Receptor-mediated actions of glutathionergics may thus complement their roles in redox regulation and detoxification. The glutathionergic binding site(s) on CaSR are suggested to be a target for development of drugs that can be used in treating kidney and other diseases whose mechanisms involve CaSR dysregulation.", "body_text": "1.”  [PMC8776003 ¶3]</w:t>
      </w:r>
    </w:p>
    <w:p>
      <w:pPr>
        <w:jc w:val="center"/>
      </w:pPr>
      <w:r>
        <w:drawing>
          <wp:inline xmlns:a="http://schemas.openxmlformats.org/drawingml/2006/main" xmlns:pic="http://schemas.openxmlformats.org/drawingml/2006/picture">
            <wp:extent cx="5029200" cy="2282000"/>
            <wp:docPr id="216" name="Picture 216"/>
            <wp:cNvGraphicFramePr>
              <a:graphicFrameLocks noChangeAspect="1"/>
            </wp:cNvGraphicFramePr>
            <a:graphic>
              <a:graphicData uri="http://schemas.openxmlformats.org/drawingml/2006/picture">
                <pic:pic>
                  <pic:nvPicPr>
                    <pic:cNvPr id="0" name="p06_i1.jpg"/>
                    <pic:cNvPicPr/>
                  </pic:nvPicPr>
                  <pic:blipFill>
                    <a:blip r:embed="rId46"/>
                    <a:stretch>
                      <a:fillRect/>
                    </a:stretch>
                  </pic:blipFill>
                  <pic:spPr>
                    <a:xfrm>
                      <a:off x="0" y="0"/>
                      <a:ext cx="5029200" cy="2282000"/>
                    </a:xfrm>
                    <a:prstGeom prst="rect"/>
                  </pic:spPr>
                </pic:pic>
              </a:graphicData>
            </a:graphic>
          </wp:inline>
        </w:drawing>
      </w:r>
    </w:p>
    <w:p>
      <w:pPr>
        <w:spacing w:after="160"/>
        <w:jc w:val="center"/>
      </w:pPr>
      <w:r>
        <w:rPr>
          <w:rFonts w:ascii="Times New Roman" w:hAnsi="Times New Roman" w:cs="Times New Roman" w:eastAsia="Times New Roman"/>
          <w:b w:val="0"/>
          <w:i/>
          <w:sz w:val="20"/>
        </w:rPr>
        <w:t>Figure 1 (from PMC8776003): “Structures of glutathione (GSH), L-cysteine-glutathione disulfide (CySSG), glutathione disulfide (oxidized glutathione, GSSG), and cysteinyl glutathione (CysGSH). Models were drawn by Jmol, through an interface on Wikipedia (GSSG) or at http://biomodel.uah.es/en/DIY/JSME/draw.en.htm (GSH, CySSG, and CysGSH; accessed 10 and 11 August 2021), based on CID struc”</w:t>
      </w:r>
    </w:p>
    <w:p>
      <w:pPr>
        <w:spacing w:after="120"/>
        <w:jc w:val="both"/>
      </w:pPr>
      <w:r>
        <w:rPr>
          <w:rFonts w:ascii="Times New Roman" w:hAnsi="Times New Roman" w:cs="Times New Roman" w:eastAsia="Times New Roman"/>
          <w:b w:val="0"/>
          <w:i w:val="0"/>
          <w:sz w:val="24"/>
        </w:rPr>
        <w:t>“We propose that CaSR may be an important nexus for the interaction of glutathione and Ca and that the lesser known of these three compounds, CySSG, may have physiological roles in regulating CaSR activity through its receptor-binding activity. 1.1. GSH Synthesis and Relationship to GSH-Derivatives GSH is a tripeptide (gamma-glutamyl-cysteinyl-glycine) made by non-ribosomal mechanisms. The rate-limiting enzyme in GSH synthesis is glutamate-cysteine ligase (GCL, EC 6.3.2.2), whose activity is limited by the amount of enzyme and the availability of cysteine. Glutathione synthase (GSS) couples glycine to the resultant gamma-glu-cys to make GSH. GSH reacts with oxidants via glutathione peroxidase (GPx) to form GSSG, form GS- adducts with various electrophiles (these are often toxicants that are thereby detoxified) via glustathione-S-transferases (GSTs), or glutathionylates proteins through reactions mediated by glutaredoxins and thioredoxins.”  [PMC8776003 ¶5]</w:t>
      </w:r>
    </w:p>
    <w:p>
      <w:pPr>
        <w:spacing w:after="120"/>
        <w:jc w:val="both"/>
      </w:pPr>
      <w:r>
        <w:rPr>
          <w:rFonts w:ascii="Times New Roman" w:hAnsi="Times New Roman" w:cs="Times New Roman" w:eastAsia="Times New Roman"/>
          <w:b w:val="0"/>
          <w:i w:val="0"/>
          <w:sz w:val="24"/>
        </w:rPr>
        <w:t>“Alternatively, GSH is transported out of cells where it can undergo further reactions. GSH can be resynthesized from GSSG by the actions of glutathione disulfide reductase (GR). CySSG can be formed intracellularly or extracellularly by thiol-disulfide exchange with cystine [ 6 ], either spontaneously or via enzymatic catalysis by a thioltransferase [ 7 , 8 ]. CySSG is also produced spontaneously by the reaction of GSSG and cysteine [ 6 ]; gamma-glutamyltransferase (GGT) produces CySSG and cystine from GSSG, a reaction that can be inhibited by AT-125 (Acivicin) [ 9 ]. GGT also degrades CySSG, which can also be inhibited by Acivicin [ 9 ]. All three forms of glutathione are found in mammalian circulation [ 10 , 11 , 12 , 13 , 14 , 15 ]. Structures of the three circulating forms of glutathione (GSH, GSSG, and CySSG) are shown in Figure 1 . A fourth structure in Figure 1 , designated as cysteinyl glutathione (CysGSH), has cysteine coupled to glutathione through a covalent linkage to the beta carbon of the cysteine in the glutathione backbone and retains the hydrogen atom on one of the sulfurs the two cysteines in the structure, has also been described (PubChem CID 3080690).”  [PMC8776003 ¶6]</w:t>
      </w:r>
    </w:p>
    <w:p>
      <w:pPr>
        <w:spacing w:after="120"/>
        <w:jc w:val="both"/>
      </w:pPr>
      <w:r>
        <w:rPr>
          <w:rFonts w:ascii="Times New Roman" w:hAnsi="Times New Roman" w:cs="Times New Roman" w:eastAsia="Times New Roman"/>
          <w:b w:val="0"/>
          <w:i w:val="0"/>
          <w:sz w:val="24"/>
        </w:rPr>
        <w:t>“Importantly, the recognition that the reactive metabolite could be detoxified by glutathione [ 9 ] was the incentive to test glutathione precursors, leading to the discovery of NAC as an effective drug in preclinical models [ 35 ]. Today, we know that NAC works mainly through supporting the synthesis of hepatic GSH [ 36 ] ( Figure 1 ); GSH can scavenge NAPQI during the metabolism phase [ 37 ], and later, after import into mitochondria, can scavenge peroxynitrite [ 38 ]. However, excess NAC can also be converted to Krebs cycle intermediates and support the mitochondrial bioenergetics [ 39 ]. Together these mechanisms explain why NAC can effectively prevent cell death. Because of the high efficacy of NAC in several pilot trials in humans in the 1970s [ 40 , 41 ], large scale clinical studies were initiated, but due to ethical reasons, the FDA denied the originally proposed randomized controlled trials [ 14 , 16 ].”  [PMC11315809 ¶9]</w:t>
      </w:r>
    </w:p>
    <w:p>
      <w:pPr>
        <w:spacing w:after="120"/>
        <w:jc w:val="both"/>
      </w:pPr>
      <w:r>
        <w:rPr>
          <w:rFonts w:ascii="Times New Roman" w:hAnsi="Times New Roman" w:cs="Times New Roman" w:eastAsia="Times New Roman"/>
          <w:b w:val="0"/>
          <w:i w:val="0"/>
          <w:sz w:val="24"/>
        </w:rPr>
        <w:t>“This may need to be considered for the planned treatment regimen in APAP overdose patients. 3.4 Nrf2 activators Nuclear factor erythroid 2\u2013related factor 2 (Nrf2) is a transcription factor bound to Kelch-like erythroid cell-derived protein with CNC homology-associated protein 1 (Keap 1) in the cytosol [ 92 ]. Upon cellular stress such as oxidant stress or formation of reactive metabolites, Keap1 is oxidized, leading to liberation of Nrf2, which is then able to move into the nucleus, where it binds to a DNA sequence named antioxidant response element (ARE) and induces transcription of several genes mostly related to cellular defense mechanisms. Target genes of Nrf2 include glutathione S-transferase, NAD(P)H: quinone oxidoreductase 1 (Nqo1), glutamate-cysteine ligase catalytic subunit (Gclc) and regulatory subunit (Gclm), both of which regulate GSH synthesis, UDP-glucuronosyltransferase A6, which catalyzes the glucuronidation of APAP, and the multidrug resistance-associated protein 3 (Mrp3), which facilitates the basolateral excretion of APAP metabolites [ 93 ].”  [PMC11315809 ¶30]</w:t>
      </w:r>
    </w:p>
    <w:p>
      <w:pPr>
        <w:spacing w:after="120"/>
        <w:jc w:val="both"/>
      </w:pPr>
      <w:r>
        <w:rPr>
          <w:rFonts w:ascii="Times New Roman" w:hAnsi="Times New Roman" w:cs="Times New Roman" w:eastAsia="Times New Roman"/>
          <w:b w:val="0"/>
          <w:i w:val="0"/>
          <w:sz w:val="24"/>
        </w:rPr>
        <w:t>“Shown are means\u2009\u00b1\u2009s.d., one-way ANOVA, ( n =\u20093, biologically independent). g The bar graph depicts the level of DCFH-DA detected in HepG2 cells following 3\u2009h of nutrient starvation after overexpression of mCherry or LBP-mCherry. Shown are means\u2009\u00b1\u2009s.d., two-tailed unpaired t -test, ( n =\u20093, biologically independent). h Confocal data showing the co-localization of non-oxidized (violet), oxidized (red) LDs, Bodipy C12 (orange), and GFP/LBP-GFP (green) in 3-h-starved HepG2 cells. Scale bar\u2009=\u20095\u2009\u00b5m. Experiments repeated three times independently with similar results. Antioxidative treatment ameliorates LBP-induced steatosis To evaluate whether antioxidant therapy could alleviate LBP-induced steatosis, we administered N-acetyl-L-cysteine (NAC), a ROS scavenger, and observed a significant reduction in LD formation and TG accumulation in the livers of LBP KI/KI mice (Fig. 5a, b ).”  [PMC11016120 ¶25]</w:t>
      </w:r>
    </w:p>
    <w:p>
      <w:pPr>
        <w:spacing w:after="120"/>
        <w:jc w:val="both"/>
      </w:pPr>
      <w:r>
        <w:rPr>
          <w:rFonts w:ascii="Times New Roman" w:hAnsi="Times New Roman" w:cs="Times New Roman" w:eastAsia="Times New Roman"/>
          <w:b w:val="0"/>
          <w:i w:val="0"/>
          <w:sz w:val="24"/>
        </w:rPr>
        <w:t>“Our study provides insight into the ability of LBP to enter LDs, which we attribute to its C-segment hydrophobic groove lipid-binding capacity. Our docking result revealed the lipid-binding pocket of LBP formed more hydrogen bonds with oxidized triglycerides, indicating the antioxidant capacity of LBP. The lipidomics analysis of LBP KI/KI liver and LBP immunoparticipation were in accordance with this result and showed that LCPUFA-TG, which is more prone to be oxidized, was preferentially sequestered within the LDs. We found that the #4-helix within the C-segment of LBP is undetectable in the x-ray crystal structure. We hypothesized the existence of an \u03b1-helix through secondary structure prediction, homology modeling, and de novo modeling approaches, and confirmed the importance of the hydrogen bond formed by His_294 of the #4-helix with lipids for LBP lipid-binding capacity via molecular docking and molecular dynamics simulations.”  [PMC11016120 ¶50]</w:t>
      </w:r>
    </w:p>
    <w:p>
      <w:pPr>
        <w:keepNext/>
        <w:spacing w:before="280" w:after="80"/>
        <w:outlineLvl w:val="1"/>
      </w:pPr>
      <w:r>
        <w:rPr>
          <w:rFonts w:ascii="Times New Roman" w:hAnsi="Times New Roman" w:cs="Times New Roman" w:eastAsia="Times New Roman"/>
          <w:b/>
          <w:i w:val="0"/>
          <w:color w:val="335588"/>
          <w:sz w:val="28"/>
        </w:rPr>
        <w:t>3b.3  NAC is the clinically-dominant cysteine prodrug</w:t>
      </w:r>
    </w:p>
    <w:p>
      <w:pPr>
        <w:spacing w:after="120"/>
        <w:jc w:val="both"/>
      </w:pPr>
      <w:r>
        <w:rPr>
          <w:rFonts w:ascii="Times New Roman" w:hAnsi="Times New Roman" w:cs="Times New Roman" w:eastAsia="Times New Roman"/>
          <w:b w:val="0"/>
          <w:i w:val="0"/>
          <w:sz w:val="24"/>
        </w:rPr>
        <w:t>“The purpose of this review is to provide a concise overview of promising NAC usages for the treatment of different human and domestic animal disorders.", "body_text": "1. Introduction N-acetylcysteine (NAC) comes from the amino acid L-cysteine and has been a Food and Drug Administration (FDA) approved drug since 1963. It is recognized as the standard treatment for acetaminophen overdose and has been used as a mucolytic drug since the 1960s [ 1 ]. NAC has also been used as a supplement for decades and, as such, can be found as an over-the-counter nutritional supplement in countries such as the United States, Canada, and Australia [ 1 ]. Therefore, NAC falls into a grey zone with other compounds such as cannabidiol (CBD), but as of August 2022, the FDA has backed away from its hard stance on classifying NAC as a drug and is allowing its sale as a dietary supplement [ 2 ]. NAC\u2019s antioxidant and anti-inflammatory properties make it a promising therapeutic agent for conditions in which oxidative stress is involved [ 1 ].”  [PMC10604897 ¶2]</w:t>
      </w:r>
    </w:p>
    <w:p>
      <w:pPr>
        <w:spacing w:after="120"/>
        <w:jc w:val="both"/>
      </w:pPr>
      <w:r>
        <w:rPr>
          <w:rFonts w:ascii="Times New Roman" w:hAnsi="Times New Roman" w:cs="Times New Roman" w:eastAsia="Times New Roman"/>
          <w:b w:val="0"/>
          <w:i w:val="0"/>
          <w:sz w:val="24"/>
        </w:rPr>
        <w:t>“NAC Dosing and Pharmacokinetics NAC is commonly taken orally at doses of 600\u20131200 mg daily to treat specific conditions, or even as a dietary supplement. Administration of oral NAC at doses as high as 8000 mg/day is well-tolerated with no clinically significant adverse reactions [ 33 ]. NAC has a half-life of 5.58 h after intravenous administration [ 20 ]. Its half-life following oral administration is 6.25 h, reaching a maximum plasma concentration (Cmax) approximately 1 to 2 h post administration [ 20 ]. 4. Therapeutic Uses of NAC in Animals While studies have been conducted on the therapeutic uses of NAC in livestock and companion animals, in addition to its use as an antidote for acetaminophen poisoning in dogs and cats, limited pharmacokinetic data on NAC exists in the literature for other species. Among the limited pharmacokinetic data available, only two studies discussed the pharmacokinetics of NAC in chickens and healthy cats.”  [PMC10604897 ¶11]</w:t>
      </w:r>
    </w:p>
    <w:p>
      <w:pPr>
        <w:spacing w:after="120"/>
        <w:jc w:val="both"/>
      </w:pPr>
      <w:r>
        <w:rPr>
          <w:rFonts w:ascii="Times New Roman" w:hAnsi="Times New Roman" w:cs="Times New Roman" w:eastAsia="Times New Roman"/>
          <w:b w:val="0"/>
          <w:i w:val="0"/>
          <w:sz w:val="24"/>
        </w:rPr>
        <w:t>“NAC\u2019s half-life was found to be 1.04 \u00b1 0.53 h. The authors also did not find any significant difference between NAC\u2019s pharmacokinetics in healthy broilers versus Mycoplasma gallisepticum-infected broilers. 5. Therapeutic Uses of NAC in Humans NAC is one of the most used antioxidants in clinical practice to date [ 16 , 17 , 36 ]. There has been a growing interest over the past few decades to use NAC as a potential treatment for a wide range of diseases and disorders in which oxidative stress is suspected to play a role [ 17 , 37 ], including respiratory, cardiovascular, neurodegenerative, liver, kidney, gastrointestinal, and infectious diseases [ 1 ]. antioxidants-12-01867-t001_Table 1 Table 1 N-acetylcysteine adverse events. Study Study Type Study Size NAC Treatment Type and Incidence of Adverse Events following NAC Treatment Moderate Severe [ 38 ] Double-blinded, placebo-controlled, crossover design 17 healthy individuals (age 30 \u00b1 2 years) 9 mg/kg NAC capsule Upset stomach (2), nausea (1), stomach/intestinal gas (1), cough (1) 18 mg/kg NAC capsule Upset stomach (1), nausea (1), stomach/intestinal gas (2), sleepiness (2), metallic taste (1) 35 mg/kg oral NAC solution Upset stomach (2), stomach/intestinal gas (2), sleepiness (1), metallic taste (1) 70 mg/kg oral NAC solution Upset stomach (2), stomach/intestinal gas (1), sleepiness (3), metallic taste (3), light-headedness (1), cough (1) Upset stomach (1), Stomach/intestinal gas (1) 140 mg/kg oral NAC solution Upset stomach (5), nausea (3), stomach/intestinal gas (2), sleepiness (2), metallic taste (4), light-headedness (1) Upset stomach (1), stomach/intestinal gas (4) [ 39 ] Randomized, placebo-controlled study 28 individuals (\u226475 years) 20 mg/min intravenous NAC for first hour, then 10 mg/min for next 23 h; total dose of 15 g over 24 h Haemorrhage (3), headache (4) Transient episode of extreme sinus bradycardia (1) [ 40 ] Randomized, placebo-controlled study 4 healthy individuals (age 35 \u00b1 3 years) 150 mg/kg intravenous Transient skin flushing (2), pruritus (2), nausea (2) [ 41 ] Double-blind, randomized trial 65 chronic bronchitis patients 4 puffs of NAC (1 mg/puff) two times daily Coughing (4), Dyspnoea (7) 5.1.”  [PMC10604897 ¶13]</w:t>
      </w:r>
    </w:p>
    <w:p>
      <w:pPr>
        <w:jc w:val="center"/>
      </w:pPr>
      <w:r>
        <w:drawing>
          <wp:inline xmlns:a="http://schemas.openxmlformats.org/drawingml/2006/main" xmlns:pic="http://schemas.openxmlformats.org/drawingml/2006/picture">
            <wp:extent cx="5029200" cy="2300859"/>
            <wp:docPr id="217" name="Picture 217"/>
            <wp:cNvGraphicFramePr>
              <a:graphicFrameLocks noChangeAspect="1"/>
            </wp:cNvGraphicFramePr>
            <a:graphic>
              <a:graphicData uri="http://schemas.openxmlformats.org/drawingml/2006/picture">
                <pic:pic>
                  <pic:nvPicPr>
                    <pic:cNvPr id="0" name="p21_i1.jpg"/>
                    <pic:cNvPicPr/>
                  </pic:nvPicPr>
                  <pic:blipFill>
                    <a:blip r:embed="rId12"/>
                    <a:stretch>
                      <a:fillRect/>
                    </a:stretch>
                  </pic:blipFill>
                  <pic:spPr>
                    <a:xfrm>
                      <a:off x="0" y="0"/>
                      <a:ext cx="5029200" cy="2300859"/>
                    </a:xfrm>
                    <a:prstGeom prst="rect"/>
                  </pic:spPr>
                </pic:pic>
              </a:graphicData>
            </a:graphic>
          </wp:inline>
        </w:drawing>
      </w:r>
    </w:p>
    <w:p>
      <w:pPr>
        <w:spacing w:after="160"/>
        <w:jc w:val="center"/>
      </w:pPr>
      <w:r>
        <w:rPr>
          <w:rFonts w:ascii="Times New Roman" w:hAnsi="Times New Roman" w:cs="Times New Roman" w:eastAsia="Times New Roman"/>
          <w:b w:val="0"/>
          <w:i/>
          <w:sz w:val="20"/>
        </w:rPr>
        <w:t>Figure 1 (from PMC10604897): “The three major narratives of NAC’s mechanisms of action.</w:t>
        <w:br/>
        <w:t xml:space="preserve">   graphic: `antioxidants-12-01867-g001.jpg`”</w:t>
      </w:r>
    </w:p>
    <w:p>
      <w:pPr>
        <w:spacing w:after="120"/>
        <w:jc w:val="both"/>
      </w:pPr>
      <w:r>
        <w:rPr>
          <w:rFonts w:ascii="Times New Roman" w:hAnsi="Times New Roman" w:cs="Times New Roman" w:eastAsia="Times New Roman"/>
          <w:b w:val="0"/>
          <w:i w:val="0"/>
          <w:sz w:val="24"/>
        </w:rPr>
        <w:t>“In human trials, for example, NAC significantly lowered the occurrence of clinically apparent H1N1 influenza disease [ 61 ]. Additionally, in cell culture experiments, NAC protected against H3N2 influenza virus-induced oxidative stress, cell death, the expression of inflammatory genes, and NF-\u03baB activity [ 62 , 63 ]. However, this aspect is still under investigation, and more research is needed to confirm its antiviral properties. High doses of NAC used as an adjuvant treatment in influenza pneumonia patients have also been shown to reduce influenza symptomatology and to improve cell-mediated immunity, which is important for fighting viral infections [ 61 ]. NAC\u2019s immunomodulatory properties are likely due to its ability to inhibit the activation of oxidant-sensitive pathways, including the NF-\u03baB and p38 mitogen-activated protein kinase (MAPK) signaling pathways [ 60 ]. Indeed, cytokine and chemokine levels were significantly reduced following in vivo NAC treatment [ 60 ].”  [PMC10604897 ¶26]</w:t>
      </w:r>
    </w:p>
    <w:p>
      <w:pPr>
        <w:spacing w:after="120"/>
        <w:jc w:val="both"/>
      </w:pPr>
      <w:r>
        <w:rPr>
          <w:rFonts w:ascii="Times New Roman" w:hAnsi="Times New Roman" w:cs="Times New Roman" w:eastAsia="Times New Roman"/>
          <w:b w:val="0"/>
          <w:i w:val="0"/>
          <w:sz w:val="24"/>
        </w:rPr>
        <w:t>“It is worth noting, considering the recent publication on the potential of immune tolerance induction via IgG4 following COVID-19 booster vaccinations [ 74 ], that as early as 1997, De Flora et al. showed that oral administration of NAC (600 mg 2 times/day for 6 months) significantly improved cell-mediated immunity to influenza, shifting the response from tolerogenic to activation in seniors [ 61 ]. Although immunological tolerance or energy is appropriate under certain circumstances, such as eliminating reaction to self or food antigens, it can also be inappropriate when it eliminates or limits protective responses to pathogenic agents. The potential to utilize NAC to modulate immunological tolerance is worthy of further investigation. In summary, clinical studies, as detailed in Table 2 , highlight several key findings regarding N-acetylcysteine (NAC). Firstly, NAC stands as a well-established and effective treatment for acetaminophen (paracetamol) overdose.”  [PMC10604897 ¶31]</w:t>
      </w:r>
    </w:p>
    <w:p>
      <w:pPr>
        <w:spacing w:after="120"/>
        <w:jc w:val="both"/>
      </w:pPr>
      <w:r>
        <w:rPr>
          <w:rFonts w:ascii="Times New Roman" w:hAnsi="Times New Roman" w:cs="Times New Roman" w:eastAsia="Times New Roman"/>
          <w:b w:val="0"/>
          <w:i w:val="0"/>
          <w:sz w:val="24"/>
        </w:rPr>
        <w:t>“## Figure captions (2) 1. **Figure 1** — Differential modulation of pro-inflammatory mediators in relation to both the concentration and duration of treatment with N-acetylcysteine in in vitro models of airway inflammation. NAC: N-acetylcysteine; LPS: lipopolysaccharides; NKA: neurokinin A; IL-6: Interleukin-6; TNF-α: tumor necrosis factor-α; IL-8: Interleukin-8; IL-1β: Interleukin-1beta; NF-κB: Nuclear factor kappa B. graphic: `jcm-13-04127-g001.jpg` 2. **Figure 2** — Proposed molecular mechanisms for the therapeutic activity of N-acetylcysteine after oral administration in chronic respiratory diseases. NAC: N-acetylcysteine; GSH: glutathione; RSSH: persulfides; RSS n SR: polysulfides; NKA: neurokinin A; NF-κB: Nuclear factor kappa B; TNF-α: tumor necrosis factor-α; IL-1β: Interleukin-1beta; IL-8: Interleukin-8; ROS: reactive oxygen species. graphic: `jcm-13-04127-g002.jpg` ```json { "pmcid": "PMC11278452", "pmid": "39064168", "doi": "10.3390/jcm13144127", "title": "Anti-Inflammatory and Anti-Oxidant Properties of N-Acetylcysteine: A Fresh Perspective", "journal": "Journal of Clinical Medicine", "year": "2024", "abstract": "N-acetyl-L-cysteine (NAC) was initially introduced as a treatment for mucus reduction and widely used for chronic respiratory conditions associated with mucus overproduction.”  [PMC11278452 ¶1]</w:t>
      </w:r>
    </w:p>
    <w:p>
      <w:pPr>
        <w:spacing w:after="120"/>
        <w:jc w:val="both"/>
      </w:pPr>
      <w:r>
        <w:rPr>
          <w:rFonts w:ascii="Times New Roman" w:hAnsi="Times New Roman" w:cs="Times New Roman" w:eastAsia="Times New Roman"/>
          <w:b w:val="0"/>
          <w:i w:val="0"/>
          <w:sz w:val="24"/>
        </w:rPr>
        <w:t>“The unique combination of mucolytic, antioxidant, anti-infective, and anti-inflammatory properties positions NAC as a safe, cost-effective, and efficacious therapy for a plethora of respiratory conditions.", "body_text": "1. Introduction N-acetyl-L-cysteine (NAC) was first introduced in 1965 primarily for its role in promoting mucolysis [ 1 ] and has been the preferred treatment for paracetamol intoxication since the mid-1970s [ 2 ]. Its intravenous formulation for this purpose is recognized on the WHO\u2019s list of Essential Medicines [ 3 ]. The excessive production and secretion of airway mucus have significant importance in the pathophysiology and clinical manifestations of different respiratory diseases, including acute and chronic bronchitis (CB), chronic obstructive pulmonary disease (COPD), bronchiectasis, and cystic fibrosis (CF) [ 4 , 5 ]. Recent evidence indicates that oxidative stress and inflammation contribute to the development of these pathologies, showing a close correlation with clinical outcomes and triggering the overproduction of mucus by glands and goblet cells [ 6 , 7 , 8 , 9 ].”  [PMC11278452 ¶3]</w:t>
      </w:r>
    </w:p>
    <w:p>
      <w:pPr>
        <w:spacing w:after="120"/>
        <w:jc w:val="both"/>
      </w:pPr>
      <w:r>
        <w:rPr>
          <w:rFonts w:ascii="Times New Roman" w:hAnsi="Times New Roman" w:cs="Times New Roman" w:eastAsia="Times New Roman"/>
          <w:b w:val="0"/>
          <w:i w:val="0"/>
          <w:sz w:val="24"/>
        </w:rPr>
        <w:t>“The aim of this review is to gather data on the multifaceted properties of NAC [ 13 ], with a specific focus on its anti-inflammatory role. The analysis emphasizes findings from various studies, highlighting the impact of dosage and treatment duration on NAC\u2019s anti-inflammatory effectiveness [ 24 , 25 , 26 , 27 , 28 , 29 ]. The evidence suggests that lower doses may prove effective when administered over an extended treatment period [ 24 , 25 , 26 , 27 , 28 , 29 ]. The goal is to present NAC, traditionally recognized as a dual-action mucolytic and anti-oxidant agent, capable of fluidifying mucus secretions and clearing the airways, as a versatile drug with a multifaceted mechanism of action, rendering it a suitable pharmacological option for a variety of chronic respiratory pathologies characterized by mucus hyperproduction, oxidative stress, and inflammation. 2. Methods The authors performed a comprehensive non-systematic review of the existing literature on PubMed/MEDLINE and Google Scholar, until February 2024, using the following keywords: \u201cN-acetylcysteine\u201d AND \u201canti-inflammatory\u201d OR \u201cmucolytic\u201d OR \u201cantioxidant\u201d OR \u201cchronic respiratory disease\u201d OR \u201cchronic obstructive pulmonary disease\u201d OR \u201cidiopathic pulmonary fibrosis\u201d OR \u201cbronchiectasis\u201d OR \u201ccystic fibrosis\u201d OR \u201casthma\u201d OR \u201cbronchitis\u201d OR \u201canti-infective\u201d. 3.”  [PMC11278452 ¶7]</w:t>
      </w:r>
    </w:p>
    <w:p>
      <w:pPr>
        <w:jc w:val="center"/>
      </w:pPr>
      <w:r>
        <w:drawing>
          <wp:inline xmlns:a="http://schemas.openxmlformats.org/drawingml/2006/main" xmlns:pic="http://schemas.openxmlformats.org/drawingml/2006/picture">
            <wp:extent cx="5029200" cy="4259385"/>
            <wp:docPr id="218" name="Picture 218"/>
            <wp:cNvGraphicFramePr>
              <a:graphicFrameLocks noChangeAspect="1"/>
            </wp:cNvGraphicFramePr>
            <a:graphic>
              <a:graphicData uri="http://schemas.openxmlformats.org/drawingml/2006/picture">
                <pic:pic>
                  <pic:nvPicPr>
                    <pic:cNvPr id="0" name="p06_i1.jpg"/>
                    <pic:cNvPicPr/>
                  </pic:nvPicPr>
                  <pic:blipFill>
                    <a:blip r:embed="rId14"/>
                    <a:stretch>
                      <a:fillRect/>
                    </a:stretch>
                  </pic:blipFill>
                  <pic:spPr>
                    <a:xfrm>
                      <a:off x="0" y="0"/>
                      <a:ext cx="5029200" cy="4259385"/>
                    </a:xfrm>
                    <a:prstGeom prst="rect"/>
                  </pic:spPr>
                </pic:pic>
              </a:graphicData>
            </a:graphic>
          </wp:inline>
        </w:drawing>
      </w:r>
    </w:p>
    <w:p>
      <w:pPr>
        <w:spacing w:after="160"/>
        <w:jc w:val="center"/>
      </w:pPr>
      <w:r>
        <w:rPr>
          <w:rFonts w:ascii="Times New Roman" w:hAnsi="Times New Roman" w:cs="Times New Roman" w:eastAsia="Times New Roman"/>
          <w:b w:val="0"/>
          <w:i/>
          <w:sz w:val="20"/>
        </w:rPr>
        <w:t>Figure 1 (from PMC11278452): “Differential modulation of pro-inflammatory mediators in relation to both the concentration and duration of treatment with N-acetylcysteine in in vitro models of airway inflammation. NAC: N-acetylcysteine; LPS: lipopolysaccharides; NKA: neurokinin A; IL-6: Interleukin-6; TNF-α: tumor necrosis factor-α; IL-8: Interleukin-8; IL-1β: Interleukin-1beta; NF-κB: Nu”</w:t>
      </w:r>
    </w:p>
    <w:p>
      <w:pPr>
        <w:spacing w:after="120"/>
        <w:jc w:val="both"/>
      </w:pPr>
      <w:r>
        <w:rPr>
          <w:rFonts w:ascii="Times New Roman" w:hAnsi="Times New Roman" w:cs="Times New Roman" w:eastAsia="Times New Roman"/>
          <w:b w:val="0"/>
          <w:i w:val="0"/>
          <w:sz w:val="24"/>
        </w:rPr>
        <w:t>“Some years ago, mucolytic agents, like NAC, were recognized as the most cost-effective treatment option for managing severe COPD patients prone to frequent exacerbations [ 102 ]. Based on the currently available findings, the Global Initiative for Chronic Obstructive Lung Disease (GOLD) strategy incorporates a section titled \u201cMucolytic (mucokinetics, mucoregulators) and anti-oxidant agents (NAC, carbocysteine)\u201d [ 35 ]. The recommendations explicitly state that \u201cin COPD patients not receiving inhaled corticosteroids, regular treatment with mucolytics such as carbocysteine and N-acetylcysteine may reduce exacerbations and modestly improve health status\u201d [ 35 ]. Accordingly, the European Respiratory Society/American Thoracic Society guideline emphasizes that mucolytic therapy diminishes the probability of hospitalization in COPD patients [ 39 ]. Moreover, when administered in elevated doses, it has the potential to decrease exacerbations [ 39 ].”  [PMC11278452 ¶29]</w:t>
      </w:r>
    </w:p>
    <w:p>
      <w:pPr>
        <w:spacing w:after="120"/>
        <w:jc w:val="both"/>
      </w:pPr>
      <w:r>
        <w:rPr>
          <w:rFonts w:ascii="Times New Roman" w:hAnsi="Times New Roman" w:cs="Times New Roman" w:eastAsia="Times New Roman"/>
          <w:b w:val="0"/>
          <w:i w:val="0"/>
          <w:sz w:val="24"/>
        </w:rPr>
        <w:t>“Clinical trial results suggest that prolonged NAC administration can significantly enhance respiratory symptoms and decrease the frequency of exacerbations in COPD and CB/pre-COPD patients.", "tables": [], "figures": [ { "label": "Figure 1", "caption": "Differential modulation of pro-inflammatory mediators in relation to both the concentration and duration of treatment with N-acetylcysteine in in vitro models of airway inflammation. NAC: N-acetylcysteine; LPS: lipopolysaccharides; NKA: neurokinin A; IL-6: Interleukin-6; TNF-\u03b1: tumor necrosis factor-\u03b1; IL-8: Interleukin-8; IL-1\u03b2: Interleukin-1beta; NF-\u03baB: Nuclear factor kappa B.", "graphic_href": "jcm-13-04127-g001.jpg" }, { "label": "Figure 2", "caption": "Proposed molecular mechanisms for the therapeutic activity of N-acetylcysteine after oral administration in chronic respiratory diseases. NAC: N-acetylcysteine; GSH: glutathione; RSSH: persulfides; RSS n SR: polysulfides; NKA: neurokinin A; NF-\u03baB: Nuclear factor kappa B; TNF-\u03b1: tumor necrosis factor-\u03b1; IL-1\u03b2: Interleukin-1beta; IL-8: Interleukin-8; ROS: reactive oxygen species.", "graphic_href": "jcm-13-04127-g002.jpg" } ], "references": [ { "title": "The reduction in vitro in viscosity of mucoprotein solutions by a new mucolytic agent, N-acetyl-L-cysteine", "year": "1963", "source": "Ann.”  [PMC11278452 ¶34]</w:t>
      </w:r>
    </w:p>
    <w:p>
      <w:pPr>
        <w:spacing w:after="120"/>
        <w:jc w:val="both"/>
      </w:pPr>
      <w:r>
        <w:rPr>
          <w:rFonts w:ascii="Times New Roman" w:hAnsi="Times New Roman" w:cs="Times New Roman" w:eastAsia="Times New Roman"/>
          <w:b w:val="0"/>
          <w:i w:val="0"/>
          <w:sz w:val="24"/>
        </w:rPr>
        <w:t>“With the introduction of the mouse model of APAP hepatotoxicity in the 1970s, fundamental mechanisms of cell death were discovered. This included the recognition that part of the APAP dose is metabolized by cytochrome P450 generating a reactive metabolite that is detoxified by glutathione. After the partial depletion of glutathione, the reactive metabolite will covalently bind to sulfhydryl groups of proteins, which is the initiating event of the toxicity. This insight led to the introduction of N-acetyl-L-cysteine, a glutathione precursor, as antidote against APAP overdose in the clinic. Despite substantial progress in our understanding of the pathomechanisms over the last decades viable new antidotes only emerged recently. This review will discuss the background, mechanisms of action, and the clinical prospects of the existing FDA-approved antidote N-acetylcysteine, of several new drug candidates under clinical development [4-methylpyrazole (fomepizole), calmangafodipir] and examples of additional therapeutic targets (Nrf2 activators) and regeneration promoting agents (thrombopoietin mimetics, adenosine A2B receptor agonists, Wharton\u2019s Jelly mesenchymal stem cells).”  [PMC11315809 ¶1]</w:t>
      </w:r>
    </w:p>
    <w:p>
      <w:pPr>
        <w:spacing w:after="120"/>
        <w:jc w:val="both"/>
      </w:pPr>
      <w:r>
        <w:rPr>
          <w:rFonts w:ascii="Times New Roman" w:hAnsi="Times New Roman" w:cs="Times New Roman" w:eastAsia="Times New Roman"/>
          <w:b w:val="0"/>
          <w:i w:val="0"/>
          <w:sz w:val="24"/>
        </w:rPr>
        <w:t>“Although there are clear limitations of certain therapeutic approaches, there is reason to be optimistic. The substantial progress in the understanding of the pathophysiology of APAP hepatotoxicity led to the consideration of several drugs for development as clinical antidotes against APAP overdose in recent years. Based on the currently available information, it is likely that this will result in additional drugs that could be used as adjunct treatment for N-acetylcysteine.", "body_text": "1. Introduction Acetaminophen (APAP) is a worldwide used analgesic and antipyretic drug, which is safe at therapeutic doses. However, due to its wide availability and low cost, intentional or accidental overdoses are relatively common, especially in western countries. For example, there are roughly 80,000 APAP overdose cases annually presenting to emergency departments with 25,000 patients requiring hospitalization in the United States [ 1 ], more than 80,000 cases in the United Kingdom [ 2 ] and about 11,000 cases in Australia [ 3 ].”  [PMC11315809 ¶2]</w:t>
      </w:r>
    </w:p>
    <w:p>
      <w:pPr>
        <w:spacing w:after="120"/>
        <w:jc w:val="both"/>
      </w:pPr>
      <w:r>
        <w:rPr>
          <w:rFonts w:ascii="Times New Roman" w:hAnsi="Times New Roman" w:cs="Times New Roman" w:eastAsia="Times New Roman"/>
          <w:b w:val="0"/>
          <w:i w:val="0"/>
          <w:sz w:val="24"/>
        </w:rPr>
        <w:t>“APAP overdose is the single most frequent cause of liver injury and acute liver failure in the U.S., UK [ 4 ] and Australia [ 5 ] and is at least a significant etiology of acute liver failure in many other western countries [ 4 ]. As a dose-dependent hepatotoxin, the injury process of APAP toxicity in patients can be accurately reproduced in animals [ 6 , 7 ], especially in mice [ 8 ]. Since the introduction of the mouse model in the 1970s [ 9 , 10 ], the mechanisms of cell death and liver injury have been extensively studied and today many key aspects of the injury mechanism are known [ 11 \u2013 13 ]. Based on the early mechanistic insight, limited to recognition of hepatotoxicity resulting from reactive metabolite formation causing GSH depletion and subsequent protein adduct formation [ 9 , 10 ], N-acetylcysteine (NAC) was discovered to be an effective antidote in animals and patients [ 14 ].”  [PMC11315809 ¶3]</w:t>
      </w:r>
    </w:p>
    <w:p>
      <w:pPr>
        <w:spacing w:after="120"/>
        <w:jc w:val="both"/>
      </w:pPr>
      <w:r>
        <w:rPr>
          <w:rFonts w:ascii="Times New Roman" w:hAnsi="Times New Roman" w:cs="Times New Roman" w:eastAsia="Times New Roman"/>
          <w:b w:val="0"/>
          <w:i w:val="0"/>
          <w:sz w:val="24"/>
        </w:rPr>
        <w:t>“This led to its approval as a clinical antidote in the 1980s [ 15 , 16 ]. Importantly, NAC is still the only clinically approved antidote against APAP overdose in patients more than 40 years later. However, despite its efficacy in most overdose cases, NAC has limited beneficial effects in late-presenting patients and after massive overdoses, and it does not promote regeneration. These limitations drive the continuous search for additional therapeutics that could complement and improve the therapeutic efficacy of NAC. The extensive research into the mechanisms of APAP-induced liver injury resulted in significant progress and identification of novel therapeutic targets. In addition, the dramatically increased number of compounds, especially natural products, being tested in the APAP hepatotoxicity model has led to identification of numerous chemicals said to be putative antidotes [ 17 \u2013 19 ].”  [PMC11315809 ¶4]</w:t>
      </w:r>
    </w:p>
    <w:p>
      <w:pPr>
        <w:spacing w:after="120"/>
        <w:jc w:val="both"/>
      </w:pPr>
      <w:r>
        <w:rPr>
          <w:rFonts w:ascii="Times New Roman" w:hAnsi="Times New Roman" w:cs="Times New Roman" w:eastAsia="Times New Roman"/>
          <w:b w:val="0"/>
          <w:i w:val="0"/>
          <w:sz w:val="24"/>
        </w:rPr>
        <w:t>“In fact, most recently it was suggested to plan for clinical trials using these compounds [ 20 ]. However, despite this extensive research activity, translation of new antidotes to the clinic is constrained. One reason for this limited progress is that the protective mechanisms proposed by these studies are questionable or wrong in most cases as they are mainly based on correlations and not causality assessment [ 21 ]. However, the most serious problem is the fact that almost all compounds are being used in the APAP model as pretreatment, which is a clinically irrelevant scenario [ 21 ]. Any compound with a realistic chance to be considered as an antidote must be effective when administered only after APAP treatment. The limited mechanistic understanding and in particular the absence of a clearly documented therapeutic effect in preclinical models leads to limited confidence that these interventions may work in APAP overdose patients under clinically realistic conditions.”  [PMC11315809 ¶5]</w:t>
      </w:r>
    </w:p>
    <w:p>
      <w:pPr>
        <w:keepNext/>
        <w:spacing w:before="280" w:after="80"/>
        <w:outlineLvl w:val="1"/>
      </w:pPr>
      <w:r>
        <w:rPr>
          <w:rFonts w:ascii="Times New Roman" w:hAnsi="Times New Roman" w:cs="Times New Roman" w:eastAsia="Times New Roman"/>
          <w:b/>
          <w:i w:val="0"/>
          <w:color w:val="335588"/>
          <w:sz w:val="28"/>
        </w:rPr>
        <w:t>3b.4  Clinical efficacy evidence is heterogeneous</w:t>
      </w:r>
    </w:p>
    <w:p>
      <w:pPr>
        <w:spacing w:after="120"/>
        <w:jc w:val="both"/>
      </w:pPr>
      <w:r>
        <w:rPr>
          <w:rFonts w:ascii="Times New Roman" w:hAnsi="Times New Roman" w:cs="Times New Roman" w:eastAsia="Times New Roman"/>
          <w:b w:val="0"/>
          <w:i w:val="0"/>
          <w:sz w:val="24"/>
        </w:rPr>
        <w:t>“NAC possesses antioxidant, cytoprotective, anti-inflammatory, antimicrobial, and mucolytic properties, making it a promising therapeutic agent for a wide range of diseases in both humans and domesticated animals. Oxidative stress and inflammation play a major role in the onset and progression of all these diseases. NAC\u2019s primary role is to replenish glutathione (GSH) stores, the master antioxidant in all tissues; however, it can also reduce levels of pro-inflammatory tumor necrosis factor-alpha (TNF-\u221d) and interleukins (IL-6 and IL-1\u03b2), inhibit the formation of microbial biofilms and destroy biofilms, and break down disulfide bonds between mucin molecules. Many experimental studies have been conducted on the use of NAC to address a wide range of pathological conditions; however, its effectiveness in clinical trials remains limited and studies often have conflicting results.”  [PMC10604897 ¶1]</w:t>
      </w:r>
    </w:p>
    <w:p>
      <w:pPr>
        <w:spacing w:after="120"/>
        <w:jc w:val="both"/>
      </w:pPr>
      <w:r>
        <w:rPr>
          <w:rFonts w:ascii="Times New Roman" w:hAnsi="Times New Roman" w:cs="Times New Roman" w:eastAsia="Times New Roman"/>
          <w:b w:val="0"/>
          <w:i w:val="0"/>
          <w:sz w:val="24"/>
        </w:rPr>
        <w:t>“Examples of these disorders include diabetes, obesity, cancer, neurological disorders, hypertension, pulmonary, inflammatory bowel, cardiovascular, autoimmune, and infectious diseases in humans, as well as domesticated animal weaning disorders, respiratory disease, diarrhea, endometritis, and mastitis [ 3 , 4 , 5 , 6 , 7 , 8 , 9 , 10 ]. While there has been an increasing interest in the use of NAC for a wide range of pathological conditions over the past few decades, various human clinical studies have reported conflicting results, and many other studies were performed in vitro. Therefore, more clinical studies are required to address these conflicting results and to support the purported therapeutic roles of NAC in treating different pathological conditions. Various animal studies involving the use of NAC have also been performed, especially with its use in treating intestinal inflammation and related disorders that can be caused by anti-nutritional factors (e.g., \u03b2 -conglycinin, a vicilin storage protein of soybeans), the process of weaning, and consumption of mycotoxins [ 10 , 11 , 12 ].”  [PMC10604897 ¶3]</w:t>
      </w:r>
    </w:p>
    <w:p>
      <w:pPr>
        <w:spacing w:after="120"/>
        <w:jc w:val="both"/>
      </w:pPr>
      <w:r>
        <w:rPr>
          <w:rFonts w:ascii="Times New Roman" w:hAnsi="Times New Roman" w:cs="Times New Roman" w:eastAsia="Times New Roman"/>
          <w:b w:val="0"/>
          <w:i w:val="0"/>
          <w:sz w:val="24"/>
        </w:rPr>
        <w:t>“The aim of this review is to gather data on the multifaceted properties of NAC [ 13 ], with a specific focus on its anti-inflammatory role. The analysis emphasizes findings from various studies, highlighting the impact of dosage and treatment duration on NAC\u2019s anti-inflammatory effectiveness [ 24 , 25 , 26 , 27 , 28 , 29 ]. The evidence suggests that lower doses may prove effective when administered over an extended treatment period [ 24 , 25 , 26 , 27 , 28 , 29 ]. The goal is to present NAC, traditionally recognized as a dual-action mucolytic and anti-oxidant agent, capable of fluidifying mucus secretions and clearing the airways, as a versatile drug with a multifaceted mechanism of action, rendering it a suitable pharmacological option for a variety of chronic respiratory pathologies characterized by mucus hyperproduction, oxidative stress, and inflammation. 2. Methods The authors performed a comprehensive non-systematic review of the existing literature on PubMed/MEDLINE and Google Scholar, until February 2024, using the following keywords: \u201cN-acetylcysteine\u201d AND \u201canti-inflammatory\u201d OR \u201cmucolytic\u201d OR \u201cantioxidant\u201d OR \u201cchronic respiratory disease\u201d OR \u201cchronic obstructive pulmonary disease\u201d OR \u201cidiopathic pulmonary fibrosis\u201d OR \u201cbronchiectasis\u201d OR \u201ccystic fibrosis\u201d OR \u201casthma\u201d OR \u201cbronchitis\u201d OR \u201canti-infective\u201d. 3.”  [PMC11278452 ¶7]</w:t>
      </w:r>
    </w:p>
    <w:p>
      <w:pPr>
        <w:spacing w:after="120"/>
        <w:jc w:val="both"/>
      </w:pPr>
      <w:r>
        <w:rPr>
          <w:rFonts w:ascii="Times New Roman" w:hAnsi="Times New Roman" w:cs="Times New Roman" w:eastAsia="Times New Roman"/>
          <w:b w:val="0"/>
          <w:i w:val="0"/>
          <w:sz w:val="24"/>
        </w:rPr>
        <w:t>“[ 28 ] demonstrated that the influence of NAC on NKA production displays a bell-shaped concentration-response curve. This suggests that the inhibitory effect observed at concentrations between 5 to 35 \u00b5M is greater than at higher concentrations [ 28 ]. This distinct fitting model induced by NAC concerning NKA levels may elucidate conflicting dose-effect findings reported in in vitro and in vivo settings, particularly regarding NAC\u2019s anti-inflammatory activity [ 72 ]. These findings imply that additional mechanisms apart from the anti-oxidant activity control the rise of IL-6 in LPS-stimulated human bronchi, particularly when NAC is administered at low concentrations equivalent to an oral dose of 200 mg/day. This suggests a genuine anti-inflammatory effect of NAC, distinct from its anti-oxidant capabilities. Given that the LPS challenge triggers neurogenic inflammation in the airways and IL-6 exacerbates NKA release, NAC at low concentrations seems to finely regulate neurogenic inflammation [ 73 , 74 , 75 , 76 ], a harmful condition that contributes to the cyclical relationship between oxidative stress and inflammation in human bronchi [ 13 , 27 ].”  [PMC11278452 ¶21]</w:t>
      </w:r>
    </w:p>
    <w:p>
      <w:pPr>
        <w:spacing w:after="120"/>
        <w:jc w:val="both"/>
      </w:pPr>
      <w:r>
        <w:rPr>
          <w:rFonts w:ascii="Times New Roman" w:hAnsi="Times New Roman" w:cs="Times New Roman" w:eastAsia="Times New Roman"/>
          <w:b w:val="0"/>
          <w:i w:val="0"/>
          <w:sz w:val="24"/>
        </w:rPr>
        <w:t>“Notably, a recent meta-analysis by Askari et al. [ 77 ] delving into the impact of oral NAC on serum inflammatory biomarkers uncovered that only a high dosage (\u22651200 mg/day) of orally administered NAC effectively reduced C-reactive protein (CRP) levels. However, a noteworthy decrease in circulating IL-6 was reported with a dosage below 1200 mg/day [ 77 ]. This suggests that while high doses may be necessary for diminishing serum IL-6, these requirements are still lower than those needed for decreasing CRP levels. In their study [ 77 ], no discernible effect on the circulating levels of VCAM-1, ICAM-1, MCP-1, IL-8, and TNF-\u03b1 was reported following oral administration of NAC. This aligns with the abovementioned findings of Cazzola et al. [ 27 ], where high concentrations of NAC (ranging from 300 \u03bcM to 10 mM) were required to reduce the release of IL-1\u03b2, IL-8, and TNF-\u03b1 by LPS-stimulated bronchi.”  [PMC11278452 ¶22]</w:t>
      </w:r>
    </w:p>
    <w:p>
      <w:pPr>
        <w:jc w:val="center"/>
      </w:pPr>
      <w:r>
        <w:drawing>
          <wp:inline xmlns:a="http://schemas.openxmlformats.org/drawingml/2006/main" xmlns:pic="http://schemas.openxmlformats.org/drawingml/2006/picture">
            <wp:extent cx="5029200" cy="4259385"/>
            <wp:docPr id="219" name="Picture 219"/>
            <wp:cNvGraphicFramePr>
              <a:graphicFrameLocks noChangeAspect="1"/>
            </wp:cNvGraphicFramePr>
            <a:graphic>
              <a:graphicData uri="http://schemas.openxmlformats.org/drawingml/2006/picture">
                <pic:pic>
                  <pic:nvPicPr>
                    <pic:cNvPr id="0" name="p06_i1.jpg"/>
                    <pic:cNvPicPr/>
                  </pic:nvPicPr>
                  <pic:blipFill>
                    <a:blip r:embed="rId14"/>
                    <a:stretch>
                      <a:fillRect/>
                    </a:stretch>
                  </pic:blipFill>
                  <pic:spPr>
                    <a:xfrm>
                      <a:off x="0" y="0"/>
                      <a:ext cx="5029200" cy="4259385"/>
                    </a:xfrm>
                    <a:prstGeom prst="rect"/>
                  </pic:spPr>
                </pic:pic>
              </a:graphicData>
            </a:graphic>
          </wp:inline>
        </w:drawing>
      </w:r>
    </w:p>
    <w:p>
      <w:pPr>
        <w:spacing w:after="160"/>
        <w:jc w:val="center"/>
      </w:pPr>
      <w:r>
        <w:rPr>
          <w:rFonts w:ascii="Times New Roman" w:hAnsi="Times New Roman" w:cs="Times New Roman" w:eastAsia="Times New Roman"/>
          <w:b w:val="0"/>
          <w:i/>
          <w:sz w:val="20"/>
        </w:rPr>
        <w:t>Figure 1 (from PMC11278452): “Differential modulation of pro-inflammatory mediators in relation to both the concentration and duration of treatment with N-acetylcysteine in in vitro models of airway inflammation. NAC: N-acetylcysteine; LPS: lipopolysaccharides; NKA: neurokinin A; IL-6: Interleukin-6; TNF-α: tumor necrosis factor-α; IL-8: Interleukin-8; IL-1β: Interleukin-1beta; NF-κB: Nu”</w:t>
      </w:r>
    </w:p>
    <w:p>
      <w:pPr>
        <w:spacing w:after="120"/>
        <w:jc w:val="both"/>
      </w:pPr>
      <w:r>
        <w:rPr>
          <w:rFonts w:ascii="Times New Roman" w:hAnsi="Times New Roman" w:cs="Times New Roman" w:eastAsia="Times New Roman"/>
          <w:b w:val="0"/>
          <w:i w:val="0"/>
          <w:sz w:val="24"/>
        </w:rPr>
        <w:t>“This effect appears more pronounced in stable COPD patients and mild disease cases, irrespective of the AECOPD rate [ 88 , 94 ]. Accordingly, a meta-analysis by Shen et al. [ 95 ] suggests that extended therapy with high doses of NAC (&gt;600 mg/day) can decrease AECOPD. Another meta-analysis conducted by Cazzola et al. [ 96 ] reports that oral administration of NAC for 4 months or more effectively reduces the frequency of AECOPD. However, higher doses (\u22651200 mg/day) were needed for this effect, while NAC at the dosage of \u2264600 mg/day prevented exacerbation of chronic bronchitis [ 96 ]. In another meta-analysis, the same authors also highlight that high doses of NAC (1200 mg/day), employed as additional therapy in COPD patients, prevent AECOPD [ 97 ]. In contrast, a systematic review by Fowdar et al. [ 92 ] indicates that both low-dose NAC (\u2264600 mg/day) and high-dose NAC (&gt;600 mg/day) can safely reduce the percentage of patients experiencing one exacerbation or more after at least 6 months of treatment.”  [PMC11278452 ¶27]</w:t>
      </w:r>
    </w:p>
    <w:p>
      <w:pPr>
        <w:spacing w:after="120"/>
        <w:jc w:val="both"/>
      </w:pPr>
      <w:r>
        <w:rPr>
          <w:rFonts w:ascii="Times New Roman" w:hAnsi="Times New Roman" w:cs="Times New Roman" w:eastAsia="Times New Roman"/>
          <w:b w:val="0"/>
          <w:i w:val="0"/>
          <w:sz w:val="24"/>
        </w:rPr>
        <w:t>“This suggests that administering NAC over the long term can decrease the likelihood of COPD exacerbations, irrespective of dosage. In chronic bronchitis, NAC 600 mg/day over a duration of 3\u20136 months prevented acute exacerbations and improved symptoms [ 98 , 99 ]. A recent meta-analysis including twenty studies and a total of 4044 patients evaluated oral NAC efficacy either in patients with CB/pre-COPD (patients with chronic bronchitis and no diagnosis of COPD) or with confirmed COPD: in both groups, patients treated with NAC exhibited a noteworthy decrease in the occurrence of exacerbations [ 100 ]. Furthermore, CB/pre-COPD patients treated with NAC showed a significant likelihood of experiencing symptom improvement and/or improved QoL compared to those receiving a placebo [ 100 ]. NAC is linked to a favorable safety profile, with a beneficial impact observed in both patients with stable COPD and individuals at risk of AECOPD, regardless of inhaled corticosteroid use [ 88 , 92 , 96 , 97 , 101 ].”  [PMC11278452 ¶28]</w:t>
      </w:r>
    </w:p>
    <w:p>
      <w:pPr>
        <w:keepNext/>
        <w:spacing w:before="280" w:after="80"/>
        <w:outlineLvl w:val="1"/>
      </w:pPr>
      <w:r>
        <w:rPr>
          <w:rFonts w:ascii="Times New Roman" w:hAnsi="Times New Roman" w:cs="Times New Roman" w:eastAsia="Times New Roman"/>
          <w:b/>
          <w:i w:val="0"/>
          <w:color w:val="335588"/>
          <w:sz w:val="28"/>
        </w:rPr>
        <w:t>3b.5  Multiple biosynthetic and industrial routes exist</w:t>
      </w:r>
    </w:p>
    <w:p>
      <w:pPr>
        <w:spacing w:after="120"/>
        <w:jc w:val="both"/>
      </w:pPr>
      <w:r>
        <w:rPr>
          <w:rFonts w:ascii="Times New Roman" w:hAnsi="Times New Roman" w:cs="Times New Roman" w:eastAsia="Times New Roman"/>
          <w:b w:val="0"/>
          <w:i w:val="0"/>
          <w:sz w:val="24"/>
        </w:rPr>
        <w:t>“This process relies on the L-cysteine remaining in an unoxidized state. Hence, the oxidants in the fermentation broth are removed during the anion-exchange chromatography, and the pH of the L-cysteine-rich solution must be closely monitored and adjusted throughout the purification line. graphic: `molecules-29-00486-g004.jpg` ```json { "pmcid": "PMC10821248", "pmid": "38257399", "doi": "10.3390/molecules29020486", "title": "Challenges and Advances in the Bioproduction of L-Cysteine", "journal": "Molecules", "year": "2024", "abstract": "L-cysteine is a proteogenic amino acid with many applications in the pharmaceutical, food, animal feed, and cosmetic industries. Due to safety and environmental issues in extracting L-cysteine from animal hair and feathers, the fermentative production of L-cysteine offers an attractive alternative using renewable feedstocks. Strategies to improve microbial production hosts like Pantoea ananatis , Corynebacterium\u00a0glutamicum , Pseudomonas sp., and Escherichia coli are summarized.”  [PMC10821248 ¶2]</w:t>
      </w:r>
    </w:p>
    <w:p>
      <w:pPr>
        <w:spacing w:after="120"/>
        <w:jc w:val="both"/>
      </w:pPr>
      <w:r>
        <w:rPr>
          <w:rFonts w:ascii="Times New Roman" w:hAnsi="Times New Roman" w:cs="Times New Roman" w:eastAsia="Times New Roman"/>
          <w:b w:val="0"/>
          <w:i w:val="0"/>
          <w:sz w:val="24"/>
        </w:rPr>
        <w:t>“Concerning the metabolic engineering strategies, the overexpression of feedback inhibition-insensitive L-serine O-acetyltransferase and weakening the degradation of L-cysteine through the removal of L-cysteine desulfhydrases are crucial adjustments. The overexpression of L-cysteine exporters is vital to overcome the toxicity caused by intracellular accumulating L-cysteine. In addition, we compiled the process engineering aspects for the bioproduction of L-cysteine. Utilizing the energy-efficient sulfur assimilation pathway via thiosulfate, fermenting cheap carbon sources, designing scalable, fed-batch processes with individual feedings of carbon and sulfur sources, and implementing efficient purification techniques are essential for the fermentative production of L-cysteine on an industrial scale.", "body_text": "1. Introduction L-cysteine is a nucleophilic amino acid with a sulfhydryl group, which enables the formation of disulfide bridges.”  [PMC10821248 ¶3]</w:t>
      </w:r>
    </w:p>
    <w:p>
      <w:pPr>
        <w:spacing w:after="120"/>
        <w:jc w:val="both"/>
      </w:pPr>
      <w:r>
        <w:rPr>
          <w:rFonts w:ascii="Times New Roman" w:hAnsi="Times New Roman" w:cs="Times New Roman" w:eastAsia="Times New Roman"/>
          <w:b w:val="0"/>
          <w:i w:val="0"/>
          <w:sz w:val="24"/>
        </w:rPr>
        <w:t>“This is the most common production method applied so far, although the L-cysteine process yield is low, and unpleasant odors may occur. However, the most important disadvantage is the environmental and safety issues caused by the disposal of the organic waste, which contains hydrochloric acid [ 12 ]. An alternative approach is the biotechnological production of L-cysteine from renewable resources [ 13 ]. Since the 1980s, microorganisms of the genus Pseudomonas have been used for the asymmetric whole-cell biocatalysis of DL-2-amino-\u0394 2 -thiazoline-4-carboxylic acid (DL-ATC) to generate L-cysteine ( Figure 2 ). Pseudomonas is a genus of gram-negative bacteria belonging to the family Pseudomonadaceae in the class of \u03b3-proteobacteria. From the many bacteria, especially in the genus Pseudomonas , that have an activity to convert DL-ATC to L-cysteine, two biosynthetic pathways have been described [ 14 , 15 , 16 ].”  [PMC10821248 ¶6]</w:t>
      </w:r>
    </w:p>
    <w:p>
      <w:pPr>
        <w:jc w:val="center"/>
      </w:pPr>
      <w:r>
        <w:drawing>
          <wp:inline xmlns:a="http://schemas.openxmlformats.org/drawingml/2006/main" xmlns:pic="http://schemas.openxmlformats.org/drawingml/2006/picture">
            <wp:extent cx="5029200" cy="3693319"/>
            <wp:docPr id="220" name="Picture 220"/>
            <wp:cNvGraphicFramePr>
              <a:graphicFrameLocks noChangeAspect="1"/>
            </wp:cNvGraphicFramePr>
            <a:graphic>
              <a:graphicData uri="http://schemas.openxmlformats.org/drawingml/2006/picture">
                <pic:pic>
                  <pic:nvPicPr>
                    <pic:cNvPr id="0" name="p02_i1.jpg"/>
                    <pic:cNvPicPr/>
                  </pic:nvPicPr>
                  <pic:blipFill>
                    <a:blip r:embed="rId9"/>
                    <a:stretch>
                      <a:fillRect/>
                    </a:stretch>
                  </pic:blipFill>
                  <pic:spPr>
                    <a:xfrm>
                      <a:off x="0" y="0"/>
                      <a:ext cx="5029200" cy="3693319"/>
                    </a:xfrm>
                    <a:prstGeom prst="rect"/>
                  </pic:spPr>
                </pic:pic>
              </a:graphicData>
            </a:graphic>
          </wp:inline>
        </w:drawing>
      </w:r>
    </w:p>
    <w:p>
      <w:pPr>
        <w:spacing w:after="160"/>
        <w:jc w:val="center"/>
      </w:pPr>
      <w:r>
        <w:rPr>
          <w:rFonts w:ascii="Times New Roman" w:hAnsi="Times New Roman" w:cs="Times New Roman" w:eastAsia="Times New Roman"/>
          <w:b w:val="0"/>
          <w:i/>
          <w:sz w:val="20"/>
        </w:rPr>
        <w:t>Figure 1 (from PMC10821248): “Metabolic pathways for L-cysteine biosynthesis in microorganisms. In the L-serine O-acetyltransferase-O-acetyl-L-serine (SAT-OASS) pathway, there are two branches for the transformation of O-acetyl-L-serine (OAS) into L-cysteine, depending on the sulfur source available to the organism. These biotransformations are catalyzed by two different OASSs: OASS-A in”</w:t>
      </w:r>
    </w:p>
    <w:p>
      <w:pPr>
        <w:spacing w:after="120"/>
        <w:jc w:val="both"/>
      </w:pPr>
      <w:r>
        <w:rPr>
          <w:rFonts w:ascii="Times New Roman" w:hAnsi="Times New Roman" w:cs="Times New Roman" w:eastAsia="Times New Roman"/>
          <w:b w:val="0"/>
          <w:i w:val="0"/>
          <w:sz w:val="24"/>
        </w:rPr>
        <w:t>“As an intermediate, one pathway produces N-carbamoyl cysteine, and the other, S-carbamoyl cysteine [ 17 ]. However, in the Pseudomonas cells, L-cysteine is converted to pyruvate, hydrogen sulfide, and ammonia by L-cysteine desulfhydrase (CD). The L-cysteine desulfhydrase gene could not be knocked out to increase the production of L-cysteine during the bioconversion of DL-ATC by Pseudomonas sp., since the degradation of L-cysteine is required to supply the cells with carbon and nitrogen [ 18 ]. Furthermore, the difficulty of procurement of the substrate DL-ATC and the low enzymatic yields of this process limited its application as an industrial process [ 12 ]. Through the understanding of the complex regulation system of the L-cysteine synthesis in bacteria, and with the advancements in synthetic biology, the direct fermentative L-cysteine production from glucose became feasible and has been exploited by global amino acid producers to supply an increasing portion of the global L-cysteine demand [ 19 ].”  [PMC10821248 ¶7]</w:t>
      </w:r>
    </w:p>
    <w:p>
      <w:pPr>
        <w:spacing w:after="120"/>
        <w:jc w:val="both"/>
      </w:pPr>
      <w:r>
        <w:rPr>
          <w:rFonts w:ascii="Times New Roman" w:hAnsi="Times New Roman" w:cs="Times New Roman" w:eastAsia="Times New Roman"/>
          <w:b w:val="0"/>
          <w:i w:val="0"/>
          <w:sz w:val="24"/>
        </w:rPr>
        <w:t>“In this review, the metabolic engineering strategies for enhancing the L-cysteine yield and cell-specific productivities will be compiled, e.g., improving the metabolic availability of precursors, deregulating controlling enzymes, knocking out genes coding for L-cysteine-degrading enzymes, and overexpressing transporter genes to transport L-cysteine out of the cell. The final section of this review focuses on the process engineering aspects like sulfur sources, fermentation process designs, and L-cysteine purification strategies. 2. Metabolic Engineering Strategies Microorganisms use two main pathways for the biosynthesis of L-cysteine. In enteric bacteria such as E. coli , the precursor of L-cysteine is L-serine [ 20 ]. L-cysteine is synthesized from L-serine in two steps, which involve the substitution of the \u03b2-hydroxyl group with a thiol group ( Figure 1 ). The first step involves the acetylation of the \u03b2-hydroxyl of L-serine, resulting in an O-acetyl-L-serine (OAS) catalyzed by L-serine O-acetyltransferase (SAT), which is encoded by the cysE gene.”  [PMC10821248 ¶8]</w:t>
      </w:r>
    </w:p>
    <w:p>
      <w:pPr>
        <w:spacing w:after="120"/>
        <w:jc w:val="both"/>
      </w:pPr>
      <w:r>
        <w:rPr>
          <w:rFonts w:ascii="Times New Roman" w:hAnsi="Times New Roman" w:cs="Times New Roman" w:eastAsia="Times New Roman"/>
          <w:b w:val="0"/>
          <w:i w:val="0"/>
          <w:sz w:val="24"/>
        </w:rPr>
        <w:t>“The results of shake flask experiments (minimal medium with thiosulfate as the sulfur source) showed that the best chassis for the plasmid pLH03 was BW25113, since it produced 345.8 mg L \u22121 of L-cysteine, followed by JM109 (190.3 mg L \u22121 ). By contrast, neither W3110 nor MG1655 were deemed suitable base strains for this plasmid, since they each produced less than 70 mg L \u22121 product. [ 28 ] Henceforth, the advances in the metabolic engineering of a variety of organisms will be discussed. In general, the fermentative production of L-cysteine can be enhanced by utilizing a combination of three different metabolic engineering strategies, which are as follows: Enhancing the biosynthesis of L-cysteine by expressing genes encoding feedback inhibition-insensitive phosphoglycerate dehydrogenase (PGDH) L-serine O-acetyltransferase (SAT); Weakening the degradation of L-cysteine by knocking out genes encoding L-cysteine desulfhydrase (CD); Enhancing and strengthening the efflux system while weakening and deleting the genes responsible for the import of L-cysteine.”  [PMC10821248 ¶11]</w:t>
      </w:r>
    </w:p>
    <w:p>
      <w:pPr>
        <w:jc w:val="center"/>
      </w:pPr>
      <w:r>
        <w:drawing>
          <wp:inline xmlns:a="http://schemas.openxmlformats.org/drawingml/2006/main" xmlns:pic="http://schemas.openxmlformats.org/drawingml/2006/picture">
            <wp:extent cx="5029200" cy="2124837"/>
            <wp:docPr id="221" name="Picture 221"/>
            <wp:cNvGraphicFramePr>
              <a:graphicFrameLocks noChangeAspect="1"/>
            </wp:cNvGraphicFramePr>
            <a:graphic>
              <a:graphicData uri="http://schemas.openxmlformats.org/drawingml/2006/picture">
                <pic:pic>
                  <pic:nvPicPr>
                    <pic:cNvPr id="0" name="p12_i1.jpg"/>
                    <pic:cNvPicPr/>
                  </pic:nvPicPr>
                  <pic:blipFill>
                    <a:blip r:embed="rId10"/>
                    <a:stretch>
                      <a:fillRect/>
                    </a:stretch>
                  </pic:blipFill>
                  <pic:spPr>
                    <a:xfrm>
                      <a:off x="0" y="0"/>
                      <a:ext cx="5029200" cy="2124837"/>
                    </a:xfrm>
                    <a:prstGeom prst="rect"/>
                  </pic:spPr>
                </pic:pic>
              </a:graphicData>
            </a:graphic>
          </wp:inline>
        </w:drawing>
      </w:r>
    </w:p>
    <w:p>
      <w:pPr>
        <w:spacing w:after="160"/>
        <w:jc w:val="center"/>
      </w:pPr>
      <w:r>
        <w:rPr>
          <w:rFonts w:ascii="Times New Roman" w:hAnsi="Times New Roman" w:cs="Times New Roman" w:eastAsia="Times New Roman"/>
          <w:b w:val="0"/>
          <w:i/>
          <w:sz w:val="20"/>
        </w:rPr>
        <w:t>Figure 2 (from PMC10821248): “Transformation of DL-ATC to L-cysteine. In this enzymatic three-step process, DL-ATC is isomerized to L-ATC by ATC racemase. Then, L-ATC is hydrolyzed to S-carbamyl-L-cysteine (SCC) by L-ATC hydrolase. Finally, SCC is cleaved into L-cysteine, CO 2 , and ammonia by S-cabamyl-L-cysteine amidohydrolase.</w:t>
        <w:br/>
        <w:t xml:space="preserve">   graphic: `molecules-29-00486-g002.jpg`”</w:t>
      </w:r>
    </w:p>
    <w:p>
      <w:pPr>
        <w:spacing w:after="120"/>
        <w:jc w:val="both"/>
      </w:pPr>
      <w:r>
        <w:rPr>
          <w:rFonts w:ascii="Times New Roman" w:hAnsi="Times New Roman" w:cs="Times New Roman" w:eastAsia="Times New Roman"/>
          <w:b w:val="0"/>
          <w:i w:val="0"/>
          <w:sz w:val="24"/>
        </w:rPr>
        <w:t>“Table 1 at the end of this chapter summarizes the maximal L-cysteine concentrations achieved by applying these metabolic engineering approaches, as well as the organism and scale of the process by which they were reached. 2.1. Biosynthesis of L-Cysteine The acetylation of L-serine catalyzed by serine acetyltransferase (SAT) is the rate-limiting step of L-cysteine biosynthesis in many microorganisms. The activity of SAT is suppressed by L-cysteine via feedback inhibition ( Figure 2 ). An approach to enhance the fermentative production of L-cysteine utilizes feedback inhibition-insensitive SATs. These SATs are obtained by the following means: Engineering SAT from E. coli through site-directed mutagenesis or random mutagenesis [ 29 , 30 ]; Utilizing natural SAT from higher plants insensitive to feedback inhibition [ 31 , 32 ]. Nakamori et al. [ 33 ] obtained feedback inhibition-insensitive SATs by engineering SAT from E. coli through site-directed mutagenesis using PCR.”  [PMC10821248 ¶12]</w:t>
      </w:r>
    </w:p>
    <w:p>
      <w:pPr>
        <w:spacing w:after="120"/>
        <w:jc w:val="both"/>
      </w:pPr>
      <w:r>
        <w:rPr>
          <w:rFonts w:ascii="Times New Roman" w:hAnsi="Times New Roman" w:cs="Times New Roman" w:eastAsia="Times New Roman"/>
          <w:b w:val="0"/>
          <w:i w:val="0"/>
          <w:sz w:val="24"/>
        </w:rPr>
        <w:t>“A strain of P. ananatis carrying the gene cefA was able to produce 900 mg L \u22121 of L-cysteine in agitated test tubes, which is roughly four times the amount produced by the P. ananatis strain carrying only the feedback-insensitive SAT [ 6 ]. C. glutamicum is a nonpathogenic and high G+C gram-positive bacterium industrially used for decades for the fermentative production of amino acids such as L-glutamic acid and L-lysine [ 35 , 36 ]. Joo et al. [ 37 ] investigated the effect of the overexpression of genes encoding SAT, OASS, and a transcriptional regulator in C. glutamicum . The results showed that L-cysteine production was enhanced by approximately three-fold, with the recombinant strain reaching a maximal L-cysteine concentration of approximately 60 mg L \u22121 in shake flasks at 30 \u00b0C after 15 h of cultivation. Wei et al. [ 7 ] further engineered C. glutamicum for L-cysteine production by enhancing the L-serine biosynthetic pathway, expressing the gene encoding feedback inhibition-insensitive SAT, deleting genes encoding CD, and increasing the L-cysteine export.”  [PMC10821248 ¶16]</w:t>
      </w:r>
    </w:p>
    <w:p>
      <w:pPr>
        <w:spacing w:after="120"/>
        <w:jc w:val="both"/>
      </w:pPr>
      <w:r>
        <w:rPr>
          <w:rFonts w:ascii="Times New Roman" w:hAnsi="Times New Roman" w:cs="Times New Roman" w:eastAsia="Times New Roman"/>
          <w:b w:val="0"/>
          <w:i w:val="0"/>
          <w:sz w:val="24"/>
        </w:rPr>
        <w:t>“Their engineered strain, cultivated for 48 h at 30 \u00b0C in shake flasks, produced 947.9 \u00b1 46.5 mg L \u22121 of L-cysteine, with a yield of 27.27 mg g \u22121 of glucose and a volumetric productivity of 26.33 mg L \u22121 h \u22121 . Kondoh and Hirasawa [ 38 ] achieved approximately 200 mg L \u22121 of L-cysteine production with C. glutamicum by overexpressing the mutant cysE and serA genes to enhance the biosynthesis, disrupting aecD gene coding for CD to prevent degradation and disrupting the NCgl2463 gene coding for a membrane transporter to prevent L-cystine import. One of the key enzymes in the L-serine biosynthesis pathway, 3-phosphoglycerate dehydrogenase (PGDH), coded by the gene serA , is feedback inhibited by L-serine [ 7 , 13 ]. The authors of [ 39 ] converted the 344th and 346th amino acids of E. coli \u2019s PGDH to alanine, which created a feedback-insensitive serA .”  [PMC10821248 ¶17]</w:t>
      </w:r>
    </w:p>
    <w:p>
      <w:pPr>
        <w:jc w:val="center"/>
      </w:pPr>
      <w:r>
        <w:drawing>
          <wp:inline xmlns:a="http://schemas.openxmlformats.org/drawingml/2006/main" xmlns:pic="http://schemas.openxmlformats.org/drawingml/2006/picture">
            <wp:extent cx="5029200" cy="1200731"/>
            <wp:docPr id="222" name="Picture 222"/>
            <wp:cNvGraphicFramePr>
              <a:graphicFrameLocks noChangeAspect="1"/>
            </wp:cNvGraphicFramePr>
            <a:graphic>
              <a:graphicData uri="http://schemas.openxmlformats.org/drawingml/2006/picture">
                <pic:pic>
                  <pic:nvPicPr>
                    <pic:cNvPr id="0" name="p03_i1.jpg"/>
                    <pic:cNvPicPr/>
                  </pic:nvPicPr>
                  <pic:blipFill>
                    <a:blip r:embed="rId11"/>
                    <a:stretch>
                      <a:fillRect/>
                    </a:stretch>
                  </pic:blipFill>
                  <pic:spPr>
                    <a:xfrm>
                      <a:off x="0" y="0"/>
                      <a:ext cx="5029200" cy="1200731"/>
                    </a:xfrm>
                    <a:prstGeom prst="rect"/>
                  </pic:spPr>
                </pic:pic>
              </a:graphicData>
            </a:graphic>
          </wp:inline>
        </w:drawing>
      </w:r>
    </w:p>
    <w:p>
      <w:pPr>
        <w:spacing w:after="160"/>
        <w:jc w:val="center"/>
      </w:pPr>
      <w:r>
        <w:rPr>
          <w:rFonts w:ascii="Times New Roman" w:hAnsi="Times New Roman" w:cs="Times New Roman" w:eastAsia="Times New Roman"/>
          <w:b w:val="0"/>
          <w:i/>
          <w:sz w:val="20"/>
        </w:rPr>
        <w:t>Figure 3 (from PMC10821248): “( a ) Substrate feeding profiles followed by [ 59 ] in the fed-batch L-cysteine production process. The thiosulfate feeding started two hours after the process was inoculated in order to avoid unnecessary oxidative stress on the cells in the initial lag phase. The glucose feeding started after five hours, once the initially added glucose was completely consu”</w:t>
      </w:r>
    </w:p>
    <w:p>
      <w:pPr>
        <w:spacing w:after="120"/>
        <w:jc w:val="both"/>
      </w:pPr>
      <w:r>
        <w:rPr>
          <w:rFonts w:ascii="Times New Roman" w:hAnsi="Times New Roman" w:cs="Times New Roman" w:eastAsia="Times New Roman"/>
          <w:b w:val="0"/>
          <w:i w:val="0"/>
          <w:sz w:val="24"/>
        </w:rPr>
        <w:t>“The results indicated that the overexpression of these proteins enhanced the secretion of L-cysteine, preventing its accumulation in the cytoplasm of C. glutamicum cells and, therefore, improving cell growth. The levels of L-cysteine obtained from the engineered strains were still approximately five times lower in comparison with the results of [ 54 ], whose authors performed the same alteration on the Bcr and YdeD genes in E. coli cells. This difference is believed to be caused by the different cell membrane structures of the two bacteria, with C. glutamicum being gram positive and E. coli gram negative [ 7 ]. Among L-cysteine transport proteins, there are few that are solely responsible for the import of L-cysteine back into the cytoplasm. This is disadvantageous for the industrial biosynthesis of L-cysteine, since it doesn\u2019t allow for the accumulation of the product and causes backflow.”  [PMC10821248 ¶30]</w:t>
      </w:r>
    </w:p>
    <w:p>
      <w:pPr>
        <w:keepNext/>
        <w:pageBreakBefore/>
        <w:spacing w:before="480" w:after="160"/>
        <w:outlineLvl w:val="0"/>
      </w:pPr>
      <w:r>
        <w:rPr>
          <w:rFonts w:ascii="Times New Roman" w:hAnsi="Times New Roman" w:cs="Times New Roman" w:eastAsia="Times New Roman"/>
          <w:b/>
          <w:i w:val="0"/>
          <w:color w:val="1F3D7A"/>
          <w:sz w:val="36"/>
        </w:rPr>
        <w:t>14b.  Recent Research — Peer-Reviewed Literature Full Extracts</w:t>
      </w:r>
    </w:p>
    <w:p>
      <w:pPr>
        <w:spacing w:after="80"/>
        <w:jc w:val="both"/>
      </w:pPr>
      <w:r>
        <w:rPr>
          <w:rFonts w:ascii="Times New Roman" w:hAnsi="Times New Roman" w:cs="Times New Roman" w:eastAsia="Times New Roman"/>
          <w:b w:val="0"/>
          <w:i w:val="0"/>
          <w:sz w:val="24"/>
        </w:rPr>
        <w:t>The twelve full-text PMC papers harvested as JATS XML on 2026-04-20 are reproduced below with verbatim abstracts, verbatim structured table rows, verbatim figure captions, and for eight of the twelve papers, a sequential verbatim reproduction of the body-text paragraphs that were also retrievable via the MCP fetch_pmc_article endpoint. Bibliographic identifiers (PMCID, PMID, DOI, journal, year) are listed at the head of each subsection so any claim can be independently verified against the primary source. Four of the twelve PMC article pages (PMC8719286, PMC10885928, PMC11672833, PMC6154623) returned only a 'Checking your browser' reCAPTCHA interstitial at the time of harvest; for those four papers the extract is limited to JATS-derived abstract, tables, and figure captions.</w:t>
      </w:r>
    </w:p>
    <w:p>
      <w:pPr>
        <w:spacing w:after="80"/>
        <w:jc w:val="both"/>
      </w:pPr>
      <w:r>
        <w:rPr>
          <w:rFonts w:ascii="Times New Roman" w:hAnsi="Times New Roman" w:cs="Times New Roman" w:eastAsia="Times New Roman"/>
          <w:b w:val="0"/>
          <w:i w:val="0"/>
          <w:sz w:val="24"/>
        </w:rPr>
        <w:t>Each verbatim body paragraph below is followed by a PMCID tag in square brackets identifying its source. Numeric citations in square brackets within the paragraphs (e.g. [12], [34,35]) are preserved as they appear in the original article and refer to that paper's own reference list, not to the reference list at the end of this report.</w:t>
      </w:r>
    </w:p>
    <w:p>
      <w:pPr>
        <w:keepNext/>
        <w:spacing w:before="280" w:after="80"/>
        <w:outlineLvl w:val="1"/>
      </w:pPr>
      <w:r>
        <w:rPr>
          <w:rFonts w:ascii="Times New Roman" w:hAnsi="Times New Roman" w:cs="Times New Roman" w:eastAsia="Times New Roman"/>
          <w:b/>
          <w:i w:val="0"/>
          <w:color w:val="335588"/>
          <w:sz w:val="28"/>
        </w:rPr>
        <w:t>11.1  [1] N-Acetylcysteine and Its Immunomodulatory Properties in Humans and Domesticated Animals</w:t>
      </w:r>
    </w:p>
    <w:p>
      <w:pPr>
        <w:spacing w:after="80"/>
        <w:jc w:val="both"/>
      </w:pPr>
      <w:r>
        <w:rPr>
          <w:rFonts w:ascii="Times New Roman" w:hAnsi="Times New Roman" w:cs="Times New Roman" w:eastAsia="Times New Roman"/>
          <w:b w:val="0"/>
          <w:i/>
          <w:sz w:val="22"/>
        </w:rPr>
        <w:t>Bibliographic identifiers — PMCID: PMC10604897; PMID: 37891946; DOI: 10.3390/antiox12101867; Journal: Antioxidants; Year: 2023.</w:t>
      </w:r>
    </w:p>
    <w:p>
      <w:pPr>
        <w:spacing w:after="80"/>
        <w:jc w:val="both"/>
      </w:pPr>
      <w:r>
        <w:rPr>
          <w:rFonts w:ascii="Times New Roman" w:hAnsi="Times New Roman" w:cs="Times New Roman" w:eastAsia="Times New Roman"/>
          <w:b w:val="0"/>
          <w:i w:val="0"/>
          <w:sz w:val="22"/>
        </w:rPr>
        <w:t>Retrieval — full JATS XML via NCBI efetch db=pmc rettype=xml. Body text length: 85,301 characters; structured tables: 3; figures: 1; references: 219. Supplementary body text also harvested via MCP fetch_pmc_article: 0 characters, 0 verbatim paragraphs reproduced below.</w:t>
      </w:r>
    </w:p>
    <w:p>
      <w:pPr>
        <w:spacing w:after="80"/>
        <w:jc w:val="both"/>
      </w:pPr>
      <w:r>
        <w:rPr>
          <w:rFonts w:ascii="Times New Roman" w:hAnsi="Times New Roman" w:cs="Times New Roman" w:eastAsia="Times New Roman"/>
          <w:b/>
          <w:i w:val="0"/>
          <w:sz w:val="22"/>
        </w:rPr>
        <w:t>Verbatim abstract (from JATS XML):</w:t>
      </w:r>
    </w:p>
    <w:p>
      <w:pPr>
        <w:spacing w:after="80"/>
        <w:jc w:val="both"/>
      </w:pPr>
      <w:r>
        <w:rPr>
          <w:rFonts w:ascii="Times New Roman" w:hAnsi="Times New Roman" w:cs="Times New Roman" w:eastAsia="Times New Roman"/>
          <w:b w:val="0"/>
          <w:i/>
          <w:sz w:val="24"/>
        </w:rPr>
        <w:t>“N-acetylcysteine (NAC), an acetylated derivative of the amino acid L-cysteine, has been widely used as a mucolytic agent and antidote for acetaminophen overdose since the 1960s and the 1980s, respectively. NAC possesses antioxidant, cytoprotective, anti-inflammatory, antimicrobial, and mucolytic properties, making it a promising therapeutic agent for a wide range of diseases in both humans and domesticated animals. Oxidative stress and inflammation play a major role in the onset and progression of all these diseases. NAC’s primary role is to replenish glutathione (GSH) stores, the master antioxidant in all tissues; however, it can also reduce levels of pro-inflammatory tumor necrosis factor-alpha (TNF-∝) and interleukins (IL-6 and IL-1β), inhibit the formation of microbial biofilms and destroy biofilms, and break down disulfide bonds between mucin molecules. Many experimental studies have been conducted on the use of NAC to address a wide range of pathological conditions; however, its effectiveness in clinical trials remains limited and studies often have conflicting results. The purpose of this review is to provide a concise overview of promising NAC usages for the treatment of different human and domestic animal disorders.”</w:t>
      </w:r>
    </w:p>
    <w:p>
      <w:pPr>
        <w:keepNext/>
        <w:spacing w:before="160" w:after="40"/>
        <w:jc w:val="left"/>
      </w:pPr>
      <w:r>
        <w:rPr>
          <w:rFonts w:ascii="Times New Roman" w:hAnsi="Times New Roman" w:cs="Times New Roman" w:eastAsia="Times New Roman"/>
          <w:b/>
          <w:i w:val="0"/>
          <w:sz w:val="22"/>
        </w:rPr>
        <w:t>Reproduced verbatim from PMC10604897 — Table 1 — N-acetylcysteine adverse events.</w:t>
      </w:r>
    </w:p>
    <w:tbl>
      <w:tblPr>
        <w:tblStyle w:val="TableGrid"/>
        <w:tblW w:type="auto" w:w="0"/>
        <w:tblLayout w:type="fixed"/>
        <w:tblLook w:firstColumn="1" w:firstRow="1" w:lastColumn="0" w:lastRow="0" w:noHBand="0" w:noVBand="1" w:val="04A0"/>
      </w:tblPr>
      <w:tblGrid>
        <w:gridCol w:w="1872"/>
        <w:gridCol w:w="1872"/>
        <w:gridCol w:w="1872"/>
        <w:gridCol w:w="1872"/>
        <w:gridCol w:w="1872"/>
      </w:tblGrid>
      <w:tr>
        <w:tc>
          <w:tcPr>
            <w:tcW w:type="dxa" w:w="1872"/>
            <w:shd w:fill="DDE4EF"/>
          </w:tcPr>
          <w:p>
            <w:r/>
            <w:r>
              <w:rPr>
                <w:rFonts w:ascii="Times New Roman" w:hAnsi="Times New Roman" w:cs="Times New Roman" w:eastAsia="Times New Roman"/>
                <w:b/>
                <w:i w:val="0"/>
                <w:sz w:val="22"/>
              </w:rPr>
              <w:t>Study</w:t>
            </w:r>
          </w:p>
        </w:tc>
        <w:tc>
          <w:tcPr>
            <w:tcW w:type="dxa" w:w="1872"/>
            <w:shd w:fill="DDE4EF"/>
          </w:tcPr>
          <w:p>
            <w:r/>
            <w:r>
              <w:rPr>
                <w:rFonts w:ascii="Times New Roman" w:hAnsi="Times New Roman" w:cs="Times New Roman" w:eastAsia="Times New Roman"/>
                <w:b/>
                <w:i w:val="0"/>
                <w:sz w:val="22"/>
              </w:rPr>
              <w:t>Study Type</w:t>
            </w:r>
          </w:p>
        </w:tc>
        <w:tc>
          <w:tcPr>
            <w:tcW w:type="dxa" w:w="1872"/>
            <w:shd w:fill="DDE4EF"/>
          </w:tcPr>
          <w:p>
            <w:r/>
            <w:r>
              <w:rPr>
                <w:rFonts w:ascii="Times New Roman" w:hAnsi="Times New Roman" w:cs="Times New Roman" w:eastAsia="Times New Roman"/>
                <w:b/>
                <w:i w:val="0"/>
                <w:sz w:val="22"/>
              </w:rPr>
              <w:t>Study Size</w:t>
            </w:r>
          </w:p>
        </w:tc>
        <w:tc>
          <w:tcPr>
            <w:tcW w:type="dxa" w:w="1872"/>
            <w:shd w:fill="DDE4EF"/>
          </w:tcPr>
          <w:p>
            <w:r/>
            <w:r>
              <w:rPr>
                <w:rFonts w:ascii="Times New Roman" w:hAnsi="Times New Roman" w:cs="Times New Roman" w:eastAsia="Times New Roman"/>
                <w:b/>
                <w:i w:val="0"/>
                <w:sz w:val="22"/>
              </w:rPr>
              <w:t>NAC Treatment</w:t>
            </w:r>
          </w:p>
        </w:tc>
        <w:tc>
          <w:tcPr>
            <w:tcW w:type="dxa" w:w="1872"/>
            <w:shd w:fill="DDE4EF"/>
          </w:tcPr>
          <w:p>
            <w:r/>
            <w:r>
              <w:rPr>
                <w:rFonts w:ascii="Times New Roman" w:hAnsi="Times New Roman" w:cs="Times New Roman" w:eastAsia="Times New Roman"/>
                <w:b/>
                <w:i w:val="0"/>
                <w:sz w:val="22"/>
              </w:rPr>
              <w:t>Type and Incidence of Adverse Events following NAC Treatment</w:t>
            </w:r>
          </w:p>
        </w:tc>
      </w:tr>
      <w:tr>
        <w:tc>
          <w:tcPr>
            <w:tcW w:type="dxa" w:w="1872"/>
          </w:tcPr>
          <w:p>
            <w:r/>
            <w:r>
              <w:rPr>
                <w:rFonts w:ascii="Times New Roman" w:hAnsi="Times New Roman" w:cs="Times New Roman" w:eastAsia="Times New Roman"/>
                <w:b w:val="0"/>
                <w:i w:val="0"/>
                <w:sz w:val="22"/>
              </w:rPr>
            </w:r>
          </w:p>
        </w:tc>
        <w:tc>
          <w:tcPr>
            <w:tcW w:type="dxa" w:w="1872"/>
          </w:tcPr>
          <w:p>
            <w:r/>
            <w:r>
              <w:rPr>
                <w:rFonts w:ascii="Times New Roman" w:hAnsi="Times New Roman" w:cs="Times New Roman" w:eastAsia="Times New Roman"/>
                <w:b w:val="0"/>
                <w:i w:val="0"/>
                <w:sz w:val="22"/>
              </w:rPr>
              <w:t>Moderate</w:t>
            </w:r>
          </w:p>
        </w:tc>
        <w:tc>
          <w:tcPr>
            <w:tcW w:type="dxa" w:w="1872"/>
          </w:tcPr>
          <w:p>
            <w:r/>
            <w:r>
              <w:rPr>
                <w:rFonts w:ascii="Times New Roman" w:hAnsi="Times New Roman" w:cs="Times New Roman" w:eastAsia="Times New Roman"/>
                <w:b w:val="0"/>
                <w:i w:val="0"/>
                <w:sz w:val="22"/>
              </w:rPr>
              <w:t>Severe</w:t>
            </w:r>
          </w:p>
        </w:tc>
        <w:tc>
          <w:tcPr>
            <w:tcW w:type="dxa" w:w="1872"/>
          </w:tcPr>
          <w:p>
            <w:r/>
            <w:r>
              <w:rPr>
                <w:rFonts w:ascii="Times New Roman" w:hAnsi="Times New Roman" w:cs="Times New Roman" w:eastAsia="Times New Roman"/>
                <w:b w:val="0"/>
                <w:i w:val="0"/>
                <w:sz w:val="22"/>
              </w:rPr>
            </w:r>
          </w:p>
        </w:tc>
        <w:tc>
          <w:tcPr>
            <w:tcW w:type="dxa" w:w="1872"/>
          </w:tcPr>
          <w:p>
            <w:r/>
            <w:r>
              <w:rPr>
                <w:rFonts w:ascii="Times New Roman" w:hAnsi="Times New Roman" w:cs="Times New Roman" w:eastAsia="Times New Roman"/>
                <w:b w:val="0"/>
                <w:i w:val="0"/>
                <w:sz w:val="22"/>
              </w:rPr>
            </w:r>
          </w:p>
        </w:tc>
      </w:tr>
      <w:tr>
        <w:tc>
          <w:tcPr>
            <w:tcW w:type="dxa" w:w="1872"/>
          </w:tcPr>
          <w:p>
            <w:r/>
            <w:r>
              <w:rPr>
                <w:rFonts w:ascii="Times New Roman" w:hAnsi="Times New Roman" w:cs="Times New Roman" w:eastAsia="Times New Roman"/>
                <w:b w:val="0"/>
                <w:i w:val="0"/>
                <w:sz w:val="22"/>
              </w:rPr>
              <w:t>[ 38 ]</w:t>
            </w:r>
          </w:p>
        </w:tc>
        <w:tc>
          <w:tcPr>
            <w:tcW w:type="dxa" w:w="1872"/>
          </w:tcPr>
          <w:p>
            <w:r/>
            <w:r>
              <w:rPr>
                <w:rFonts w:ascii="Times New Roman" w:hAnsi="Times New Roman" w:cs="Times New Roman" w:eastAsia="Times New Roman"/>
                <w:b w:val="0"/>
                <w:i w:val="0"/>
                <w:sz w:val="22"/>
              </w:rPr>
              <w:t>Double-blinded, placebo-controlled, crossover design</w:t>
            </w:r>
          </w:p>
        </w:tc>
        <w:tc>
          <w:tcPr>
            <w:tcW w:type="dxa" w:w="1872"/>
          </w:tcPr>
          <w:p>
            <w:r/>
            <w:r>
              <w:rPr>
                <w:rFonts w:ascii="Times New Roman" w:hAnsi="Times New Roman" w:cs="Times New Roman" w:eastAsia="Times New Roman"/>
                <w:b w:val="0"/>
                <w:i w:val="0"/>
                <w:sz w:val="22"/>
              </w:rPr>
              <w:t>17 healthy individuals (age 30 ± 2 years)</w:t>
            </w:r>
          </w:p>
        </w:tc>
        <w:tc>
          <w:tcPr>
            <w:tcW w:type="dxa" w:w="1872"/>
          </w:tcPr>
          <w:p>
            <w:r/>
            <w:r>
              <w:rPr>
                <w:rFonts w:ascii="Times New Roman" w:hAnsi="Times New Roman" w:cs="Times New Roman" w:eastAsia="Times New Roman"/>
                <w:b w:val="0"/>
                <w:i w:val="0"/>
                <w:sz w:val="22"/>
              </w:rPr>
              <w:t>9 mg/kg NAC capsule</w:t>
            </w:r>
          </w:p>
        </w:tc>
        <w:tc>
          <w:tcPr>
            <w:tcW w:type="dxa" w:w="1872"/>
          </w:tcPr>
          <w:p>
            <w:r/>
            <w:r>
              <w:rPr>
                <w:rFonts w:ascii="Times New Roman" w:hAnsi="Times New Roman" w:cs="Times New Roman" w:eastAsia="Times New Roman"/>
                <w:b w:val="0"/>
                <w:i w:val="0"/>
                <w:sz w:val="22"/>
              </w:rPr>
              <w:t>Upset stomach (2), nausea (1), stomach/intestinal gas (1), cough (1)</w:t>
            </w:r>
          </w:p>
        </w:tc>
      </w:tr>
      <w:tr>
        <w:tc>
          <w:tcPr>
            <w:tcW w:type="dxa" w:w="1872"/>
          </w:tcPr>
          <w:p>
            <w:r/>
            <w:r>
              <w:rPr>
                <w:rFonts w:ascii="Times New Roman" w:hAnsi="Times New Roman" w:cs="Times New Roman" w:eastAsia="Times New Roman"/>
                <w:b w:val="0"/>
                <w:i w:val="0"/>
                <w:sz w:val="22"/>
              </w:rPr>
              <w:t>18 mg/kg NAC capsule</w:t>
            </w:r>
          </w:p>
        </w:tc>
        <w:tc>
          <w:tcPr>
            <w:tcW w:type="dxa" w:w="1872"/>
          </w:tcPr>
          <w:p>
            <w:r/>
            <w:r>
              <w:rPr>
                <w:rFonts w:ascii="Times New Roman" w:hAnsi="Times New Roman" w:cs="Times New Roman" w:eastAsia="Times New Roman"/>
                <w:b w:val="0"/>
                <w:i w:val="0"/>
                <w:sz w:val="22"/>
              </w:rPr>
              <w:t>Upset stomach (1), nausea (1), stomach/intestinal gas (2), sleepiness (2), metallic taste (1)</w:t>
            </w:r>
          </w:p>
        </w:tc>
        <w:tc>
          <w:tcPr>
            <w:tcW w:type="dxa" w:w="1872"/>
          </w:tcPr>
          <w:p>
            <w:r/>
            <w:r>
              <w:rPr>
                <w:rFonts w:ascii="Times New Roman" w:hAnsi="Times New Roman" w:cs="Times New Roman" w:eastAsia="Times New Roman"/>
                <w:b w:val="0"/>
                <w:i w:val="0"/>
                <w:sz w:val="22"/>
              </w:rPr>
            </w:r>
          </w:p>
        </w:tc>
        <w:tc>
          <w:tcPr>
            <w:tcW w:type="dxa" w:w="1872"/>
          </w:tcPr>
          <w:p>
            <w:r/>
            <w:r>
              <w:rPr>
                <w:rFonts w:ascii="Times New Roman" w:hAnsi="Times New Roman" w:cs="Times New Roman" w:eastAsia="Times New Roman"/>
                <w:b w:val="0"/>
                <w:i w:val="0"/>
                <w:sz w:val="22"/>
              </w:rPr>
            </w:r>
          </w:p>
        </w:tc>
        <w:tc>
          <w:tcPr>
            <w:tcW w:type="dxa" w:w="1872"/>
          </w:tcPr>
          <w:p>
            <w:r/>
            <w:r>
              <w:rPr>
                <w:rFonts w:ascii="Times New Roman" w:hAnsi="Times New Roman" w:cs="Times New Roman" w:eastAsia="Times New Roman"/>
                <w:b w:val="0"/>
                <w:i w:val="0"/>
                <w:sz w:val="22"/>
              </w:rPr>
            </w:r>
          </w:p>
        </w:tc>
      </w:tr>
      <w:tr>
        <w:tc>
          <w:tcPr>
            <w:tcW w:type="dxa" w:w="1872"/>
          </w:tcPr>
          <w:p>
            <w:r/>
            <w:r>
              <w:rPr>
                <w:rFonts w:ascii="Times New Roman" w:hAnsi="Times New Roman" w:cs="Times New Roman" w:eastAsia="Times New Roman"/>
                <w:b w:val="0"/>
                <w:i w:val="0"/>
                <w:sz w:val="22"/>
              </w:rPr>
              <w:t>35 mg/kg oral NAC solution</w:t>
            </w:r>
          </w:p>
        </w:tc>
        <w:tc>
          <w:tcPr>
            <w:tcW w:type="dxa" w:w="1872"/>
          </w:tcPr>
          <w:p>
            <w:r/>
            <w:r>
              <w:rPr>
                <w:rFonts w:ascii="Times New Roman" w:hAnsi="Times New Roman" w:cs="Times New Roman" w:eastAsia="Times New Roman"/>
                <w:b w:val="0"/>
                <w:i w:val="0"/>
                <w:sz w:val="22"/>
              </w:rPr>
              <w:t>Upset stomach (2), stomach/intestinal gas (2), sleepiness (1), metallic taste (1)</w:t>
            </w:r>
          </w:p>
        </w:tc>
        <w:tc>
          <w:tcPr>
            <w:tcW w:type="dxa" w:w="1872"/>
          </w:tcPr>
          <w:p>
            <w:r/>
            <w:r>
              <w:rPr>
                <w:rFonts w:ascii="Times New Roman" w:hAnsi="Times New Roman" w:cs="Times New Roman" w:eastAsia="Times New Roman"/>
                <w:b w:val="0"/>
                <w:i w:val="0"/>
                <w:sz w:val="22"/>
              </w:rPr>
            </w:r>
          </w:p>
        </w:tc>
        <w:tc>
          <w:tcPr>
            <w:tcW w:type="dxa" w:w="1872"/>
          </w:tcPr>
          <w:p>
            <w:r/>
            <w:r>
              <w:rPr>
                <w:rFonts w:ascii="Times New Roman" w:hAnsi="Times New Roman" w:cs="Times New Roman" w:eastAsia="Times New Roman"/>
                <w:b w:val="0"/>
                <w:i w:val="0"/>
                <w:sz w:val="22"/>
              </w:rPr>
            </w:r>
          </w:p>
        </w:tc>
        <w:tc>
          <w:tcPr>
            <w:tcW w:type="dxa" w:w="1872"/>
          </w:tcPr>
          <w:p>
            <w:r/>
            <w:r>
              <w:rPr>
                <w:rFonts w:ascii="Times New Roman" w:hAnsi="Times New Roman" w:cs="Times New Roman" w:eastAsia="Times New Roman"/>
                <w:b w:val="0"/>
                <w:i w:val="0"/>
                <w:sz w:val="22"/>
              </w:rPr>
            </w:r>
          </w:p>
        </w:tc>
      </w:tr>
      <w:tr>
        <w:tc>
          <w:tcPr>
            <w:tcW w:type="dxa" w:w="1872"/>
          </w:tcPr>
          <w:p>
            <w:r/>
            <w:r>
              <w:rPr>
                <w:rFonts w:ascii="Times New Roman" w:hAnsi="Times New Roman" w:cs="Times New Roman" w:eastAsia="Times New Roman"/>
                <w:b w:val="0"/>
                <w:i w:val="0"/>
                <w:sz w:val="22"/>
              </w:rPr>
              <w:t>70 mg/kg oral NAC solution</w:t>
            </w:r>
          </w:p>
        </w:tc>
        <w:tc>
          <w:tcPr>
            <w:tcW w:type="dxa" w:w="1872"/>
          </w:tcPr>
          <w:p>
            <w:r/>
            <w:r>
              <w:rPr>
                <w:rFonts w:ascii="Times New Roman" w:hAnsi="Times New Roman" w:cs="Times New Roman" w:eastAsia="Times New Roman"/>
                <w:b w:val="0"/>
                <w:i w:val="0"/>
                <w:sz w:val="22"/>
              </w:rPr>
              <w:t>Upset stomach (2), stomach/intestinal gas (1), sleepiness (3), metallic taste (3), light-headedness (1), cough (1)</w:t>
            </w:r>
          </w:p>
        </w:tc>
        <w:tc>
          <w:tcPr>
            <w:tcW w:type="dxa" w:w="1872"/>
          </w:tcPr>
          <w:p>
            <w:r/>
            <w:r>
              <w:rPr>
                <w:rFonts w:ascii="Times New Roman" w:hAnsi="Times New Roman" w:cs="Times New Roman" w:eastAsia="Times New Roman"/>
                <w:b w:val="0"/>
                <w:i w:val="0"/>
                <w:sz w:val="22"/>
              </w:rPr>
              <w:t>Upset stomach (1),</w:t>
            </w:r>
          </w:p>
        </w:tc>
        <w:tc>
          <w:tcPr>
            <w:tcW w:type="dxa" w:w="1872"/>
          </w:tcPr>
          <w:p>
            <w:r/>
            <w:r>
              <w:rPr>
                <w:rFonts w:ascii="Times New Roman" w:hAnsi="Times New Roman" w:cs="Times New Roman" w:eastAsia="Times New Roman"/>
                <w:b w:val="0"/>
                <w:i w:val="0"/>
                <w:sz w:val="22"/>
              </w:rPr>
              <w:t>Stomach/intestinal gas (1)</w:t>
            </w:r>
          </w:p>
        </w:tc>
        <w:tc>
          <w:tcPr>
            <w:tcW w:type="dxa" w:w="1872"/>
          </w:tcPr>
          <w:p>
            <w:r/>
            <w:r>
              <w:rPr>
                <w:rFonts w:ascii="Times New Roman" w:hAnsi="Times New Roman" w:cs="Times New Roman" w:eastAsia="Times New Roman"/>
                <w:b w:val="0"/>
                <w:i w:val="0"/>
                <w:sz w:val="22"/>
              </w:rPr>
            </w:r>
          </w:p>
        </w:tc>
      </w:tr>
      <w:tr>
        <w:tc>
          <w:tcPr>
            <w:tcW w:type="dxa" w:w="1872"/>
          </w:tcPr>
          <w:p>
            <w:r/>
            <w:r>
              <w:rPr>
                <w:rFonts w:ascii="Times New Roman" w:hAnsi="Times New Roman" w:cs="Times New Roman" w:eastAsia="Times New Roman"/>
                <w:b w:val="0"/>
                <w:i w:val="0"/>
                <w:sz w:val="22"/>
              </w:rPr>
              <w:t>140 mg/kg oral NAC solution</w:t>
            </w:r>
          </w:p>
        </w:tc>
        <w:tc>
          <w:tcPr>
            <w:tcW w:type="dxa" w:w="1872"/>
          </w:tcPr>
          <w:p>
            <w:r/>
            <w:r>
              <w:rPr>
                <w:rFonts w:ascii="Times New Roman" w:hAnsi="Times New Roman" w:cs="Times New Roman" w:eastAsia="Times New Roman"/>
                <w:b w:val="0"/>
                <w:i w:val="0"/>
                <w:sz w:val="22"/>
              </w:rPr>
              <w:t>Upset stomach (5), nausea (3), stomach/intestinal gas (2), sleepiness (2), metallic taste (4), light-headedness (1)</w:t>
            </w:r>
          </w:p>
        </w:tc>
        <w:tc>
          <w:tcPr>
            <w:tcW w:type="dxa" w:w="1872"/>
          </w:tcPr>
          <w:p>
            <w:r/>
            <w:r>
              <w:rPr>
                <w:rFonts w:ascii="Times New Roman" w:hAnsi="Times New Roman" w:cs="Times New Roman" w:eastAsia="Times New Roman"/>
                <w:b w:val="0"/>
                <w:i w:val="0"/>
                <w:sz w:val="22"/>
              </w:rPr>
              <w:t>Upset stomach (1), stomach/intestinal gas (4)</w:t>
            </w:r>
          </w:p>
        </w:tc>
        <w:tc>
          <w:tcPr>
            <w:tcW w:type="dxa" w:w="1872"/>
          </w:tcPr>
          <w:p>
            <w:r/>
            <w:r>
              <w:rPr>
                <w:rFonts w:ascii="Times New Roman" w:hAnsi="Times New Roman" w:cs="Times New Roman" w:eastAsia="Times New Roman"/>
                <w:b w:val="0"/>
                <w:i w:val="0"/>
                <w:sz w:val="22"/>
              </w:rPr>
            </w:r>
          </w:p>
        </w:tc>
        <w:tc>
          <w:tcPr>
            <w:tcW w:type="dxa" w:w="1872"/>
          </w:tcPr>
          <w:p>
            <w:r/>
            <w:r>
              <w:rPr>
                <w:rFonts w:ascii="Times New Roman" w:hAnsi="Times New Roman" w:cs="Times New Roman" w:eastAsia="Times New Roman"/>
                <w:b w:val="0"/>
                <w:i w:val="0"/>
                <w:sz w:val="22"/>
              </w:rPr>
            </w:r>
          </w:p>
        </w:tc>
      </w:tr>
      <w:tr>
        <w:tc>
          <w:tcPr>
            <w:tcW w:type="dxa" w:w="1872"/>
          </w:tcPr>
          <w:p>
            <w:r/>
            <w:r>
              <w:rPr>
                <w:rFonts w:ascii="Times New Roman" w:hAnsi="Times New Roman" w:cs="Times New Roman" w:eastAsia="Times New Roman"/>
                <w:b w:val="0"/>
                <w:i w:val="0"/>
                <w:sz w:val="22"/>
              </w:rPr>
              <w:t>[ 39 ]</w:t>
            </w:r>
          </w:p>
        </w:tc>
        <w:tc>
          <w:tcPr>
            <w:tcW w:type="dxa" w:w="1872"/>
          </w:tcPr>
          <w:p>
            <w:r/>
            <w:r>
              <w:rPr>
                <w:rFonts w:ascii="Times New Roman" w:hAnsi="Times New Roman" w:cs="Times New Roman" w:eastAsia="Times New Roman"/>
                <w:b w:val="0"/>
                <w:i w:val="0"/>
                <w:sz w:val="22"/>
              </w:rPr>
              <w:t>Randomized, placebo-controlled study</w:t>
            </w:r>
          </w:p>
        </w:tc>
        <w:tc>
          <w:tcPr>
            <w:tcW w:type="dxa" w:w="1872"/>
          </w:tcPr>
          <w:p>
            <w:r/>
            <w:r>
              <w:rPr>
                <w:rFonts w:ascii="Times New Roman" w:hAnsi="Times New Roman" w:cs="Times New Roman" w:eastAsia="Times New Roman"/>
                <w:b w:val="0"/>
                <w:i w:val="0"/>
                <w:sz w:val="22"/>
              </w:rPr>
              <w:t>28 individuals (≤75 years)</w:t>
            </w:r>
          </w:p>
        </w:tc>
        <w:tc>
          <w:tcPr>
            <w:tcW w:type="dxa" w:w="1872"/>
          </w:tcPr>
          <w:p>
            <w:r/>
            <w:r>
              <w:rPr>
                <w:rFonts w:ascii="Times New Roman" w:hAnsi="Times New Roman" w:cs="Times New Roman" w:eastAsia="Times New Roman"/>
                <w:b w:val="0"/>
                <w:i w:val="0"/>
                <w:sz w:val="22"/>
              </w:rPr>
              <w:t>20 mg/min intravenous NAC for first hour, then 10 mg/min for next 23 h; total dose of 15 g over 24 h</w:t>
            </w:r>
          </w:p>
        </w:tc>
        <w:tc>
          <w:tcPr>
            <w:tcW w:type="dxa" w:w="1872"/>
          </w:tcPr>
          <w:p>
            <w:r/>
            <w:r>
              <w:rPr>
                <w:rFonts w:ascii="Times New Roman" w:hAnsi="Times New Roman" w:cs="Times New Roman" w:eastAsia="Times New Roman"/>
                <w:b w:val="0"/>
                <w:i w:val="0"/>
                <w:sz w:val="22"/>
              </w:rPr>
              <w:t>Haemorrhage (3), headache (4)</w:t>
            </w:r>
          </w:p>
        </w:tc>
      </w:tr>
      <w:tr>
        <w:tc>
          <w:tcPr>
            <w:tcW w:type="dxa" w:w="1872"/>
          </w:tcPr>
          <w:p>
            <w:r/>
            <w:r>
              <w:rPr>
                <w:rFonts w:ascii="Times New Roman" w:hAnsi="Times New Roman" w:cs="Times New Roman" w:eastAsia="Times New Roman"/>
                <w:b w:val="0"/>
                <w:i w:val="0"/>
                <w:sz w:val="22"/>
              </w:rPr>
              <w:t>[ 40 ]</w:t>
            </w:r>
          </w:p>
        </w:tc>
        <w:tc>
          <w:tcPr>
            <w:tcW w:type="dxa" w:w="1872"/>
          </w:tcPr>
          <w:p>
            <w:r/>
            <w:r>
              <w:rPr>
                <w:rFonts w:ascii="Times New Roman" w:hAnsi="Times New Roman" w:cs="Times New Roman" w:eastAsia="Times New Roman"/>
                <w:b w:val="0"/>
                <w:i w:val="0"/>
                <w:sz w:val="22"/>
              </w:rPr>
              <w:t>Randomized, placebo-controlled study</w:t>
            </w:r>
          </w:p>
        </w:tc>
        <w:tc>
          <w:tcPr>
            <w:tcW w:type="dxa" w:w="1872"/>
          </w:tcPr>
          <w:p>
            <w:r/>
            <w:r>
              <w:rPr>
                <w:rFonts w:ascii="Times New Roman" w:hAnsi="Times New Roman" w:cs="Times New Roman" w:eastAsia="Times New Roman"/>
                <w:b w:val="0"/>
                <w:i w:val="0"/>
                <w:sz w:val="22"/>
              </w:rPr>
              <w:t>4 healthy individuals (age 35 ± 3 years)</w:t>
            </w:r>
          </w:p>
        </w:tc>
        <w:tc>
          <w:tcPr>
            <w:tcW w:type="dxa" w:w="1872"/>
          </w:tcPr>
          <w:p>
            <w:r/>
            <w:r>
              <w:rPr>
                <w:rFonts w:ascii="Times New Roman" w:hAnsi="Times New Roman" w:cs="Times New Roman" w:eastAsia="Times New Roman"/>
                <w:b w:val="0"/>
                <w:i w:val="0"/>
                <w:sz w:val="22"/>
              </w:rPr>
              <w:t>150 mg/kg intravenous</w:t>
            </w:r>
          </w:p>
        </w:tc>
        <w:tc>
          <w:tcPr>
            <w:tcW w:type="dxa" w:w="1872"/>
          </w:tcPr>
          <w:p>
            <w:r/>
            <w:r>
              <w:rPr>
                <w:rFonts w:ascii="Times New Roman" w:hAnsi="Times New Roman" w:cs="Times New Roman" w:eastAsia="Times New Roman"/>
                <w:b w:val="0"/>
                <w:i w:val="0"/>
                <w:sz w:val="22"/>
              </w:rPr>
              <w:t>Transient skin flushing (2), pruritus (2), nausea (2)</w:t>
            </w:r>
          </w:p>
        </w:tc>
      </w:tr>
      <w:tr>
        <w:tc>
          <w:tcPr>
            <w:tcW w:type="dxa" w:w="1872"/>
          </w:tcPr>
          <w:p>
            <w:r/>
            <w:r>
              <w:rPr>
                <w:rFonts w:ascii="Times New Roman" w:hAnsi="Times New Roman" w:cs="Times New Roman" w:eastAsia="Times New Roman"/>
                <w:b w:val="0"/>
                <w:i w:val="0"/>
                <w:sz w:val="22"/>
              </w:rPr>
              <w:t>[ 41 ]</w:t>
            </w:r>
          </w:p>
        </w:tc>
        <w:tc>
          <w:tcPr>
            <w:tcW w:type="dxa" w:w="1872"/>
          </w:tcPr>
          <w:p>
            <w:r/>
            <w:r>
              <w:rPr>
                <w:rFonts w:ascii="Times New Roman" w:hAnsi="Times New Roman" w:cs="Times New Roman" w:eastAsia="Times New Roman"/>
                <w:b w:val="0"/>
                <w:i w:val="0"/>
                <w:sz w:val="22"/>
              </w:rPr>
              <w:t>Double-blind, randomized trial</w:t>
            </w:r>
          </w:p>
        </w:tc>
        <w:tc>
          <w:tcPr>
            <w:tcW w:type="dxa" w:w="1872"/>
          </w:tcPr>
          <w:p>
            <w:r/>
            <w:r>
              <w:rPr>
                <w:rFonts w:ascii="Times New Roman" w:hAnsi="Times New Roman" w:cs="Times New Roman" w:eastAsia="Times New Roman"/>
                <w:b w:val="0"/>
                <w:i w:val="0"/>
                <w:sz w:val="22"/>
              </w:rPr>
              <w:t>65 chronic bronchitis patients</w:t>
            </w:r>
          </w:p>
        </w:tc>
        <w:tc>
          <w:tcPr>
            <w:tcW w:type="dxa" w:w="1872"/>
          </w:tcPr>
          <w:p>
            <w:r/>
            <w:r>
              <w:rPr>
                <w:rFonts w:ascii="Times New Roman" w:hAnsi="Times New Roman" w:cs="Times New Roman" w:eastAsia="Times New Roman"/>
                <w:b w:val="0"/>
                <w:i w:val="0"/>
                <w:sz w:val="22"/>
              </w:rPr>
              <w:t>4 puffs of NAC (1 mg/puff) two times daily</w:t>
            </w:r>
          </w:p>
        </w:tc>
        <w:tc>
          <w:tcPr>
            <w:tcW w:type="dxa" w:w="1872"/>
          </w:tcPr>
          <w:p>
            <w:r/>
            <w:r>
              <w:rPr>
                <w:rFonts w:ascii="Times New Roman" w:hAnsi="Times New Roman" w:cs="Times New Roman" w:eastAsia="Times New Roman"/>
                <w:b w:val="0"/>
                <w:i w:val="0"/>
                <w:sz w:val="22"/>
              </w:rPr>
              <w:t>Coughing (4), Dyspnoea (7)</w:t>
            </w:r>
          </w:p>
        </w:tc>
      </w:tr>
    </w:tbl>
    <w:p>
      <w:pPr>
        <w:spacing w:after="80"/>
        <w:jc w:val="both"/>
      </w:pPr>
    </w:p>
    <w:p>
      <w:pPr>
        <w:keepNext/>
        <w:spacing w:before="160" w:after="40"/>
        <w:jc w:val="left"/>
      </w:pPr>
      <w:r>
        <w:rPr>
          <w:rFonts w:ascii="Times New Roman" w:hAnsi="Times New Roman" w:cs="Times New Roman" w:eastAsia="Times New Roman"/>
          <w:b/>
          <w:i w:val="0"/>
          <w:sz w:val="22"/>
        </w:rPr>
        <w:t>Reproduced verbatim from PMC10604897 — Table 2 — N-acetylcysteine clinical studies.</w:t>
      </w:r>
    </w:p>
    <w:tbl>
      <w:tblPr>
        <w:tblStyle w:val="TableGrid"/>
        <w:tblW w:type="auto" w:w="0"/>
        <w:tblLayout w:type="fixed"/>
        <w:tblLook w:firstColumn="1" w:firstRow="1" w:lastColumn="0" w:lastRow="0" w:noHBand="0" w:noVBand="1" w:val="04A0"/>
      </w:tblPr>
      <w:tblGrid>
        <w:gridCol w:w="1872"/>
        <w:gridCol w:w="1872"/>
        <w:gridCol w:w="1872"/>
        <w:gridCol w:w="1872"/>
        <w:gridCol w:w="1872"/>
      </w:tblGrid>
      <w:tr>
        <w:tc>
          <w:tcPr>
            <w:tcW w:type="dxa" w:w="1872"/>
            <w:shd w:fill="DDE4EF"/>
          </w:tcPr>
          <w:p>
            <w:r/>
            <w:r>
              <w:rPr>
                <w:rFonts w:ascii="Times New Roman" w:hAnsi="Times New Roman" w:cs="Times New Roman" w:eastAsia="Times New Roman"/>
                <w:b/>
                <w:i w:val="0"/>
                <w:sz w:val="22"/>
              </w:rPr>
              <w:t>Disease</w:t>
            </w:r>
          </w:p>
        </w:tc>
        <w:tc>
          <w:tcPr>
            <w:tcW w:type="dxa" w:w="1872"/>
            <w:shd w:fill="DDE4EF"/>
          </w:tcPr>
          <w:p>
            <w:r/>
            <w:r>
              <w:rPr>
                <w:rFonts w:ascii="Times New Roman" w:hAnsi="Times New Roman" w:cs="Times New Roman" w:eastAsia="Times New Roman"/>
                <w:b/>
                <w:i w:val="0"/>
                <w:sz w:val="22"/>
              </w:rPr>
              <w:t>Study Type</w:t>
            </w:r>
          </w:p>
        </w:tc>
        <w:tc>
          <w:tcPr>
            <w:tcW w:type="dxa" w:w="1872"/>
            <w:shd w:fill="DDE4EF"/>
          </w:tcPr>
          <w:p>
            <w:r/>
            <w:r>
              <w:rPr>
                <w:rFonts w:ascii="Times New Roman" w:hAnsi="Times New Roman" w:cs="Times New Roman" w:eastAsia="Times New Roman"/>
                <w:b/>
                <w:i w:val="0"/>
                <w:sz w:val="22"/>
              </w:rPr>
              <w:t>Study Phase</w:t>
            </w:r>
          </w:p>
        </w:tc>
        <w:tc>
          <w:tcPr>
            <w:tcW w:type="dxa" w:w="1872"/>
            <w:shd w:fill="DDE4EF"/>
          </w:tcPr>
          <w:p>
            <w:r/>
            <w:r>
              <w:rPr>
                <w:rFonts w:ascii="Times New Roman" w:hAnsi="Times New Roman" w:cs="Times New Roman" w:eastAsia="Times New Roman"/>
                <w:b/>
                <w:i w:val="0"/>
                <w:sz w:val="22"/>
              </w:rPr>
              <w:t>Dose</w:t>
            </w:r>
          </w:p>
        </w:tc>
        <w:tc>
          <w:tcPr>
            <w:tcW w:type="dxa" w:w="1872"/>
            <w:shd w:fill="DDE4EF"/>
          </w:tcPr>
          <w:p>
            <w:r/>
            <w:r>
              <w:rPr>
                <w:rFonts w:ascii="Times New Roman" w:hAnsi="Times New Roman" w:cs="Times New Roman" w:eastAsia="Times New Roman"/>
                <w:b/>
                <w:i w:val="0"/>
                <w:sz w:val="22"/>
              </w:rPr>
              <w:t>Treatment Duration</w:t>
            </w:r>
          </w:p>
        </w:tc>
      </w:tr>
      <w:tr>
        <w:tc>
          <w:tcPr>
            <w:tcW w:type="dxa" w:w="1872"/>
          </w:tcPr>
          <w:p>
            <w:r/>
            <w:r>
              <w:rPr>
                <w:rFonts w:ascii="Times New Roman" w:hAnsi="Times New Roman" w:cs="Times New Roman" w:eastAsia="Times New Roman"/>
                <w:b w:val="0"/>
                <w:i w:val="0"/>
                <w:sz w:val="22"/>
              </w:rPr>
              <w:t>Liver diseases</w:t>
            </w:r>
          </w:p>
        </w:tc>
        <w:tc>
          <w:tcPr>
            <w:tcW w:type="dxa" w:w="1872"/>
          </w:tcPr>
          <w:p>
            <w:r/>
            <w:r>
              <w:rPr>
                <w:rFonts w:ascii="Times New Roman" w:hAnsi="Times New Roman" w:cs="Times New Roman" w:eastAsia="Times New Roman"/>
                <w:b w:val="0"/>
                <w:i w:val="0"/>
                <w:sz w:val="22"/>
              </w:rPr>
            </w:r>
          </w:p>
        </w:tc>
        <w:tc>
          <w:tcPr>
            <w:tcW w:type="dxa" w:w="1872"/>
          </w:tcPr>
          <w:p>
            <w:r/>
            <w:r>
              <w:rPr>
                <w:rFonts w:ascii="Times New Roman" w:hAnsi="Times New Roman" w:cs="Times New Roman" w:eastAsia="Times New Roman"/>
                <w:b w:val="0"/>
                <w:i w:val="0"/>
                <w:sz w:val="22"/>
              </w:rPr>
            </w:r>
          </w:p>
        </w:tc>
        <w:tc>
          <w:tcPr>
            <w:tcW w:type="dxa" w:w="1872"/>
          </w:tcPr>
          <w:p>
            <w:r/>
            <w:r>
              <w:rPr>
                <w:rFonts w:ascii="Times New Roman" w:hAnsi="Times New Roman" w:cs="Times New Roman" w:eastAsia="Times New Roman"/>
                <w:b w:val="0"/>
                <w:i w:val="0"/>
                <w:sz w:val="22"/>
              </w:rPr>
            </w:r>
          </w:p>
        </w:tc>
        <w:tc>
          <w:tcPr>
            <w:tcW w:type="dxa" w:w="1872"/>
          </w:tcPr>
          <w:p>
            <w:r/>
            <w:r>
              <w:rPr>
                <w:rFonts w:ascii="Times New Roman" w:hAnsi="Times New Roman" w:cs="Times New Roman" w:eastAsia="Times New Roman"/>
                <w:b w:val="0"/>
                <w:i w:val="0"/>
                <w:sz w:val="22"/>
              </w:rPr>
            </w:r>
          </w:p>
        </w:tc>
      </w:tr>
      <w:tr>
        <w:tc>
          <w:tcPr>
            <w:tcW w:type="dxa" w:w="1872"/>
          </w:tcPr>
          <w:p>
            <w:r/>
            <w:r>
              <w:rPr>
                <w:rFonts w:ascii="Times New Roman" w:hAnsi="Times New Roman" w:cs="Times New Roman" w:eastAsia="Times New Roman"/>
                <w:b w:val="0"/>
                <w:i w:val="0"/>
                <w:sz w:val="22"/>
              </w:rPr>
              <w:t>Acute acetaminophen overdose</w:t>
            </w:r>
          </w:p>
        </w:tc>
        <w:tc>
          <w:tcPr>
            <w:tcW w:type="dxa" w:w="1872"/>
          </w:tcPr>
          <w:p>
            <w:r/>
            <w:r>
              <w:rPr>
                <w:rFonts w:ascii="Times New Roman" w:hAnsi="Times New Roman" w:cs="Times New Roman" w:eastAsia="Times New Roman"/>
                <w:b w:val="0"/>
                <w:i w:val="0"/>
                <w:sz w:val="22"/>
              </w:rPr>
              <w:t>Interventional (Clinical Trial) NCT03679442</w:t>
            </w:r>
          </w:p>
        </w:tc>
        <w:tc>
          <w:tcPr>
            <w:tcW w:type="dxa" w:w="1872"/>
          </w:tcPr>
          <w:p>
            <w:r/>
            <w:r>
              <w:rPr>
                <w:rFonts w:ascii="Times New Roman" w:hAnsi="Times New Roman" w:cs="Times New Roman" w:eastAsia="Times New Roman"/>
                <w:b w:val="0"/>
                <w:i w:val="0"/>
                <w:sz w:val="22"/>
              </w:rPr>
              <w:t>Phase 1</w:t>
            </w:r>
          </w:p>
        </w:tc>
        <w:tc>
          <w:tcPr>
            <w:tcW w:type="dxa" w:w="1872"/>
          </w:tcPr>
          <w:p>
            <w:r/>
            <w:r>
              <w:rPr>
                <w:rFonts w:ascii="Times New Roman" w:hAnsi="Times New Roman" w:cs="Times New Roman" w:eastAsia="Times New Roman"/>
                <w:b w:val="0"/>
                <w:i w:val="0"/>
                <w:sz w:val="22"/>
              </w:rPr>
              <w:t>Dose corresponding to the clinical treatment guidelines for acetaminophen overdosed patients</w:t>
            </w:r>
          </w:p>
        </w:tc>
        <w:tc>
          <w:tcPr>
            <w:tcW w:type="dxa" w:w="1872"/>
          </w:tcPr>
          <w:p>
            <w:r/>
            <w:r>
              <w:rPr>
                <w:rFonts w:ascii="Times New Roman" w:hAnsi="Times New Roman" w:cs="Times New Roman" w:eastAsia="Times New Roman"/>
                <w:b w:val="0"/>
                <w:i w:val="0"/>
                <w:sz w:val="22"/>
              </w:rPr>
              <w:t>16 h</w:t>
            </w:r>
          </w:p>
        </w:tc>
      </w:tr>
      <w:tr>
        <w:tc>
          <w:tcPr>
            <w:tcW w:type="dxa" w:w="1872"/>
          </w:tcPr>
          <w:p>
            <w:r/>
            <w:r>
              <w:rPr>
                <w:rFonts w:ascii="Times New Roman" w:hAnsi="Times New Roman" w:cs="Times New Roman" w:eastAsia="Times New Roman"/>
                <w:b w:val="0"/>
                <w:i w:val="0"/>
                <w:sz w:val="22"/>
              </w:rPr>
              <w:t>Non-alcoholic fatty liver disease</w:t>
            </w:r>
          </w:p>
        </w:tc>
        <w:tc>
          <w:tcPr>
            <w:tcW w:type="dxa" w:w="1872"/>
          </w:tcPr>
          <w:p>
            <w:r/>
            <w:r>
              <w:rPr>
                <w:rFonts w:ascii="Times New Roman" w:hAnsi="Times New Roman" w:cs="Times New Roman" w:eastAsia="Times New Roman"/>
                <w:b w:val="0"/>
                <w:i w:val="0"/>
                <w:sz w:val="22"/>
              </w:rPr>
              <w:t>Interventional (Clinical Trial) NCT02117700</w:t>
            </w:r>
          </w:p>
        </w:tc>
        <w:tc>
          <w:tcPr>
            <w:tcW w:type="dxa" w:w="1872"/>
          </w:tcPr>
          <w:p>
            <w:r/>
            <w:r>
              <w:rPr>
                <w:rFonts w:ascii="Times New Roman" w:hAnsi="Times New Roman" w:cs="Times New Roman" w:eastAsia="Times New Roman"/>
                <w:b w:val="0"/>
                <w:i w:val="0"/>
                <w:sz w:val="22"/>
              </w:rPr>
              <w:t>Phase 2</w:t>
            </w:r>
          </w:p>
        </w:tc>
        <w:tc>
          <w:tcPr>
            <w:tcW w:type="dxa" w:w="1872"/>
          </w:tcPr>
          <w:p>
            <w:r/>
            <w:r>
              <w:rPr>
                <w:rFonts w:ascii="Times New Roman" w:hAnsi="Times New Roman" w:cs="Times New Roman" w:eastAsia="Times New Roman"/>
                <w:b w:val="0"/>
                <w:i w:val="0"/>
                <w:sz w:val="22"/>
              </w:rPr>
              <w:t>600 mg twice/ day</w:t>
            </w:r>
          </w:p>
        </w:tc>
        <w:tc>
          <w:tcPr>
            <w:tcW w:type="dxa" w:w="1872"/>
          </w:tcPr>
          <w:p>
            <w:r/>
            <w:r>
              <w:rPr>
                <w:rFonts w:ascii="Times New Roman" w:hAnsi="Times New Roman" w:cs="Times New Roman" w:eastAsia="Times New Roman"/>
                <w:b w:val="0"/>
                <w:i w:val="0"/>
                <w:sz w:val="22"/>
              </w:rPr>
              <w:t>16 weeks</w:t>
            </w:r>
          </w:p>
        </w:tc>
      </w:tr>
      <w:tr>
        <w:tc>
          <w:tcPr>
            <w:tcW w:type="dxa" w:w="1872"/>
          </w:tcPr>
          <w:p>
            <w:r/>
            <w:r>
              <w:rPr>
                <w:rFonts w:ascii="Times New Roman" w:hAnsi="Times New Roman" w:cs="Times New Roman" w:eastAsia="Times New Roman"/>
                <w:b w:val="0"/>
                <w:i w:val="0"/>
                <w:sz w:val="22"/>
              </w:rPr>
              <w:t>Pulmonary diseases</w:t>
            </w:r>
          </w:p>
        </w:tc>
        <w:tc>
          <w:tcPr>
            <w:tcW w:type="dxa" w:w="1872"/>
          </w:tcPr>
          <w:p>
            <w:r/>
            <w:r>
              <w:rPr>
                <w:rFonts w:ascii="Times New Roman" w:hAnsi="Times New Roman" w:cs="Times New Roman" w:eastAsia="Times New Roman"/>
                <w:b w:val="0"/>
                <w:i w:val="0"/>
                <w:sz w:val="22"/>
              </w:rPr>
            </w:r>
          </w:p>
        </w:tc>
        <w:tc>
          <w:tcPr>
            <w:tcW w:type="dxa" w:w="1872"/>
          </w:tcPr>
          <w:p>
            <w:r/>
            <w:r>
              <w:rPr>
                <w:rFonts w:ascii="Times New Roman" w:hAnsi="Times New Roman" w:cs="Times New Roman" w:eastAsia="Times New Roman"/>
                <w:b w:val="0"/>
                <w:i w:val="0"/>
                <w:sz w:val="22"/>
              </w:rPr>
            </w:r>
          </w:p>
        </w:tc>
        <w:tc>
          <w:tcPr>
            <w:tcW w:type="dxa" w:w="1872"/>
          </w:tcPr>
          <w:p>
            <w:r/>
            <w:r>
              <w:rPr>
                <w:rFonts w:ascii="Times New Roman" w:hAnsi="Times New Roman" w:cs="Times New Roman" w:eastAsia="Times New Roman"/>
                <w:b w:val="0"/>
                <w:i w:val="0"/>
                <w:sz w:val="22"/>
              </w:rPr>
            </w:r>
          </w:p>
        </w:tc>
        <w:tc>
          <w:tcPr>
            <w:tcW w:type="dxa" w:w="1872"/>
          </w:tcPr>
          <w:p>
            <w:r/>
            <w:r>
              <w:rPr>
                <w:rFonts w:ascii="Times New Roman" w:hAnsi="Times New Roman" w:cs="Times New Roman" w:eastAsia="Times New Roman"/>
                <w:b w:val="0"/>
                <w:i w:val="0"/>
                <w:sz w:val="22"/>
              </w:rPr>
            </w:r>
          </w:p>
        </w:tc>
      </w:tr>
      <w:tr>
        <w:tc>
          <w:tcPr>
            <w:tcW w:type="dxa" w:w="1872"/>
          </w:tcPr>
          <w:p>
            <w:r/>
            <w:r>
              <w:rPr>
                <w:rFonts w:ascii="Times New Roman" w:hAnsi="Times New Roman" w:cs="Times New Roman" w:eastAsia="Times New Roman"/>
                <w:b w:val="0"/>
                <w:i w:val="0"/>
                <w:sz w:val="22"/>
              </w:rPr>
              <w:t>Cystic fibrosis</w:t>
            </w:r>
          </w:p>
        </w:tc>
        <w:tc>
          <w:tcPr>
            <w:tcW w:type="dxa" w:w="1872"/>
          </w:tcPr>
          <w:p>
            <w:r/>
            <w:r>
              <w:rPr>
                <w:rFonts w:ascii="Times New Roman" w:hAnsi="Times New Roman" w:cs="Times New Roman" w:eastAsia="Times New Roman"/>
                <w:b w:val="0"/>
                <w:i w:val="0"/>
                <w:sz w:val="22"/>
              </w:rPr>
              <w:t>Interventional (Clinical Trial) NCT00809094</w:t>
            </w:r>
          </w:p>
        </w:tc>
        <w:tc>
          <w:tcPr>
            <w:tcW w:type="dxa" w:w="1872"/>
          </w:tcPr>
          <w:p>
            <w:r/>
            <w:r>
              <w:rPr>
                <w:rFonts w:ascii="Times New Roman" w:hAnsi="Times New Roman" w:cs="Times New Roman" w:eastAsia="Times New Roman"/>
                <w:b w:val="0"/>
                <w:i w:val="0"/>
                <w:sz w:val="22"/>
              </w:rPr>
              <w:t>Phase 2</w:t>
            </w:r>
          </w:p>
        </w:tc>
        <w:tc>
          <w:tcPr>
            <w:tcW w:type="dxa" w:w="1872"/>
          </w:tcPr>
          <w:p>
            <w:r/>
            <w:r>
              <w:rPr>
                <w:rFonts w:ascii="Times New Roman" w:hAnsi="Times New Roman" w:cs="Times New Roman" w:eastAsia="Times New Roman"/>
                <w:b w:val="0"/>
                <w:i w:val="0"/>
                <w:sz w:val="22"/>
              </w:rPr>
              <w:t>900 mg twice/day</w:t>
            </w:r>
          </w:p>
        </w:tc>
        <w:tc>
          <w:tcPr>
            <w:tcW w:type="dxa" w:w="1872"/>
          </w:tcPr>
          <w:p>
            <w:r/>
            <w:r>
              <w:rPr>
                <w:rFonts w:ascii="Times New Roman" w:hAnsi="Times New Roman" w:cs="Times New Roman" w:eastAsia="Times New Roman"/>
                <w:b w:val="0"/>
                <w:i w:val="0"/>
                <w:sz w:val="22"/>
              </w:rPr>
              <w:t>24 weeks</w:t>
            </w:r>
          </w:p>
        </w:tc>
      </w:tr>
      <w:tr>
        <w:tc>
          <w:tcPr>
            <w:tcW w:type="dxa" w:w="1872"/>
          </w:tcPr>
          <w:p>
            <w:r/>
            <w:r>
              <w:rPr>
                <w:rFonts w:ascii="Times New Roman" w:hAnsi="Times New Roman" w:cs="Times New Roman" w:eastAsia="Times New Roman"/>
                <w:b w:val="0"/>
                <w:i w:val="0"/>
                <w:sz w:val="22"/>
              </w:rPr>
              <w:t>Chronic Obstructive Pulmonary Disease</w:t>
            </w:r>
          </w:p>
        </w:tc>
        <w:tc>
          <w:tcPr>
            <w:tcW w:type="dxa" w:w="1872"/>
          </w:tcPr>
          <w:p>
            <w:r/>
            <w:r>
              <w:rPr>
                <w:rFonts w:ascii="Times New Roman" w:hAnsi="Times New Roman" w:cs="Times New Roman" w:eastAsia="Times New Roman"/>
                <w:b w:val="0"/>
                <w:i w:val="0"/>
                <w:sz w:val="22"/>
              </w:rPr>
              <w:t>Interventional (Clinical Trial) NCT01136239</w:t>
            </w:r>
          </w:p>
        </w:tc>
        <w:tc>
          <w:tcPr>
            <w:tcW w:type="dxa" w:w="1872"/>
          </w:tcPr>
          <w:p>
            <w:r/>
            <w:r>
              <w:rPr>
                <w:rFonts w:ascii="Times New Roman" w:hAnsi="Times New Roman" w:cs="Times New Roman" w:eastAsia="Times New Roman"/>
                <w:b w:val="0"/>
                <w:i w:val="0"/>
                <w:sz w:val="22"/>
              </w:rPr>
              <w:t>Phase 4</w:t>
            </w:r>
          </w:p>
        </w:tc>
        <w:tc>
          <w:tcPr>
            <w:tcW w:type="dxa" w:w="1872"/>
          </w:tcPr>
          <w:p>
            <w:r/>
            <w:r>
              <w:rPr>
                <w:rFonts w:ascii="Times New Roman" w:hAnsi="Times New Roman" w:cs="Times New Roman" w:eastAsia="Times New Roman"/>
                <w:b w:val="0"/>
                <w:i w:val="0"/>
                <w:sz w:val="22"/>
              </w:rPr>
              <w:t>600 mg twice/ day</w:t>
            </w:r>
          </w:p>
        </w:tc>
        <w:tc>
          <w:tcPr>
            <w:tcW w:type="dxa" w:w="1872"/>
          </w:tcPr>
          <w:p>
            <w:r/>
            <w:r>
              <w:rPr>
                <w:rFonts w:ascii="Times New Roman" w:hAnsi="Times New Roman" w:cs="Times New Roman" w:eastAsia="Times New Roman"/>
                <w:b w:val="0"/>
                <w:i w:val="0"/>
                <w:sz w:val="22"/>
              </w:rPr>
              <w:t>One year</w:t>
            </w:r>
          </w:p>
        </w:tc>
      </w:tr>
      <w:tr>
        <w:tc>
          <w:tcPr>
            <w:tcW w:type="dxa" w:w="1872"/>
          </w:tcPr>
          <w:p>
            <w:r/>
            <w:r>
              <w:rPr>
                <w:rFonts w:ascii="Times New Roman" w:hAnsi="Times New Roman" w:cs="Times New Roman" w:eastAsia="Times New Roman"/>
                <w:b w:val="0"/>
                <w:i w:val="0"/>
                <w:sz w:val="22"/>
              </w:rPr>
              <w:t>Interventional (Clinical Trial) NCT00969904</w:t>
            </w:r>
          </w:p>
        </w:tc>
        <w:tc>
          <w:tcPr>
            <w:tcW w:type="dxa" w:w="1872"/>
          </w:tcPr>
          <w:p>
            <w:r/>
            <w:r>
              <w:rPr>
                <w:rFonts w:ascii="Times New Roman" w:hAnsi="Times New Roman" w:cs="Times New Roman" w:eastAsia="Times New Roman"/>
                <w:b w:val="0"/>
                <w:i w:val="0"/>
                <w:sz w:val="22"/>
              </w:rPr>
              <w:t>Phase 4</w:t>
            </w:r>
          </w:p>
        </w:tc>
        <w:tc>
          <w:tcPr>
            <w:tcW w:type="dxa" w:w="1872"/>
          </w:tcPr>
          <w:p>
            <w:r/>
            <w:r>
              <w:rPr>
                <w:rFonts w:ascii="Times New Roman" w:hAnsi="Times New Roman" w:cs="Times New Roman" w:eastAsia="Times New Roman"/>
                <w:b w:val="0"/>
                <w:i w:val="0"/>
                <w:sz w:val="22"/>
              </w:rPr>
              <w:t>600 mg twice/ day</w:t>
            </w:r>
          </w:p>
        </w:tc>
        <w:tc>
          <w:tcPr>
            <w:tcW w:type="dxa" w:w="1872"/>
          </w:tcPr>
          <w:p>
            <w:r/>
            <w:r>
              <w:rPr>
                <w:rFonts w:ascii="Times New Roman" w:hAnsi="Times New Roman" w:cs="Times New Roman" w:eastAsia="Times New Roman"/>
                <w:b w:val="0"/>
                <w:i w:val="0"/>
                <w:sz w:val="22"/>
              </w:rPr>
              <w:t>12 weeks</w:t>
            </w:r>
          </w:p>
        </w:tc>
        <w:tc>
          <w:tcPr>
            <w:tcW w:type="dxa" w:w="1872"/>
          </w:tcPr>
          <w:p>
            <w:r/>
            <w:r>
              <w:rPr>
                <w:rFonts w:ascii="Times New Roman" w:hAnsi="Times New Roman" w:cs="Times New Roman" w:eastAsia="Times New Roman"/>
                <w:b w:val="0"/>
                <w:i w:val="0"/>
                <w:sz w:val="22"/>
              </w:rPr>
              <w:t>Oral</w:t>
            </w:r>
          </w:p>
        </w:tc>
      </w:tr>
      <w:tr>
        <w:tc>
          <w:tcPr>
            <w:tcW w:type="dxa" w:w="1872"/>
          </w:tcPr>
          <w:p>
            <w:r/>
            <w:r>
              <w:rPr>
                <w:rFonts w:ascii="Times New Roman" w:hAnsi="Times New Roman" w:cs="Times New Roman" w:eastAsia="Times New Roman"/>
                <w:b w:val="0"/>
                <w:i w:val="0"/>
                <w:sz w:val="22"/>
              </w:rPr>
              <w:t>Interventional (Clinical Trial) NCT03388853</w:t>
            </w:r>
          </w:p>
        </w:tc>
        <w:tc>
          <w:tcPr>
            <w:tcW w:type="dxa" w:w="1872"/>
          </w:tcPr>
          <w:p>
            <w:r/>
            <w:r>
              <w:rPr>
                <w:rFonts w:ascii="Times New Roman" w:hAnsi="Times New Roman" w:cs="Times New Roman" w:eastAsia="Times New Roman"/>
                <w:b w:val="0"/>
                <w:i w:val="0"/>
                <w:sz w:val="22"/>
              </w:rPr>
              <w:t>Phase 4</w:t>
            </w:r>
          </w:p>
        </w:tc>
        <w:tc>
          <w:tcPr>
            <w:tcW w:type="dxa" w:w="1872"/>
          </w:tcPr>
          <w:p>
            <w:r/>
            <w:r>
              <w:rPr>
                <w:rFonts w:ascii="Times New Roman" w:hAnsi="Times New Roman" w:cs="Times New Roman" w:eastAsia="Times New Roman"/>
                <w:b w:val="0"/>
                <w:i w:val="0"/>
                <w:sz w:val="22"/>
              </w:rPr>
              <w:t>1200 mg once daily</w:t>
            </w:r>
          </w:p>
        </w:tc>
        <w:tc>
          <w:tcPr>
            <w:tcW w:type="dxa" w:w="1872"/>
          </w:tcPr>
          <w:p>
            <w:r/>
            <w:r>
              <w:rPr>
                <w:rFonts w:ascii="Times New Roman" w:hAnsi="Times New Roman" w:cs="Times New Roman" w:eastAsia="Times New Roman"/>
                <w:b w:val="0"/>
                <w:i w:val="0"/>
                <w:sz w:val="22"/>
              </w:rPr>
              <w:t>4 weeks</w:t>
            </w:r>
          </w:p>
        </w:tc>
        <w:tc>
          <w:tcPr>
            <w:tcW w:type="dxa" w:w="1872"/>
          </w:tcPr>
          <w:p>
            <w:r/>
            <w:r>
              <w:rPr>
                <w:rFonts w:ascii="Times New Roman" w:hAnsi="Times New Roman" w:cs="Times New Roman" w:eastAsia="Times New Roman"/>
                <w:b w:val="0"/>
                <w:i w:val="0"/>
                <w:sz w:val="22"/>
              </w:rPr>
              <w:t>Oral</w:t>
            </w:r>
          </w:p>
        </w:tc>
      </w:tr>
      <w:tr>
        <w:tc>
          <w:tcPr>
            <w:tcW w:type="dxa" w:w="1872"/>
          </w:tcPr>
          <w:p>
            <w:r/>
            <w:r>
              <w:rPr>
                <w:rFonts w:ascii="Times New Roman" w:hAnsi="Times New Roman" w:cs="Times New Roman" w:eastAsia="Times New Roman"/>
                <w:b w:val="0"/>
                <w:i w:val="0"/>
                <w:sz w:val="22"/>
              </w:rPr>
              <w:t>Interventional (Clinical Trial) NCT02579772</w:t>
            </w:r>
          </w:p>
        </w:tc>
        <w:tc>
          <w:tcPr>
            <w:tcW w:type="dxa" w:w="1872"/>
          </w:tcPr>
          <w:p>
            <w:r/>
            <w:r>
              <w:rPr>
                <w:rFonts w:ascii="Times New Roman" w:hAnsi="Times New Roman" w:cs="Times New Roman" w:eastAsia="Times New Roman"/>
                <w:b w:val="0"/>
                <w:i w:val="0"/>
                <w:sz w:val="22"/>
              </w:rPr>
              <w:t>Phase 4</w:t>
            </w:r>
          </w:p>
        </w:tc>
        <w:tc>
          <w:tcPr>
            <w:tcW w:type="dxa" w:w="1872"/>
          </w:tcPr>
          <w:p>
            <w:r/>
            <w:r>
              <w:rPr>
                <w:rFonts w:ascii="Times New Roman" w:hAnsi="Times New Roman" w:cs="Times New Roman" w:eastAsia="Times New Roman"/>
                <w:b w:val="0"/>
                <w:i w:val="0"/>
                <w:sz w:val="22"/>
              </w:rPr>
              <w:t>600 mg three times/ day for 4 days prior to experimental procedures and 600 mg on the day of the experiment</w:t>
            </w:r>
          </w:p>
        </w:tc>
        <w:tc>
          <w:tcPr>
            <w:tcW w:type="dxa" w:w="1872"/>
          </w:tcPr>
          <w:p>
            <w:r/>
            <w:r>
              <w:rPr>
                <w:rFonts w:ascii="Times New Roman" w:hAnsi="Times New Roman" w:cs="Times New Roman" w:eastAsia="Times New Roman"/>
                <w:b w:val="0"/>
                <w:i w:val="0"/>
                <w:sz w:val="22"/>
              </w:rPr>
              <w:t>4 days</w:t>
            </w:r>
          </w:p>
        </w:tc>
        <w:tc>
          <w:tcPr>
            <w:tcW w:type="dxa" w:w="1872"/>
          </w:tcPr>
          <w:p>
            <w:r/>
            <w:r>
              <w:rPr>
                <w:rFonts w:ascii="Times New Roman" w:hAnsi="Times New Roman" w:cs="Times New Roman" w:eastAsia="Times New Roman"/>
                <w:b w:val="0"/>
                <w:i w:val="0"/>
                <w:sz w:val="22"/>
              </w:rPr>
              <w:t>Oral</w:t>
            </w:r>
          </w:p>
        </w:tc>
      </w:tr>
      <w:tr>
        <w:tc>
          <w:tcPr>
            <w:tcW w:type="dxa" w:w="1872"/>
          </w:tcPr>
          <w:p>
            <w:r/>
            <w:r>
              <w:rPr>
                <w:rFonts w:ascii="Times New Roman" w:hAnsi="Times New Roman" w:cs="Times New Roman" w:eastAsia="Times New Roman"/>
                <w:b w:val="0"/>
                <w:i w:val="0"/>
                <w:sz w:val="22"/>
              </w:rPr>
              <w:t>Interventional (Clinical Trial) NCT00184977</w:t>
            </w:r>
          </w:p>
        </w:tc>
        <w:tc>
          <w:tcPr>
            <w:tcW w:type="dxa" w:w="1872"/>
          </w:tcPr>
          <w:p>
            <w:r/>
            <w:r>
              <w:rPr>
                <w:rFonts w:ascii="Times New Roman" w:hAnsi="Times New Roman" w:cs="Times New Roman" w:eastAsia="Times New Roman"/>
                <w:b w:val="0"/>
                <w:i w:val="0"/>
                <w:sz w:val="22"/>
              </w:rPr>
              <w:t>Phase 4</w:t>
            </w:r>
          </w:p>
        </w:tc>
        <w:tc>
          <w:tcPr>
            <w:tcW w:type="dxa" w:w="1872"/>
          </w:tcPr>
          <w:p>
            <w:r/>
            <w:r>
              <w:rPr>
                <w:rFonts w:ascii="Times New Roman" w:hAnsi="Times New Roman" w:cs="Times New Roman" w:eastAsia="Times New Roman"/>
                <w:b w:val="0"/>
                <w:i w:val="0"/>
                <w:sz w:val="22"/>
              </w:rPr>
              <w:t>600 mg once daily</w:t>
            </w:r>
          </w:p>
        </w:tc>
        <w:tc>
          <w:tcPr>
            <w:tcW w:type="dxa" w:w="1872"/>
          </w:tcPr>
          <w:p>
            <w:r/>
            <w:r>
              <w:rPr>
                <w:rFonts w:ascii="Times New Roman" w:hAnsi="Times New Roman" w:cs="Times New Roman" w:eastAsia="Times New Roman"/>
                <w:b w:val="0"/>
                <w:i w:val="0"/>
                <w:sz w:val="22"/>
              </w:rPr>
              <w:t>3 years</w:t>
            </w:r>
          </w:p>
        </w:tc>
        <w:tc>
          <w:tcPr>
            <w:tcW w:type="dxa" w:w="1872"/>
          </w:tcPr>
          <w:p>
            <w:r/>
            <w:r>
              <w:rPr>
                <w:rFonts w:ascii="Times New Roman" w:hAnsi="Times New Roman" w:cs="Times New Roman" w:eastAsia="Times New Roman"/>
                <w:b w:val="0"/>
                <w:i w:val="0"/>
                <w:sz w:val="22"/>
              </w:rPr>
              <w:t>Oral</w:t>
            </w:r>
          </w:p>
        </w:tc>
      </w:tr>
      <w:tr>
        <w:tc>
          <w:tcPr>
            <w:tcW w:type="dxa" w:w="1872"/>
          </w:tcPr>
          <w:p>
            <w:r/>
            <w:r>
              <w:rPr>
                <w:rFonts w:ascii="Times New Roman" w:hAnsi="Times New Roman" w:cs="Times New Roman" w:eastAsia="Times New Roman"/>
                <w:b w:val="0"/>
                <w:i w:val="0"/>
                <w:sz w:val="22"/>
              </w:rPr>
              <w:t>Infectious Diseases</w:t>
            </w:r>
          </w:p>
        </w:tc>
        <w:tc>
          <w:tcPr>
            <w:tcW w:type="dxa" w:w="1872"/>
          </w:tcPr>
          <w:p>
            <w:r/>
            <w:r>
              <w:rPr>
                <w:rFonts w:ascii="Times New Roman" w:hAnsi="Times New Roman" w:cs="Times New Roman" w:eastAsia="Times New Roman"/>
                <w:b w:val="0"/>
                <w:i w:val="0"/>
                <w:sz w:val="22"/>
              </w:rPr>
            </w:r>
          </w:p>
        </w:tc>
        <w:tc>
          <w:tcPr>
            <w:tcW w:type="dxa" w:w="1872"/>
          </w:tcPr>
          <w:p>
            <w:r/>
            <w:r>
              <w:rPr>
                <w:rFonts w:ascii="Times New Roman" w:hAnsi="Times New Roman" w:cs="Times New Roman" w:eastAsia="Times New Roman"/>
                <w:b w:val="0"/>
                <w:i w:val="0"/>
                <w:sz w:val="22"/>
              </w:rPr>
            </w:r>
          </w:p>
        </w:tc>
        <w:tc>
          <w:tcPr>
            <w:tcW w:type="dxa" w:w="1872"/>
          </w:tcPr>
          <w:p>
            <w:r/>
            <w:r>
              <w:rPr>
                <w:rFonts w:ascii="Times New Roman" w:hAnsi="Times New Roman" w:cs="Times New Roman" w:eastAsia="Times New Roman"/>
                <w:b w:val="0"/>
                <w:i w:val="0"/>
                <w:sz w:val="22"/>
              </w:rPr>
            </w:r>
          </w:p>
        </w:tc>
        <w:tc>
          <w:tcPr>
            <w:tcW w:type="dxa" w:w="1872"/>
          </w:tcPr>
          <w:p>
            <w:r/>
            <w:r>
              <w:rPr>
                <w:rFonts w:ascii="Times New Roman" w:hAnsi="Times New Roman" w:cs="Times New Roman" w:eastAsia="Times New Roman"/>
                <w:b w:val="0"/>
                <w:i w:val="0"/>
                <w:sz w:val="22"/>
              </w:rPr>
            </w:r>
          </w:p>
        </w:tc>
      </w:tr>
      <w:tr>
        <w:tc>
          <w:tcPr>
            <w:tcW w:type="dxa" w:w="1872"/>
          </w:tcPr>
          <w:p>
            <w:r/>
            <w:r>
              <w:rPr>
                <w:rFonts w:ascii="Times New Roman" w:hAnsi="Times New Roman" w:cs="Times New Roman" w:eastAsia="Times New Roman"/>
                <w:b w:val="0"/>
                <w:i w:val="0"/>
                <w:sz w:val="22"/>
              </w:rPr>
              <w:t>Influenza</w:t>
            </w:r>
          </w:p>
        </w:tc>
        <w:tc>
          <w:tcPr>
            <w:tcW w:type="dxa" w:w="1872"/>
          </w:tcPr>
          <w:p>
            <w:r/>
            <w:r>
              <w:rPr>
                <w:rFonts w:ascii="Times New Roman" w:hAnsi="Times New Roman" w:cs="Times New Roman" w:eastAsia="Times New Roman"/>
                <w:b w:val="0"/>
                <w:i w:val="0"/>
                <w:sz w:val="22"/>
              </w:rPr>
              <w:t>Interventional (Clinical Trial) NCT03900988</w:t>
            </w:r>
          </w:p>
        </w:tc>
        <w:tc>
          <w:tcPr>
            <w:tcW w:type="dxa" w:w="1872"/>
          </w:tcPr>
          <w:p>
            <w:r/>
            <w:r>
              <w:rPr>
                <w:rFonts w:ascii="Times New Roman" w:hAnsi="Times New Roman" w:cs="Times New Roman" w:eastAsia="Times New Roman"/>
                <w:b w:val="0"/>
                <w:i w:val="0"/>
                <w:sz w:val="22"/>
              </w:rPr>
              <w:t>Phase 4</w:t>
            </w:r>
          </w:p>
        </w:tc>
        <w:tc>
          <w:tcPr>
            <w:tcW w:type="dxa" w:w="1872"/>
          </w:tcPr>
          <w:p>
            <w:r/>
            <w:r>
              <w:rPr>
                <w:rFonts w:ascii="Times New Roman" w:hAnsi="Times New Roman" w:cs="Times New Roman" w:eastAsia="Times New Roman"/>
                <w:b w:val="0"/>
                <w:i w:val="0"/>
                <w:sz w:val="22"/>
              </w:rPr>
              <w:t>100 mg/kg daily as a continuous IV infusion over 24 h</w:t>
            </w:r>
          </w:p>
        </w:tc>
        <w:tc>
          <w:tcPr>
            <w:tcW w:type="dxa" w:w="1872"/>
          </w:tcPr>
          <w:p>
            <w:r/>
            <w:r>
              <w:rPr>
                <w:rFonts w:ascii="Times New Roman" w:hAnsi="Times New Roman" w:cs="Times New Roman" w:eastAsia="Times New Roman"/>
                <w:b w:val="0"/>
                <w:i w:val="0"/>
                <w:sz w:val="22"/>
              </w:rPr>
              <w:t>28 days</w:t>
            </w:r>
          </w:p>
        </w:tc>
      </w:tr>
      <w:tr>
        <w:tc>
          <w:tcPr>
            <w:tcW w:type="dxa" w:w="1872"/>
          </w:tcPr>
          <w:p>
            <w:r/>
            <w:r>
              <w:rPr>
                <w:rFonts w:ascii="Times New Roman" w:hAnsi="Times New Roman" w:cs="Times New Roman" w:eastAsia="Times New Roman"/>
                <w:b w:val="0"/>
                <w:i w:val="0"/>
                <w:sz w:val="22"/>
              </w:rPr>
              <w:t>COVID-19</w:t>
            </w:r>
          </w:p>
        </w:tc>
        <w:tc>
          <w:tcPr>
            <w:tcW w:type="dxa" w:w="1872"/>
          </w:tcPr>
          <w:p>
            <w:r/>
            <w:r>
              <w:rPr>
                <w:rFonts w:ascii="Times New Roman" w:hAnsi="Times New Roman" w:cs="Times New Roman" w:eastAsia="Times New Roman"/>
                <w:b w:val="0"/>
                <w:i w:val="0"/>
                <w:sz w:val="22"/>
              </w:rPr>
              <w:t>Interventional (Clinical Trial) NCT04374461</w:t>
            </w:r>
          </w:p>
        </w:tc>
        <w:tc>
          <w:tcPr>
            <w:tcW w:type="dxa" w:w="1872"/>
          </w:tcPr>
          <w:p>
            <w:r/>
            <w:r>
              <w:rPr>
                <w:rFonts w:ascii="Times New Roman" w:hAnsi="Times New Roman" w:cs="Times New Roman" w:eastAsia="Times New Roman"/>
                <w:b w:val="0"/>
                <w:i w:val="0"/>
                <w:sz w:val="22"/>
              </w:rPr>
              <w:t>Phase 2</w:t>
            </w:r>
          </w:p>
        </w:tc>
        <w:tc>
          <w:tcPr>
            <w:tcW w:type="dxa" w:w="1872"/>
          </w:tcPr>
          <w:p>
            <w:r/>
            <w:r>
              <w:rPr>
                <w:rFonts w:ascii="Times New Roman" w:hAnsi="Times New Roman" w:cs="Times New Roman" w:eastAsia="Times New Roman"/>
                <w:b w:val="0"/>
                <w:i w:val="0"/>
                <w:sz w:val="22"/>
              </w:rPr>
              <w:t>6 g/day</w:t>
            </w:r>
          </w:p>
        </w:tc>
        <w:tc>
          <w:tcPr>
            <w:tcW w:type="dxa" w:w="1872"/>
          </w:tcPr>
          <w:p>
            <w:r/>
            <w:r>
              <w:rPr>
                <w:rFonts w:ascii="Times New Roman" w:hAnsi="Times New Roman" w:cs="Times New Roman" w:eastAsia="Times New Roman"/>
                <w:b w:val="0"/>
                <w:i w:val="0"/>
                <w:sz w:val="22"/>
              </w:rPr>
              <w:t>Patients will receive treatment for a max of 3 weeks</w:t>
            </w:r>
          </w:p>
        </w:tc>
      </w:tr>
      <w:tr>
        <w:tc>
          <w:tcPr>
            <w:tcW w:type="dxa" w:w="1872"/>
          </w:tcPr>
          <w:p>
            <w:r/>
            <w:r>
              <w:rPr>
                <w:rFonts w:ascii="Times New Roman" w:hAnsi="Times New Roman" w:cs="Times New Roman" w:eastAsia="Times New Roman"/>
                <w:b w:val="0"/>
                <w:i w:val="0"/>
                <w:sz w:val="22"/>
              </w:rPr>
              <w:t>Interventional (Clinical Trial) NCT04928495</w:t>
            </w:r>
          </w:p>
        </w:tc>
        <w:tc>
          <w:tcPr>
            <w:tcW w:type="dxa" w:w="1872"/>
          </w:tcPr>
          <w:p>
            <w:r/>
            <w:r>
              <w:rPr>
                <w:rFonts w:ascii="Times New Roman" w:hAnsi="Times New Roman" w:cs="Times New Roman" w:eastAsia="Times New Roman"/>
                <w:b w:val="0"/>
                <w:i w:val="0"/>
                <w:sz w:val="22"/>
              </w:rPr>
              <w:t>Phase 3</w:t>
            </w:r>
          </w:p>
        </w:tc>
        <w:tc>
          <w:tcPr>
            <w:tcW w:type="dxa" w:w="1872"/>
          </w:tcPr>
          <w:p>
            <w:r/>
            <w:r>
              <w:rPr>
                <w:rFonts w:ascii="Times New Roman" w:hAnsi="Times New Roman" w:cs="Times New Roman" w:eastAsia="Times New Roman"/>
                <w:b w:val="0"/>
                <w:i w:val="0"/>
                <w:sz w:val="22"/>
              </w:rPr>
              <w:t>1800 mg once daily</w:t>
            </w:r>
          </w:p>
        </w:tc>
        <w:tc>
          <w:tcPr>
            <w:tcW w:type="dxa" w:w="1872"/>
          </w:tcPr>
          <w:p>
            <w:r/>
            <w:r>
              <w:rPr>
                <w:rFonts w:ascii="Times New Roman" w:hAnsi="Times New Roman" w:cs="Times New Roman" w:eastAsia="Times New Roman"/>
                <w:b w:val="0"/>
                <w:i w:val="0"/>
                <w:sz w:val="22"/>
              </w:rPr>
              <w:t>10 days</w:t>
            </w:r>
          </w:p>
        </w:tc>
        <w:tc>
          <w:tcPr>
            <w:tcW w:type="dxa" w:w="1872"/>
          </w:tcPr>
          <w:p>
            <w:r/>
            <w:r>
              <w:rPr>
                <w:rFonts w:ascii="Times New Roman" w:hAnsi="Times New Roman" w:cs="Times New Roman" w:eastAsia="Times New Roman"/>
                <w:b w:val="0"/>
                <w:i w:val="0"/>
                <w:sz w:val="22"/>
              </w:rPr>
              <w:t>Oral</w:t>
            </w:r>
          </w:p>
        </w:tc>
      </w:tr>
    </w:tbl>
    <w:p>
      <w:pPr>
        <w:spacing w:after="80"/>
        <w:jc w:val="both"/>
      </w:pPr>
    </w:p>
    <w:p>
      <w:pPr>
        <w:spacing w:after="80"/>
        <w:jc w:val="both"/>
      </w:pPr>
      <w:r>
        <w:rPr>
          <w:rFonts w:ascii="Times New Roman" w:hAnsi="Times New Roman" w:cs="Times New Roman" w:eastAsia="Times New Roman"/>
          <w:b w:val="0"/>
          <w:i/>
          <w:sz w:val="24"/>
        </w:rPr>
        <w:t>Figure 1 (verbatim caption): “The three major narratives of NAC’s mechanisms of action.</w:t>
        <w:br/>
        <w:t xml:space="preserve">   graphic: `antioxidants-12-01867-g001.jpg`”</w:t>
      </w:r>
    </w:p>
    <w:p>
      <w:pPr>
        <w:keepNext/>
        <w:spacing w:before="160" w:after="40"/>
        <w:outlineLvl w:val="2"/>
      </w:pPr>
      <w:r>
        <w:rPr>
          <w:rFonts w:ascii="Times New Roman" w:hAnsi="Times New Roman" w:cs="Times New Roman" w:eastAsia="Times New Roman"/>
          <w:b/>
          <w:i w:val="0"/>
          <w:color w:val="404040"/>
          <w:sz w:val="24"/>
        </w:rPr>
        <w:t>Verbatim body-text paragraphs from PMC10604897</w:t>
      </w:r>
    </w:p>
    <w:p>
      <w:pPr>
        <w:spacing w:after="120"/>
        <w:jc w:val="both"/>
      </w:pPr>
      <w:r>
        <w:rPr>
          <w:rFonts w:ascii="Times New Roman" w:hAnsi="Times New Roman" w:cs="Times New Roman" w:eastAsia="Times New Roman"/>
          <w:b w:val="0"/>
          <w:i w:val="0"/>
          <w:sz w:val="24"/>
        </w:rPr>
        <w:t>“NAC possesses antioxidant, cytoprotective, anti-inflammatory, antimicrobial, and mucolytic properties, making it a promising therapeutic agent for a wide range of diseases in both humans and domesticated animals. Oxidative stress and inflammation play a major role in the onset and progression of all these diseases. NAC\u2019s primary role is to replenish glutathione (GSH) stores, the master antioxidant in all tissues; however, it can also reduce levels of pro-inflammatory tumor necrosis factor-alpha (TNF-\u221d) and interleukins (IL-6 and IL-1\u03b2), inhibit the formation of microbial biofilms and destroy biofilms, and break down disulfide bonds between mucin molecules. Many experimental studies have been conducted on the use of NAC to address a wide range of pathological conditions; however, its effectiveness in clinical trials remains limited and studies often have conflicting results.”  [PMC10604897 ¶1]</w:t>
      </w:r>
    </w:p>
    <w:p>
      <w:pPr>
        <w:spacing w:after="120"/>
        <w:jc w:val="both"/>
      </w:pPr>
      <w:r>
        <w:rPr>
          <w:rFonts w:ascii="Times New Roman" w:hAnsi="Times New Roman" w:cs="Times New Roman" w:eastAsia="Times New Roman"/>
          <w:b w:val="0"/>
          <w:i w:val="0"/>
          <w:sz w:val="24"/>
        </w:rPr>
        <w:t>“The purpose of this review is to provide a concise overview of promising NAC usages for the treatment of different human and domestic animal disorders.", "body_text": "1. Introduction N-acetylcysteine (NAC) comes from the amino acid L-cysteine and has been a Food and Drug Administration (FDA) approved drug since 1963. It is recognized as the standard treatment for acetaminophen overdose and has been used as a mucolytic drug since the 1960s [ 1 ]. NAC has also been used as a supplement for decades and, as such, can be found as an over-the-counter nutritional supplement in countries such as the United States, Canada, and Australia [ 1 ]. Therefore, NAC falls into a grey zone with other compounds such as cannabidiol (CBD), but as of August 2022, the FDA has backed away from its hard stance on classifying NAC as a drug and is allowing its sale as a dietary supplement [ 2 ]. NAC\u2019s antioxidant and anti-inflammatory properties make it a promising therapeutic agent for conditions in which oxidative stress is involved [ 1 ].”  [PMC10604897 ¶2]</w:t>
      </w:r>
    </w:p>
    <w:p>
      <w:pPr>
        <w:spacing w:after="120"/>
        <w:jc w:val="both"/>
      </w:pPr>
      <w:r>
        <w:rPr>
          <w:rFonts w:ascii="Times New Roman" w:hAnsi="Times New Roman" w:cs="Times New Roman" w:eastAsia="Times New Roman"/>
          <w:b w:val="0"/>
          <w:i w:val="0"/>
          <w:sz w:val="24"/>
        </w:rPr>
        <w:t>“Examples of these disorders include diabetes, obesity, cancer, neurological disorders, hypertension, pulmonary, inflammatory bowel, cardiovascular, autoimmune, and infectious diseases in humans, as well as domesticated animal weaning disorders, respiratory disease, diarrhea, endometritis, and mastitis [ 3 , 4 , 5 , 6 , 7 , 8 , 9 , 10 ]. While there has been an increasing interest in the use of NAC for a wide range of pathological conditions over the past few decades, various human clinical studies have reported conflicting results, and many other studies were performed in vitro. Therefore, more clinical studies are required to address these conflicting results and to support the purported therapeutic roles of NAC in treating different pathological conditions. Various animal studies involving the use of NAC have also been performed, especially with its use in treating intestinal inflammation and related disorders that can be caused by anti-nutritional factors (e.g., \u03b2 -conglycinin, a vicilin storage protein of soybeans), the process of weaning, and consumption of mycotoxins [ 10 , 11 , 12 ].”  [PMC10604897 ¶3]</w:t>
      </w:r>
    </w:p>
    <w:p>
      <w:pPr>
        <w:spacing w:after="120"/>
        <w:jc w:val="both"/>
      </w:pPr>
      <w:r>
        <w:rPr>
          <w:rFonts w:ascii="Times New Roman" w:hAnsi="Times New Roman" w:cs="Times New Roman" w:eastAsia="Times New Roman"/>
          <w:b w:val="0"/>
          <w:i w:val="0"/>
          <w:sz w:val="24"/>
        </w:rPr>
        <w:t>“Many studies have shown the protective effects of NAC for neonatal animals immune challenged with bacterial lipopolysaccharide (LPS) endotoxin, particularly studies involving piglets [ 13 , 14 ]. NAC administration has consistently been shown to increase daily body weight gain and alleviate LPS-mediated growth depression. Furthermore, the porcine model of ulcerative colitis (UC) can be used to support NAC usage for humans. For example, in a study conducted by Wang et al. (2013), the piglet model of UC demonstrated that administration of NAC was able to reduce colon histopathology score and ameliorate UC histological abnormalities [ 15 ]. Despite the numerous NAC studies and its increasing popularity, the mechanisms of action (MOA) by which NAC exerts its antioxidant and cytoprotective properties remain unclear [ 1 , 16 ]. It is often assumed that the effects conferred by NAC are due to it acting as a scavenger of reactive oxygen species (ROS), a precursor for glutathione (GSH) biosynthesis, and a disulfide reductant [ 16 , 17 ].”  [PMC10604897 ¶4]</w:t>
      </w:r>
    </w:p>
    <w:p>
      <w:pPr>
        <w:spacing w:after="120"/>
        <w:jc w:val="both"/>
      </w:pPr>
      <w:r>
        <w:rPr>
          <w:rFonts w:ascii="Times New Roman" w:hAnsi="Times New Roman" w:cs="Times New Roman" w:eastAsia="Times New Roman"/>
          <w:b w:val="0"/>
          <w:i w:val="0"/>
          <w:sz w:val="24"/>
        </w:rPr>
        <w:t>“However, these three major narratives can only explain the effects of NAC under specific circumstances [ 16 , 17 ]. Recently, an alternative MOA was proposed that may explain the effects attributed to NAC: the conversion of NAC into hydrogen sulfide and sulfane sulfur species, which are known to possess antioxidant and cytoprotectant properties [ 16 , 17 ]. Thus, the purpose of this review is to provide an overview of the therapeutic uses of NAC in both humans and domesticated species, with a particular focus on weaning disorders, as well as an overview of its MOA. NAC Formulations The most common and well-known formulation of NAC in the United States is Mucomyst\u2122, which is commonly administered orally for the treatment of acetaminophen toxicity [ 18 ]. PharmaNAC \u00ae (BioAdvantex Pharma Inc., Mississauga, ON, Canada) is another common oral formulation and is the only effervescent preparation of its kind available in North America [ 19 ].”  [PMC10604897 ¶5]</w:t>
      </w:r>
    </w:p>
    <w:p>
      <w:pPr>
        <w:spacing w:after="120"/>
        <w:jc w:val="both"/>
      </w:pPr>
      <w:r>
        <w:rPr>
          <w:rFonts w:ascii="Times New Roman" w:hAnsi="Times New Roman" w:cs="Times New Roman" w:eastAsia="Times New Roman"/>
          <w:b w:val="0"/>
          <w:i w:val="0"/>
          <w:sz w:val="24"/>
        </w:rPr>
        <w:t>“Due to its disagreeable flavor, NAC is often mixed with fruit juice or a soft drink prior to consumption. In Europe, NAC is available in pills, capsules, and a variety of effervescent \u201cfizzy tab\u201d formulations [ 18 ]. 2. Safety Profile of NAC The safety of NAC has been well-established through numerous pharmacological studies [ 17 ]. Toxicity is rare and dependent on the route of NAC administration and dosage [ 1 ]. NAC can be administered orally, intravenously, or intranasally [ 1 ]. When orally administered, NAC undergoes rapid intestinal absorption and is subsequently metabolized by the liver [ 1 ]. The cysteine released during NAC metabolism is utilized for glutathione (GSH) synthesis, which is vital for immune function and tissue repair [ 1 ]. NAC\u2019s bioavailability following oral administration is less than 10%. Therefore, only a small portion of intact NAC reaches the plasma and tissue [ 1 ].”  [PMC10604897 ¶6]</w:t>
      </w:r>
    </w:p>
    <w:p>
      <w:pPr>
        <w:spacing w:after="120"/>
        <w:jc w:val="both"/>
      </w:pPr>
      <w:r>
        <w:rPr>
          <w:rFonts w:ascii="Times New Roman" w:hAnsi="Times New Roman" w:cs="Times New Roman" w:eastAsia="Times New Roman"/>
          <w:b w:val="0"/>
          <w:i w:val="0"/>
          <w:sz w:val="24"/>
        </w:rPr>
        <w:t>“It has been suggested that the low bioavailability of oral NAC may be due to first-pass metabolism in the small intestine rather than incomplete absorption [ 20 ]. NAC can be found intact, reduced, or in various oxidized forms in the plasma following oral intake [ 1 , 20 ], and individual variation in these NAC metabolites occurs, which is likely due to natural variations in human metabolism and the intestinal microbiota. Comparatively, intravenous or nasal administration allows for rapid delivery of high concentrations of NAC to the circulation as it bypasses the first-pass intestinal and hepatic metabolic pathway [ 1 ]. Considering that NAC bioavailability is influenced by first-pass metabolism, it will be important to address potential gender and age effects, which are known to affect the first-pass metabolism [ 21 , 22 ]. Therefore, an optimal way to maintain a proper therapeutic serum level of NAC after intake should include monitoring NAC metabolite concentrations in the blood to maximize both the efficacy of treatment and patient safety. 3.”  [PMC10604897 ¶7]</w:t>
      </w:r>
    </w:p>
    <w:p>
      <w:pPr>
        <w:spacing w:after="120"/>
        <w:jc w:val="both"/>
      </w:pPr>
      <w:r>
        <w:rPr>
          <w:rFonts w:ascii="Times New Roman" w:hAnsi="Times New Roman" w:cs="Times New Roman" w:eastAsia="Times New Roman"/>
          <w:b w:val="0"/>
          <w:i w:val="0"/>
          <w:sz w:val="24"/>
        </w:rPr>
        <w:t>“Transportation of NAC NAC is transported into cells through a complex process involving active transport mechanisms. Within cells, NAC is primarily absorbed and utilized in the cytoplasm, where it is converted into cysteine. NAC is observed to have a slower rate of cellular absorption compared to cysteine [ 23 ]. This delayed uptake is attributed to the hindrance caused by the N-acetyl group, which affects both passive and active transportation across the cell\u2019s plasma membrane. Passive transport of NAC is particularly disadvantaged due to its negative charge at physiological pH, unlike Cys, which is a zwitterion with no net charge, resulting in reduced membrane permeability [ 24 ]. Remarkably, modifications neutralizing the charge on NAC\u2019s carboxyl group, such as amidation or esterification, have been shown to significantly enhance its cellular uptake, as previously reported [ 25 , 26 ].”  [PMC10604897 ¶8]</w:t>
      </w:r>
    </w:p>
    <w:p>
      <w:pPr>
        <w:spacing w:after="120"/>
        <w:jc w:val="both"/>
      </w:pPr>
      <w:r>
        <w:rPr>
          <w:rFonts w:ascii="Times New Roman" w:hAnsi="Times New Roman" w:cs="Times New Roman" w:eastAsia="Times New Roman"/>
          <w:b w:val="0"/>
          <w:i w:val="0"/>
          <w:sz w:val="24"/>
        </w:rPr>
        <w:t>“Despite these findings, there is currently no substantial evidence suggesting the existence of active membrane transport systems specific to NAC. ASCT1, the canonical importer of reduced Cys, does not transport negatively charged amino acids, including NAC [ 27 ]. While there have been reports implicating anion exchanger 1 (AE1) as a potential facilitator of NAC uptake into erythrocytes, this remains an area requiring further investigation, as pointed out by Raftos et al. (2007) [ 23 ]. Once absorbed, NAC must undergo deacetylation to yield cysteine. Aminoacylase 1 is believed to be the primary enzyme responsible for deacetylating NAC in this process. 3.1. Adverse Reactions Adverse effects following administration of NAC range from mild to severe and are dependent on the formulation, concentration, and route of administration [ 1 , 28 ] ( Table 1 ). Intravenous NAC and oral NAC are commonly associated with minimal side-effects [ 1 ], such as symptoms of nausea, vomiting, pruritus, and erythema [ 28 , 29 ].”  [PMC10604897 ¶9]</w:t>
      </w:r>
    </w:p>
    <w:p>
      <w:pPr>
        <w:spacing w:after="120"/>
        <w:jc w:val="both"/>
      </w:pPr>
      <w:r>
        <w:rPr>
          <w:rFonts w:ascii="Times New Roman" w:hAnsi="Times New Roman" w:cs="Times New Roman" w:eastAsia="Times New Roman"/>
          <w:b w:val="0"/>
          <w:i w:val="0"/>
          <w:sz w:val="24"/>
        </w:rPr>
        <w:t>“The frequency of NAC side-effects following intravenous administration is significantly higher compared to oral NAC [ 18 ]. Inhaled NAC can result in adverse reactions such as bacterial pneumonia, cough, sore throat, and drug-induced pneumonitis, but coughing is the most prevalent [ 1 , 30 ]. Anaphylactic reactions resulting from NAC are rare and mild or moderate depending on the concentration [ 31 ]; most are typically attributed to intravenous administration due to the transient but significant increase in NAC plasma levels [ 18 ]. Existing data suggests that there is a direct relationship between anaphylactoid reactions and serum NAC concentration [ 31 ]. Symptoms of anaphylactoid reactions include flushing, pruritus, angioedema, bronchospasm, and hypotension [ 32 ]. These anaphylactoid reactions rapidly subside following the discontinuation of NAC administration or lowering the rate of intravenous administration [ 18 ]. 3.2.”  [PMC10604897 ¶10]</w:t>
      </w:r>
    </w:p>
    <w:p>
      <w:pPr>
        <w:spacing w:after="120"/>
        <w:jc w:val="both"/>
      </w:pPr>
      <w:r>
        <w:rPr>
          <w:rFonts w:ascii="Times New Roman" w:hAnsi="Times New Roman" w:cs="Times New Roman" w:eastAsia="Times New Roman"/>
          <w:b w:val="0"/>
          <w:i w:val="0"/>
          <w:sz w:val="24"/>
        </w:rPr>
        <w:t>“NAC Dosing and Pharmacokinetics NAC is commonly taken orally at doses of 600\u20131200 mg daily to treat specific conditions, or even as a dietary supplement. Administration of oral NAC at doses as high as 8000 mg/day is well-tolerated with no clinically significant adverse reactions [ 33 ]. NAC has a half-life of 5.58 h after intravenous administration [ 20 ]. Its half-life following oral administration is 6.25 h, reaching a maximum plasma concentration (Cmax) approximately 1 to 2 h post administration [ 20 ]. 4. Therapeutic Uses of NAC in Animals While studies have been conducted on the therapeutic uses of NAC in livestock and companion animals, in addition to its use as an antidote for acetaminophen poisoning in dogs and cats, limited pharmacokinetic data on NAC exists in the literature for other species. Among the limited pharmacokinetic data available, only two studies discussed the pharmacokinetics of NAC in chickens and healthy cats.”  [PMC10604897 ¶11]</w:t>
      </w:r>
    </w:p>
    <w:p>
      <w:pPr>
        <w:spacing w:after="120"/>
        <w:jc w:val="both"/>
      </w:pPr>
      <w:r>
        <w:rPr>
          <w:rFonts w:ascii="Times New Roman" w:hAnsi="Times New Roman" w:cs="Times New Roman" w:eastAsia="Times New Roman"/>
          <w:b w:val="0"/>
          <w:i w:val="0"/>
          <w:sz w:val="24"/>
        </w:rPr>
        <w:t>“In the study conducted by Buur et al. (2013), the half-life of NAC following IV and oral administration (100 mg/kg) in healthy cats was found to be 0.78 \u00b1 0.16 h and 1.34 \u00b1 0.24 h, respectively, and the bioavailability of NAC following oral administration was 19.3 \u00b1 4.4% [ 34 ]. The pharmacokinetics of NAC found in the six cats used in this study differs from the values reported for humans; thus extrapolating dosages from human medicine may lead to underdosing cats with acute disease. This study has limitations, however, given its small population size and the assumption that the pharmacokinetics of NAC in diseased cats are similar to that of healthy cats. In the study conducted by Petkova and Milanova (2021), NAC was found to reach a maximum plasma concentration of 2.26 \u00b1 0.91 g/mL 2.47 \u00b1 0.45 h following oral administration of 100 mg/kg in healthy broilers [ 35 ].”  [PMC10604897 ¶12]</w:t>
      </w:r>
    </w:p>
    <w:p>
      <w:pPr>
        <w:spacing w:after="120"/>
        <w:jc w:val="both"/>
      </w:pPr>
      <w:r>
        <w:rPr>
          <w:rFonts w:ascii="Times New Roman" w:hAnsi="Times New Roman" w:cs="Times New Roman" w:eastAsia="Times New Roman"/>
          <w:b w:val="0"/>
          <w:i w:val="0"/>
          <w:sz w:val="24"/>
        </w:rPr>
        <w:t>“NAC\u2019s half-life was found to be 1.04 \u00b1 0.53 h. The authors also did not find any significant difference between NAC\u2019s pharmacokinetics in healthy broilers versus Mycoplasma gallisepticum-infected broilers. 5. Therapeutic Uses of NAC in Humans NAC is one of the most used antioxidants in clinical practice to date [ 16 , 17 , 36 ]. There has been a growing interest over the past few decades to use NAC as a potential treatment for a wide range of diseases and disorders in which oxidative stress is suspected to play a role [ 17 , 37 ], including respiratory, cardiovascular, neurodegenerative, liver, kidney, gastrointestinal, and infectious diseases [ 1 ]. antioxidants-12-01867-t001_Table 1 Table 1 N-acetylcysteine adverse events. Study Study Type Study Size NAC Treatment Type and Incidence of Adverse Events following NAC Treatment Moderate Severe [ 38 ] Double-blinded, placebo-controlled, crossover design 17 healthy individuals (age 30 \u00b1 2 years) 9 mg/kg NAC capsule Upset stomach (2), nausea (1), stomach/intestinal gas (1), cough (1) 18 mg/kg NAC capsule Upset stomach (1), nausea (1), stomach/intestinal gas (2), sleepiness (2), metallic taste (1) 35 mg/kg oral NAC solution Upset stomach (2), stomach/intestinal gas (2), sleepiness (1), metallic taste (1) 70 mg/kg oral NAC solution Upset stomach (2), stomach/intestinal gas (1), sleepiness (3), metallic taste (3), light-headedness (1), cough (1) Upset stomach (1), Stomach/intestinal gas (1) 140 mg/kg oral NAC solution Upset stomach (5), nausea (3), stomach/intestinal gas (2), sleepiness (2), metallic taste (4), light-headedness (1) Upset stomach (1), stomach/intestinal gas (4) [ 39 ] Randomized, placebo-controlled study 28 individuals (\u226475 years) 20 mg/min intravenous NAC for first hour, then 10 mg/min for next 23 h; total dose of 15 g over 24 h Haemorrhage (3), headache (4) Transient episode of extreme sinus bradycardia (1) [ 40 ] Randomized, placebo-controlled study 4 healthy individuals (age 35 \u00b1 3 years) 150 mg/kg intravenous Transient skin flushing (2), pruritus (2), nausea (2) [ 41 ] Double-blind, randomized trial 65 chronic bronchitis patients 4 puffs of NAC (1 mg/puff) two times daily Coughing (4), Dyspnoea (7) 5.1.”  [PMC10604897 ¶13]</w:t>
      </w:r>
    </w:p>
    <w:p>
      <w:pPr>
        <w:spacing w:after="120"/>
        <w:jc w:val="both"/>
      </w:pPr>
      <w:r>
        <w:rPr>
          <w:rFonts w:ascii="Times New Roman" w:hAnsi="Times New Roman" w:cs="Times New Roman" w:eastAsia="Times New Roman"/>
          <w:b w:val="0"/>
          <w:i w:val="0"/>
          <w:sz w:val="24"/>
        </w:rPr>
        <w:t>“Liver Diseases Acute and chronic liver diseases are highly prevalent worldwide, accounting for approximately 2 million deaths per year [ 42 ]. Oxidative stress plays a crucial role in the initiation and progression of liver diseases due to its participation and stimulation in the liver\u2019s fibrogenic response [ 1 ]. Numerous clinical and experimental studies have been conducted on the use and efficacy of NAC in modulating inflammation and oxidative stress caused or propagated by liver diseases, including acetaminophen (paracetamol) poisoning, acute liver failure, and non-alcoholic fatty liver (NAFLD) and alcoholic liver diseases (see Table 2 ). 5.1.1. Acute Acetaminophen Overdose Acetaminophen is a commonly used over-the-counter analgesic and antipyretic medication as it is relatively safe and effective in treating mild-to-moderate pain and fever at appropriate doses [ 28 , 43 ]. However, when taken by adults at doses of 10\u201315 g (single or repeated) over a 24 h period, which is 3\u20135 times the manufacturer\u2019s recommended dose for over-the-counter use, acetaminophen has direct hepatotoxic potential and can cause acute liver injury and death from acute liver failure [ 28 , 43 ].”  [PMC10604897 ¶14]</w:t>
      </w:r>
    </w:p>
    <w:p>
      <w:pPr>
        <w:spacing w:after="120"/>
        <w:jc w:val="both"/>
      </w:pPr>
      <w:r>
        <w:rPr>
          <w:rFonts w:ascii="Times New Roman" w:hAnsi="Times New Roman" w:cs="Times New Roman" w:eastAsia="Times New Roman"/>
          <w:b w:val="0"/>
          <w:i w:val="0"/>
          <w:sz w:val="24"/>
        </w:rPr>
        <w:t>“Following ingestion, acetaminophen is rapidly absorbed and transported to the liver to undergo first-pass metabolism [ 28 ]. N-acetyl-p-benzoquinonimine (NAPQI), a cytochrome P450-derived metabolic by-product of acetaminophen first-pass metabolism is cytotoxic and genotoxic [ 28 ]. Normally, when acetaminophen is taken at low doses, GSH can detoxify NAPQI by conjugating it, which facilitates its elimination from the body [ 28 ]. However, acetaminophen toxicity leads to the formation and accumulation of excessive amounts of NAPQI, the depletion of GSH stores, oxidative stress, and mitochondrial dysfunction resulting in the depletion of adenosine triphosphate (ATP) stores [ 44 ]. Evidence suggests that NAPQI is capable of binding to several cellular proteins, particularly mitochondrial proteins [ 44 ]. This binding to mitochondrial proteins in the context of GSH depletion is of great significance as it results in the depletion of endogenous antioxidant functions and alters the \u221d-subunit of the mitochondrial ATP-synthase, thereby hindering the production of ATP [ 44 ].”  [PMC10604897 ¶15]</w:t>
      </w:r>
    </w:p>
    <w:p>
      <w:pPr>
        <w:spacing w:after="120"/>
        <w:jc w:val="both"/>
      </w:pPr>
      <w:r>
        <w:rPr>
          <w:rFonts w:ascii="Times New Roman" w:hAnsi="Times New Roman" w:cs="Times New Roman" w:eastAsia="Times New Roman"/>
          <w:b w:val="0"/>
          <w:i w:val="0"/>
          <w:sz w:val="24"/>
        </w:rPr>
        <w:t>“NAC functions to replenish hepatic GSH stores and provide a larger supply of oxygen to the injured liver [ 1 ]. Administration of NAC during acetaminophen overdose acts to rapidly increase GSH synthesis in the liver and reduce mitochondrial protein binding [ 28 ]. The amount of NAC required to counteract acetaminophen toxicity is determined by plotting the concentration of acetaminophen in plasma against the time post-overdose on a nomogram [ 28 ]. Initiating NAC treatment within 8 h of overdosing minimizes the risk of hepatocellular damage as the effectiveness of NAC treatment is negatively correlated with the time post-overdose [ 28 ]. Reports have shown that oral NAC is just as effective as intravenous NAC in treating acetaminophen toxicity within 10 h of overdosing [ 28 ]. However, it is important to note that the absorption of orally administered NAC will be hindered when administered following the use of activated charcoal, which is commonly used to mitigate acetaminophen toxicity; as such, the preferred route of administration is intravenous NAC [ 28 ]. 5.1.2.”  [PMC10604897 ¶16]</w:t>
      </w:r>
    </w:p>
    <w:p>
      <w:pPr>
        <w:spacing w:after="120"/>
        <w:jc w:val="both"/>
      </w:pPr>
      <w:r>
        <w:rPr>
          <w:rFonts w:ascii="Times New Roman" w:hAnsi="Times New Roman" w:cs="Times New Roman" w:eastAsia="Times New Roman"/>
          <w:b w:val="0"/>
          <w:i w:val="0"/>
          <w:sz w:val="24"/>
        </w:rPr>
        <w:t>“Non-Acetaminophen-Induced Acute Liver Failure Etiological agents of non-acetaminophen-induced acute liver failure can include viruses, drugs, toxins, herbal and traditional medicines, and autoimmune-mediated conditions [ 45 ]. Immediate intravenous administration of NAC in cases of non-acetaminophen-induced liver failure has been found to reduce mortality, encephalopathy, hospitalization, admission to the ICU, organ failure, and the need for liver transplantation [ 1 ]. 5.1.3. Non-Alcoholic Fatty Liver Disease (NAFLD) NAFLD refers to a condition in which an excessive amount of fat is stored in hepatic cells [ 46 ]. Under normal physiological conditions, the liver stores small amounts of energy in the form of the carbohydrate glycogen [ 46 ]. Therefore, a healthy liver should contain little to no fat droplets. Livers that contain fat droplets in more than 5% of hepatic cells are abnormal or pathological [ 46 ].”  [PMC10604897 ¶17]</w:t>
      </w:r>
    </w:p>
    <w:p>
      <w:pPr>
        <w:spacing w:after="120"/>
        <w:jc w:val="both"/>
      </w:pPr>
      <w:r>
        <w:rPr>
          <w:rFonts w:ascii="Times New Roman" w:hAnsi="Times New Roman" w:cs="Times New Roman" w:eastAsia="Times New Roman"/>
          <w:b w:val="0"/>
          <w:i w:val="0"/>
          <w:sz w:val="24"/>
        </w:rPr>
        <w:t>“The accumulation of fat in the hepatocytes of NAFLD patients is generally due to a combination of excessive calorie intake and a sedentary lifestyle [ 46 ]. However, diabetic patients, particularly type 2 diabetics, and those with abnormal levels of blood lipids or hypertension are also at risk of developing NAFLD [ 46 ]. Regardless of the etiological factor(s) leading to the onset of NAFLD, the increased flow of free fatty acids to the liver concurrently increases oxidative stress and suppresses hepatic intracellular antioxidant activity [ 1 ]. Experimental studies conducted on the use of NAC in NAFLD patients have demonstrated that NAC can block the accumulation of hepatic lipids and reduce the pro-inflammatory cytokines IL-6, IL-1\u03b2, and TNF-\u221d and the upstream transcription factor NF-\u03baB [ 47 ], which plays a critical role in initiating the inflammatory cascade and immune response related to oxidative stress.”  [PMC10604897 ¶18]</w:t>
      </w:r>
    </w:p>
    <w:p>
      <w:pPr>
        <w:spacing w:after="120"/>
        <w:jc w:val="both"/>
      </w:pPr>
      <w:r>
        <w:rPr>
          <w:rFonts w:ascii="Times New Roman" w:hAnsi="Times New Roman" w:cs="Times New Roman" w:eastAsia="Times New Roman"/>
          <w:b w:val="0"/>
          <w:i w:val="0"/>
          <w:sz w:val="24"/>
        </w:rPr>
        <w:t>“NAC has been purported to possess anti-inflammatory properties that include inhibiting activation and translocation of NF-\u03baB, which results in decreased production of TNF-\u221d, IL-1\u03b2, and IL-6 [ 1 ]. In a human study conducted by Khoshbaten et al. (2010), it was discovered that oral administration of 600 mg of NAC per 12 h over a 3-month period decreased serum levels of alanine transaminase (ALT) as compared to the group receiving vitamin C [ 48 ]. ALT is an enzyme that is predominantly produced by the liver and is commonly used as a biomarker of hepatic inflammation and damage [ 49 ]. 5.2. Pulmonary Diseases Inflammation and high levels of oxidative stress coupled with low levels of endogenous antioxidants such as GSH play a critical role in the pathogenesis and progression of pulmonary diseases [ 1 ]. As an antioxidant, anti-inflammatory, and mucolytic agent, NAC appears to be a promising therapeutic agent in the treatment of various pulmonary diseases including chronic obstructive pulmonary disease (COPD), cystic fibrosis (CF), and idiopathic pulmonary fibrosis (IPF) [ 1 ] and, most recently, COVID-19 [ 50 ] (see Table 2 ).”  [PMC10604897 ¶19]</w:t>
      </w:r>
    </w:p>
    <w:p>
      <w:pPr>
        <w:spacing w:after="120"/>
        <w:jc w:val="both"/>
      </w:pPr>
      <w:r>
        <w:rPr>
          <w:rFonts w:ascii="Times New Roman" w:hAnsi="Times New Roman" w:cs="Times New Roman" w:eastAsia="Times New Roman"/>
          <w:b w:val="0"/>
          <w:i w:val="0"/>
          <w:sz w:val="24"/>
        </w:rPr>
        <w:t>“As a therapeutic agent, NAC is commonly administered orally in the tablet form of 600\u20131200 mg up to three times a day to treat pulmonary diseases [ 1 ]. Studies have shown that dosages of NAC up to 3000 mg/day continue to remain safe and are well-tolerated [ 1 ]. 5.2.1. Cystic Fibrosis (CF) CF is a genetic disorder affecting multiple organ systems including the lungs and upper airways, pancreas, liver, intestine, and reproductive organs [ 51 ]. The lungs of CF patients produce prolific amounts of viscous mucus, which is difficult to clear. This thick mucus increases susceptibility to recurring chronic infections due to poor expectoration [ 28 ]. NAC has been extensively used in the treatment of CF to help improve lung function and eliminate mucus due to its mucolytic properties [ 1 ], which are attributed to its cysteine residues that break down the sulfhydryl bridges between glycoproteins in mucus, thereby reducing mucus viscosity [ 28 ].”  [PMC10604897 ¶20]</w:t>
      </w:r>
    </w:p>
    <w:p>
      <w:pPr>
        <w:spacing w:after="120"/>
        <w:jc w:val="both"/>
      </w:pPr>
      <w:r>
        <w:rPr>
          <w:rFonts w:ascii="Times New Roman" w:hAnsi="Times New Roman" w:cs="Times New Roman" w:eastAsia="Times New Roman"/>
          <w:b w:val="0"/>
          <w:i w:val="0"/>
          <w:sz w:val="24"/>
        </w:rPr>
        <w:t>“Excessive neutrophil-mediated inflammation in the airways is another key characteristic of CF and is believed to be a cause of lung damage and dysfunction [ 52 ]. This uncontrolled inflammation leads to overexposure to reactive oxygen species (ROS) derived from bacteria and/or the activated neutrophils, which in turn further amplifies the inflammation [ 52 ] and damages tissues. In addition to being a mucolytic agent, NAC\u2019s antioxidant properties may prove to be useful in controlling oxidative stress and excessive inflammation in the airways of CF patients [ 52 ]. In a study conducted by Dauletbaev et al. (2009), it was found that a 12-week therapy with a high dose of NAC (2800 mg/day) increased extracellular GSH in the sputum of CF patients; however, NAC treatment did not appear to alter any clinical or inflammatory parameters [ 52 ]. 5.2.2. Chronic Obstructive Pulmonary Disease (COPD) COPD refers to a group of chronic progressive lung diseases that cause airflow obstruction and breathing-related issues [ 53 ].”  [PMC10604897 ¶21]</w:t>
      </w:r>
    </w:p>
    <w:p>
      <w:pPr>
        <w:spacing w:after="120"/>
        <w:jc w:val="both"/>
      </w:pPr>
      <w:r>
        <w:rPr>
          <w:rFonts w:ascii="Times New Roman" w:hAnsi="Times New Roman" w:cs="Times New Roman" w:eastAsia="Times New Roman"/>
          <w:b w:val="0"/>
          <w:i w:val="0"/>
          <w:sz w:val="24"/>
        </w:rPr>
        <w:t>“COPD is predominantly caused by cigarette smoking; however, long-term exposure to other lung irritants, such as second-hand smoke, air pollution, chemicals, work-related fumes, and toxic substances can also lead to COPD [ 53 ]. While many diseases fall under the umbrella of COPD, chronic bronchitis and emphysema are the two most common types. The presence of numerous free radicals and oxidants in cigarette smoke contributes to lung inflammation through the induction of oxidative stress. During severe COPD, oxidative stress has been found to be exacerbated and GSH levels further depleted; GSH homeostasis is one of the most important antioxidant defense systems in lung cells [ 54 ]. Although inhaled bronchodilators and corticosteroids remain the main treatment for COPD, oxidative stress and inflammation represent promising therapeutic targets for treatment due to their key role in the pathogenesis of COPD [ 54 ].”  [PMC10604897 ¶22]</w:t>
      </w:r>
    </w:p>
    <w:p>
      <w:pPr>
        <w:spacing w:after="120"/>
        <w:jc w:val="both"/>
      </w:pPr>
      <w:r>
        <w:rPr>
          <w:rFonts w:ascii="Times New Roman" w:hAnsi="Times New Roman" w:cs="Times New Roman" w:eastAsia="Times New Roman"/>
          <w:b w:val="0"/>
          <w:i w:val="0"/>
          <w:sz w:val="24"/>
        </w:rPr>
        <w:t>“In a study conducted by Messier et al. (2013), NAC was shown to provide protection against injury to murine alveolar type 2 (ATII) cells and lung tissue induced by cigarette smoke [ 55 ]. These in vivo and in vitro studies were carried out with mice lacking the nuclear factor erythroid 2-related factor-2 ( Nrf2 ), whose gene product is a redox-sensitive transcription factor that is crucial to the regulation of the antioxidant defense system [ 54 , 55 ]. NAC\u2019s ability to act as a direct scavenger of free radicals in an Nrf2-independent manner is of considerable importance as Nrf2-dependent endogenous antioxidants are often reduced in COPD patients [ 54 ]. In a randomized, placebo-controlled trial conducted by Kasielski and Nowak (2001), in which NAC was administered long-term (12 months), it was found that treatment with 600 mg/day of NAC significantly reduced the concentration of H 2 O 2 in the expired breath condensate of stable COPD patients; these patients showed a progressive decrease from baseline H 2 O 2 concentrations, reaching statistical significance after 6 months of treatment [ 56 ].”  [PMC10604897 ¶23]</w:t>
      </w:r>
    </w:p>
    <w:p>
      <w:pPr>
        <w:spacing w:after="120"/>
        <w:jc w:val="both"/>
      </w:pPr>
      <w:r>
        <w:rPr>
          <w:rFonts w:ascii="Times New Roman" w:hAnsi="Times New Roman" w:cs="Times New Roman" w:eastAsia="Times New Roman"/>
          <w:b w:val="0"/>
          <w:i w:val="0"/>
          <w:sz w:val="24"/>
        </w:rPr>
        <w:t>“After 9 and 12 months of treatment, the concentration of H 2 O 2 in the expired breath condensate was 2.3- and 2.6-fold lower, respectively, than in COPD patients in the placebo group. Based on the current data, the Global Initiative for Chronic Obstructive Lung Disease has acknowledged that NAC can be used as an adjunct therapy to help reduce the risk of acute exacerbation of COPD [ 1 ]. 5.3. Infectious Diseases NAC\u2019s ability to attenuate mediators of oxidative stress and inflammation also makes it a promising treatment or adjuvant for various infectious diseases, such as influenza and COVID-19 (see Table 2 ). 5.3.1. Influenza Influenza, also commonly referred to as \u201cthe flu\u201d, is a contagious respiratory infection caused by various influenza viruses that infect the nose, throat, and lungs [ 57 ]. The current standard treatment of severe flu includes early antiviral therapy with a neuraminidase inhibitor, which is associated with improved outcomes in hospitalized seasonal influenza patients [ 58 ].”  [PMC10604897 ¶24]</w:t>
      </w:r>
    </w:p>
    <w:p>
      <w:pPr>
        <w:spacing w:after="120"/>
        <w:jc w:val="both"/>
      </w:pPr>
      <w:r>
        <w:rPr>
          <w:rFonts w:ascii="Times New Roman" w:hAnsi="Times New Roman" w:cs="Times New Roman" w:eastAsia="Times New Roman"/>
          <w:b w:val="0"/>
          <w:i w:val="0"/>
          <w:sz w:val="24"/>
        </w:rPr>
        <w:t>“However, a significant number of deaths (~25% mortality) still occur in ICU patients with influenza A (H1N1) despite the use of antivirals [ 58 ]. Patients with severe influenza A virus infection (H1N1, H5N1, and H7N9) were found to have high levels of circulating pro-inflammatory cytokines [ 58 ]. Due to the significant role that inflammation plays in the pathogenesis of seasonal flu, various studies have been conducted to assess the effectiveness of NAC for the treatment of influenza pneumonia. NAC was found to have indirect anti-viral effects, along with the ability to decrease pro-inflammatory cytokine levels and exert anti-apoptotic activities [ 59 ]. NAC can help alleviate the symptoms of influenza, primarily by addressing different mechanisms associated with the infection. However, direct impacts could be because of a reduction in viral load [ 60 ]. It has been proposed that NAC might interfere with the ability of the influenza virus to replicate and spread within the body.”  [PMC10604897 ¶25]</w:t>
      </w:r>
    </w:p>
    <w:p>
      <w:pPr>
        <w:spacing w:after="120"/>
        <w:jc w:val="both"/>
      </w:pPr>
      <w:r>
        <w:rPr>
          <w:rFonts w:ascii="Times New Roman" w:hAnsi="Times New Roman" w:cs="Times New Roman" w:eastAsia="Times New Roman"/>
          <w:b w:val="0"/>
          <w:i w:val="0"/>
          <w:sz w:val="24"/>
        </w:rPr>
        <w:t>“In human trials, for example, NAC significantly lowered the occurrence of clinically apparent H1N1 influenza disease [ 61 ]. Additionally, in cell culture experiments, NAC protected against H3N2 influenza virus-induced oxidative stress, cell death, the expression of inflammatory genes, and NF-\u03baB activity [ 62 , 63 ]. However, this aspect is still under investigation, and more research is needed to confirm its antiviral properties. High doses of NAC used as an adjuvant treatment in influenza pneumonia patients have also been shown to reduce influenza symptomatology and to improve cell-mediated immunity, which is important for fighting viral infections [ 61 ]. NAC\u2019s immunomodulatory properties are likely due to its ability to inhibit the activation of oxidant-sensitive pathways, including the NF-\u03baB and p38 mitogen-activated protein kinase (MAPK) signaling pathways [ 60 ]. Indeed, cytokine and chemokine levels were significantly reduced following in vivo NAC treatment [ 60 ].”  [PMC10604897 ¶26]</w:t>
      </w:r>
    </w:p>
    <w:p>
      <w:pPr>
        <w:spacing w:after="120"/>
        <w:jc w:val="both"/>
      </w:pPr>
      <w:r>
        <w:rPr>
          <w:rFonts w:ascii="Times New Roman" w:hAnsi="Times New Roman" w:cs="Times New Roman" w:eastAsia="Times New Roman"/>
          <w:b w:val="0"/>
          <w:i w:val="0"/>
          <w:sz w:val="24"/>
        </w:rPr>
        <w:t>“Lower numbers of infiltrating macrophages, lymphocytes and neutrophils, and myeloperoxidase (MPO) activity, were also found in influenza-infected lungs following administration (intraperitoneal injection) of NAC in mice [ 64 ]. Furthermore, the increased proliferation of influenza-specific lymphocytes and the effector function of cytotoxic lymphocytes were found to be positively correlated with NAC treatment [ 65 ]. However, it is important to note that NAC efficacy is dependent on the strain of influenza virus, particularly influenza A virus [ 59 ]. It appears that NAC\u2019s antioxidant and immunomodulatory properties are more efficacious for highly pathogenic influenza A strains in comparison to low pathogenic influenza A strains [ 60 , 66 ]. While the reasoning behind this strain-dependent variation in efficacy is not yet well understood, it is thought that the differences in terms of how the NF-\u03baB pathway is activated in highly pathogenic versus low pathogenic influenza strains may provide an explanation [ 59 ]. 5.3.2.”  [PMC10604897 ¶27]</w:t>
      </w:r>
    </w:p>
    <w:p>
      <w:pPr>
        <w:spacing w:after="120"/>
        <w:jc w:val="both"/>
      </w:pPr>
      <w:r>
        <w:rPr>
          <w:rFonts w:ascii="Times New Roman" w:hAnsi="Times New Roman" w:cs="Times New Roman" w:eastAsia="Times New Roman"/>
          <w:b w:val="0"/>
          <w:i w:val="0"/>
          <w:sz w:val="24"/>
        </w:rPr>
        <w:t>“COVID-19 COVID-19 deaths are mainly attributed to the acute respiratory distress syndrome (ARDS) associated with SARS-CoV-2 infection, particularly in the elderly and those with co-morbidities [ 67 , 68 ]. There is increasing evidence to indicate that excessive immune activation, and the resulting cytokine storm, are the cause of COVID-19-associated lung injury [ 67 ]. This excessive immune activation can be the result of an imbalance in redox homeostasis of which prolonged oxidative stress due to inflammation, increased ROS production, and decreased GSH levels are important factors [ 67 ]. NAC has long since been used as an off-label antioxidant; however, there is increasing evidence from both preclinical and clinical studies that NAC can attenuate immune activation and cytokine release, which may be relevant to COVID-19 [ 50 ]. In a study conducted by Ungheri et al. (2000), NAC was found to significantly decrease the mortality of influenza-infected mice by reducing the production of ROS and cytokines, such as TNF-\u221d and IL-6 [ 69 ].”  [PMC10604897 ¶28]</w:t>
      </w:r>
    </w:p>
    <w:p>
      <w:pPr>
        <w:spacing w:after="120"/>
        <w:jc w:val="both"/>
      </w:pPr>
      <w:r>
        <w:rPr>
          <w:rFonts w:ascii="Times New Roman" w:hAnsi="Times New Roman" w:cs="Times New Roman" w:eastAsia="Times New Roman"/>
          <w:b w:val="0"/>
          <w:i w:val="0"/>
          <w:sz w:val="24"/>
        </w:rPr>
        <w:t>“Furthermore, the addition of NAC to the standard treatment protocol for many acute respiratory conditions including influenza, community-acquired pneumonia (CAP), ARDS, and ventilator-associated pneumonia (VAP) was found to decrease the severity of disease by mainly attenuating the immune activation [ 67 ]. NAC could be used as a potential therapeutic agent in the treatment of COVID-19 by supporting T-cell responses and modulating inflammation [ 70 ]. It might also have a potential application to neutralize the toxicity of the SARS-CoV-2 spike protein both after COVID-19 infection and mRNA-based injection. Almost all SARS-CoV-2 variants have conserved cysteine residues in the spike protein forming disulfide bonds. Upon in silico exposure to NAC, these SARS-CoV-2 cysteine residues conjugate covalently with NAC, which results in perturbation of stereo-specific orientations of spike protein and consequent weakening in the binding affinity of spike protein with ACE2 receptor [ 71 ].”  [PMC10604897 ¶29]</w:t>
      </w:r>
    </w:p>
    <w:p>
      <w:pPr>
        <w:spacing w:after="120"/>
        <w:jc w:val="both"/>
      </w:pPr>
      <w:r>
        <w:rPr>
          <w:rFonts w:ascii="Times New Roman" w:hAnsi="Times New Roman" w:cs="Times New Roman" w:eastAsia="Times New Roman"/>
          <w:b w:val="0"/>
          <w:i w:val="0"/>
          <w:sz w:val="24"/>
        </w:rPr>
        <w:t>“Given the major roles that ROS and the cytokine storm play in the pathogenesis of COVID-19, the use of NAC to treat COVID-19 has been proposed [ 67 ]. In a small case study (10 cases) conducted by Ibrahim et al. (2020), it was found that the acute-phase protein serum C-reactive protein (CRP) and ferritin levels were decreased in all severe COVID-19 hospitalized patients following twice-daily intravenous administration of 600 mg of NAC [ 72 ]; elevated CRP and ferritin levels are indicative of uncontrolled inflammation [ 73 ]. Additionally, a significant improvement in liver function and reduced oxygen requirement was also observed in all ten patients enrolled in the Ibrahim et al. (2020) study following the administration of NAC; nine of these patients that previously required extracorporeal membrane oxygenation (ECMO) showed significant improvement and their ECMO treatment was discontinued after NAC therapy [ 72 ].”  [PMC10604897 ¶30]</w:t>
      </w:r>
    </w:p>
    <w:p>
      <w:pPr>
        <w:spacing w:after="120"/>
        <w:jc w:val="both"/>
      </w:pPr>
      <w:r>
        <w:rPr>
          <w:rFonts w:ascii="Times New Roman" w:hAnsi="Times New Roman" w:cs="Times New Roman" w:eastAsia="Times New Roman"/>
          <w:b w:val="0"/>
          <w:i w:val="0"/>
          <w:sz w:val="24"/>
        </w:rPr>
        <w:t>“It is worth noting, considering the recent publication on the potential of immune tolerance induction via IgG4 following COVID-19 booster vaccinations [ 74 ], that as early as 1997, De Flora et al. showed that oral administration of NAC (600 mg 2 times/day for 6 months) significantly improved cell-mediated immunity to influenza, shifting the response from tolerogenic to activation in seniors [ 61 ]. Although immunological tolerance or energy is appropriate under certain circumstances, such as eliminating reaction to self or food antigens, it can also be inappropriate when it eliminates or limits protective responses to pathogenic agents. The potential to utilize NAC to modulate immunological tolerance is worthy of further investigation. In summary, clinical studies, as detailed in Table 2 , highlight several key findings regarding N-acetylcysteine (NAC). Firstly, NAC stands as a well-established and effective treatment for acetaminophen (paracetamol) overdose.”  [PMC10604897 ¶31]</w:t>
      </w:r>
    </w:p>
    <w:p>
      <w:pPr>
        <w:spacing w:after="120"/>
        <w:jc w:val="both"/>
      </w:pPr>
      <w:r>
        <w:rPr>
          <w:rFonts w:ascii="Times New Roman" w:hAnsi="Times New Roman" w:cs="Times New Roman" w:eastAsia="Times New Roman"/>
          <w:b w:val="0"/>
          <w:i w:val="0"/>
          <w:sz w:val="24"/>
        </w:rPr>
        <w:t>“Consistent evidence demonstrates that administering NAC promptly after an overdose can prevent or mitigate liver damage, leading to improved patient outcomes. Secondly, research on NAC\u2019s efficacy in chronic obstructive pulmonary disease (COPD) has yielded mixed results. While some studies suggest that NAC may reduce exacerbation frequency and enhance lung function in COPD patients, others have not observed significant benefits. Additionally, NAC serves as a mucolytic agent, aiding individuals with respiratory conditions like cystic fibrosis and chronic bronchitis in clearing mucus from their airways. Clinical investigations affirm its effectiveness in facilitating mucus clearance and enhancing lung function in such cases. Moreover, there is emerging evidence indicating that NAC may reduce oxidative stress, enhance endothelial function, and decrease inflammation, all of which are pertinent to cardiovascular health.”  [PMC10604897 ¶32]</w:t>
      </w:r>
    </w:p>
    <w:p>
      <w:pPr>
        <w:spacing w:after="120"/>
        <w:jc w:val="both"/>
      </w:pPr>
      <w:r>
        <w:rPr>
          <w:rFonts w:ascii="Times New Roman" w:hAnsi="Times New Roman" w:cs="Times New Roman" w:eastAsia="Times New Roman"/>
          <w:b w:val="0"/>
          <w:i w:val="0"/>
          <w:sz w:val="24"/>
        </w:rPr>
        <w:t>“Nevertheless, further research is needed to comprehensively understand its impact on cardiovascular outcomes. Furthermore, NAC has been the subject of study for its potential hepatoprotective properties, revealing promising outcomes by lowering liver enzyme levels and enhancing liver function. Lastly, NAC may play a role in alleviating influenza symptoms and aiding recovery, primarily due to its antioxidant and immunomodulatory characteristics. 6. Autoimmune Diseases Autoimmune diseases encompass a wide variety of illnesses and occur when self-constituents are attacked by a hyperactive immune system [ 75 , 76 ]. Due to a loss of immunological self-tolerance, immune cells begin to attack self-molecules manifesting as an autoimmune response [ 75 ]. Inflammatory bowel diseases (IBD) are autoimmune diseases that cause chronic inflammation of the gastrointestinal tract, and they are categorized into two main types, UC and Crohn\u2019s diseases [ 76 ].”  [PMC10604897 ¶33]</w:t>
      </w:r>
    </w:p>
    <w:p>
      <w:pPr>
        <w:spacing w:after="120"/>
        <w:jc w:val="both"/>
      </w:pPr>
      <w:r>
        <w:rPr>
          <w:rFonts w:ascii="Times New Roman" w:hAnsi="Times New Roman" w:cs="Times New Roman" w:eastAsia="Times New Roman"/>
          <w:b w:val="0"/>
          <w:i w:val="0"/>
          <w:sz w:val="24"/>
        </w:rPr>
        <w:t>“Autoimmune diseases are becoming increasingly prevalent, and their corresponding treatments can result in further immunosuppression, which can lead to systemic infections that potentially cause death [ 75 ]. More natural treatment remedies, such as NAC, have been explored for treating IBD [ 77 ]. Studies conducted by Ebrahimi et al. (2008) measured certain biomarkers in colon cells in a mouse model to examine the effects of NAC on IBD. NAC was administered at varying amounts (106, 160, and 240 mg/kg) over the course of four days after the induction of colitis, and it was determined that NAC was able to attenuate lipid peroxides, the cytokine TNF-\u237a, and nitric oxides [ 77 ]. The researchers concluded that cellular biomarkers for IBD improved with the use of moderate to high doses of NAC [ 77 ]. Additionally, research on human UC by Shirazi et al. (2021) examined NAC as an antioxidant agent for treating flare-ups of the illness [ 78 ].”  [PMC10604897 ¶34]</w:t>
      </w:r>
    </w:p>
    <w:p>
      <w:pPr>
        <w:spacing w:after="120"/>
        <w:jc w:val="both"/>
      </w:pPr>
      <w:r>
        <w:rPr>
          <w:rFonts w:ascii="Times New Roman" w:hAnsi="Times New Roman" w:cs="Times New Roman" w:eastAsia="Times New Roman"/>
          <w:b w:val="0"/>
          <w:i w:val="0"/>
          <w:sz w:val="24"/>
        </w:rPr>
        <w:t>“In a double-blind controlled clinical trial, patients received 800 mg of NAC or placebo over the course of 16 weeks [ 78 ]. The results of the study found significant differences between the two treatment groups, where the NAC-treated patients had fewer incidences of endoscopic relapse compared to the placebo group [ 78 ]. Additionally, serum CRP levels, mean fecal calprotectin, and the serum erythrocyte sedimentation rate were lower in the NAC group than in the placebo group [ 78 ]. These findings elucidated the positive effects that NAC has on the treatment of UC [ 78 ]. Further studies regarding the protective effects of NAC in treating IBD should be explored in humans seeing as it was proven in mice that NAC can improve cellular biomarkers of IBD disease and elicit positive effects in the treatment of UC within humans [ 78 ]. 7. Cardiovascular Diseases Recently, the role of NAC in cardiovascular diseases has also received wide attention from the research community.”  [PMC10604897 ¶35]</w:t>
      </w:r>
    </w:p>
    <w:p>
      <w:pPr>
        <w:spacing w:after="120"/>
        <w:jc w:val="both"/>
      </w:pPr>
      <w:r>
        <w:rPr>
          <w:rFonts w:ascii="Times New Roman" w:hAnsi="Times New Roman" w:cs="Times New Roman" w:eastAsia="Times New Roman"/>
          <w:b w:val="0"/>
          <w:i w:val="0"/>
          <w:sz w:val="24"/>
        </w:rPr>
        <w:t>“It has been found that NAC can effectively inhibit myocardial cell apoptosis caused by ischemia-reperfusion injury (IRI) and improve cardiac function [ 79 ]. NAC may have an indirect effect on the levels of low-density lipoprotein (LDL) and oxidized LDL, primarily through its antioxidant and anti-inflammatory properties. By increasing GTH levels, NAC helps reduce oxidative stress and the formation of reactive oxygen species (ROS). High oxidative stress can lead to the oxidation of LDL cholesterol, transforming it into oxidized LDL, which is more atherogenic. By reducing oxidative stress, NAC may help inhibit the formation of oxidized LDL [ 80 , 81 ]. It is also reported that NAC may improve the function of endothelial cells lining blood vessels [ 82 ]. When the endothelium is healthy, it produces nitric oxide, which helps to relax blood vessels and regulate blood flow. Improved endothelial function can contribute to a better balance of LDL and high-density lipoprotein (HDL) cholesterol.”  [PMC10604897 ¶36]</w:t>
      </w:r>
    </w:p>
    <w:p>
      <w:pPr>
        <w:spacing w:after="120"/>
        <w:jc w:val="both"/>
      </w:pPr>
      <w:r>
        <w:rPr>
          <w:rFonts w:ascii="Times New Roman" w:hAnsi="Times New Roman" w:cs="Times New Roman" w:eastAsia="Times New Roman"/>
          <w:b w:val="0"/>
          <w:i w:val="0"/>
          <w:sz w:val="24"/>
        </w:rPr>
        <w:t>“NAC may have these potential benefits, but its impact on LDL and oxidized LDL levels may vary among individuals. The research in this area is still evolving, and the effects of NAC on cholesterol and lipoprotein profiles may be influenced by various factors not discussed here. 8. Chronic Conditions 8.1. Atopic Dermatitis Atopic dermatitis is a chronic relapsing inflammatory skin disease that is associated with epidermal barrier dysfunction [ 83 ]. The most common symptoms patients experience are chronic pruritus and eczematous lesions, which can adversely impact the quality of life for individuals afflicted by this disease [ 84 ]. In more recent years, drug therapies targeting the type 2 antibody-mediated immune response have shown a decrease in signs and symptoms of atopic dermatitis; however, the exorbitant expenses of these pharmaceutical agents may restrict their prolonged usage [ 84 ].”  [PMC10604897 ¶37]</w:t>
      </w:r>
    </w:p>
    <w:p>
      <w:pPr>
        <w:spacing w:after="120"/>
        <w:jc w:val="both"/>
      </w:pPr>
      <w:r>
        <w:rPr>
          <w:rFonts w:ascii="Times New Roman" w:hAnsi="Times New Roman" w:cs="Times New Roman" w:eastAsia="Times New Roman"/>
          <w:b w:val="0"/>
          <w:i w:val="0"/>
          <w:sz w:val="24"/>
        </w:rPr>
        <w:t>“The use of NAC, which is relatively safe and inexpensive, as an alternative therapeutic agent to these more expensive drugs shows promising results for treating atopic dermatitis [ 83 , 85 ]. Clinical effects of topical NAC for treating dermatitis have proven to increase skin hydration in patients suffering from atopic dermatitis [ 83 ]. By measuring skin hydration and trans-epidermal water loss, it was determined that NAC had the ability to reduce oxidative stress and allowed for the restoration of adhesion molecules involved in forming the skin barrier, leading to increased skin hydration in patients with atopic dermatitis [ 83 ]. Future research is required to determine the molecular pathways NAC plays in restoring the expression of these adhesion molecules and if NAC would be a suitable candidate for treating other skin ailments such as psoriasis [ 83 ]. 8.2. Diabetes Mellitus The prevalence of type 2 diabetes, a multifactorial disease characterized by progressive deterioration of insulin secretion and action, is on the rise and accounts for more than 90% of individuals diagnosed with diabetes [ 86 ].”  [PMC10604897 ¶38]</w:t>
      </w:r>
    </w:p>
    <w:p>
      <w:pPr>
        <w:spacing w:after="120"/>
        <w:jc w:val="both"/>
      </w:pPr>
      <w:r>
        <w:rPr>
          <w:rFonts w:ascii="Times New Roman" w:hAnsi="Times New Roman" w:cs="Times New Roman" w:eastAsia="Times New Roman"/>
          <w:b w:val="0"/>
          <w:i w:val="0"/>
          <w:sz w:val="24"/>
        </w:rPr>
        <w:t>“Diabetes is primarily due to insulin resistance, and while the pathogenesis of insulin resistance is not yet clear, oxidative stress, innate immune system activation, and abnormal lipid and/or energy metabolism are considered to play key roles [ 86 ]. Several clinical studies have been conducted on the use of NAC as a potential therapeutic agent for insulin resistance and type 2 diabetes [ 28 ] ( Table 1 ). In a study conducted by Ribeiro et al. (2011), it was discovered that NAC exhibited beneficial modulatory action on oxidative stress biomarkers in alloxan-induced diabetic rats [ 87 ]. In another study conducted by Kaneto et al. (2001), NAC was shown to exert protective effects on the pancreatic \u03b2 cells of diabetic db/db mice [ 88 ]. In this study, prior to NAC treatment, hyperglycemia episodes in mice led to decreased insulin content and insulin gene expression. However, following treatment with NAC, insulin content and insulin mRNA expression were found to be preserved, and the binding of the nuclear factor pancreatic-duodenal homeobox-1 (PDX-1) to insulin was also restored.”  [PMC10604897 ¶39]</w:t>
      </w:r>
    </w:p>
    <w:p>
      <w:pPr>
        <w:spacing w:after="120"/>
        <w:jc w:val="both"/>
      </w:pPr>
      <w:r>
        <w:rPr>
          <w:rFonts w:ascii="Times New Roman" w:hAnsi="Times New Roman" w:cs="Times New Roman" w:eastAsia="Times New Roman"/>
          <w:b w:val="0"/>
          <w:i w:val="0"/>
          <w:sz w:val="24"/>
        </w:rPr>
        <w:t>“Furthermore, studies involving diabetic patients demonstrated that the administration of intravenous NAC during hyperglycemic clamp, which measures insulin secretion and pancreatic-cell function, was shown to improve insulin sensitivity and increase peripheral glucose uptake [ 89 ]. antioxidants-12-01867-t002_Table 2 Table 2 N-acetylcysteine clinical studies. Disease Study Type Study Phase Dose Treatment Duration Administration Routes Liver diseases Acute acetaminophen overdose Interventional (Clinical Trial) NCT03679442 Phase 1 Dose corresponding to the clinical treatment guidelines for acetaminophen overdosed patients 16 h Intravenous Non-alcoholic fatty liver disease Interventional (Clinical Trial) NCT02117700 Phase 2 600 mg twice/ day 16 weeks Oral Pulmonary diseases Cystic fibrosis Interventional (Clinical Trial) NCT00809094 Phase 2 900 mg twice/day 24 weeks Oral Chronic Obstructive Pulmonary Disease Interventional (Clinical Trial) NCT01136239 Phase 4 600 mg twice/ day One year Oral Interventional (Clinical Trial) NCT00969904 Phase 4 600 mg twice/ day 12 weeks Oral Interventional (Clinical Trial) NCT03388853 Phase 4 1200 mg once daily 4 weeks Oral Interventional (Clinical Trial) NCT02579772 Phase 4 600 mg three times/ day for 4 days prior to experimental procedures and 600 mg on the day of the experiment 4 days Oral Interventional (Clinical Trial) NCT00184977 Phase 4 600 mg once daily 3 years Oral Infectious Diseases Influenza Interventional (Clinical Trial) NCT03900988 Phase 4 100 mg/kg daily as a continuous IV infusion over 24 h 28 days Intravenous COVID-19 Interventional (Clinical Trial) NCT04374461 Phase 2 6 g/day Patients will receive treatment for a max of 3 weeks Intravenous Interventional (Clinical Trial) NCT04928495 Phase 3 1800 mg once daily 10 days Oral Interventional (Clinical Trial) NCT04900129 Phase 1 1.2 g twice/day One month Inhalation Interventional (Clinical Trial) NCT04792021 Phase 3 600 mg/day Two weeks/ until hospital discharge or death Oral Interventional (Clinical Trial) NCT04419025 Phase 2 Inpatients : 25 mg/kg (rounded up to the nearest 600 mg) every 4 h until discharge and then 1200 mg twice daily \u00d7 1 week post-discharge Outpatients : 2400 mg \u00d7 1 then 1200 mg twice daily \u00d7 2 weeks Inpatients : until 1 week post-discharge Outpatients : 15 days Oral Interventional (Clinical Trial) NCT04455243 Phase 3 150 mg/kg every 12 h diluted in 200 mL diluent (D5%, NS) 14 days Oral or intravenous Diabetes Mellitus Interventional (Clinical Trial) NCT02206152 Phase 1 and 2 150 mg/kg loading dose over the first hour and then follow that with a 50 mg/kg maintenance dose infused over the next 4 h during a controlled hyperinsulinemic hypoglycemic insulin clamp Two 2-day treatments separated by 8 weeks Intravenous Interventional (Clinical Trial) NCT01394510 N/A 600 mg twice daily \u00d7 2 weeks, then 1200 mg twice daily \u00d7 2 weeks 4 weeks Oral Interventional (Clinical Trial) NCT04531163 Phase 2 and 3 1200 mg/day 2 months Oral Interventional (Clinical Trial) NCT00556465 Phase 2 and 3 600 mg twice/ day 3 months Oral 9.”  [PMC10604897 ¶40]</w:t>
      </w:r>
    </w:p>
    <w:p>
      <w:pPr>
        <w:spacing w:after="120"/>
        <w:jc w:val="both"/>
      </w:pPr>
      <w:r>
        <w:rPr>
          <w:rFonts w:ascii="Times New Roman" w:hAnsi="Times New Roman" w:cs="Times New Roman" w:eastAsia="Times New Roman"/>
          <w:b w:val="0"/>
          <w:i w:val="0"/>
          <w:sz w:val="24"/>
        </w:rPr>
        <w:t>“Use of NAC in Domesticated Animal Health and Production Intestinal integrity is essential to normal physiological function as it is critically involved in nutrition, metabolism, and whole-body homeostasis [ 10 ]. Damage to the mucosal epithelium impairs nutrient absorption and compromises immunity. Consequently, this reduces animal growth performance and compromises animal health [ 10 ]. Animal stressors, such as early weaning and infection, result in injury and dysfunction of the intestinal mucosal barrier [ 10 ], which serves as the first line of defense against endogenous and exogenous microbes and their toxins [ 10 ]. While the use of NAC for domesticated animals is not widespread, or common, there is substantial evidence to support its use, particularly during the weaning period to help increase average daily gain, increase food intake, and improve growth performance of neonates. Many nutrients have recently been reported to improve immune function, particularly during stress [ 90 ], and, therefore, it is not surprising that NAC may also be considered an immunoceutical because of its immunomodulatory properties. 10.”  [PMC10604897 ¶41]</w:t>
      </w:r>
    </w:p>
    <w:p>
      <w:pPr>
        <w:spacing w:after="120"/>
        <w:jc w:val="both"/>
      </w:pPr>
      <w:r>
        <w:rPr>
          <w:rFonts w:ascii="Times New Roman" w:hAnsi="Times New Roman" w:cs="Times New Roman" w:eastAsia="Times New Roman"/>
          <w:b w:val="0"/>
          <w:i w:val="0"/>
          <w:sz w:val="24"/>
        </w:rPr>
        <w:t>“Swine There is increasing evidence that dietary supplementation of NAC may improve the intestinal morphology and function of livestock species, particularly piglets [ 10 , 91 ]. Indeed, recent studies have found that administration of NAC reduces inflammation, alleviates oxidative stress, improves energy status, and ameliorates intestinal tissue damage in piglets that were immune challenged with bacterial LPS [ 10 ]. In this study, dietary supplementation with 500 mg/kg NAC was shown to improve the intestinal histological morphology of LPS-challenged newly weaned piglets by preventing LPS-mediated enhancement of crypt depth, reductions of villus height, and villus height to crypt depth ratio; all of which are indicators of potential intestinal absorption capacity and health. Furthermore, these authors also demonstrated that dietary NAC supplementation also alleviated LPS-mediated reductions of diamine oxidase (DAO) activity in the small intestinal mucosa and enhancement of DAO activity in the plasma; DAO is present in the intestinal mucosa, which is particularly abundant in rapidly dividing cells.”  [PMC10604897 ¶42]</w:t>
      </w:r>
    </w:p>
    <w:p>
      <w:pPr>
        <w:spacing w:after="120"/>
        <w:jc w:val="both"/>
      </w:pPr>
      <w:r>
        <w:rPr>
          <w:rFonts w:ascii="Times New Roman" w:hAnsi="Times New Roman" w:cs="Times New Roman" w:eastAsia="Times New Roman"/>
          <w:b w:val="0"/>
          <w:i w:val="0"/>
          <w:sz w:val="24"/>
        </w:rPr>
        <w:t>“DAO activity is a marker of intestinal mucosal maturation and integrity, as well as of mucosal injury and recovery, whereas plasma DAO provides an indication of the extent of mucosal injury. As such, it is evident that NAC is also capable of supporting mucosal barrier function under inflammatory conditions. As an antioxidant agent, NAC can also attenuate the adverse effects of intestinal oxidative stress caused by LPS. For example, Hao et al. (2021) also showed that dietary supplementation of NAC increased the activity of the endogenous antioxidants superoxide dismutase (SOD), catalase (CAT), and glutathione peroxidase (GSH-Px), ultimately enhancing the antioxidative capacity of the jejunal mucosa, where a significant decrease in malondialdehyde (MDA; biomarker of oxidative stress), H 2 O 2 , and O 2 \u2022\u2212 content were observed, along with increased content of GSH [ 92 ]. 10.1. Swine Weaning Disorders Early weaning stress is associated with both the generation of oxidative stress and changes in the gut microflora of piglets [ 93 ].”  [PMC10604897 ¶43]</w:t>
      </w:r>
    </w:p>
    <w:p>
      <w:pPr>
        <w:spacing w:after="120"/>
        <w:jc w:val="both"/>
      </w:pPr>
      <w:r>
        <w:rPr>
          <w:rFonts w:ascii="Times New Roman" w:hAnsi="Times New Roman" w:cs="Times New Roman" w:eastAsia="Times New Roman"/>
          <w:b w:val="0"/>
          <w:i w:val="0"/>
          <w:sz w:val="24"/>
        </w:rPr>
        <w:t>“Factors contributing to post-weaning stress include hierarchy stress, new housing environment, and transition from liquid to solid feed, among many others [ 94 ]. Together, these factors negatively impact intestinal development and physiology and the gut microflora and host immunity, which collectively lead to reduced feed intake, poor growth performance, and increased disease susceptibility [ 92 , 94 ]. ROS, such as O 2 \u2022\u2212 , H 2 O 2 , and OH, are potential toxic by-products for both aerobic and anaerobic gut microbes [ 93 ]. Furthermore, oxidative stress induced by weaning stress causes villus atrophy and suppresses the activities of digestive enzymes of weaned piglets [ 95 ]. At birth, the piglet gut microbiota is heavily influenced by the sow\u2019s milk and is highly populated with lactic acid bacteria. However, the process of weaning significantly reduces the relative abundance of Lactobacillus spp., while simultaneously increasing the abundance of Clostridium spp., Prevotella spp., Proteobacteriaceae, and Escherichia coli and decreasing microbial diversity [ 94 ].”  [PMC10604897 ¶44]</w:t>
      </w:r>
    </w:p>
    <w:p>
      <w:pPr>
        <w:spacing w:after="120"/>
        <w:jc w:val="both"/>
      </w:pPr>
      <w:r>
        <w:rPr>
          <w:rFonts w:ascii="Times New Roman" w:hAnsi="Times New Roman" w:cs="Times New Roman" w:eastAsia="Times New Roman"/>
          <w:b w:val="0"/>
          <w:i w:val="0"/>
          <w:sz w:val="24"/>
        </w:rPr>
        <w:t>“E. coli , an opportunistic enteric pathogen, is known to colonize the intestinal brush border and secrete enterotoxins that impair intestinal functions resulting in diarrhea [ 93 ]. The ability of pathogenic bacteria to utilize nutrients unusable to commensal bacteria further compounds pathogen overgrowth, intestinal inflammation, and post-weaning diarrhea [ 94 ]. NAC is known to protect cells against oxidative stress and suppress gut tissue damage [ 96 ]. In a study conducted by Xu et al. (2014), it was found that providing NAC in diets at a concentration of 500 mg/kg to weaned piglets led to a reduction of intestinal lipid peroxidation and ROS levels, while simultaneously restoring the activity level of endogenous antioxidant enzymes close to that of the normal suckling control group [ 93 ]. The reduction of ROS levels and increased activity of antioxidant enzymes observed in the Xu et al. study was thought to be attributed to improved gut redox status and diminished oxidative stress resulting from NAC\u2019s direct and indirect antioxidant activities [ 93 ].”  [PMC10604897 ¶45]</w:t>
      </w:r>
    </w:p>
    <w:p>
      <w:pPr>
        <w:spacing w:after="120"/>
        <w:jc w:val="both"/>
      </w:pPr>
      <w:r>
        <w:rPr>
          <w:rFonts w:ascii="Times New Roman" w:hAnsi="Times New Roman" w:cs="Times New Roman" w:eastAsia="Times New Roman"/>
          <w:b w:val="0"/>
          <w:i w:val="0"/>
          <w:sz w:val="24"/>
        </w:rPr>
        <w:t>“Furthermore, these authors also demonstrated that the NAC-containing diet altered the composition of the gut microbiota, where beneficial Lactobacillus and Bifodobacterium counts were increased, while E. coli counts were reduced. It appeared that Lactobacillus and Bifodobacterium counts are positively correlated with the activities of antioxidant enzymes and negatively correlated to MDA, H 2 O 2 , OH \u2022 , and NO in this study, whereas E. coli was positively correlated with ROS and negatively correlated wi”  [PMC10604897 ¶46]</w:t>
      </w:r>
    </w:p>
    <w:p>
      <w:pPr>
        <w:keepNext/>
        <w:spacing w:before="280" w:after="80"/>
        <w:outlineLvl w:val="1"/>
      </w:pPr>
      <w:r>
        <w:rPr>
          <w:rFonts w:ascii="Times New Roman" w:hAnsi="Times New Roman" w:cs="Times New Roman" w:eastAsia="Times New Roman"/>
          <w:b/>
          <w:i w:val="0"/>
          <w:color w:val="335588"/>
          <w:sz w:val="28"/>
        </w:rPr>
        <w:t>11.2  [2] The Multifaceted Therapeutic Role of N -Acetylcysteine (NAC) in Disorders Characterized by Oxidative Stress</w:t>
      </w:r>
    </w:p>
    <w:p>
      <w:pPr>
        <w:spacing w:after="80"/>
        <w:jc w:val="both"/>
      </w:pPr>
      <w:r>
        <w:rPr>
          <w:rFonts w:ascii="Times New Roman" w:hAnsi="Times New Roman" w:cs="Times New Roman" w:eastAsia="Times New Roman"/>
          <w:b w:val="0"/>
          <w:i/>
          <w:sz w:val="22"/>
        </w:rPr>
        <w:t>Bibliographic identifiers — PMCID: PMC8719286; PMID: 33380301; DOI: 10.2174/1570159X19666201230144109; Journal: Current Neuropharmacology; Year: 2021.</w:t>
      </w:r>
    </w:p>
    <w:p>
      <w:pPr>
        <w:spacing w:after="80"/>
        <w:jc w:val="both"/>
      </w:pPr>
      <w:r>
        <w:rPr>
          <w:rFonts w:ascii="Times New Roman" w:hAnsi="Times New Roman" w:cs="Times New Roman" w:eastAsia="Times New Roman"/>
          <w:b w:val="0"/>
          <w:i w:val="0"/>
          <w:sz w:val="22"/>
        </w:rPr>
        <w:t>Retrieval — full JATS XML via NCBI efetch db=pmc rettype=xml. Body text length: 74,285 characters; structured tables: 1; figures: 0; references: 197. Supplementary body text also harvested via MCP fetch_pmc_article: 0 characters, 0 verbatim paragraphs reproduced below.</w:t>
      </w:r>
    </w:p>
    <w:p>
      <w:pPr>
        <w:spacing w:after="80"/>
        <w:jc w:val="both"/>
      </w:pPr>
      <w:r>
        <w:rPr>
          <w:rFonts w:ascii="Times New Roman" w:hAnsi="Times New Roman" w:cs="Times New Roman" w:eastAsia="Times New Roman"/>
          <w:b/>
          <w:i w:val="0"/>
          <w:sz w:val="22"/>
        </w:rPr>
        <w:t>Verbatim abstract (from JATS XML):</w:t>
      </w:r>
    </w:p>
    <w:p>
      <w:pPr>
        <w:spacing w:after="80"/>
        <w:jc w:val="both"/>
      </w:pPr>
      <w:r>
        <w:rPr>
          <w:rFonts w:ascii="Times New Roman" w:hAnsi="Times New Roman" w:cs="Times New Roman" w:eastAsia="Times New Roman"/>
          <w:b w:val="0"/>
          <w:i/>
          <w:sz w:val="24"/>
        </w:rPr>
        <w:t>“Oxidative stress, which results in the damage of diverse biological molecules, is a ubiquitous cellular process implicated in the etiology of many illnesses. The sulfhydryl-containing tripeptide glutathione (GSH), which is synthesized and maintained at high concentrations in all cells, is one of the mechanisms by which cells protect themselves from oxidative stress. N -acetylcysteine (NAC), a synthetic derivative of the endogenous amino acid L-cysteine and a precursor of GSH, has been used for several decades as a mucolytic and as an antidote to acetaminophen (paracetamol) poisoning. As a mucolytic, NAC breaks the disulfide bonds of heavily cross-linked mucins, thereby reducing mucus viscosity. In vitro , NAC has antifibrotic effects on lung fibroblasts. As an antidote to acetaminophen poisoning, NAC restores the hepatic GSH pool depleted in the drug detoxification process. More recently, improved knowledge of the mechanisms by which NAC acts has expanded its clinical applications. In particular, the discovery that NAC can modulate the homeostasis of glutamate has prompted studies of NAC in neuropsychiatric diseases characterized by impaired glutamate homeostasis. This narrative review provides an overview of the most relevant and recent evidence on the clinical application of NAC, with a focus on respiratory diseases, acetaminophen poisoning, disorders of the central nervous system (chronic neuropathic pain, depression, schizophrenia, bipolar disorder, and addiction), cardiovascular disease, contrast-induced nephropathy, and ophthalmology (retinitis pigmentosa).”</w:t>
      </w:r>
    </w:p>
    <w:p>
      <w:pPr>
        <w:keepNext/>
        <w:spacing w:before="160" w:after="40"/>
        <w:jc w:val="left"/>
      </w:pPr>
      <w:r>
        <w:rPr>
          <w:rFonts w:ascii="Times New Roman" w:hAnsi="Times New Roman" w:cs="Times New Roman" w:eastAsia="Times New Roman"/>
          <w:b/>
          <w:i w:val="0"/>
          <w:sz w:val="22"/>
        </w:rPr>
        <w:t>Reproduced verbatim from PMC8719286 — Table 1 — Summary of randomized, placebo-controlled controlled trials of oral N -acetylcysteine in chronic obstructive pulmonary disease.</w:t>
      </w:r>
    </w:p>
    <w:tbl>
      <w:tblPr>
        <w:tblStyle w:val="TableGrid"/>
        <w:tblW w:type="auto" w:w="0"/>
        <w:tblLayout w:type="fixed"/>
        <w:tblLook w:firstColumn="1" w:firstRow="1" w:lastColumn="0" w:lastRow="0" w:noHBand="0" w:noVBand="1" w:val="04A0"/>
      </w:tblPr>
      <w:tblGrid>
        <w:gridCol w:w="1872"/>
        <w:gridCol w:w="1872"/>
        <w:gridCol w:w="1872"/>
        <w:gridCol w:w="1872"/>
        <w:gridCol w:w="1872"/>
      </w:tblGrid>
      <w:tr>
        <w:tc>
          <w:tcPr>
            <w:tcW w:type="dxa" w:w="1872"/>
            <w:shd w:fill="DDE4EF"/>
          </w:tcPr>
          <w:p>
            <w:r/>
            <w:r>
              <w:rPr>
                <w:rFonts w:ascii="Times New Roman" w:hAnsi="Times New Roman" w:cs="Times New Roman" w:eastAsia="Times New Roman"/>
                <w:b/>
                <w:i w:val="0"/>
                <w:sz w:val="22"/>
              </w:rPr>
              <w:t>First Author</w:t>
            </w:r>
          </w:p>
        </w:tc>
        <w:tc>
          <w:tcPr>
            <w:tcW w:type="dxa" w:w="1872"/>
            <w:shd w:fill="DDE4EF"/>
          </w:tcPr>
          <w:p>
            <w:r/>
            <w:r>
              <w:rPr>
                <w:rFonts w:ascii="Times New Roman" w:hAnsi="Times New Roman" w:cs="Times New Roman" w:eastAsia="Times New Roman"/>
                <w:b/>
                <w:i w:val="0"/>
                <w:sz w:val="22"/>
              </w:rPr>
              <w:t>Study</w:t>
            </w:r>
          </w:p>
        </w:tc>
        <w:tc>
          <w:tcPr>
            <w:tcW w:type="dxa" w:w="1872"/>
            <w:shd w:fill="DDE4EF"/>
          </w:tcPr>
          <w:p>
            <w:r/>
            <w:r>
              <w:rPr>
                <w:rFonts w:ascii="Times New Roman" w:hAnsi="Times New Roman" w:cs="Times New Roman" w:eastAsia="Times New Roman"/>
                <w:b/>
                <w:i w:val="0"/>
                <w:sz w:val="22"/>
              </w:rPr>
              <w:t>Sample Size &amp; Population</w:t>
            </w:r>
          </w:p>
        </w:tc>
        <w:tc>
          <w:tcPr>
            <w:tcW w:type="dxa" w:w="1872"/>
            <w:shd w:fill="DDE4EF"/>
          </w:tcPr>
          <w:p>
            <w:r/>
            <w:r>
              <w:rPr>
                <w:rFonts w:ascii="Times New Roman" w:hAnsi="Times New Roman" w:cs="Times New Roman" w:eastAsia="Times New Roman"/>
                <w:b/>
                <w:i w:val="0"/>
                <w:sz w:val="22"/>
              </w:rPr>
              <w:t>Intervention</w:t>
            </w:r>
          </w:p>
        </w:tc>
        <w:tc>
          <w:tcPr>
            <w:tcW w:type="dxa" w:w="1872"/>
            <w:shd w:fill="DDE4EF"/>
          </w:tcPr>
          <w:p>
            <w:r/>
            <w:r>
              <w:rPr>
                <w:rFonts w:ascii="Times New Roman" w:hAnsi="Times New Roman" w:cs="Times New Roman" w:eastAsia="Times New Roman"/>
                <w:b/>
                <w:i w:val="0"/>
                <w:sz w:val="22"/>
              </w:rPr>
              <w:t>Primary Outcomes</w:t>
            </w:r>
          </w:p>
        </w:tc>
      </w:tr>
      <w:tr>
        <w:tc>
          <w:tcPr>
            <w:tcW w:type="dxa" w:w="1872"/>
          </w:tcPr>
          <w:p>
            <w:r/>
            <w:r>
              <w:rPr>
                <w:rFonts w:ascii="Times New Roman" w:hAnsi="Times New Roman" w:cs="Times New Roman" w:eastAsia="Times New Roman"/>
                <w:b w:val="0"/>
                <w:i w:val="0"/>
                <w:sz w:val="22"/>
              </w:rPr>
              <w:t>Decramer 2005 [ 26 ]</w:t>
            </w:r>
          </w:p>
        </w:tc>
        <w:tc>
          <w:tcPr>
            <w:tcW w:type="dxa" w:w="1872"/>
          </w:tcPr>
          <w:p>
            <w:r/>
            <w:r>
              <w:rPr>
                <w:rFonts w:ascii="Times New Roman" w:hAnsi="Times New Roman" w:cs="Times New Roman" w:eastAsia="Times New Roman"/>
                <w:b w:val="0"/>
                <w:i w:val="0"/>
                <w:sz w:val="22"/>
              </w:rPr>
              <w:t>BRONCUS</w:t>
            </w:r>
          </w:p>
        </w:tc>
        <w:tc>
          <w:tcPr>
            <w:tcW w:type="dxa" w:w="1872"/>
          </w:tcPr>
          <w:p>
            <w:r/>
            <w:r>
              <w:rPr>
                <w:rFonts w:ascii="Times New Roman" w:hAnsi="Times New Roman" w:cs="Times New Roman" w:eastAsia="Times New Roman"/>
                <w:b w:val="0"/>
                <w:i w:val="0"/>
                <w:sz w:val="22"/>
              </w:rPr>
              <w:t>Smoking-related stable COPD (n = 523) Age 40–75 years FEV 1 40–70% predicted Mean age 62 years Women 21% Current smokers 46% Mean predicted FEV 1 57%</w:t>
            </w:r>
          </w:p>
        </w:tc>
        <w:tc>
          <w:tcPr>
            <w:tcW w:type="dxa" w:w="1872"/>
          </w:tcPr>
          <w:p>
            <w:r/>
            <w:r>
              <w:rPr>
                <w:rFonts w:ascii="Times New Roman" w:hAnsi="Times New Roman" w:cs="Times New Roman" w:eastAsia="Times New Roman"/>
                <w:b w:val="0"/>
                <w:i w:val="0"/>
                <w:sz w:val="22"/>
              </w:rPr>
              <w:t>600 mg of NAC daily or matching placebo for 3 years</w:t>
            </w:r>
          </w:p>
        </w:tc>
        <w:tc>
          <w:tcPr>
            <w:tcW w:type="dxa" w:w="1872"/>
          </w:tcPr>
          <w:p>
            <w:r/>
            <w:r>
              <w:rPr>
                <w:rFonts w:ascii="Times New Roman" w:hAnsi="Times New Roman" w:cs="Times New Roman" w:eastAsia="Times New Roman"/>
                <w:b w:val="0"/>
                <w:i w:val="0"/>
                <w:sz w:val="22"/>
              </w:rPr>
              <w:t>No difference in FEV 1 in pts (54 mL vs . 47 mL; 95% CI –25, 10); No overall difference in exacerbations per year (HR 0.99, p = 0.85) Potential reduction in exacerbation rate in pts not treated with ICS</w:t>
            </w:r>
          </w:p>
        </w:tc>
      </w:tr>
      <w:tr>
        <w:tc>
          <w:tcPr>
            <w:tcW w:type="dxa" w:w="1872"/>
          </w:tcPr>
          <w:p>
            <w:r/>
            <w:r>
              <w:rPr>
                <w:rFonts w:ascii="Times New Roman" w:hAnsi="Times New Roman" w:cs="Times New Roman" w:eastAsia="Times New Roman"/>
                <w:b w:val="0"/>
                <w:i w:val="0"/>
                <w:sz w:val="22"/>
              </w:rPr>
              <w:t>TSE 2013 [ 27 ]</w:t>
            </w:r>
          </w:p>
        </w:tc>
        <w:tc>
          <w:tcPr>
            <w:tcW w:type="dxa" w:w="1872"/>
          </w:tcPr>
          <w:p>
            <w:r/>
            <w:r>
              <w:rPr>
                <w:rFonts w:ascii="Times New Roman" w:hAnsi="Times New Roman" w:cs="Times New Roman" w:eastAsia="Times New Roman"/>
                <w:b w:val="0"/>
                <w:i w:val="0"/>
                <w:sz w:val="22"/>
              </w:rPr>
              <w:t>HIACE</w:t>
            </w:r>
          </w:p>
        </w:tc>
        <w:tc>
          <w:tcPr>
            <w:tcW w:type="dxa" w:w="1872"/>
          </w:tcPr>
          <w:p>
            <w:r/>
            <w:r>
              <w:rPr>
                <w:rFonts w:ascii="Times New Roman" w:hAnsi="Times New Roman" w:cs="Times New Roman" w:eastAsia="Times New Roman"/>
                <w:b w:val="0"/>
                <w:i w:val="0"/>
                <w:sz w:val="22"/>
              </w:rPr>
              <w:t>Smoking-related stable COPD (n = 120) Age 50–80 years FEV 1 &lt; 70% predicted value over 1 year Mean age 71 years Women 7% Current smokers 23% Mean predicted FEV 1 54%</w:t>
            </w:r>
          </w:p>
        </w:tc>
        <w:tc>
          <w:tcPr>
            <w:tcW w:type="dxa" w:w="1872"/>
          </w:tcPr>
          <w:p>
            <w:r/>
            <w:r>
              <w:rPr>
                <w:rFonts w:ascii="Times New Roman" w:hAnsi="Times New Roman" w:cs="Times New Roman" w:eastAsia="Times New Roman"/>
                <w:b w:val="0"/>
                <w:i w:val="0"/>
                <w:sz w:val="22"/>
              </w:rPr>
              <w:t>600 mg of NAC twice daily or matching placebo for 1 year</w:t>
            </w:r>
          </w:p>
        </w:tc>
        <w:tc>
          <w:tcPr>
            <w:tcW w:type="dxa" w:w="1872"/>
          </w:tcPr>
          <w:p>
            <w:r/>
            <w:r>
              <w:rPr>
                <w:rFonts w:ascii="Times New Roman" w:hAnsi="Times New Roman" w:cs="Times New Roman" w:eastAsia="Times New Roman"/>
                <w:b w:val="0"/>
                <w:i w:val="0"/>
                <w:sz w:val="22"/>
              </w:rPr>
              <w:t>FEF improved 25% to 75% (p = 0.037) Reduction in exacerbation frequency (0.96 vs . 1.71 times per year, p = 0.019)</w:t>
            </w:r>
          </w:p>
        </w:tc>
      </w:tr>
      <w:tr>
        <w:tc>
          <w:tcPr>
            <w:tcW w:type="dxa" w:w="1872"/>
          </w:tcPr>
          <w:p>
            <w:r/>
            <w:r>
              <w:rPr>
                <w:rFonts w:ascii="Times New Roman" w:hAnsi="Times New Roman" w:cs="Times New Roman" w:eastAsia="Times New Roman"/>
                <w:b w:val="0"/>
                <w:i w:val="0"/>
                <w:sz w:val="22"/>
              </w:rPr>
              <w:t>Zheng 2014 [ 28 ]</w:t>
            </w:r>
          </w:p>
        </w:tc>
        <w:tc>
          <w:tcPr>
            <w:tcW w:type="dxa" w:w="1872"/>
          </w:tcPr>
          <w:p>
            <w:r/>
            <w:r>
              <w:rPr>
                <w:rFonts w:ascii="Times New Roman" w:hAnsi="Times New Roman" w:cs="Times New Roman" w:eastAsia="Times New Roman"/>
                <w:b w:val="0"/>
                <w:i w:val="0"/>
                <w:sz w:val="22"/>
              </w:rPr>
              <w:t>PANTHEON</w:t>
            </w:r>
          </w:p>
        </w:tc>
        <w:tc>
          <w:tcPr>
            <w:tcW w:type="dxa" w:w="1872"/>
          </w:tcPr>
          <w:p>
            <w:r/>
            <w:r>
              <w:rPr>
                <w:rFonts w:ascii="Times New Roman" w:hAnsi="Times New Roman" w:cs="Times New Roman" w:eastAsia="Times New Roman"/>
                <w:b w:val="0"/>
                <w:i w:val="0"/>
                <w:sz w:val="22"/>
              </w:rPr>
              <w:t>Moderate-to-severe COPD (n = 1006) Age 40–80 years FEV 1 30–70% of predicted value over 1 year Mean age 66 years Women 18% Current smokers 18% Ex-smokers 58% Non-smokers 24% Mean predicted FEV 1 49%</w:t>
            </w:r>
          </w:p>
        </w:tc>
        <w:tc>
          <w:tcPr>
            <w:tcW w:type="dxa" w:w="1872"/>
          </w:tcPr>
          <w:p>
            <w:r/>
            <w:r>
              <w:rPr>
                <w:rFonts w:ascii="Times New Roman" w:hAnsi="Times New Roman" w:cs="Times New Roman" w:eastAsia="Times New Roman"/>
                <w:b w:val="0"/>
                <w:i w:val="0"/>
                <w:sz w:val="22"/>
              </w:rPr>
              <w:t>600 mg of NAC twice daily or matching placebo for 1 year</w:t>
            </w:r>
          </w:p>
        </w:tc>
        <w:tc>
          <w:tcPr>
            <w:tcW w:type="dxa" w:w="1872"/>
          </w:tcPr>
          <w:p>
            <w:r/>
            <w:r>
              <w:rPr>
                <w:rFonts w:ascii="Times New Roman" w:hAnsi="Times New Roman" w:cs="Times New Roman" w:eastAsia="Times New Roman"/>
                <w:b w:val="0"/>
                <w:i w:val="0"/>
                <w:sz w:val="22"/>
              </w:rPr>
              <w:t>Reduction in exacerbation frequency (1.16 vs . 1.49 per patient-year, p = 0.0011; RR 0.78, 95% CI 0.67–0.90; p = 0.0011)</w:t>
            </w:r>
          </w:p>
        </w:tc>
      </w:tr>
    </w:tbl>
    <w:p>
      <w:pPr>
        <w:spacing w:after="80"/>
        <w:jc w:val="both"/>
      </w:pPr>
    </w:p>
    <w:p>
      <w:pPr>
        <w:keepNext/>
        <w:spacing w:before="160" w:after="40"/>
        <w:outlineLvl w:val="2"/>
      </w:pPr>
      <w:r>
        <w:rPr>
          <w:rFonts w:ascii="Times New Roman" w:hAnsi="Times New Roman" w:cs="Times New Roman" w:eastAsia="Times New Roman"/>
          <w:b/>
          <w:i w:val="0"/>
          <w:color w:val="404040"/>
          <w:sz w:val="24"/>
        </w:rPr>
        <w:t>Verbatim body-text paragraphs from PMC8719286</w:t>
      </w:r>
    </w:p>
    <w:p>
      <w:pPr>
        <w:spacing w:after="120"/>
        <w:jc w:val="both"/>
      </w:pPr>
      <w:r>
        <w:rPr>
          <w:rFonts w:ascii="Times New Roman" w:hAnsi="Times New Roman" w:cs="Times New Roman" w:eastAsia="Times New Roman"/>
          <w:b w:val="0"/>
          <w:i w:val="0"/>
          <w:sz w:val="24"/>
        </w:rPr>
        <w:t>“(1)** — Chemical structures of cysteine, N -acetylcysteine and glutathione. graphic: `CN-19-1202_F1.jpg` 2. **Fig. (2)** — Proposed pathophysiologic targets of N -acetylcysteine (NAC). The various mechanisms by which NAC acts as a neurotransmitter, modulates redox reactions, promotes neurogenesis, corrects mitochondrial dysfunction, and dampens the inflammatory response are described in the text. Adapted from Berk M, et al . Trends. Pharmacol. Sci., 2013, 34 (3), 167-177. ® Elsevier Inc. AMPA, 2-amino-3-hydroxy-5-meth graphic: `CN-19-1202_F2.jpg` 3. **Fig. (3)** — Schematic of the metabolism of acetaminophen by the hepatocyte and mechanism of action of N -acetylcysteine as an antidote to acetaminophen-induced hepatotoxicity in overdose. APAP, acetaminophen; ASK, apoptosis signal-regulating kinase; ATP, adenosine triphosphate; CYP, cytochrome P450; GSH, glutathione; JNK, c-jun N-terminal kinase; MLK, mixed-lineage kinase; MPT, mitochondrial permeability tran graphic: `CN-19-1202_F3.jpg` 4. **Fig.”  [PMC8719286 ¶1]</w:t>
      </w:r>
    </w:p>
    <w:p>
      <w:pPr>
        <w:spacing w:after="120"/>
        <w:jc w:val="both"/>
      </w:pPr>
      <w:r>
        <w:rPr>
          <w:rFonts w:ascii="Times New Roman" w:hAnsi="Times New Roman" w:cs="Times New Roman" w:eastAsia="Times New Roman"/>
          <w:b w:val="0"/>
          <w:i w:val="0"/>
          <w:sz w:val="24"/>
        </w:rPr>
        <w:t>“(4)** — Regulation of glutamate homeostasis by N -acetylcysteine (NAC). NAC stimulates glutamate efflux by activating the cysteine:glutamate antiporter (Sxc – ) thereby enhancing the endogenous activation of mGlu2 receptors. In addition, NAC enhances the clearance of synaptic glutamate by inducing GLT-1. GLT, glial membrane transporter; GSH, glutathione; mGlu, metabotropic glutamate; NMDA, N -methyl-d-asp graphic: `CN-19-1202_F4.jpg` ```json { "pmcid": "PMC8719286", "pmid": "33380301", "doi": "10.2174/1570159X19666201230144109", "title": "The Multifaceted Therapeutic Role of N -Acetylcysteine (NAC) in Disorders Characterized by Oxidative Stress", "journal": "Current Neuropharmacology", "year": "2021", "abstract": "Oxidative stress, which results in the damage of diverse biological molecules, is a ubiquitous cellular process implicated in the etiology of many illnesses. The sulfhydryl-containing tripeptide glutathione (GSH), which is synthesized and maintained at high concentrations in all cells, is one of the mechanisms by which cells protect themselves from oxidative stress.”  [PMC8719286 ¶2]</w:t>
      </w:r>
    </w:p>
    <w:p>
      <w:pPr>
        <w:spacing w:after="120"/>
        <w:jc w:val="both"/>
      </w:pPr>
      <w:r>
        <w:rPr>
          <w:rFonts w:ascii="Times New Roman" w:hAnsi="Times New Roman" w:cs="Times New Roman" w:eastAsia="Times New Roman"/>
          <w:b w:val="0"/>
          <w:i w:val="0"/>
          <w:sz w:val="24"/>
        </w:rPr>
        <w:t>“N -acetylcysteine (NAC), a synthetic derivative of the endogenous amino acid L-cysteine and a precursor of GSH, has been used for several decades as a mucolytic and as an antidote to acetaminophen (paracetamol) poisoning. As a mucolytic, NAC breaks the disulfide bonds of heavily cross-linked mucins, thereby reducing mucus viscosity. In vitro , NAC has antifibrotic effects on lung fibroblasts. As an antidote to acetaminophen poisoning, NAC restores the hepatic GSH pool depleted in the drug detoxification process. More recently, improved knowledge of the mechanisms by which NAC acts has expanded its clinical applications. In particular, the discovery that NAC can modulate the homeostasis of glutamate has prompted studies of NAC in neuropsychiatric diseases characterized by impaired glutamate homeostasis. This narrative review provides an overview of the most relevant and recent evidence on the clinical application of NAC, with a focus on respiratory diseases, acetaminophen poisoning, disorders of the central nervous system (chronic neuropathic pain, depression, schizophrenia, bipolar disorder, and addiction), cardiovascular disease, contrast-induced nephropathy, and ophthalmology (retinitis pigmentosa).", "body_text": "1 INTRODUCTION Oxidative stress is a ubiquitous cellular process implicated in the etiology of many illnesses [ 1 - 5 ].”  [PMC8719286 ¶3]</w:t>
      </w:r>
    </w:p>
    <w:p>
      <w:pPr>
        <w:spacing w:after="120"/>
        <w:jc w:val="both"/>
      </w:pPr>
      <w:r>
        <w:rPr>
          <w:rFonts w:ascii="Times New Roman" w:hAnsi="Times New Roman" w:cs="Times New Roman" w:eastAsia="Times New Roman"/>
          <w:b w:val="0"/>
          <w:i w:val="0"/>
          <w:sz w:val="24"/>
        </w:rPr>
        <w:t>“Several endogenous mechanisms exist to protect cells against oxidative stress [ 6 ]. The sulfhydryl (thiol)-containing tripeptide glutathione (GSH) is synthesized and maintained at high concentrations in virtually all cells and is one of the principal mechanisms by which reactive oxygen species (ROS) are eliminated [ 3 , 7 , 8 ]. N -acetylcysteine (NAC) is a synthetic derivative of the endogenous amino acid L-cysteine (Fig. 1 ), and a precursor of GSH. NAC not only modulates oxidative stress but other pathophysiologic processes implicated in disease. These include mitochondrial dysfunction, apoptosis, and inflammation, as well as indirect effects on neurotransmitters such as glutamate and dopamine [ 9 , 10 ]. The proposed pathophysiologic targets of NAC are presented in (Fig. 2 ), and will be covered further in subsequent sections. Whether antioxidant molecules, including cysteine and GSH, given exogenously have a therapeutic effect has long attracted interest [ 11 ].”  [PMC8719286 ¶4]</w:t>
      </w:r>
    </w:p>
    <w:p>
      <w:pPr>
        <w:spacing w:after="120"/>
        <w:jc w:val="both"/>
      </w:pPr>
      <w:r>
        <w:rPr>
          <w:rFonts w:ascii="Times New Roman" w:hAnsi="Times New Roman" w:cs="Times New Roman" w:eastAsia="Times New Roman"/>
          <w:b w:val="0"/>
          <w:i w:val="0"/>
          <w:sz w:val="24"/>
        </w:rPr>
        <w:t>“The therapeutic activity of NAC has been extensively investigated in in vitro and in vivo studies and, consequently, it has been used clinically for more than 50 years [ 12 ]. The clinical benefit of NAC as a mucolytic agent was first described in the 1960s in patients with cystic fibrosis (CF) [ 13 ]. In the 1970s, NAC was used to treat acetaminophen (paracetamol) overdose [ 14 , 15 ]. Since the 1980s, in addition to its licensed indications as a mucolytic and an antidote to acetaminophen overdose, the therapeutic potential of NAC has been investigated in a wide range of conditions where oxidative stress is thought to be a driving factor in disease onset and/or progression [ 9 ]. In January 2019, a small expert group met to discuss the state-of-the-art of the use of NAC in clinical practice. This narrative and consensus-based review summarizes the main conclusions of that meeting, as well as providing an overview of the relevant current literature about the clinical applications of NAC.”  [PMC8719286 ¶5]</w:t>
      </w:r>
    </w:p>
    <w:p>
      <w:pPr>
        <w:spacing w:after="120"/>
        <w:jc w:val="both"/>
      </w:pPr>
      <w:r>
        <w:rPr>
          <w:rFonts w:ascii="Times New Roman" w:hAnsi="Times New Roman" w:cs="Times New Roman" w:eastAsia="Times New Roman"/>
          <w:b w:val="0"/>
          <w:i w:val="0"/>
          <w:sz w:val="24"/>
        </w:rPr>
        <w:t>“In the following sections, we will briefly describe the pharmacology of NAC and its role in counteracting oxidative stress. Next, we focus on the current clinical use of NAC in respiratory diseases and acetaminophen poisoning. Finally, we consider newer data about the potential of NAC in selected therapeutic areas, including disorders of the central nervous system (CNS; chronic neuropathic pain, depression, bipolar disorder, schizophrenia, and addiction), cardiovascular disease, contrast-induced nephropathy, and ophthalmology (retinitis pigmentosa [RP]). 2 METHODS A literature search was carried out through PubMed/MEDLINE for all studies, randomized controlled trials, systematic reviews, meta-analyses, and review articles of NAC published up to February 2019. Published articles that addressed the review objective were discussed and reviewed, and selected papers were supplemented by the clinical experience of the panel.”  [PMC8719286 ¶6]</w:t>
      </w:r>
    </w:p>
    <w:p>
      <w:pPr>
        <w:spacing w:after="120"/>
        <w:jc w:val="both"/>
      </w:pPr>
      <w:r>
        <w:rPr>
          <w:rFonts w:ascii="Times New Roman" w:hAnsi="Times New Roman" w:cs="Times New Roman" w:eastAsia="Times New Roman"/>
          <w:b w:val="0"/>
          <w:i w:val="0"/>
          <w:sz w:val="24"/>
        </w:rPr>
        <w:t>“The bibliographies of retrieved papers identified in the search were manually searched for additional relevant articles, and recent recommendations and treatment guidelines were also considered for inclusion. The literature was monitored as the manuscript was developed, and papers identified reviewed for relevance. 3 PHARMACOLOGY OF NAC GSH is synthesized in two steps from cysteine, glutamate, and glycine. Of these precursors, cysteine has the lowest intracellular concentration, limiting the rate of GSH synthesis in the presence of oxidative stress [ 8 ]. NAC is more stable than L-cysteine, which is rapidly oxidized in solution to the disulfide cysteine. Thus, NAC is a more efficient source of antioxidant sulfhydryl moieties than cysteine. Once inside cells, NAC is rapidly hydrolyzed to cysteine, which can be incorporated into GSH [ 8 ]. Furthermore, unlike GSH, NAC can cross the phospholipid bilayer of the plasma membrane of cells.”  [PMC8719286 ¶7]</w:t>
      </w:r>
    </w:p>
    <w:p>
      <w:pPr>
        <w:spacing w:after="120"/>
        <w:jc w:val="both"/>
      </w:pPr>
      <w:r>
        <w:rPr>
          <w:rFonts w:ascii="Times New Roman" w:hAnsi="Times New Roman" w:cs="Times New Roman" w:eastAsia="Times New Roman"/>
          <w:b w:val="0"/>
          <w:i w:val="0"/>
          <w:sz w:val="24"/>
        </w:rPr>
        <w:t>“NAC is available as oral, inhalation, and intravenous (IV) formulations. In respiratory diseases, NAC is usually administered orally at a daily dose of 600 mg [ 16 ], although it may be more effective as a mucolytic agent when given by inhalation, as nebulized NAC may be able to reach a higher concentration in the airways [ 17 ]. However, available data do not support the efficacy of inhaled NAC in terms of lung function and disease exacerbations, probably due to the low intrinsic reducing activity and short half-life of NAC in the airway environment [ 17 ]. After oral administration, NAC is rapidly absorbed, with peak plasma concentrations reached between 30 minutes and 1 hour [ 8 , 16 ]. Orally administered NAC is absorbed in the small intestine and undergoes first-pass hepatic metabolism to cysteine, which is used by the liver to synthesize GSH [ 8 ]. The hepatic pool of GSH is replenished before GSH is released into the plasma via a membrane transporter [ 8 ].”  [PMC8719286 ¶8]</w:t>
      </w:r>
    </w:p>
    <w:p>
      <w:pPr>
        <w:spacing w:after="120"/>
        <w:jc w:val="both"/>
      </w:pPr>
      <w:r>
        <w:rPr>
          <w:rFonts w:ascii="Times New Roman" w:hAnsi="Times New Roman" w:cs="Times New Roman" w:eastAsia="Times New Roman"/>
          <w:b w:val="0"/>
          <w:i w:val="0"/>
          <w:sz w:val="24"/>
        </w:rPr>
        <w:t>“The oral bioavailability of NAC is low (&lt; 5%), probably due to gut-wall metabolism and high first-pass metabolism [ 3 , 8 ]. Low plasma detection may also be due to rapid diffusion into cells and conversion to GSH [ 8 ]. Intravenous NAC formulations bypass first-pass and gut-wall metabolism and rapidly provide sufficient concentrations in acute acetaminophen overdose [ 8 ]. 3.1 NAC and Oxidative Stress Oxidative stress, which arises from an imbalance between the levels of pro- and antioxidants, can lead to oxidation, peroxidation, and damage of vital cellular macromolecules, such as DNA, proteins, and lipids by ROS and by reactive nitrogen species (RNS) [ 18 , 19 ]. ROS include the superoxide radical (O 2 \u2013 \u2022 ), hydrogen peroxide (H 2 O 2 ), and the hydroxyl radical ( \u2022 OH), and are mostly produced by the mitochondria in the pathway of oxidative phosphorylation during normal cell metabolism when molecular O 2 is converted into H 2 O [ 8 ].”  [PMC8719286 ¶9]</w:t>
      </w:r>
    </w:p>
    <w:p>
      <w:pPr>
        <w:spacing w:after="120"/>
        <w:jc w:val="both"/>
      </w:pPr>
      <w:r>
        <w:rPr>
          <w:rFonts w:ascii="Times New Roman" w:hAnsi="Times New Roman" w:cs="Times New Roman" w:eastAsia="Times New Roman"/>
          <w:b w:val="0"/>
          <w:i w:val="0"/>
          <w:sz w:val="24"/>
        </w:rPr>
        <w:t>“H 2 O 2 is also produced by peroxisomes when fatty acids are degraded. In addition, oxidative bursts of ROS are used by phagocytes to kill microorganisms. Such reactions occur very rapidly, which means that markers of oxidative stress are usually indirect, and no validated biomarkers for oxidative stress are currently available [ 9 , 20 ]. Various markers of oxidative stress include analysis of the activities of antioxidant enzymes glutathione peroxidase (GPx), glutathione reductase, catalase (CAT), glutathione-S- transferase, and superoxide dismutase (SOD), measuring levels of GSH or the GSH/oxidized GSH [GSH/GSSG] ratio, or monitoring markers of lipid peroxidation, oxidative DNA or protein damage [ 9 , 20 ]. Intracellular H 2 O 2 is mostly detoxified by the enzymes GPx and CAT. However, some molecules escape degradation. Oxidative stress occurs when metabolically derived oxidants prevail over antioxidant defenses.”  [PMC8719286 ¶10]</w:t>
      </w:r>
    </w:p>
    <w:p>
      <w:pPr>
        <w:spacing w:after="120"/>
        <w:jc w:val="both"/>
      </w:pPr>
      <w:r>
        <w:rPr>
          <w:rFonts w:ascii="Times New Roman" w:hAnsi="Times New Roman" w:cs="Times New Roman" w:eastAsia="Times New Roman"/>
          <w:b w:val="0"/>
          <w:i w:val="0"/>
          <w:sz w:val="24"/>
        </w:rPr>
        <w:t>“Cellular antioxidant defense mechanisms include vitamin C and vitamin E, enzymes such as SOD, CAT, and GPx, and thiols or sulfhydryl-containing compounds such as GSH and thioredoxin [ 6 ]. GSH is the most thoroughly investigated. It exerts a protective effect on cells not only as an antioxidant defense mechanism, but also because of a number of other effects, including protein thiolation, drug detoxification, and regulation of signal transduction modulated by oxidation-reduction reactions [ 8 ]. The antioxidant effect of GSH is provided by the free sulfhydryl group, which constitutes a source of reducing equivalents to scavenge harmful ROS [ 8 ]. GSH also plays a crucial role in the antioxidant activity of GPx, a defense mechanism against peroxides, by providing reducing equivalents. In vivo, NAC mainly acts as an indirect antioxidant via its effect as a GSH precursor (Fig. 2 ), its contribution to scavenging superoxide and peroxides being negligible compared to that of antioxidant enzymes [ 8 , 10 , 21 ].”  [PMC8719286 ¶11]</w:t>
      </w:r>
    </w:p>
    <w:p>
      <w:pPr>
        <w:spacing w:after="120"/>
        <w:jc w:val="both"/>
      </w:pPr>
      <w:r>
        <w:rPr>
          <w:rFonts w:ascii="Times New Roman" w:hAnsi="Times New Roman" w:cs="Times New Roman" w:eastAsia="Times New Roman"/>
          <w:b w:val="0"/>
          <w:i w:val="0"/>
          <w:sz w:val="24"/>
        </w:rPr>
        <w:t>“Nevertheless, the nucleophilic free sulfhydryl group of NAC enables it to act as a direct antioxidant against a number of electrophilic groups of oxidant radicals [ 10 ]. For example, NAC protects \u03b11-antitrypsin from inactivation by hypochlorous acid, a potent oxidant produced by the myeloperoxidase enzyme of activated phagocytes [ 16 ]. The mechanisms usually thought to be important in the licensed indications for NAC, mucolysis, and detoxification of acetaminophen overdose, are fairly well understood, and both rely on the delivery of sulfhydryl moieties [ 8 ]. As a mucolytic, NAC breaks the disulfide bonds of heavily cross-linked mucus glycoproteins (mucins), thereby reducing mucus viscosity [ 21 ]. As an antidote to acetaminophen poisoning, NAC restores the hepatic GSH pool depleted in the drug detoxification process [ 8 , 21 ]. GSH, in turn, reacts with and neutralizes the electrophilic and harmful metabolite of acetaminophen, N -acetyl-p-benzoquinone imine (NAPQI) [ 21 ] and scavenges reactive oxygen and reactive nitrogen species [ 22 ]. 4 NAC FOR RESPIRATORY DISEASES Aside from its ability to break disulfide bonds and change mucus rheology [ 9 , 23 ], NAC has other actions that have the potential to treat pulmonary diseases.”  [PMC8719286 ¶12]</w:t>
      </w:r>
    </w:p>
    <w:p>
      <w:pPr>
        <w:spacing w:after="120"/>
        <w:jc w:val="both"/>
      </w:pPr>
      <w:r>
        <w:rPr>
          <w:rFonts w:ascii="Times New Roman" w:hAnsi="Times New Roman" w:cs="Times New Roman" w:eastAsia="Times New Roman"/>
          <w:b w:val="0"/>
          <w:i w:val="0"/>
          <w:sz w:val="24"/>
        </w:rPr>
        <w:t>“For example, NAC increases the secretion activity of alveolar type II cells, leading to increased alveolar surfactant [ 24 ]. In addition, antimicrobial and anti-biofilm properties against several respiratory pathogens [ 25 ], as well as interference with inflammatory pathways [ 4 , 17 ], have also been reported. Thus, the mechanisms by which NAC acts in respiratory disease are complex and not limited to its antioxidant activity [ 4 ]. There are a number of large and well-designed trials reporting the efficacy and safety of NAC for the treatment of chronic obstructive pulmonary disease (COPD) [ 26 - 28 ] and idiopathic pulmonary fibrosis (IPF) [ 29 - 32 ]. These provide clinically valuable information but do not clarify which mechanisms are most important in explaining the NAC effect. 4.1 Chronic Obstructive Pulmonary Disease COPD is a common, preventable and treatable disease caused by a mixture of small airways disease (obstructive bronchiolitis) and parenchymal destruction (emphysema), the relative contribution of which varies from person to person [ 33 ].”  [PMC8719286 ¶13]</w:t>
      </w:r>
    </w:p>
    <w:p>
      <w:pPr>
        <w:spacing w:after="120"/>
        <w:jc w:val="both"/>
      </w:pPr>
      <w:r>
        <w:rPr>
          <w:rFonts w:ascii="Times New Roman" w:hAnsi="Times New Roman" w:cs="Times New Roman" w:eastAsia="Times New Roman"/>
          <w:b w:val="0"/>
          <w:i w:val="0"/>
          <w:sz w:val="24"/>
        </w:rPr>
        <w:t>“Oxidative stress in response to endogenous and exogenous oxidants, including cigarette smoke and other inhaled oxidants leads to the chronic inflammation characteristic of COPD [ 4 , 9 , 33 , 34 ]. Extracellular and intracellular levels of GSH are frequently abnormal in COPD, and the inability to maintain normal GSH levels may contribute to disease progression [ 17 ]. Lung function declines with age but more rapidly in COPD sufferers, and this excess decline likely reflects the cumulative effects of prolonged oxidative stress. Thus, COPD may be regarded as a disease of accelerated aging of the lungs, characterized by loss of elasticity, which leads to respiratory impairment from the age of 30 years, raising the possibility that, in younger patients, protection from oxidative stress could prevent disease progression. The time to progress to serious ill-health in COPD is unpredictable but is usually slow, so that preventive interventions, such as with NAC, do have a chance to be effective.”  [PMC8719286 ¶14]</w:t>
      </w:r>
    </w:p>
    <w:p>
      <w:pPr>
        <w:spacing w:after="120"/>
        <w:jc w:val="both"/>
      </w:pPr>
      <w:r>
        <w:rPr>
          <w:rFonts w:ascii="Times New Roman" w:hAnsi="Times New Roman" w:cs="Times New Roman" w:eastAsia="Times New Roman"/>
          <w:b w:val="0"/>
          <w:i w:val="0"/>
          <w:sz w:val="24"/>
        </w:rPr>
        <w:t>“The hypothesis that treatment with NAC can prevent COPD exacerbations, (periods of symptomatic deterioration usually associated with increased pulmonary inflammation) was tested in the BRONCUS, HIACE, and PANTHEON trials, with somewhat mixed results reflecting the different doses, studied and different target populations Table ( 1 ) [ 26 - 28 ]. In the randomized, placebo-controlled BRONCUS trial, oral NAC 600 mg/day for 3 years did not reduce the rate of decline in forced expiratory volume in 1 second (FEV 1 ) or the number of exacerbations per year [ 26 ], at least in patients who used inhaled corticosteroids (ICS) Table ( 1 ), possibly because the NAC concentration used was too low. In subsequent trials, a higher NAC dose of 1200 mg/day (oral NAC 600 mg, twice daily), was tested. In the 1-year HIACE trial in Chinese patients with stable COPD Table ( 1 ), high-dose NAC significantly improved lung function and decreased exacerbation frequency compared with placebo [ 27 ].”  [PMC8719286 ¶15]</w:t>
      </w:r>
    </w:p>
    <w:p>
      <w:pPr>
        <w:spacing w:after="120"/>
        <w:jc w:val="both"/>
      </w:pPr>
      <w:r>
        <w:rPr>
          <w:rFonts w:ascii="Times New Roman" w:hAnsi="Times New Roman" w:cs="Times New Roman" w:eastAsia="Times New Roman"/>
          <w:b w:val="0"/>
          <w:i w:val="0"/>
          <w:sz w:val="24"/>
        </w:rPr>
        <w:t>“A post-hoc analysis of the HIACE trial showed that the benefits of high-dose NAC treatment in terms of reduced exacerbation frequency and prolonged time to first exacerbation were significant in the subgroup of patients at high risk of exacerbations, but not in those at low risk [ 35 ]. In the large, randomized, double-blind, placebo-controlled PANTHEON trial, high-dose NAC for 1 year reduced the rate of acute exacerbations of COPD (AECOPD) by 22% [ 28 ]. Like the HIACE trial, PANTHEON involved Chinese patients. One-year treatment with high-dose NAC reduced the risk of AECOPD by 22% Table ( 1 ), independent of corticosteroid use. NAC was effective from 6 months onwards, suggesting that the preventive effects of NAC are slow to develop but then progress, and are sustained with regular treatment. Thus, early intervention might be essential to prevent the progression of COPD in terms of exacerbations [ 28 ].”  [PMC8719286 ¶16]</w:t>
      </w:r>
    </w:p>
    <w:p>
      <w:pPr>
        <w:spacing w:after="120"/>
        <w:jc w:val="both"/>
      </w:pPr>
      <w:r>
        <w:rPr>
          <w:rFonts w:ascii="Times New Roman" w:hAnsi="Times New Roman" w:cs="Times New Roman" w:eastAsia="Times New Roman"/>
          <w:b w:val="0"/>
          <w:i w:val="0"/>
          <w:sz w:val="24"/>
        </w:rPr>
        <w:t>“Post-hoc analysis of the PANTHEON study confirmed that NAC reduces the rate of COPD exacerbations defined using conventional criteria, compared with placebo, particularly in patients with a history of smoking or not treated with ICS [ 36 ]. NAC may thus represent an alternative to ICS-containing therapies in these subgroups. A meta-analysis clarified the role of NAC in preventing exacerbations of chronic bronchitis or COPD and evaluated the differences between the responses induced by low (\u2264 600 mg/day) and high (&gt; 600 mg/day) doses of NAC [ 37 ]. The data from 13 studies in a total of 4,155 patients in a variety of patient populations showed that patients treated with NAC had consistently and significantly fewer exacerbations of chronic bronchitis or COPD (relative risk 0.75, 95% CI 0.89\u20130.97, p &lt; 0.01). The beneficial effect of NAC was more marked in patients with no evidence of airway obstruction.”  [PMC8719286 ¶17]</w:t>
      </w:r>
    </w:p>
    <w:p>
      <w:pPr>
        <w:spacing w:after="120"/>
        <w:jc w:val="both"/>
      </w:pPr>
      <w:r>
        <w:rPr>
          <w:rFonts w:ascii="Times New Roman" w:hAnsi="Times New Roman" w:cs="Times New Roman" w:eastAsia="Times New Roman"/>
          <w:b w:val="0"/>
          <w:i w:val="0"/>
          <w:sz w:val="24"/>
        </w:rPr>
        <w:t>“However, high-dose NAC was also effective in patients with airway obstruction. These findings suggest that NAC should be used at a dose \u2265 1200 mg/day to prevent exacerbations in patients with a chronic bronchitis phenotype of COPD and airway obstruction, while regular doses (600 mg/day) may be sufficient in the absence of airway obstruction [ 37 ]. Based on the evidence emerging from the recent trials showing that NAC can reduce exacerbations in patients with COPD, including those taking ICS, the 2020 Global Initiative for Chronic Obstructive Lung Disease (GOLD) report includes NAC, as well as other thiol-based drugs, as additional therapies to consider in the treatment of COPD [ 33 ]. 4.2 Idiopathic Pulmonary Fibrosis IPF is a chronic, fibroproliferative interstitial pneumonia of unknown etiology, occurring primarily in the elderly and resulting in a progressive loss of lung function and a poor prognosis.”  [PMC8719286 ¶18]</w:t>
      </w:r>
    </w:p>
    <w:p>
      <w:pPr>
        <w:spacing w:after="120"/>
        <w:jc w:val="both"/>
      </w:pPr>
      <w:r>
        <w:rPr>
          <w:rFonts w:ascii="Times New Roman" w:hAnsi="Times New Roman" w:cs="Times New Roman" w:eastAsia="Times New Roman"/>
          <w:b w:val="0"/>
          <w:i w:val="0"/>
          <w:sz w:val="24"/>
        </w:rPr>
        <w:t>“Oxygen radicals and decreased GSH levels are implicated in the pathogenesis and progression of IPF [ 38 ]. Therefore, NAC and other thiol-based drugs may be useful for the treatment of IPF. Preclinical studies have revealed that NAC inhibits several profibrotic mechanisms in a number of experimental models [ 39 ]. Glutathione has antifibrotic effects on lung fibroblasts in vitro [ 38 ]. Decreased lung glutathione levels have been documented in bronchoalveolar lavage obtained from patients with IPF, and its level is augmented by oral NAC and associated with improved lung function in patients with IPF [ 40 ]. The randomized, placebo- controlled IFIGENIA trial in 182 patients with IPF investigated the effectiveness of 1-year treatment with high-dose oral NAC (600 mg, three times daily) added to standard therapy with prednisone plus azathioprine [ 29 ]. NAC was shown to preserve lung function (vital capacity and single-breath carbon monoxide diffusing capacity) more than standard therapy plus placebo, with no significant differences in the safety profile of the two treatments.”  [PMC8719286 ¶19]</w:t>
      </w:r>
    </w:p>
    <w:p>
      <w:pPr>
        <w:spacing w:after="120"/>
        <w:jc w:val="both"/>
      </w:pPr>
      <w:r>
        <w:rPr>
          <w:rFonts w:ascii="Times New Roman" w:hAnsi="Times New Roman" w:cs="Times New Roman" w:eastAsia="Times New Roman"/>
          <w:b w:val="0"/>
          <w:i w:val="0"/>
          <w:sz w:val="24"/>
        </w:rPr>
        <w:t>“However, subsequent well-designed, randomized, placebo-controlled clinical trials with NAC 600 mg three times daily, combined with other medications or in monotherapy failed to provide evidence supporting the use of NAC in patients with IPF [ 31 ] and identified safety issues with the combination of prednisone, azathioprine, and NAC [ 30 ]. Interestingly, the analysis of single-nucleotide polymorphisms (SNPs) within the genes TOLLIP and MUC5B , which are involved in lung host defense, suggested that the response to NAC could be influenced by the genotype of IPF patients ( i.e. , the TOLLIP rs3750920 genotype) [ 41 ]. The SNP analysis was performed on the data of the PANTHER-IPF trial evaluating the safety of the combination of prednisone and azathioprine with NAC [ 30 ]. The recent phase 2, placebo-controlled PANORAMA trial was designed to assess the safety and tolerability of NAC combined with pirfenidone in patients with IPF (n = 123) [ 32 ].”  [PMC8719286 ¶20]</w:t>
      </w:r>
    </w:p>
    <w:p>
      <w:pPr>
        <w:spacing w:after="120"/>
        <w:jc w:val="both"/>
      </w:pPr>
      <w:r>
        <w:rPr>
          <w:rFonts w:ascii="Times New Roman" w:hAnsi="Times New Roman" w:cs="Times New Roman" w:eastAsia="Times New Roman"/>
          <w:b w:val="0"/>
          <w:i w:val="0"/>
          <w:sz w:val="24"/>
        </w:rPr>
        <w:t>“The study also included exploratory efficacy measurements (forced vital capacity, carbon monoxide diffusing capacity, and 6-minutes' walk distance). The addition of NAC to pirfenidone did not significantly affect the safety and tolerability profile of pirfenidone, but it did not appear to confer further benefits in terms of forced vital capacity, although it must be acknowledged that the study was underpowered to demonstrate a meaningful difference. Therefore, the debate over the therapeutic potential of NAC in subgroups of IPF patients is evident, and it is hoped that the studies in carriers of the TOLLIP rs3750920 genotype will confirm the reported benefits of NAC in this subgroup before the potential of NAC in IPF is excluded [ 42 ]. In this regard, a multicenter clinical trial in this specific subgroup is currently underway. 4.3 Current Use of NAC in Clinical Practice of Pulmonary Medicine The implementation of NAC and other thiol-based drugs in pulmonary medicine remains limited [ 17 ], and there is a need to examine further the implications of recent findings to fully define the potential of NAC in respiratory diseases, including COPD [ 43 ].”  [PMC8719286 ¶21]</w:t>
      </w:r>
    </w:p>
    <w:p>
      <w:pPr>
        <w:spacing w:after="120"/>
        <w:jc w:val="both"/>
      </w:pPr>
      <w:r>
        <w:rPr>
          <w:rFonts w:ascii="Times New Roman" w:hAnsi="Times New Roman" w:cs="Times New Roman" w:eastAsia="Times New Roman"/>
          <w:b w:val="0"/>
          <w:i w:val="0"/>
          <w:sz w:val="24"/>
        </w:rPr>
        <w:t>“Current treatment guidelines for COPD support the use of mucolytics, including NAC, to reduce the risk of exacerbations [ 33 , 44 ]. Although there are limited published data on its potential benefits as a mucolytic agent in bronchiectasis (CF and non-CF bronchiectasis), our experience suggests it is being used in clinical practice in lung diseases associated with tenacious and copious sputum production, such as in allergic bronchopulmonary aspergillosis and bronchiectasis regardless of cause, and there is anecdotal evidence for the use of oral NAC as an antioxidant for IPF. 5 USE OF NAC IN TOXICOLOGY The most extensively investigated application of NAC in toxicology is its use as an antidote to acetaminophen poisoning. ROS and RNS play a crucial role also in acute liver injury induced by acetaminophen overdose [ 22 ]. Although some damage to proteins, lipids, and mitochondrial DNA occurs, mitochondrial oxidative stress and mitochondrial membrane permeability transition activation are the key events in acetaminophen-induced hepatic cell necrosis [ 45 , 46 ]. 5.1 NAC as an Antidote to Acetaminophen Poisoning Acetaminophen at therapeutic doses is considered to be a safe drug.”  [PMC8719286 ¶22]</w:t>
      </w:r>
    </w:p>
    <w:p>
      <w:pPr>
        <w:spacing w:after="120"/>
        <w:jc w:val="both"/>
      </w:pPr>
      <w:r>
        <w:rPr>
          <w:rFonts w:ascii="Times New Roman" w:hAnsi="Times New Roman" w:cs="Times New Roman" w:eastAsia="Times New Roman"/>
          <w:b w:val="0"/>
          <w:i w:val="0"/>
          <w:sz w:val="24"/>
        </w:rPr>
        <w:t>“Under these conditions, more than 90% of acetaminophen is eliminated through phase II conjugation reactions, and only less than 10% is metabolized by cytochrome P450 2E1, forming the reactive metabolite NAPQI [ 47 ]. NAPQI is effectively detoxified by conjugation with cellular GSH, and only a very limited amount covalently binds to proteins [ 47 , 48 ]. However, in the case of an overdose of acetaminophen, NAPQI formation is substantially increased, resulting in the depletion of hepatic GSH levels and increased protein adduct formation, including the formation of mitochondrial protein adducts [ 48 ] (Fig. 3 ). Importantly, protein adducts on mitochondria are most critical for toxicity because they trigger initial oxidative stress, which is amplified through a mitogen-activated protein (MAP) kinase cascade with the ultimate activation of c-jun N-terminal kinase (JNK). The mitochondrial translocation of phospho-JNK causes the enhanced leakage of electrons from the electron transport chain and formation of superoxide, which reacts with nitric oxide (NO) to form the highly reactive oxidant peroxynitrite in the mitochondria [ 49 ].”  [PMC8719286 ¶23]</w:t>
      </w:r>
    </w:p>
    <w:p>
      <w:pPr>
        <w:spacing w:after="120"/>
        <w:jc w:val="both"/>
      </w:pPr>
      <w:r>
        <w:rPr>
          <w:rFonts w:ascii="Times New Roman" w:hAnsi="Times New Roman" w:cs="Times New Roman" w:eastAsia="Times New Roman"/>
          <w:b w:val="0"/>
          <w:i w:val="0"/>
          <w:sz w:val="24"/>
        </w:rPr>
        <w:t>“Peroxynitrite is considered the ultimate oxidant responsible for the mitochondrial membrane permeability transition pore (MPTP) opening, potentially leading to liver cell death [ 50 - 52 ]. The MPTP opening causes cessation of ATP production and matrix swelling [ 45 ] (Fig. 3 ), which results in the rupture of the outer mitochondrial membrane and the release of intermembrane proteins, including endonuclease G and apoptosis-inducing factor (AIF). Both endonuclease G and AIF translocate to the nucleus and cause DNA fragmentation [ 53 ]. Together, these events trigger cellular necrosis [ 54 ]. Importantly, these mechanisms of cell death demonstrated in mice and mouse hepatocytes also apply to acetaminophen-induced cell death in human hepatocytes and in overdose patients [ 55 - 57 ]. Based on the early, limited mechanistic understanding of acetaminophen hepatotoxicity, which included reactive metabolite formation and hepatic GSH depletion [ 58 , 59 ], various antidotes with the capacity to replenish hepatic GSH levels were tested.”  [PMC8719286 ¶24]</w:t>
      </w:r>
    </w:p>
    <w:p>
      <w:pPr>
        <w:spacing w:after="120"/>
        <w:jc w:val="both"/>
      </w:pPr>
      <w:r>
        <w:rPr>
          <w:rFonts w:ascii="Times New Roman" w:hAnsi="Times New Roman" w:cs="Times New Roman" w:eastAsia="Times New Roman"/>
          <w:b w:val="0"/>
          <w:i w:val="0"/>
          <w:sz w:val="24"/>
        </w:rPr>
        <w:t>“Several antidotes worked in animal models and in patients [ 15 ]. However, NAC was quickly adopted as the preferred antidote for acetaminophen overdose in patients because of its superior efficacy and limited side effects [ 14 , 15 , 60 ]. NAC is most effective in patients when given within the first 8-10 hours after an overdose [ 14 , 61 ] but still shows some beneficial effects when administered later [ 61 , 62 ]. Among patients presenting with plasma acetaminophen concentrations that put them at risk for hepatotoxicity, 6\u20137% of patients treated with NAC within 10 hours after the overdose developed liver injury, as indicated by a transient increase of plasma alanine aminotransferase levels; 26\u201329% showed hepatotoxicity when NAC was given between 10\u201316 hours, and 40\u201360% developed liver injury when NAC was started between 16\u201324 hours [ 61 , 62 ]. These results were all significantly better than those of historical controls.”  [PMC8719286 ¶25]</w:t>
      </w:r>
    </w:p>
    <w:p>
      <w:pPr>
        <w:spacing w:after="120"/>
        <w:jc w:val="both"/>
      </w:pPr>
      <w:r>
        <w:rPr>
          <w:rFonts w:ascii="Times New Roman" w:hAnsi="Times New Roman" w:cs="Times New Roman" w:eastAsia="Times New Roman"/>
          <w:b w:val="0"/>
          <w:i w:val="0"/>
          <w:sz w:val="24"/>
        </w:rPr>
        <w:t>“To ensure the appropriate use of NAC to prevent liver injury from acetaminophen toxicity, a nomogram that plots acetaminophen plasma concentrations against the time of overdose was developed [ 63 ] and subsequently modified [ 60 , 61 ]. Although the current nomogram is conservative and has proven to be a reliable guide for NAC treatment after acetaminophen poisoning [ 64 ], treatment decisions based on a single measurement may not assess the risk completely, as patients who were initially stratified as below the treatment line, can cross the treatment threshold following overdose [ 65 ]. Animal studies indicated that early NAC treatment protects by scavenging NAPQI and by preventing protein adduct formation [ 66 ]. However, NAC does not react directly with NAPQI but provides the essential amino acid cysteine for the synthesis of GSH, which reacts with NAPQI [ 67 , 68 ] (Fig. 3 ). GSH also directly scavenges peroxynitrite and functions as a co-factor for the detoxification of hydrogen peroxide by GPx [ 50 ].”  [PMC8719286 ¶26]</w:t>
      </w:r>
    </w:p>
    <w:p>
      <w:pPr>
        <w:spacing w:after="120"/>
        <w:jc w:val="both"/>
      </w:pPr>
      <w:r>
        <w:rPr>
          <w:rFonts w:ascii="Times New Roman" w:hAnsi="Times New Roman" w:cs="Times New Roman" w:eastAsia="Times New Roman"/>
          <w:b w:val="0"/>
          <w:i w:val="0"/>
          <w:sz w:val="24"/>
        </w:rPr>
        <w:t>“Furthermore, excess NAC not used for GSH synthesis is converted to Krebs cycle intermediates and supports mitochondrial bioenergetics leading to higher ATP levels in hepatocytes [ 69 ] (Fig. 3 ). NAC also protects against mitochondrial dysfunction [ 50 , 51 , 69 ], a key factor in acetaminophen-induced liver injury [ 52 ]. Thus, NAC has multiple modes of action against acetaminophen-induced hepatotoxicity, which helps explain why NAC is beneficial, even if administered with significant delay after the overdose in patients [ 62 ] and human hepatocytes [ 55 ]. A key to recovery after acetaminophen-induced liver injury is the onset of regeneration and replacement of necrotic hepatocytes [ 70 ], which is critically dependent on mitochondrial biogenesis [ 71 ]. Although early NAC treatment is beneficial in limiting the injury, continuous NAC treatment well beyond the injury phase can delay regeneration [ 72 ] mainly through impairment of mitochondrial biogenesis, an adaptive response whose role is to maintain or restore homeostasis following mitochondrial dysfunction [ 71 ].”  [PMC8719286 ¶27]</w:t>
      </w:r>
    </w:p>
    <w:p>
      <w:pPr>
        <w:spacing w:after="120"/>
        <w:jc w:val="both"/>
      </w:pPr>
      <w:r>
        <w:rPr>
          <w:rFonts w:ascii="Times New Roman" w:hAnsi="Times New Roman" w:cs="Times New Roman" w:eastAsia="Times New Roman"/>
          <w:b w:val="0"/>
          <w:i w:val="0"/>
          <w:sz w:val="24"/>
        </w:rPr>
        <w:t>“This is an underappreciated problem of prolonged NAC treatment. Despite the widely accepted use of NAC as an antidote against acetaminophen poisoning, for ethical reasons, no randomized clinical trials were conducted in establishing the efficacy and optimal dose of NAC [ 60 , 73 ]. The initial IV treatment of a limited number of acetaminophen overdose patients with an empirical dose of NAC showed complete protection of all patients that were treated within 10 hours of the overdose [ 15 ]. In a follow-up study, only one patient out of 62 treated with NAC within 10 hours developed severe liver injury as compared to a retrospective control group, which showed that 33 out of 57 patients (58%) developed severe liver injury after an acetaminophen overdose [ 14 ]. In a similar study in the US, over 600 patients were treated with an oral dose of NAC [ 61 ]. Only 7% of patients with plasma acetaminophen levels in the toxic range developed transient liver injury when treated within 10 hours after the overdose.”  [PMC8719286 ¶28]</w:t>
      </w:r>
    </w:p>
    <w:p>
      <w:pPr>
        <w:spacing w:after="120"/>
        <w:jc w:val="both"/>
      </w:pPr>
      <w:r>
        <w:rPr>
          <w:rFonts w:ascii="Times New Roman" w:hAnsi="Times New Roman" w:cs="Times New Roman" w:eastAsia="Times New Roman"/>
          <w:b w:val="0"/>
          <w:i w:val="0"/>
          <w:sz w:val="24"/>
        </w:rPr>
        <w:t>“However, the efficacy of NAC declined when treatment was initiated later [ 61 , 62 ]. The high efficacy after early treatment and the limited side effects compared to cysteamine and other compounds established NAC as the antidote of choice for acetaminophen overdose [ 14 , 61 ]. In addition, even late presenting patients with acetaminophen-induced fulminant hepatic failure showed a survival benefit when treated with NAC [ 74 ]. Due to the lack of randomized clinical trials, there is no universally accepted NAC treatment protocol. In the 1970s, Prescott and coworkers in the UK used an IV protocol [ 15 ], while Rumack and coworkers in the US developed a 72-hour oral treatment protocol because the US Food and Drug Administration did not approve the use of the mucolytic drug by the IV route [ 60 ]. In 2004, an IV preparation was approved in the US. Retrospective comparison of cohorts treated with a 20-hour IV and a 72-hour oral protocol showed a slightly better outcome with IV treatment for early presenting patients (&lt; 12 hours), no difference when treated between 12 hours and 18 hours, and lower risk with the 72-hour oral regimen [ 75 ].”  [PMC8719286 ¶29]</w:t>
      </w:r>
    </w:p>
    <w:p>
      <w:pPr>
        <w:spacing w:after="120"/>
        <w:jc w:val="both"/>
      </w:pPr>
      <w:r>
        <w:rPr>
          <w:rFonts w:ascii="Times New Roman" w:hAnsi="Times New Roman" w:cs="Times New Roman" w:eastAsia="Times New Roman"/>
          <w:b w:val="0"/>
          <w:i w:val="0"/>
          <w:sz w:val="24"/>
        </w:rPr>
        <w:t>“The limitations of this study have been discussed [ 76 , 77 ]; a more recent comparison between shorter IV versus longer oral treatments did not find any significant difference in adverse outcomes when patients were treated within 8 hours of the overdose [ 78 ]. In addition, in low-risk patients, an abbreviated 12-hour IV NAC dosing regimen was as effective as treatment with the same dose over 20 hours but with fewer adverse effects [ 79 , 80 ]. Thus, the various NAC treatment protocols are highly effective for most patients presenting early (&lt; 8 hours) after an overdose and at least partially effective for late-presenting patients. However, there is some concern that patients with massive acetaminophen overdoses will need more than the standard NAC treatment [ 81 - 83 ]. Given the potential increased adverse effects of high doses of NAC, including anaphylactic reactions and fluid overload [ 84 ], mechanistically complementary interventions such as 4-methylpyrazole may be beneficial in supporting standard-of-care NAC treatment in patients with high overdoses [ 85 - 87 ].”  [PMC8719286 ¶30]</w:t>
      </w:r>
    </w:p>
    <w:p>
      <w:pPr>
        <w:spacing w:after="120"/>
        <w:jc w:val="both"/>
      </w:pPr>
      <w:r>
        <w:rPr>
          <w:rFonts w:ascii="Times New Roman" w:hAnsi="Times New Roman" w:cs="Times New Roman" w:eastAsia="Times New Roman"/>
          <w:b w:val="0"/>
          <w:i w:val="0"/>
          <w:sz w:val="24"/>
        </w:rPr>
        <w:t>“Challenges for treating acetaminophen overdose patients with the optimal NAC dosing regimen remain because of the variations in acetaminophen dose, use of different preparations of acetaminophen, and co-ingestion of various other drugs or alcohol. Interestingly, since the adoption of IV NAC as the mainstay for the treatment of acetaminophen poisoning, the overall case-fatality has decreased from approximately 3% in the early 1970s to less than 1% in the 2008\u20132012 period [ 73 , 88 ]. 5.2 Role of NAC in Non-acetaminophen Poisonings The antidote effects of NAC to other toxic compounds are less well established than those to acetaminophen, and this is an area of toxicology still in development [ 9 ]. Investigated toxins include the herbicide paraquat [ 89 ], mushroom toxins [ 90 ], essential oils [ 91 ], and hydrocarbons (chloroform, carbon tetrachloride) [ 92 , 93 ]. As with acetaminophen overdose, NAC exerts an antidote action predominantly by replenishing the cellular GSH pool; antioxidant effects and scavenging of free radicals have also been reported [ 9 ].”  [PMC8719286 ¶31]</w:t>
      </w:r>
    </w:p>
    <w:p>
      <w:pPr>
        <w:spacing w:after="120"/>
        <w:jc w:val="both"/>
      </w:pPr>
      <w:r>
        <w:rPr>
          <w:rFonts w:ascii="Times New Roman" w:hAnsi="Times New Roman" w:cs="Times New Roman" w:eastAsia="Times New Roman"/>
          <w:b w:val="0"/>
          <w:i w:val="0"/>
          <w:sz w:val="24"/>
        </w:rPr>
        <w:t>“Furthermore, NAC has also been investigated for heavy-metal poisoning and has the potential of acting as an antidote for heavy metal ions such as lead [ 94 - 96 ], cadmium, chromium, and mercury [ 97 ]. According to the prevailing hypothesis about the mechanisms of lead toxicity, Pb(II) oxidizes GSH, leading to increased levels of free radicals [ 95 ]. 6 NAC FOR NEUROLOGIC AND PSYCHIATRIC DISORDERS NAC has been investigated in many neurologic and psychiatric diseases, including neurodegenerative diseases, chronic and neuropathic pain, mood disorders, psychoses, and addiction [ 5 , 9 , 98 , 99 ]. Cognitive dysfunction lies at the core of most of these conditions, and oxidative stress has been implicated in cognitive impairment [ 100 ]. A recent systematic review provides an overview of the available data on the effects of NAC on human cognition in healthy individuals and in patients with Alzheimer\u2019s, bipolar disorder, schizophrenia, and other diseases of the CNS [ 100 ].”  [PMC8719286 ¶32]</w:t>
      </w:r>
    </w:p>
    <w:p>
      <w:pPr>
        <w:spacing w:after="120"/>
        <w:jc w:val="both"/>
      </w:pPr>
      <w:r>
        <w:rPr>
          <w:rFonts w:ascii="Times New Roman" w:hAnsi="Times New Roman" w:cs="Times New Roman" w:eastAsia="Times New Roman"/>
          <w:b w:val="0"/>
          <w:i w:val="0"/>
          <w:sz w:val="24"/>
        </w:rPr>
        <w:t>“The available data, albeit early, suggest that NAC as an intervention provides significant cognitive improvements. However, the clinical relevance of its effects is currently unclear, given the limitations of the studies identified, including the heterogeneity of studies, the number of studies with insufficient power, and other methodologic considerations [ 100 ]. Preclinical data support a positive effect of NAC on cognition in animal models of mitochondrial dysfunction, inherited metabolic disorders, heavy metal neurotoxicity, and Alzheimer\u2019s disease [ 101 - 105 ]. Such data has helped dissect the mechanisms underlying the effects of NAC on the CNS. For example, a study in mice lacking glutamate transporter type 3 (excitatory amino acid transporter-3 [EAAT3]), an animal model that recapitulates brain changes and cognitive impairment associated with aging, showed that NAC was able to reverse learning and memory impairment [ 106 ].”  [PMC8719286 ¶33]</w:t>
      </w:r>
    </w:p>
    <w:p>
      <w:pPr>
        <w:spacing w:after="120"/>
        <w:jc w:val="both"/>
      </w:pPr>
      <w:r>
        <w:rPr>
          <w:rFonts w:ascii="Times New Roman" w:hAnsi="Times New Roman" w:cs="Times New Roman" w:eastAsia="Times New Roman"/>
          <w:b w:val="0"/>
          <w:i w:val="0"/>
          <w:sz w:val="24"/>
        </w:rPr>
        <w:t>“Besides taking up glutamate, EAAT3 also transports cysteine, the rate-limiting substrate in the synthesis of glutathione. Mice lacking EAAT3 have decreased levels of GSH and increased oxidative stress in neurons, and are characterized by premature brain aging. Although the cognitive impairment of the EAAT3 knockout mice might be due also to impaired glutamate uptake, the authors concluded that NAC treatment reversed cognitive impairment, at least in part, by increasing neuronal GSH levels. A large body of preclinical evidence has shown that NAC can act on the CNS by modulating glutamate homeostasis [ 107 ] (Fig. 2 ). Glutamate is the major excitatory neurotransmitter in the CNS and is involved in mechanisms of activity-dependent synaptic plasticity underlying learning and memory processes, such as long-term potentiation (LTP) and long-term depression (LTD) [ 108 ]. However, excessive excitatory action of glutamate may cause excitotoxic neuronal damage as a result of a sustained influx of extracellular calcium ions (Ca 2+ ) [ 109 , 110 ].”  [PMC8719286 ¶34]</w:t>
      </w:r>
    </w:p>
    <w:p>
      <w:pPr>
        <w:spacing w:after="120"/>
        <w:jc w:val="both"/>
      </w:pPr>
      <w:r>
        <w:rPr>
          <w:rFonts w:ascii="Times New Roman" w:hAnsi="Times New Roman" w:cs="Times New Roman" w:eastAsia="Times New Roman"/>
          <w:b w:val="0"/>
          <w:i w:val="0"/>
          <w:sz w:val="24"/>
        </w:rPr>
        <w:t>“For this reason, the homeostasis of extracellular glutamate is tightly controlled by the combined activity of neuronal and glial membrane transporters, such as glutamate transporter-1 (GLT1), glutamate aspartate transporter (GLAST), and the cysteine/glutamate antiporter, or system xc \u2013 (Sxc \u2013 ), present in astrocytes, and EAAT3 present in neurons. GLT1, GLAST, and EAAT3 clear synaptic and extra-synaptic glutamate, whereas Sxc \u2013 mediates the exchange of extracellular cysteine and intracellular glutamate across the cellular plasma membrane [ 111 ]. Sxc \u2013 is a fundamental component for the control of extracellular glutamate and feedback regulation of glutamate release [ 107 ]. The uptake of cysteine provides the intracellular cysteine required for the synthesis of GSH [ 111 ]. Notably, NAC has been shown to activate Sxc \u2013 [ 111 , 112 ] and to induce the expression of GLT1 [ 113 ].”  [PMC8719286 ¶35]</w:t>
      </w:r>
    </w:p>
    <w:p>
      <w:pPr>
        <w:spacing w:after="120"/>
        <w:jc w:val="both"/>
      </w:pPr>
      <w:r>
        <w:rPr>
          <w:rFonts w:ascii="Times New Roman" w:hAnsi="Times New Roman" w:cs="Times New Roman" w:eastAsia="Times New Roman"/>
          <w:b w:val="0"/>
          <w:i w:val="0"/>
          <w:sz w:val="24"/>
        </w:rPr>
        <w:t>“Glutamate receptors are subdivided into ionotropic receptors ( i.e. , \u03b1-amino-3-hydroxyl-5-methyl-4-isoxazole-propionate [AMPA], N -methyl-D-aspartate, and kainate receptors), which form ligand-gated ion channels, and metabotropic glutamate (mGlu) receptors, which are coupled to G proteins (Fig. 2 ). By activating Sxc \u2013 , NAC enhances the endogenous activation of presynaptic mGlu2 receptors, thereby inhibiting glutamate release from excitatory nerve endings [ 114 ]. This action, combined with the induction of GLT1 in astrocytes, may at least in part account for the beneficial effects of NAC in conditions associated with excessive release of glutamate and impairment of glutamate homeostasis, and characterized by maladaptive synaptic plasticity and excitotoxic neuronal death [ 113 ]. Conditions associated with altered glutamate homeostasis include drug addiction, chronic pain, depression, schizophrenia, and neurodegenerative disorders [ 107 ], suggesting potential applications for NAC as adjuvant therapy in these disorders.”  [PMC8719286 ¶36]</w:t>
      </w:r>
    </w:p>
    <w:p>
      <w:pPr>
        <w:spacing w:after="120"/>
        <w:jc w:val="both"/>
      </w:pPr>
      <w:r>
        <w:rPr>
          <w:rFonts w:ascii="Times New Roman" w:hAnsi="Times New Roman" w:cs="Times New Roman" w:eastAsia="Times New Roman"/>
          <w:b w:val="0"/>
          <w:i w:val="0"/>
          <w:sz w:val="24"/>
        </w:rPr>
        <w:t>“(Fig. 4 ) summarizes the actions of NAC on Sxc\u2013 and its effects on glutamate homeostasis. 6.1 NAC and Addiction In preclinical studies, mGlu receptors are promising candidate pharmacotherapeutic targets in the management of substance use disorders [ 115 ]. The role of NAC in glutamate homeostasis has prompted research into the use of NAC for the treatment of addiction; most preclinical and clinical trials of NAC in neurologic and psychiatric diseases relate to addiction [ 9 ]. Studies in animal models suggest that vulnerability to relapse reflects an alteration in glutamate homeostasis in the nucleus accumbens [ 114 , 116 ]. In particular, cocaine treatment in mice has been shown to cause a bidirectional loss of activity-dependent synaptic plasticity in the nucleus accumbens core, which is a defect in both LTP and LTD of excitatory synaptic transmission [ 114 ]. This was associated with reduced expression of xCT (the catalytic subunit of Sxc \u2013 ) and mGlu2 receptors [ 116 ], suggesting that a defective endogenous activation of mGlu2 receptors in the nucleus accumbens underlies the altered glutamate homeostasis that is ultimately responsible for the loss of control in drug-seeking behavior and relapse.”  [PMC8719286 ¶37]</w:t>
      </w:r>
    </w:p>
    <w:p>
      <w:pPr>
        <w:spacing w:after="120"/>
        <w:jc w:val="both"/>
      </w:pPr>
      <w:r>
        <w:rPr>
          <w:rFonts w:ascii="Times New Roman" w:hAnsi="Times New Roman" w:cs="Times New Roman" w:eastAsia="Times New Roman"/>
          <w:b w:val="0"/>
          <w:i w:val="0"/>
          <w:sz w:val="24"/>
        </w:rPr>
        <w:t>“Systemic treatment of the cocaine-addicted mice with NAC was able to normalize both LTP and LTD in the nucleus accumbens; furthermore, NAC action was inhibited by the potent mGlu2/3 receptor antagonist, LY341495 [ 116 ]. More recent findings suggest that NAC corrects the alterations in glutamate homeostasis associated with drug addiction by inducing GLT1, a glial transporter that clears extracellular glutamate and inhibits the activation of extrasynaptic receptors that are involved in the induction and expression of maladaptive synaptic plasticity, such as mGlu5 receptors [ 117 ]. This mechanism might be at least as important as the activation of xCT for the ability of NAC to inhibit drug- and cue-induced reinstatement of cocaine, heroin, and nicotine seeking [ 112 , 118 - 125 ]. Interestingly, NAC suppressed D 9 -tetrahydrocannabinol and cannabidiol self-administration and cue-induced reinstatement in a rodent model of cannabis relapse [ 126 ].”  [PMC8719286 ¶38]</w:t>
      </w:r>
    </w:p>
    <w:p>
      <w:pPr>
        <w:spacing w:after="120"/>
        <w:jc w:val="both"/>
      </w:pPr>
      <w:r>
        <w:rPr>
          <w:rFonts w:ascii="Times New Roman" w:hAnsi="Times New Roman" w:cs="Times New Roman" w:eastAsia="Times New Roman"/>
          <w:b w:val="0"/>
          <w:i w:val="0"/>
          <w:sz w:val="24"/>
        </w:rPr>
        <w:t>“Clinical data provide some support for the efficacy of NAC in preventing relapse and normalizing glutamate homeostasis. In a 4-week, open-label pilot study in 23 treatment-seeking cocaine-dependent subjects, NAC at doses of 1.2, 2.4, and 3.6 g/day improved retention rates and was well tolerated [ 127 ]. Most subjects who completed the study (n = 16) either discontinued the use of cocaine or significantly reduced the use of cocaine during treatment. In an open-label, randomized, cross-over study, cocaine-dependent patients showed higher glutamate levels in the dorsal anterior cingulate cortex compared with healthy controls, as assessed by proton magnetic resonance spectroscopy [ 128 ]. In the cocaine-dependent patients, glutamate levels were normalized by a single oral administration of NAC (2.4 g) [ 128 ]. In a recent randomized, placebo-controlled trial conducted to investigate the effect of NAC and working memory-training to reduce cocaine use and craving and to improve inhibition, a 25-day treatment with NAC (2.4 g/day) was associated with fewer cocaine problems and cocaine-positive urines compared with placebo [ 129 ].”  [PMC8719286 ¶39]</w:t>
      </w:r>
    </w:p>
    <w:p>
      <w:pPr>
        <w:spacing w:after="120"/>
        <w:jc w:val="both"/>
      </w:pPr>
      <w:r>
        <w:rPr>
          <w:rFonts w:ascii="Times New Roman" w:hAnsi="Times New Roman" w:cs="Times New Roman" w:eastAsia="Times New Roman"/>
          <w:b w:val="0"/>
          <w:i w:val="0"/>
          <w:sz w:val="24"/>
        </w:rPr>
        <w:t>“In this study, NAC had, however, no effects on cocaine craving. The efficacy of NAC in addiction is not always apparent. For example, NAC consistently reduced cannabis use in adolescents but not in adults [ 130 - 133 ]. There are data suggesting efficacy in smoking cessation [ 134 ]. A systematic review of nine studies (165 patients) evaluating various addictions (cocaine, cannabis, nicotine, methamphetamine, pathologic gambling), confirmed the potential of NAC for the treatment of addiction, especially to cocaine and cannabis [ 135 ]. The involvement of glutamatergic pathways in the pathophysiology of addiction was also confirmed. However, another systematic review concluded that the evidence for NAC as a treatment for addiction is rather limited and pointed out that although several controlled studies have reported significant results for cocaine, the largest and best-designed trial was positive versus placebo only in a small subgroup of participants, who were abstinent at the beginning of the trial [ 5 ].”  [PMC8719286 ¶40]</w:t>
      </w:r>
    </w:p>
    <w:p>
      <w:pPr>
        <w:spacing w:after="120"/>
        <w:jc w:val="both"/>
      </w:pPr>
      <w:r>
        <w:rPr>
          <w:rFonts w:ascii="Times New Roman" w:hAnsi="Times New Roman" w:cs="Times New Roman" w:eastAsia="Times New Roman"/>
          <w:b w:val="0"/>
          <w:i w:val="0"/>
          <w:sz w:val="24"/>
        </w:rPr>
        <w:t>“Finally, a recent meta-analysis of clinical studies with NAC in substance use disorders showed that NAC is superior to placebo in reducing drug craving [ 136 ]. In spite of the inconsistencies in currently available clinical evidence, the prevailing view in the field is that the safety and tolerability profile of NAC encourages further study of the use of the drug in the treatment of addiction and associated psychiatric disorders. Large scale studies in methamphetamine addiction and other addictive disorders are underway [ 137 ]. 6.2 NAC for the Treatment of Depression Chronic pain and depression often coexist, and activation of specific brain regions that are associated with the so- called \u201cpain matrix,\u201d including the insula, cingulate cortex, and amygdala, play a key role in the regulation of mood and in the mechanisms of resilience to stress. Interestingly, the mGlu2 receptor, the endogenous activation of which is enhanced by NAC via Sxc \u2013 activation, as discussed in the previous sections, has also been linked to resilience to stress.”  [PMC8719286 ¶41]</w:t>
      </w:r>
    </w:p>
    <w:p>
      <w:pPr>
        <w:spacing w:after="120"/>
        <w:jc w:val="both"/>
      </w:pPr>
      <w:r>
        <w:rPr>
          <w:rFonts w:ascii="Times New Roman" w:hAnsi="Times New Roman" w:cs="Times New Roman" w:eastAsia="Times New Roman"/>
          <w:b w:val="0"/>
          <w:i w:val="0"/>
          <w:sz w:val="24"/>
        </w:rPr>
        <w:t>“Accordingly, Nasca and coworkers found that chronic unpredictable stress causes large reductions in hippocampal mGlu2 receptors exclusively in mice that are not resilient to stress, and that mice lacking mGlu2 receptors are more susceptible to stress [ 138 ]. A follow-up study prompted by these findings showed that chronic stress caused a decrease in mGlu2 receptors and xCT in the ventral hippocampus via an epigenetic mechanism [ 139 ]. A short treatment period (3 days) with either NAC or L-acetylcarnitine, but not fluoxetine, corrected the depressive-like phenotype in these mice by inducing resilience to stress [ 139 ]. There are experimental data in mice that the antidepressant effects of NAC are blocked by AMPA antagonists [ 140 ], suggesting the involvement of AMPA receptors in the antidepressant-like effects of NAC. The use of NAC in depression is supported by the presence of oxidative stress in depression, suggesting glutathione is a feasible treatment target [ 141 ].”  [PMC8719286 ¶42]</w:t>
      </w:r>
    </w:p>
    <w:p>
      <w:pPr>
        <w:spacing w:after="120"/>
        <w:jc w:val="both"/>
      </w:pPr>
      <w:r>
        <w:rPr>
          <w:rFonts w:ascii="Times New Roman" w:hAnsi="Times New Roman" w:cs="Times New Roman" w:eastAsia="Times New Roman"/>
          <w:b w:val="0"/>
          <w:i w:val="0"/>
          <w:sz w:val="24"/>
        </w:rPr>
        <w:t>“Data from clinical trials are in line with the evidence from preclinical research and suggest the potential of NAC as adjunctive treatment to antidepressant therapy [ 142 , 143 ]. A placebo-controlled trial in 252 patients with major depressive disorder who were randomized to 12-weeks\u2019 NAC or placebo added to standard antidepressant treatment, and followed up to 16 weeks, found no significant differences in depressive symptoms assessed using the Montgomery-\u01fasberg Depression Rating Scale (MADRS) between the two groups at week 12 (primary endpoint) [ 144 ]. However, other between-group differences were significant and in favor of NAC at the 16-week post discontinuation endpoint. This was true in other situations. In the smoking cessation trial of Prado and colleagues, there was a significant reduction in depression [ 134 ], a secondary outcome also seen in the post- traumatic stress disorder trial of Kalivas and colleagues [ 99 ].”  [PMC8719286 ¶43]</w:t>
      </w:r>
    </w:p>
    <w:p>
      <w:pPr>
        <w:spacing w:after="120"/>
        <w:jc w:val="both"/>
      </w:pPr>
      <w:r>
        <w:rPr>
          <w:rFonts w:ascii="Times New Roman" w:hAnsi="Times New Roman" w:cs="Times New Roman" w:eastAsia="Times New Roman"/>
          <w:b w:val="0"/>
          <w:i w:val="0"/>
          <w:sz w:val="24"/>
        </w:rPr>
        <w:t>“Lastly, the IPF trial conducted by the Idiopathic Pulmonary Fibrosis Clinical Research Network reported significant benefits of NAC on mental health quality of life, a measure highly associated with mood measured psychometrically [ 31 ]. A recent meta-analysis including five studies evaluating NAC and 574 patients with depression (291 randomized to NAC and 283 to placebo) with a follow-up of 12\u201324 weeks revealed significantly greater improvements in depressive symptoms (MADRS) and functionality with NAC than with placebo [ 143 ]. NAC was associated with a favorable safety and tolerability profile, overlapping with that of placebo. 6.3 NAC in Schizophrenia and Bipolar Disorder Several clinical trials have investigated the utility of adjunctive NAC in schizophrenia, with moderate benefits suggested, particularly for negative symptoms [ 5 ]. Specifically, one double-blind trial in 140 patients with chronic schizophrenia, described by the Cochrane Collaboration as a \u201chigh quality\u201d trial that measured clinically-useful outcomes (Positive and Negative Syndrome Scale [PANSS] and Clinical Global Impression [CGI]) over a longer period of time [ 145 ], compared adjunctive NAC versus placebo [ 146 ].”  [PMC8719286 ¶44]</w:t>
      </w:r>
    </w:p>
    <w:p>
      <w:pPr>
        <w:spacing w:after="120"/>
        <w:jc w:val="both"/>
      </w:pPr>
      <w:r>
        <w:rPr>
          <w:rFonts w:ascii="Times New Roman" w:hAnsi="Times New Roman" w:cs="Times New Roman" w:eastAsia="Times New Roman"/>
          <w:b w:val="0"/>
          <w:i w:val="0"/>
          <w:sz w:val="24"/>
        </w:rPr>
        <w:t>“Patients were randomized to oral NAC 1 g twice daily or placebo as an add-on to maintenance therapy. After 24 weeks, there were significantly greater improvements in the NAC group in PANSS total, negative, and general qualitative measures (p = 0.009, 0.018, and 0.035, respectively) and CGI- Severity (CGI-S) and CGI-Improvement (CGI-I) scores (p = 0.004, and 0.025, respectively) [ 146 ]. No significant change in the PANSS positive subscale was seen. A qualitative analysis follow-up to this study showed improved mental state for patients receiving NAC [ 147 ]. A benefit in terms of negative symptoms of schizophrenia was also shown in another, shorter-term study [ 148 ], and NAC has been shown to have beneficial effects in experimental models of schizophrenia through the regulation of glutamate homeostasis [ 107 ]. While there are negative studies, a recent 1-year study showed benefits for NAC over placebo at months 9 and 12 in negative but not positive symptoms, replicating the findings of previous studies [ 149 , 150 ].”  [PMC8719286 ¶45]</w:t>
      </w:r>
    </w:p>
    <w:p>
      <w:pPr>
        <w:spacing w:after="120"/>
        <w:jc w:val="both"/>
      </w:pPr>
      <w:r>
        <w:rPr>
          <w:rFonts w:ascii="Times New Roman" w:hAnsi="Times New Roman" w:cs="Times New Roman" w:eastAsia="Times New Roman"/>
          <w:b w:val="0"/>
          <w:i w:val="0"/>
          <w:sz w:val="24"/>
        </w:rPr>
        <w:t>“This finding was upheld by subsequent meta-analysis [ 151 ]. However, further adequately-powered real-world studies with appropriate follow-up periods are needed to confirm the role of adjunctive antioxidants in schizophrenia; in this respect, NAC is considered to be a promising intervention that should have priority in the design of such trials [ 145 ]. Data from several controlled and uncontrolled studies of adjunctive oral NAC 1 g twice daily have shown beneficial effects on the depressive component of bipolar disorder during maintenance phase treatment [ 142 , 152 - 157 ]. In one randomized controlled trial, significant improvements compared with placebo were observed on the MADRS and Bipolar Depression Rating Scale (BDRS) and on secondary outcome measures of clinical status, quality of life, and functioning [ 142 ]. Effect sizes at study endpoint were medium- to-high for improvements in MADRS and for 9 of 12 secondary measures.”  [PMC8719286 ¶46]</w:t>
      </w:r>
    </w:p>
    <w:p>
      <w:pPr>
        <w:spacing w:after="120"/>
        <w:jc w:val="both"/>
      </w:pPr>
      <w:r>
        <w:rPr>
          <w:rFonts w:ascii="Times New Roman" w:hAnsi="Times New Roman" w:cs="Times New Roman" w:eastAsia="Times New Roman"/>
          <w:b w:val="0"/>
          <w:i w:val="0"/>
          <w:sz w:val="24"/>
        </w:rPr>
        <w:t>“There was no significant difference between NAC and placebo in the other primary outcome measure, time to a new mood episode [ 142 ]. Data from various subgroup analyses further support the benefits of NAC in terms of symptom severity, functioning, response rate, symptom remission, and quality of life [ 155 - 158 ]. A subsequent 2-month open-label phase of a randomized placebo-controlled trial of adjunctive oral NAC 1 g twice daily in 149 patients with moderate bipolar depression showed robust improvement in BDRS, quality of life, and functioning [ 152 ]. Latency to a new mood episode was not improved in the controlled phase of the study [ 153 ], in which very few participants in either arm relapsed, suggesting that NAC may not affect cycling between mood states. However, more recent, but shorter, studies have not confirmed this result [ 151 ]. Whether this reflects a true null effect, or whether NAC takes longer to work, as suggested by the two initial studies (6 months) and the Brieier study in schizophrenia (9 months), remains to be determined. 6.4 NAC in Obsessive-compulsive Disorder and Autism The antioxidant properties of NAC and its ability to modulate neurotransmitters such as glutamate and dopamine have also led to adjunctive NAC being investigated in obsessive-compulsive disorder (OCD), where excessive glutamatergic activity and altered dopamine signaling are thought to play a role [ 9 ].”  [PMC8719286 ¶47]</w:t>
      </w:r>
    </w:p>
    <w:p>
      <w:pPr>
        <w:spacing w:after="120"/>
        <w:jc w:val="both"/>
      </w:pPr>
      <w:r>
        <w:rPr>
          <w:rFonts w:ascii="Times New Roman" w:hAnsi="Times New Roman" w:cs="Times New Roman" w:eastAsia="Times New Roman"/>
          <w:b w:val="0"/>
          <w:i w:val="0"/>
          <w:sz w:val="24"/>
        </w:rPr>
        <w:t>“There were benefits (improvements in the Yale-Brown Obsessive Compulsive Scale and CGI-S after 12 weeks), compared with placebo, although not in CGI-I [ 159 ]. However, systematic reviews of trials in OCD have found limited robust data for the treatment effects of NAC in OCD, and further studies are needed [ 5 , 98 , 160 - 162 ]. Although parameters of oxidative stress may be elevated in children with an autism spectrum disorder, suggesting a role for NAC in the domain of irritability, the evidence is inconsistent and limited by studies with small sample size or small effect size [ 163 ]. Decreased levels of GSH, GPx, cysteine, and methionine, and increases in GSSG concentrations, compared with controls, have been shown in a number of studies, whereas levels of homocysteine, SOD, and cystathionine have not been shown to be consistently different between children with autism and controls [ 163 ].”  [PMC8719286 ¶48]</w:t>
      </w:r>
    </w:p>
    <w:p>
      <w:pPr>
        <w:spacing w:after="120"/>
        <w:jc w:val="both"/>
      </w:pPr>
      <w:r>
        <w:rPr>
          <w:rFonts w:ascii="Times New Roman" w:hAnsi="Times New Roman" w:cs="Times New Roman" w:eastAsia="Times New Roman"/>
          <w:b w:val="0"/>
          <w:i w:val="0"/>
          <w:sz w:val="24"/>
        </w:rPr>
        <w:t>“A role for NAC in supporting mitochondrial metabolism has been shown in preclinical models of autism spectrum disorder, reviewed in Frye and Berk, 2019 [ 9 ], and promising, if mixed, results have been seen in some aspects of autism spectrum disorder in the limited number of studies conducted to date [ 5 , 9 ]. Larger clinical trials are needed to determine whether core autism symptoms may respond to treatment with NAC. 6.5 NAC for the Treatment of Chronic Pain All types of chronic pain, such as nociceptive, inflammatory, neuropathic, and neurovascular pain, are characterized by the development of nociceptive sensitization. This is the amplification of pain transmission along the entire pain neuraxis, from peripheral nociceptors to the upper CNS regions that form the \u201cpain matrix\u201d and encode the perceptive, cognitive, and emotional aspects of pain [ 164 ]. mGlu2 receptors are found in many stations of the pain neuraxis and negatively modulate pain transmission in the first pain synapse between primary afferent fibers and second-order neurons in the dorsal horns of the spinal cord [ 164 ].”  [PMC8719286 ¶49]</w:t>
      </w:r>
    </w:p>
    <w:p>
      <w:pPr>
        <w:keepNext/>
        <w:spacing w:before="280" w:after="80"/>
        <w:outlineLvl w:val="1"/>
      </w:pPr>
      <w:r>
        <w:rPr>
          <w:rFonts w:ascii="Times New Roman" w:hAnsi="Times New Roman" w:cs="Times New Roman" w:eastAsia="Times New Roman"/>
          <w:b/>
          <w:i w:val="0"/>
          <w:color w:val="335588"/>
          <w:sz w:val="28"/>
        </w:rPr>
        <w:t>11.3  [3] The Role of Glutathione and Its Precursors in Type 2 Diabetes</w:t>
      </w:r>
    </w:p>
    <w:p>
      <w:pPr>
        <w:spacing w:after="80"/>
        <w:jc w:val="both"/>
      </w:pPr>
      <w:r>
        <w:rPr>
          <w:rFonts w:ascii="Times New Roman" w:hAnsi="Times New Roman" w:cs="Times New Roman" w:eastAsia="Times New Roman"/>
          <w:b w:val="0"/>
          <w:i/>
          <w:sz w:val="22"/>
        </w:rPr>
        <w:t>Bibliographic identifiers — PMCID: PMC10885928; PMID: 38397782; DOI: 10.3390/antiox13020184; Journal: Antioxidants; Year: 2024.</w:t>
      </w:r>
    </w:p>
    <w:p>
      <w:pPr>
        <w:spacing w:after="80"/>
        <w:jc w:val="both"/>
      </w:pPr>
      <w:r>
        <w:rPr>
          <w:rFonts w:ascii="Times New Roman" w:hAnsi="Times New Roman" w:cs="Times New Roman" w:eastAsia="Times New Roman"/>
          <w:b w:val="0"/>
          <w:i w:val="0"/>
          <w:sz w:val="22"/>
        </w:rPr>
        <w:t>Retrieval — full JATS XML via NCBI efetch db=pmc rettype=xml. Body text length: 33,003 characters; structured tables: 0; figures: 3; references: 127. Supplementary body text also harvested via MCP fetch_pmc_article: 0 characters, 0 verbatim paragraphs reproduced below.</w:t>
      </w:r>
    </w:p>
    <w:p>
      <w:pPr>
        <w:spacing w:after="80"/>
        <w:jc w:val="both"/>
      </w:pPr>
      <w:r>
        <w:rPr>
          <w:rFonts w:ascii="Times New Roman" w:hAnsi="Times New Roman" w:cs="Times New Roman" w:eastAsia="Times New Roman"/>
          <w:b/>
          <w:i w:val="0"/>
          <w:sz w:val="22"/>
        </w:rPr>
        <w:t>Verbatim abstract (from JATS XML):</w:t>
      </w:r>
    </w:p>
    <w:p>
      <w:pPr>
        <w:spacing w:after="80"/>
        <w:jc w:val="both"/>
      </w:pPr>
      <w:r>
        <w:rPr>
          <w:rFonts w:ascii="Times New Roman" w:hAnsi="Times New Roman" w:cs="Times New Roman" w:eastAsia="Times New Roman"/>
          <w:b w:val="0"/>
          <w:i/>
          <w:sz w:val="24"/>
        </w:rPr>
        <w:t>“Type 2 diabetes (T2D) is a major worldwide health crisis affecting about 6.2% of the world’s population. Alarmingly, about one in five children in the USA have prediabetes. Glutathione (GSH) and its precursors play a promising role in the prevention and management of type T2D. Oxidative stress (OxS) is a probable factor in both T2D initiation and progression. GSH is the major cytosolic water-soluble chemical antioxidant and emerging evidence supports its role in improving T2D outcomes. Dietary supplementation with N-acetyl-cysteine (NAC) and/or glycine (GLY), which are GSH precursors, has also been studied for possible beneficial effects on T2D. This review will focus on the underlying pathophysiological and molecular mechanisms linking GSH and its precursors with T2D and OxS. In addition to their traditional antioxidant roles, the in vivo effects of GSH/NAC/GLY supplements will be evaluated for their potential abilities to modulate the complex pro-oxidant pathophysiological factors (e.g., hyperglycemia) driving T2D progression. Positive feedback loops that amplify OxS over long time intervals are likely to result in irreversible T2D micro- and macro-vascular damage. Most clinical studies with GSH/NAC/GLY have focused on adults or the elderly. Future research with pediatric populations should be a high priority since early intervention is critical.”</w:t>
      </w:r>
    </w:p>
    <w:p>
      <w:pPr>
        <w:spacing w:after="80"/>
        <w:jc w:val="both"/>
      </w:pPr>
      <w:r>
        <w:rPr>
          <w:rFonts w:ascii="Times New Roman" w:hAnsi="Times New Roman" w:cs="Times New Roman" w:eastAsia="Times New Roman"/>
          <w:b w:val="0"/>
          <w:i/>
          <w:sz w:val="24"/>
        </w:rPr>
        <w:t>Figure 1 (verbatim caption): “Glutathione biosynthetic scheme. N-acetyl-L-cysteine (NAC) can supply cysteine (CYS) for the biosynthesis of reduced glutathione (GSH). NAC must first be hydrolyzed by aminoacylase 1 (ACY1) to release CYS. In the first step of GSH synthesis, L-glutamate-L-cysteine ligase (GCL) catalyzes the formation of gamma-L-glutamyl-L-cysteine (GGC) by linking CYS and L-glutamate (GLU). In the second step, glu</w:t>
        <w:br/>
        <w:t xml:space="preserve">   graphic: `antioxidants-13-00184-g001.jpg`”</w:t>
      </w:r>
    </w:p>
    <w:p>
      <w:pPr>
        <w:spacing w:after="80"/>
        <w:jc w:val="both"/>
      </w:pPr>
      <w:r>
        <w:rPr>
          <w:rFonts w:ascii="Times New Roman" w:hAnsi="Times New Roman" w:cs="Times New Roman" w:eastAsia="Times New Roman"/>
          <w:b w:val="0"/>
          <w:i/>
          <w:sz w:val="24"/>
        </w:rPr>
        <w:t>Figure 2 (verbatim caption): “The glutathione peroxidase (GPX) system and lipid peroxidation. GPX catalyzes the conversion of lipid hydroperoxides (LOOH), formed from lipid peroxidation to a lipid alcohol (LOH) utilizing GSH as a reducing agent. The oxidized GSH (GSSG) formed by this reaction is reduced back to GSH by glutathione reductase (GR) with the consumption of NADPH. The lipid peroxyl radical (LOO*) formed from lipid p</w:t>
        <w:br/>
        <w:t xml:space="preserve">   graphic: `antioxidants-13-00184-g002.jpg`”</w:t>
      </w:r>
    </w:p>
    <w:p>
      <w:pPr>
        <w:spacing w:after="80"/>
        <w:jc w:val="both"/>
      </w:pPr>
      <w:r>
        <w:rPr>
          <w:rFonts w:ascii="Times New Roman" w:hAnsi="Times New Roman" w:cs="Times New Roman" w:eastAsia="Times New Roman"/>
          <w:b w:val="0"/>
          <w:i/>
          <w:sz w:val="24"/>
        </w:rPr>
        <w:t>Figure 3 (verbatim caption): “Simplified scheme connecting oxidative stress (OxS) and T2D risk factors. Two sets of potential positive feedback loops (circles with +) are indicated (blue and red arrows). The text describes these positive feedback loops in more detail. Over prolonged time intervals, systemic OxS can cause beta-cell dysfunction as well as irreversible micro- and macro-vascular damage.</w:t>
        <w:br/>
        <w:t xml:space="preserve">   graphic: `antioxidants-13-00184-g003.jpg`”</w:t>
      </w:r>
    </w:p>
    <w:p>
      <w:pPr>
        <w:keepNext/>
        <w:spacing w:before="160" w:after="40"/>
        <w:outlineLvl w:val="2"/>
      </w:pPr>
      <w:r>
        <w:rPr>
          <w:rFonts w:ascii="Times New Roman" w:hAnsi="Times New Roman" w:cs="Times New Roman" w:eastAsia="Times New Roman"/>
          <w:b/>
          <w:i w:val="0"/>
          <w:color w:val="404040"/>
          <w:sz w:val="24"/>
        </w:rPr>
        <w:t>Verbatim body-text paragraphs from PMC10885928</w:t>
      </w:r>
    </w:p>
    <w:p>
      <w:pPr>
        <w:spacing w:after="120"/>
        <w:jc w:val="both"/>
      </w:pPr>
      <w:r>
        <w:rPr>
          <w:rFonts w:ascii="Times New Roman" w:hAnsi="Times New Roman" w:cs="Times New Roman" w:eastAsia="Times New Roman"/>
          <w:b w:val="0"/>
          <w:i w:val="0"/>
          <w:sz w:val="24"/>
        </w:rPr>
        <w:t>“## Figure captions (3) 1. **Figure 1** — Glutathione biosynthetic scheme. N-acetyl-L-cysteine (NAC) can supply cysteine (CYS) for the biosynthesis of reduced glutathione (GSH). NAC must first be hydrolyzed by aminoacylase 1 (ACY1) to release CYS. In the first step of GSH synthesis, L-glutamate-L-cysteine ligase (GCL) catalyzes the formation of gamma-L-glutamyl-L-cysteine (GGC) by linking CYS and L-glutamate (GLU). In the second step, glu graphic: `antioxidants-13-00184-g001.jpg` 2. **Figure 2** — The glutathione peroxidase (GPX) system and lipid peroxidation. GPX catalyzes the conversion of lipid hydroperoxides (LOOH), formed from lipid peroxidation to a lipid alcohol (LOH) utilizing GSH as a reducing agent. The oxidized GSH (GSSG) formed by this reaction is reduced back to GSH by glutathione reductase (GR) with the consumption of NADPH. The lipid peroxyl radical (LOO*) formed from lipid p graphic: `antioxidants-13-00184-g002.jpg` 3. **Figure 3** — Simplified scheme connecting oxidative stress (OxS) and T2D risk factors.”  [PMC10885928 ¶1]</w:t>
      </w:r>
    </w:p>
    <w:p>
      <w:pPr>
        <w:spacing w:after="120"/>
        <w:jc w:val="both"/>
      </w:pPr>
      <w:r>
        <w:rPr>
          <w:rFonts w:ascii="Times New Roman" w:hAnsi="Times New Roman" w:cs="Times New Roman" w:eastAsia="Times New Roman"/>
          <w:b w:val="0"/>
          <w:i w:val="0"/>
          <w:sz w:val="24"/>
        </w:rPr>
        <w:t>“Two sets of potential positive feedback loops (circles with +) are indicated (blue and red arrows). The text describes these positive feedback loops in more detail. Over prolonged time intervals, systemic OxS can cause beta-cell dysfunction as well as irreversible micro- and macro-vascular damage. graphic: `antioxidants-13-00184-g003.jpg` ```json { "pmcid": "PMC10885928", "pmid": "38397782", "doi": "10.3390/antiox13020184", "title": "The Role of Glutathione and Its Precursors in Type 2 Diabetes", "journal": "Antioxidants", "year": "2024", "abstract": "Type 2 diabetes (T2D) is a major worldwide health crisis affecting about 6.2% of the world\u2019s population. Alarmingly, about one in five children in the USA have prediabetes. Glutathione (GSH) and its precursors play a promising role in the prevention and management of type T2D. Oxidative stress (OxS) is a probable factor in both T2D initiation and progression.”  [PMC10885928 ¶2]</w:t>
      </w:r>
    </w:p>
    <w:p>
      <w:pPr>
        <w:spacing w:after="120"/>
        <w:jc w:val="both"/>
      </w:pPr>
      <w:r>
        <w:rPr>
          <w:rFonts w:ascii="Times New Roman" w:hAnsi="Times New Roman" w:cs="Times New Roman" w:eastAsia="Times New Roman"/>
          <w:b w:val="0"/>
          <w:i w:val="0"/>
          <w:sz w:val="24"/>
        </w:rPr>
        <w:t>“GSH is the major cytosolic water-soluble chemical antioxidant and emerging evidence supports its role in improving T2D outcomes. Dietary supplementation with N-acetyl-cysteine (NAC) and/or glycine (GLY), which are GSH precursors, has also been studied for possible beneficial effects on T2D. This review will focus on the underlying pathophysiological and molecular mechanisms linking GSH and its precursors with T2D and OxS. In addition to their traditional antioxidant roles, the in vivo effects of GSH/NAC/GLY supplements will be evaluated for their potential abilities to modulate the complex pro-oxidant pathophysiological factors (e.g., hyperglycemia) driving T2D progression. Positive feedback loops that amplify OxS over long time intervals are likely to result in irreversible T2D micro- and macro-vascular damage. Most clinical studies with GSH/NAC/GLY have focused on adults or the elderly.”  [PMC10885928 ¶3]</w:t>
      </w:r>
    </w:p>
    <w:p>
      <w:pPr>
        <w:spacing w:after="120"/>
        <w:jc w:val="both"/>
      </w:pPr>
      <w:r>
        <w:rPr>
          <w:rFonts w:ascii="Times New Roman" w:hAnsi="Times New Roman" w:cs="Times New Roman" w:eastAsia="Times New Roman"/>
          <w:b w:val="0"/>
          <w:i w:val="0"/>
          <w:sz w:val="24"/>
        </w:rPr>
        <w:t>“Future research with pediatric populations should be a high priority since early intervention is critical.", "body_text": "1. Introduction The objective of this review is to critically evaluate the role of glutathione (GSH) and its chemical precursors (N-acetyl-cysteine (NAC) and glycine (GLY)) in the prevention and management of T2D and prediabetes. Oxidative stress (OxS) is a probable factor in both T2D initiation and progression [ 1 ]. Antioxidant-based therapy may, therefore, have potential benefits [ 2 ]. An ever-increasing body of evidence supports the role of OxS in T2D pathogenesis [ 3 , 4 , 5 ]. OxS is usually defined as Sa physiologically significant alteration in redox status resulting from an overproduction of reactive oxygen species (ROS) and/or a deficiency in antioxidant protective mechanisms [ 6 ]. It is important, however, to also consider how antioxidants, such as GSH, interconnect with the complex pathophysiological risk factors that modulate T2D redox status [ 7 ].”  [PMC10885928 ¶4]</w:t>
      </w:r>
    </w:p>
    <w:p>
      <w:pPr>
        <w:spacing w:after="120"/>
        <w:jc w:val="both"/>
      </w:pPr>
      <w:r>
        <w:rPr>
          <w:rFonts w:ascii="Times New Roman" w:hAnsi="Times New Roman" w:cs="Times New Roman" w:eastAsia="Times New Roman"/>
          <w:b w:val="0"/>
          <w:i w:val="0"/>
          <w:sz w:val="24"/>
        </w:rPr>
        <w:t>“GSH is the major cytosolic water-soluble chemical antioxidant and clinical evidence suggests that patients with T2D have a GSH deficiency [ 8 ]. As detailed below, GSH is important in the glutathione peroxidase (GPX) system where it reduces hydroperoxides, which are prooxidants very relevant to T2D initiation and progression [ 9 ]. 1.1. The Epidemiology of T2D The alarming present and forecasted global prevalence of T2D has stressed the need to evaluate novel treatment strategies that could complement lifestyle modifications and conventional pharmacological treatments [ 10 , 11 , 12 ]. It has been projected that by 2050, some 1.3 billion people worldwide will have diabetes with about 96% having T2D [ 13 ]. Both T2D and prediabetes are rapidly increasing in pediatric populations [ 14 , 15 ]. This trend is particularly worrisome since neither the natural history of T2D progression nor the efficacy of pharmacological treatments are as well characterized in pediatric populations compared to adults [ 16 ].”  [PMC10885928 ¶5]</w:t>
      </w:r>
    </w:p>
    <w:p>
      <w:pPr>
        <w:spacing w:after="120"/>
        <w:jc w:val="both"/>
      </w:pPr>
      <w:r>
        <w:rPr>
          <w:rFonts w:ascii="Times New Roman" w:hAnsi="Times New Roman" w:cs="Times New Roman" w:eastAsia="Times New Roman"/>
          <w:b w:val="0"/>
          <w:i w:val="0"/>
          <w:sz w:val="24"/>
        </w:rPr>
        <w:t>“In prediabetes, blood glucose levels have not yet reached the T2D threshold [ 17 ]. In the United States (US), it has been estimated that more than one in three adults and more than one in five children have prediabetes [ 15 , 17 ]. The US Preventive Services Task Force (USPSTF) recently affirmed screening for prediabetes or T2D in adults with overweight or obesity but did not extend this recommendation to children and adolescents [ 18 ]. The USPSTF concluded that \u201cthe evidence is insufficient to assess the balance of benefits and harms of screening for T2D in children and adolescent\u201d [ 19 ]. In contrast, a recent volunteer Task Force of medical experts has suggested screening for prediabetes and diabetes in children, adolescents, and adults who have obesity [ 20 ]. The American Academy of Pediatrics and the American Diabetes Association have both recently recommended screening for abnormalities in glucose metabolism in children with a body mass index (BMI) at or above the 95th percentile [ 21 , 22 ].”  [PMC10885928 ¶6]</w:t>
      </w:r>
    </w:p>
    <w:p>
      <w:pPr>
        <w:spacing w:after="120"/>
        <w:jc w:val="both"/>
      </w:pPr>
      <w:r>
        <w:rPr>
          <w:rFonts w:ascii="Times New Roman" w:hAnsi="Times New Roman" w:cs="Times New Roman" w:eastAsia="Times New Roman"/>
          <w:b w:val="0"/>
          <w:i w:val="0"/>
          <w:sz w:val="24"/>
        </w:rPr>
        <w:t>“A key rationale for screening children and young adults is that early and intensive intervention will reduce future morbidity and mortality [ 20 ]. Obesity has long been recognized as a major risk factor for cardiovascular disease, prediabetes, and T2D, as well as promoting OxS and markers of inflammation [ 23 , 24 , 25 ]. 1.2. The Etiology of T2D T2D is a chronic disease in which blood glucose levels are high enough and of sufficient duration to cause damage to susceptible organs/tissues. Insulin resistance, pancreatic beta-cell dysfunction, and abnormally high glucagon levels are the major etiological factors that cause high blood glucose levels [ 26 , 27 ]. The progression of T2D starts with insulin resistance followed by prediabetes, overt T2D with fasting blood glucose level above 126 mg/dL, and finally vascular damage [ 7 , 27 ]. T2D is, however, a multifactorial disease with alterations in lipid and protein metabolism as well as complex interactions between organs, tissues, cell types, and subcellular compartments/organelles.”  [PMC10885928 ¶7]</w:t>
      </w:r>
    </w:p>
    <w:p>
      <w:pPr>
        <w:spacing w:after="120"/>
        <w:jc w:val="both"/>
      </w:pPr>
      <w:r>
        <w:rPr>
          <w:rFonts w:ascii="Times New Roman" w:hAnsi="Times New Roman" w:cs="Times New Roman" w:eastAsia="Times New Roman"/>
          <w:b w:val="0"/>
          <w:i w:val="0"/>
          <w:sz w:val="24"/>
        </w:rPr>
        <w:t>“In this regard, it is significant that alterations in lipid metabolism (e.g., high triglyceride levels) have been found to occur years before overt T2D diagnosis in adults and can improve the prediction of T2D progression [ 28 ]. Gummesson et al. [ 29 ] have observed distinct alterations in plasma protein profiles in newly diagnosed adult T2D patients in comparison to healthy adult controls. These data suggest that early-stage T2D is accompanied by plasma protein alterations that may also prove useful in helping to predict T2D progression. The complexity of T2D is reflected by the fact that it is a polygenic disorder with an association with over 120 genetic loci [ 30 ]. In addition to insulin resistance, obesity (and intraorgan adipose tissue), poor-quality high-calorie diets, and lack of physical exercise are major risk factors for T2D [ 26 ]. The consumption of high-calorie/high-fat ultra-processed foods by children and adolescents is strongly associated with obesity [ 31 , 32 ] and obesity, in turn, is associated with chronic OxS [ 25 ].”  [PMC10885928 ¶8]</w:t>
      </w:r>
    </w:p>
    <w:p>
      <w:pPr>
        <w:spacing w:after="120"/>
        <w:jc w:val="both"/>
      </w:pPr>
      <w:r>
        <w:rPr>
          <w:rFonts w:ascii="Times New Roman" w:hAnsi="Times New Roman" w:cs="Times New Roman" w:eastAsia="Times New Roman"/>
          <w:b w:val="0"/>
          <w:i w:val="0"/>
          <w:sz w:val="24"/>
        </w:rPr>
        <w:t>“OxS has emerged as an important mechanism for the initiation of prediabetes and for promoting T2D progression [ 3 , 4 , 7 ]. In Section 2 of this review, we outline the biochemistry of GSH and its central role as an antioxidant important in modulating OxS and T2D. With this background in place, we mechanistically link (in Section 3 ) T2D risk factors to OxS and T2D initiation/progression. 2. The Biochemistry and Roles of GSH (and Its Precursors) in OxS and T2D GSH is a key water-soluble thiol (R-SH) antioxidant that may play an important role in preventing, slowing, and perhaps reversing T2D progression [ 33 ]. In 1969, Kosower and Kosower wrote a review of GSH with the title \u201cLeast I Forget Thee, Glutathione\u201d [ 34 ]. This admonition has been well heeded as evidenced by an eight-fold increase in the number of GSH publications in 2022 compared to 1969 [ 35 ]. GSH (gamma-glutamylcysteinylglycine) is most often described as a \u201ctripeptide\u201d composed of CYS, GLY, and glutamic acid (GLU) as shown in Figure 1 .”  [PMC10885928 ¶9]</w:t>
      </w:r>
    </w:p>
    <w:p>
      <w:pPr>
        <w:spacing w:after="120"/>
        <w:jc w:val="both"/>
      </w:pPr>
      <w:r>
        <w:rPr>
          <w:rFonts w:ascii="Times New Roman" w:hAnsi="Times New Roman" w:cs="Times New Roman" w:eastAsia="Times New Roman"/>
          <w:b w:val="0"/>
          <w:i w:val="0"/>
          <w:sz w:val="24"/>
        </w:rPr>
        <w:t>“Both GLY and CYS are considered conditionally essential amino acids in the context of T2D [ 36 , 37 ]. While it is true that GSH is a tripeptide, it is not a \u201ceu-tripeptide\u201d. Eupeptides have amide bonds that are formed between the C-l of one amino acid and the N-2 of another amino acid as occurs in typical proteins. In GSH, there is an iso-peptide bond between the gamma-carboxyl group of the GLU side chain and CYS (see Figure 1 ). This iso-peptide bond is important because it renders GSH relatively resistant to intracellular proteases that cleave eu-peptide bonds [ 38 ]. This intracellular protease resistance enables GSH to reach unusually high intracellular concentrations (5 mM) for an organic compound and thereby contributes to its effectiveness as an intracellular antioxidant [ 39 ]. In contrast, the plasma level of GSH in healthy individuals is about 0.0034 mM [ 40 ]. 2.1.”  [PMC10885928 ¶10]</w:t>
      </w:r>
    </w:p>
    <w:p>
      <w:pPr>
        <w:spacing w:after="120"/>
        <w:jc w:val="both"/>
      </w:pPr>
      <w:r>
        <w:rPr>
          <w:rFonts w:ascii="Times New Roman" w:hAnsi="Times New Roman" w:cs="Times New Roman" w:eastAsia="Times New Roman"/>
          <w:b w:val="0"/>
          <w:i w:val="0"/>
          <w:sz w:val="24"/>
        </w:rPr>
        <w:t>“Diminished GSH Synthesis in T2D Results in OxS Patients with uncontrolled T2D (i.e., persistent hyperglycemia) have been found by Sekhar et al. to have severely diminished in vivo GSH synthesis, which can be restored by dietary supplementation with \u201cGSH plus GLY\u201d [ 41 ]. It should be noted that the dietary \u201cGSH\u201d used in this research was provided as NAC, which is a xenobiotic precursor to GSH; it would be more accurate, therefore, to state that \u201cNAC plus GLY\u201d was used as the dietary supplement. Surprisingly, the mechanism by which NAC enters cells is not completely understood but NAC cannot simply be considered the equivalent of GSH [ 35 ]. Significantly, Sekhar et al. found that supplementation with \u201cNAC plus GLY\u201d reduced measures of systemic OxS, e.g., serum lipid peroxides (see Section 2.2.1 below) [ 41 ]. GSH is present and synthesized in the cytosol of all mammalian cells by a two-step regulated process (see Figure 1 ) [ 42 ].”  [PMC10885928 ¶11]</w:t>
      </w:r>
    </w:p>
    <w:p>
      <w:pPr>
        <w:spacing w:after="120"/>
        <w:jc w:val="both"/>
      </w:pPr>
      <w:r>
        <w:rPr>
          <w:rFonts w:ascii="Times New Roman" w:hAnsi="Times New Roman" w:cs="Times New Roman" w:eastAsia="Times New Roman"/>
          <w:b w:val="0"/>
          <w:i w:val="0"/>
          <w:sz w:val="24"/>
        </w:rPr>
        <w:t>“In the first step, L-glutamate-L-cysteine ligase (GCL) catalyzes the formation of gamma-L-glutamyl-L-cysteine (GGC) by linking CYS (a thiol-containing amino acid) and GLU. In the second step, glutathione synthetase (GS) catalyzes the formation of GSH by linking GGC to GLY [ 38 , 43 ]. The first step is rate-limiting for GSH synthesis, and the availability of CYS and the activity of GCL are key determinants of GSH synthesis [ 42 ]. CYS, and its thiol group, are essential for the antioxidant properties of GSH [ 44 ]. Moreover, since the Km of CYS for the catalytic subunit of GCL is close to its cytosolic concentration, a drop in CYS levels would result in decreased GSH synthesis [ 44 ]. Intracellular levels of CYS are typically low and, if the demand for GSH is high (e.g., OxS), CYS will be transported into the cell from the extracellular space [ 45 ]. There are sound reasons for utilizing NAC rather than CYS as a dietary supplement since NAC is chemically more stable than CYS and has an excellent safety record [ 35 ].”  [PMC10885928 ¶12]</w:t>
      </w:r>
    </w:p>
    <w:p>
      <w:pPr>
        <w:spacing w:after="120"/>
        <w:jc w:val="both"/>
      </w:pPr>
      <w:r>
        <w:rPr>
          <w:rFonts w:ascii="Times New Roman" w:hAnsi="Times New Roman" w:cs="Times New Roman" w:eastAsia="Times New Roman"/>
          <w:b w:val="0"/>
          <w:i w:val="0"/>
          <w:sz w:val="24"/>
        </w:rPr>
        <w:t>“The enzymes for GSH synthesis are not present in mitochondria but two transport systems pump GSH from the cytosol into these organelles [ 46 ]. GSH is thought to act both as a direct antioxidant by quenching reactive oxygen species (ROS) and as a cofactor for GPX [ 47 ]. 2.2. GSH and the Glutathione Peroxidase (GPX) System As outlined in Figure 2 , GPX enzymes reduce hydroperoxides utilizing hydrogen ions donated by the thiol group of GSH with the formation of oxidized GSH (GSSG). There are eight known GPXs (GPX1-GPX8) with GPX1 being the most abundant and this isoform is expressed in the cytoplasm and mitochondria of most cells [ 48 , 49 ]. GPX1-4 and GPX6 are selenoenzymes with selenocysteine (selenium replacing sulfur in CYS) at the active site. Selenium (Se) is an essential trace element and in the absence of dietary Se, total GPX activity in most mammalian tissues is markedly decreased [ 50 ].”  [PMC10885928 ¶13]</w:t>
      </w:r>
    </w:p>
    <w:p>
      <w:pPr>
        <w:spacing w:after="120"/>
        <w:jc w:val="both"/>
      </w:pPr>
      <w:r>
        <w:rPr>
          <w:rFonts w:ascii="Times New Roman" w:hAnsi="Times New Roman" w:cs="Times New Roman" w:eastAsia="Times New Roman"/>
          <w:b w:val="0"/>
          <w:i w:val="0"/>
          <w:sz w:val="24"/>
        </w:rPr>
        <w:t>“GPX1-4 and GPX6 can reduce either organic hydroperoxides (ROOH) or hydrogen peroxide (H 2 O 2 ) to the corresponding organic alcohol or H 2 O in the case of H 2 O 2 . GPX1, due to its affinity for H 2 O 2 and its abundance in most cells, is the key enzyme responsible for minimizing cytosolic H 2 O 2 levels as well as mitochondrial H 2 O 2 levels where no catalase is present in most mammalian cells [ 49 , 51 , 52 ]. Mitochondria, in addition to GPX1, also contain GPX4, which is unique in its ability to reduce phospholipid hydroperoxides (PLOOH), which are not water-soluble [ 49 ]. As indicated in Figure 2 , oxidized GSH is recycled back to GSH by glutathione reductase (GR) with the consumption of nicotinamide adenine dinucleotide phosphate (NADPH). An overproduction of H 2 O 2 or lipid hydroperoxides can result in a reduced GSH/GSSG, ratio which is often used as a biomarker for OxS [ 53 ].”  [PMC10885928 ¶14]</w:t>
      </w:r>
    </w:p>
    <w:p>
      <w:pPr>
        <w:spacing w:after="120"/>
        <w:jc w:val="both"/>
      </w:pPr>
      <w:r>
        <w:rPr>
          <w:rFonts w:ascii="Times New Roman" w:hAnsi="Times New Roman" w:cs="Times New Roman" w:eastAsia="Times New Roman"/>
          <w:b w:val="0"/>
          <w:i w:val="0"/>
          <w:sz w:val="24"/>
        </w:rPr>
        <w:t>“Under normal physiological conditions, about 98% of the total cellular GSH (GSH+GSSG) content is GSH. While Se is required for most forms of GSPX, this trace element is present in some 25 other selenoproteins [ 54 ]. The role of Se in T2D has been studied for many decades yet remains controversial [ 55 ]. A study by Laralis using a small population of patients (N = 94) with T2D (no diabetic complications and consuming a Mediterranean diet) suggests that 200 micrograms/day (chemical form not specified) can improve glycemic control (after three or six months) [ 56 ]. Nevertheless, there is now a consensus suggesting that the effect of Se intake on hyperglycemia has a U-shaped dose\u2013response curve, i.e., a dose above the recommended level (55 micrograms/day) causes hyperglycemia (and hyperinsulinemia) [ 55 , 57 ]. Although beyond the scope of this review, Se has been found to modulate the insulin signaling pathway (see below) [ 55 ].”  [PMC10885928 ¶15]</w:t>
      </w:r>
    </w:p>
    <w:p>
      <w:pPr>
        <w:spacing w:after="120"/>
        <w:jc w:val="both"/>
      </w:pPr>
      <w:r>
        <w:rPr>
          <w:rFonts w:ascii="Times New Roman" w:hAnsi="Times New Roman" w:cs="Times New Roman" w:eastAsia="Times New Roman"/>
          <w:b w:val="0"/>
          <w:i w:val="0"/>
          <w:sz w:val="24"/>
        </w:rPr>
        <w:t>“Blood levels of GPX are lower in patients with T2D compared to healthy controls and the decrement in GPX activity was more severe in T2D patients with obesity compared to T2D patients without obesity [ 58 ]. Compared to healthy controls, patients with T2D have lower levels of red blood cell GSH levels as well as lower GSH synthesis rates, particularly in T2D patients with microvascular complications [ 8 ]. 2.2.1. Lipid Peroxidation, Protein Carbonylation, and T2D Lipid hydroperoxides (LOOH) formed by the process of lipid peroxidation are also a biomarker of OxS. If not reduced by the GPX system, lipid hydroperoxides can accumulate and decompose, yielding lipid peroxyl radicals (LOO*) and/or lipid alkoxyl radicals (LO*), which can amplify lipid peroxidation with the formation of additional lipid hydroperoxides [ 59 ]. The positive associations between lipid peroxidation and T2D progression have been comprehensively reviewed by Shabalala et al.”  [PMC10885928 ¶16]</w:t>
      </w:r>
    </w:p>
    <w:p>
      <w:pPr>
        <w:spacing w:after="120"/>
        <w:jc w:val="both"/>
      </w:pPr>
      <w:r>
        <w:rPr>
          <w:rFonts w:ascii="Times New Roman" w:hAnsi="Times New Roman" w:cs="Times New Roman" w:eastAsia="Times New Roman"/>
          <w:b w:val="0"/>
          <w:i w:val="0"/>
          <w:sz w:val="24"/>
        </w:rPr>
        <w:t>“[ 9 ]. Both malondialdehyde (MDA) and 4-hydroxy-2-nonenal (4-HNE) are reactive aldehyde\u2013lipid peroxidation by-products (see Figure 2 ) that have been widely used as biomarkers of OxS [ 59 , 60 ]. A meta-analysis by Bank and Ghosh found that serum levels of MDA were higher in subjects with T2D compared to controls [ 61 ]. Similarly, increased serum (as well as other biofluids and tissues) levels of 4-HNE have been documented in T2D patients compared to controls [ 60 ]. Plasma levels of MDA and 4-HNE are associated with T2D progression and poor glycemic control [ 9 ]. As indicated in Figure 2 , MDA and 4-HNE can covalently modify proteins by carbonylation of CYS, histidine (HIS), and lysine (LYS) residues, thereby potentially altering their structure and function(s), e.g., signal transduction pathways [ 62 , 63 ]. CYS, HIS, and LYS are often present at the active sites of many enzymes.”  [PMC10885928 ¶17]</w:t>
      </w:r>
    </w:p>
    <w:p>
      <w:pPr>
        <w:spacing w:after="120"/>
        <w:jc w:val="both"/>
      </w:pPr>
      <w:r>
        <w:rPr>
          <w:rFonts w:ascii="Times New Roman" w:hAnsi="Times New Roman" w:cs="Times New Roman" w:eastAsia="Times New Roman"/>
          <w:b w:val="0"/>
          <w:i w:val="0"/>
          <w:sz w:val="24"/>
        </w:rPr>
        <w:t>“Human ex vivo studies as well as studies in animal models suggest that obesity and insulin resistance are linked to increased levels of adipose protein carbonylation [ 64 , 65 ]. In an animal model of obesity and insulin resistance, it has been estimated that about 6\u20138% of adipose proteins are modified by carbonylation, i.e., a nontrivial level [ 60 , 64 ]. The potential for protein carbonylation to inactivate key antioxidant enzymes has not been well studied despite the potential relevance to T2D etiology. Interestingly, carbonylated GPX1 and peroxiredoxin1 (PRX1) have both been identified in adipose tissue but the functional significance of this modification is not known [ 64 ]. PRXs are a family of peroxidases (like GPXs) that can reduce H 2 O 2 or ROOH and are thought to be important in protecting beta-cells from oxidative damage and diminished insulin secretion [ 66 , 67 ]. Remarkable analytical progress in detecting and characterizing carbonylated proteins, particularly in the area of proteomics, suggests that future studies will be forthcoming [ 4 , 60 ]. 2.3.”  [PMC10885928 ¶18]</w:t>
      </w:r>
    </w:p>
    <w:p>
      <w:pPr>
        <w:spacing w:after="120"/>
        <w:jc w:val="both"/>
      </w:pPr>
      <w:r>
        <w:rPr>
          <w:rFonts w:ascii="Times New Roman" w:hAnsi="Times New Roman" w:cs="Times New Roman" w:eastAsia="Times New Roman"/>
          <w:b w:val="0"/>
          <w:i w:val="0"/>
          <w:sz w:val="24"/>
        </w:rPr>
        <w:t>“NAC Metabolism and Its Role as an \u201cAntioxidant\u201d in T2D Management NAC has been described as the \u201cmost frequently used\u201d antioxidant supplement but recent research suggests that its precise mechanism of action is less certain [ 35 , 68 , 69 ]. NAC supplements are traditionally thought to provide the CYS residues needed to support GSH synthesis [ 35 ]. It is likely that NAC is not an effective direct antioxidant and must be converted into GSH and/or hydrogen sulfide and sulfane sulfur species [ 35 , 70 ]. NAC is hydrolyzed to CYS by aminoacylase1 (ACY1) ( Figure 1 ), which is found in many tissues including the liver and intestines [ 71 ]. CYS, in turn, promotes GSH synthesis primarily under circumstances in which tissue GSH is depleted, e.g., T2D [ 35 ]. The newly synthesized GSH can act as an antioxidant via the GPX system ( Figure 2 ) [ 72 ]. Pedre et al. [ 35 ] have reviewed the evidence suggesting that NAC-derived CYS can also exert antioxidant activity by conversion into hydrogen sulfide (H 2 S) and sulfane sulfur species, which may act as antioxidants.”  [PMC10885928 ¶19]</w:t>
      </w:r>
    </w:p>
    <w:p>
      <w:pPr>
        <w:spacing w:after="120"/>
        <w:jc w:val="both"/>
      </w:pPr>
      <w:r>
        <w:rPr>
          <w:rFonts w:ascii="Times New Roman" w:hAnsi="Times New Roman" w:cs="Times New Roman" w:eastAsia="Times New Roman"/>
          <w:b w:val="0"/>
          <w:i w:val="0"/>
          <w:sz w:val="24"/>
        </w:rPr>
        <w:t>“The conversion of CYS to H 2 S depends on cystathionine-gamma-lyase (CSE), which is normally present only in the cytoplasm but under stress simulation is translocated to the mitochondria and supports H 2 S production in these organelles [ 73 ]. It is significant (see below) that the oxidation of H 2 S into sulfane sulfur species occurs primarily within mitochondria since OxS in these organelles has been linked to transitory insulin resistance [ 74 ]. Szkudlinska et al. [ 75 ] tested the hypothesis that short-term (4 weeks total) NAC supplementation (no GLY) might improve glucose tolerance and/or beta-cell function in T2D. The study population (N = 12) in this report was small and patients with severe hyperglycemia were excluded. Nevertheless, no benefit in glycemic control, glucose tolerance, insulin resistance, or oxidative stress markers was observed [ 75 ]. In contrast, a small pilot study by Sekhar et al. found that an \u201cNAC plus GLY\u201d supplement for two weeks lowered insulin resistance in T2D subjects (N = 10) [ 33 ].”  [PMC10885928 ¶20]</w:t>
      </w:r>
    </w:p>
    <w:p>
      <w:pPr>
        <w:spacing w:after="120"/>
        <w:jc w:val="both"/>
      </w:pPr>
      <w:r>
        <w:rPr>
          <w:rFonts w:ascii="Times New Roman" w:hAnsi="Times New Roman" w:cs="Times New Roman" w:eastAsia="Times New Roman"/>
          <w:b w:val="0"/>
          <w:i w:val="0"/>
          <w:sz w:val="24"/>
        </w:rPr>
        <w:t>“This author has made a compelling argument that \u201cNAC plus GLY\u201d is uniquely different from \u201cNAC alone\u201d or \u201cGSH-alone\u201d in so far as GLY is necessary for GSH synthesis [ 33 , 76 ]. An experiment in which NAC alone, GLY alone, GSH alone, NAC plus GLY, and GSH plus GLY would be needed to affirm this assertion. In older normal adults (N = 24) with no known T2D, Kumar et al. found that NAC plus GLY (for a total of 16 weeks) improved GSH deficiency, reduced markers of OxS, and improved insulin resistance [ 76 ]. 2.4. GLY Alone Has Been Found to Play a Role in Promoting Insulin Resistance It has long been noted that GLY deficiency (hypoglycinemia) is associated with obesity or T2D and that improvement in insulin resistance is associated with increased plasma GLY [ 77 ]. In a comprehensive literature review, McCarty et al. [ 78 ] concluded that dietary GLY is rate-limiting for GSH synthesis and that supplemental GLY might promote GSH synthesis and be clinically effective (and safe) in health disorders in which OxS is relevant, e.g., T2D.”  [PMC10885928 ¶21]</w:t>
      </w:r>
    </w:p>
    <w:p>
      <w:pPr>
        <w:spacing w:after="120"/>
        <w:jc w:val="both"/>
      </w:pPr>
      <w:r>
        <w:rPr>
          <w:rFonts w:ascii="Times New Roman" w:hAnsi="Times New Roman" w:cs="Times New Roman" w:eastAsia="Times New Roman"/>
          <w:b w:val="0"/>
          <w:i w:val="0"/>
          <w:sz w:val="24"/>
        </w:rPr>
        <w:t>“For over a decade, it has been known that dietary collagen supplementation (rich in GLY) strongly potentiates glucose-stimulated insulin secretion in patients with T2D [ 79 ]. In an animal model of sucrose-induced insulin resistance, it has been demonstrated that dietary GLY supplementation decreases liver OxS biomarkers, increases liver GSH, and improves insulin sensitivity [ 80 ]. Since GLY has no intrinsic antioxidant activity, it is likely that that its in vivo beneficial effect on OxS and insulin resistance is indirect and mediated, at least in part, by increased GSH synthesis. A second mechanism by which GLY could affect glucose homeostasis lies in its potential ability to modulate insulin secretion from pancreatic beta-cells by activating ligand-gated chloride channels [ 78 , 81 ]. A progressive decline in insulin secretion from beta-cells is a hallmark of T2D progression [ 27 ].”  [PMC10885928 ¶22]</w:t>
      </w:r>
    </w:p>
    <w:p>
      <w:pPr>
        <w:spacing w:after="120"/>
        <w:jc w:val="both"/>
      </w:pPr>
      <w:r>
        <w:rPr>
          <w:rFonts w:ascii="Times New Roman" w:hAnsi="Times New Roman" w:cs="Times New Roman" w:eastAsia="Times New Roman"/>
          <w:b w:val="0"/>
          <w:i w:val="0"/>
          <w:sz w:val="24"/>
        </w:rPr>
        <w:t>“A small clinical study (N = 9) in 2002 found that GLY supplementation increased plasma insulin levels in healthy subjects but did not establish a mechanism [ 79 ]. In pioneering work, Yan-Do et al. [ 82 ] found that GLY binding to GLY receptors (GLYRs) on beta-cells stimulates insulin secretion by promoting an inward Ca 2+ flux. Moreover, these authors found that GLYR expression and GLY-induced currents are reduced in beta-cells from T2D donors, thereby contributing to impaired insulin secretion [ 82 ]. 3. Interconnections between OxS, T2D Risk Factors, and GSH Metabolism Insulin resistance and impaired beta-cell secretion of insulin both contribute to hyperglycemia-induced OxS and diabetic complications [ 83 ]. A paper by Boyaci et al. [ 84 ] in 2021 raised the question of whether OxS is a consequence of hyperglycemia or if hyperglycemia is a result of OxS. It is likely, however, that multiple \u201cpositive feedback loops\u201d between T2D risk factors and OxS are at play and drive T2D progression in susceptible individuals.”  [PMC10885928 ¶23]</w:t>
      </w:r>
    </w:p>
    <w:p>
      <w:pPr>
        <w:spacing w:after="120"/>
        <w:jc w:val="both"/>
      </w:pPr>
      <w:r>
        <w:rPr>
          <w:rFonts w:ascii="Times New Roman" w:hAnsi="Times New Roman" w:cs="Times New Roman" w:eastAsia="Times New Roman"/>
          <w:b w:val="0"/>
          <w:i w:val="0"/>
          <w:sz w:val="24"/>
        </w:rPr>
        <w:t>“A general review of positive feedback loops in biological systems has been published by Mitrophanov et al. [ 85 ]. Over long time intervals, T2D positive feedback loops can eventually result in irreversible OxS micro- and/or macro-vascular damage such as diabetic retinopathy (a microvascular disease) [ 86 ]. Figure 3 provides a simplified scheme showing the interconnections between OxS and T2D risk factors as well as some likely positive feedback loops. High-calorie meals, overweight/obesity, gastrointestinal postprandial oxidative stress (POS), insulin resistance, hyperglycemia, and pancreatic beta-cell dysfunction are examples of risk factors that can modulate both local and systemic OxS in T2D. Encouragingly, accumulating evidence suggests that T2D progression is not \u201cinevitable\u201d and possibly reversible at an early stage [ 26 ]. As will be detailed below, GSH metabolism plays a central role in modulating T2D OxS and may play a role in reversing/slowing early T2D progression.”  [PMC10885928 ¶24]</w:t>
      </w:r>
    </w:p>
    <w:p>
      <w:pPr>
        <w:spacing w:after="120"/>
        <w:jc w:val="both"/>
      </w:pPr>
      <w:r>
        <w:rPr>
          <w:rFonts w:ascii="Times New Roman" w:hAnsi="Times New Roman" w:cs="Times New Roman" w:eastAsia="Times New Roman"/>
          <w:b w:val="0"/>
          <w:i w:val="0"/>
          <w:sz w:val="24"/>
        </w:rPr>
        <w:t>“In addition to high-calorie meals, it should be mentioned that there are other common exogenous sources of OxS. As comprehensively reviewed by Bhattacharyya et al. [ 87 ], some pollutants, radiation, cigarette smoking, and some drugs/xenobiotics can contribute to OxS. As recently noted by the World Health Organization, quitting cigarette smoking can decrease the risk of developing T2D by 30\u201340% [ 88 ]. In addition to mitochondrial OxS (as detailed below), there are numerous sources of endogenous OxS (e.g., inflammatory responses) that can be relevant to T2D progression [ 87 ]. 3.1. High-Fat/High-Calorie Diets Promote Postprandial Oxidative Stress (POS), Mitochondrial OxS, and Insulin Resistance In healthy young adults, the consumption of a lipid (saturated fat)-rich meal results in robust postprandial oxidative stress (POS) compared to an isocaloric carbohydrate-rich meal (dextrose) [ 89 ].”  [PMC10885928 ¶25]</w:t>
      </w:r>
    </w:p>
    <w:p>
      <w:pPr>
        <w:spacing w:after="120"/>
        <w:jc w:val="both"/>
      </w:pPr>
      <w:r>
        <w:rPr>
          <w:rFonts w:ascii="Times New Roman" w:hAnsi="Times New Roman" w:cs="Times New Roman" w:eastAsia="Times New Roman"/>
          <w:b w:val="0"/>
          <w:i w:val="0"/>
          <w:sz w:val="24"/>
        </w:rPr>
        <w:t>“When fed a standard meal, patients with T2D show a greater POS compared to matched healthy subjects [ 90 ]. POS has been proposed as a probable mechanism contributing to systemic OxS, T2D progression, and vascular damage (see Figure 3 ) [ 91 , 92 ]. Moreover, supplementation (for 15 days) with dietary antioxidants (including NAC) has been found to reduce POS and improve markers of endothelial dysfunction in subjects with T2D or insulin resistance [ 93 ]. In addition to promoting OxS, high-calorie/fat diets are also problematic because they are likely an initiating factor for prediabetes (see below) and promote overweight and obesity. In marked contrast, very low-calorie (hypocaloric) diets can improve glycemic control in T2D patients and potentially promote T2D remission [ 94 ]. 3.2. Skeletal Muscle Mitochondrial OxS and Insulin Resistance It has long been recognized that skeletal muscle insulin resistance is the primary defect in T2D [ 95 ].”  [PMC10885928 ¶26]</w:t>
      </w:r>
    </w:p>
    <w:p>
      <w:pPr>
        <w:spacing w:after="120"/>
        <w:jc w:val="both"/>
      </w:pPr>
      <w:r>
        <w:rPr>
          <w:rFonts w:ascii="Times New Roman" w:hAnsi="Times New Roman" w:cs="Times New Roman" w:eastAsia="Times New Roman"/>
          <w:b w:val="0"/>
          <w:i w:val="0"/>
          <w:sz w:val="24"/>
        </w:rPr>
        <w:t>“The insulin-sensitive glucose transporter 4 (GLUT4) is the primary means by which skeletal muscle takes up glucose. Insulin stimulates the translocation of GLUT4 from intracellular GLUT4-containing vesicles to the cell surface where this transporter can actively support facilitated glucose transport [ 96 ]. The insulin signaling pathway is complex but requires the activation of Akt (a serine\u2013threonine kinase) by phosphorylation [ 97 ]. The reduced ability of insulin to activate the GLUT4 glucose transport system in skeletal muscle is a primary cause of insulin resistance [ 96 , 98 ]. In pioneering work, Anderson et al. [ 74 ] found that a high-calorie diet (in healthy adults) promoted skeletal muscle mitochondrial OxS which, in turn, resulted in transient insulin resistance. While both a high-calorie fat or carbohydrate meal could induce this transient insulin resistance, dietary fat was more effective than dietary carbohydrates [ 74 ].”  [PMC10885928 ¶27]</w:t>
      </w:r>
    </w:p>
    <w:p>
      <w:pPr>
        <w:spacing w:after="120"/>
        <w:jc w:val="both"/>
      </w:pPr>
      <w:r>
        <w:rPr>
          <w:rFonts w:ascii="Times New Roman" w:hAnsi="Times New Roman" w:cs="Times New Roman" w:eastAsia="Times New Roman"/>
          <w:b w:val="0"/>
          <w:i w:val="0"/>
          <w:sz w:val="24"/>
        </w:rPr>
        <w:t>“Obesity, a known risk factor for T2D, dramatically amplified skeletal muscle mitochondrial OxS [ 74 ]. As indicated in Figure 3 , positive feedback loops connecting high-calorie/fat meals, overweight/obesity, mitochondrial OxS, skeletal muscle insulin resistance, increased glycemia, and systemic OxS are likely at play in T2D. In susceptible individuals, it is likely that these positive feedback loops promote T2D progression. In addition to the importance of lifestyle and environmental factors, T2D has an inheritance ranging from 30 to 70% [ 99 ]. The work by Anderson et al. [ 74 ] is also important since these investigators demonstrated that a high-fat diet induced skeletal muscle OxS (and insulin resistance) by promoting mitochondrial H 2 O 2 emission. Although not the primary focus of their work, Anderson et al. [ 74 ] found that glucose-stimulated Akt phosphorylation in skeletal muscle was markedly diminished by a high-fat diet, suggesting a disruption in the insulin signaling pathway.”  [PMC10885928 ¶28]</w:t>
      </w:r>
    </w:p>
    <w:p>
      <w:pPr>
        <w:spacing w:after="120"/>
        <w:jc w:val="both"/>
      </w:pPr>
      <w:r>
        <w:rPr>
          <w:rFonts w:ascii="Times New Roman" w:hAnsi="Times New Roman" w:cs="Times New Roman" w:eastAsia="Times New Roman"/>
          <w:b w:val="0"/>
          <w:i w:val="0"/>
          <w:sz w:val="24"/>
        </w:rPr>
        <w:t>“The high-fat diet also induced a decrease in the skeletal muscle GSH/GSSG ratio, suggesting that GSH was oxidized to GSSG by GPX in response to increased H 2 O 2 production. It should again be noted that mitochondria do not have the enzymes required for GSH synthesis and must import GSH from the cytoplasm [ 46 ]. GPX enzymes were not studied by Anderson et al. but GPX1 and GPX4 are pivotal since they reduce mitochondrial H 2 O 2 [ 49 ]. Recent research indicates that genetic variants in GPX1 and GPX3 are associated with T2D risk [ 100 ]. S\u00f8nderg\u00e5rd et al. [ 101 ] conducted a small clinical trial looking at the effects of three weeks of oral GSH supplementation on whole-body insulin sensitivity in obese subjects with (N = 10) and without (N = 10) T2D. These investigators [ 101 ] found that GSH supplementation increased insulin sensitivity in both the obese subjects with and without T2D but did not change the GSH/GSSG ratio in skeletal muscle as might have been anticipated by the work of Anderson et al.”  [PMC10885928 ¶29]</w:t>
      </w:r>
    </w:p>
    <w:p>
      <w:pPr>
        <w:spacing w:after="120"/>
        <w:jc w:val="both"/>
      </w:pPr>
      <w:r>
        <w:rPr>
          <w:rFonts w:ascii="Times New Roman" w:hAnsi="Times New Roman" w:cs="Times New Roman" w:eastAsia="Times New Roman"/>
          <w:b w:val="0"/>
          <w:i w:val="0"/>
          <w:sz w:val="24"/>
        </w:rPr>
        <w:t>“[ 74 ]. As mentioned above ( Section 2.3 and Section 2.4 ), simultaneous GLY supplementation could be important in promoting an optimal redox status. 3.3. Hyperglycemia Promotes Protein Glycation, Formation of AGEs, Activation of the Polyol Pathway, OxS, and T2D Progression Chronic bouts of transient insulin resistance will result in chronic increases in postprandial glucose (PPG) as indicated in Figure 3 . Glucose can covalently react with lysine, arginine, and the N-terminal residues on proteins to form glycation products, which can further react to produce advanced glycation end products (AGEs) [ 102 ]. Glycation can modify the structure and functions of proteins. It has been found, for example, that glycation of the GPX results in a loss of enzymatic activity [ 103 ]. This is a hypothetical example of a positive feedback loop, i.e., increased mitochondrial OxS promotes increased glycemia, promoting increased glycation\u2013inactivation of GPX enzymes with a further increase in skeletal muscle mitochondrial OxS and glycemia.”  [PMC10885928 ¶30]</w:t>
      </w:r>
    </w:p>
    <w:p>
      <w:pPr>
        <w:spacing w:after="120"/>
        <w:jc w:val="both"/>
      </w:pPr>
      <w:r>
        <w:rPr>
          <w:rFonts w:ascii="Times New Roman" w:hAnsi="Times New Roman" w:cs="Times New Roman" w:eastAsia="Times New Roman"/>
          <w:b w:val="0"/>
          <w:i w:val="0"/>
          <w:sz w:val="24"/>
        </w:rPr>
        <w:t>“As reviewed by Sottero et al. [ 92 ], increased plasma levels of glucose resulting from insulin resistance can promote the formation of AGEs. Hyperglycemia will eventually result when beta-cell secretion of insulin is unable to make up for insulin resistance [ 104 ]. AGEs can stimulate ROS production as a result of binding to RAGE (receptor for AGEs) [ 105 ]. In vitro and ex vivo evidence (animal models and T2D patients) supports the role of the AGE-RAGE pathway in promoting OxS-driven beta-cell dysfunction and decreased insulin secretion [ 106 , 107 ]. Evidence from an animal model also shows that AGEs can induce insulin resistance by repressing the skeletal muscle glucose transporter GLUT4 [ 108 ]. Repression of GLUT4 is known to contribute to insulin resistance [ 95 , 98 ]. As indicated in Figure 3 , these sequences of molecular events are also another potential set of positive feedback loops.”  [PMC10885928 ¶31]</w:t>
      </w:r>
    </w:p>
    <w:p>
      <w:pPr>
        <w:spacing w:after="120"/>
        <w:jc w:val="both"/>
      </w:pPr>
      <w:r>
        <w:rPr>
          <w:rFonts w:ascii="Times New Roman" w:hAnsi="Times New Roman" w:cs="Times New Roman" w:eastAsia="Times New Roman"/>
          <w:b w:val="0"/>
          <w:i w:val="0"/>
          <w:sz w:val="24"/>
        </w:rPr>
        <w:t>“High plasma glucose also promotes OxS by activation of the polyol pathway in which aldose reductase (AR) reduces glucose to sorbitol followed by the conversion of sorbitol to fructose by sorbitol dehydrogenase (SDH). In the first reaction, NADPH is consumed by AR, which can result in OxS since NADPH is required for reducing GSSG to GSH (by GR) and GSH is required for the reducing peroxides by the GPX system (see Figure 2 ). It has been estimated that in diabetes, as much as 30% of body glucose can be consumed by the polyol pathway [ 102 ]. For cells primarily relying on insulin-independent GLUT transporters, such as GLUT1, plasma levels of glucose will equilibrate with intracellular cytosolic glucose. When postprandial glucose and/or fasting blood glucose are sufficiently high, the polyol pathway (and OxS) will be activated in cells relying on GLUT1, e.g., endothelial cells [ 109 , 110 ].”  [PMC10885928 ¶32]</w:t>
      </w:r>
    </w:p>
    <w:p>
      <w:pPr>
        <w:spacing w:after="120"/>
        <w:jc w:val="both"/>
      </w:pPr>
      <w:r>
        <w:rPr>
          <w:rFonts w:ascii="Times New Roman" w:hAnsi="Times New Roman" w:cs="Times New Roman" w:eastAsia="Times New Roman"/>
          <w:b w:val="0"/>
          <w:i w:val="0"/>
          <w:sz w:val="24"/>
        </w:rPr>
        <w:t>“Moreover, the fructose produced by the second reaction in the polyol pathway is a much more effective glycating agent than glucose [ 102 , 111 ]. Dietary fructose has been implicated in promoting T2D [ 111 ]. Both microvascular and macrovascular endothelial cells express GLUT1 and early endothelial dysfunction in T2D is thought to be a driver of future cardiovascular disease [ 112 ]. The role of hyperglycemia-induced OxS damage to endothelial cells has been reviewed [ 110 ]. The activation of the polyol pathway and the resulting OxS have been strongly implicated in the development of diabetic retinopathy [ 113 ]. 3.4. Chronic Inflammation, OxS, and T2D OxS arising from chronic inflammation has long been recognized as a potential driver of T2D progression [ 114 , 115 ]. Chronic inflammation is associated with increased levels of ROS, reactive nitrogen oxide species (RNOS), and C-reactive protein.”  [PMC10885928 ¶33]</w:t>
      </w:r>
    </w:p>
    <w:p>
      <w:pPr>
        <w:spacing w:after="120"/>
        <w:jc w:val="both"/>
      </w:pPr>
      <w:r>
        <w:rPr>
          <w:rFonts w:ascii="Times New Roman" w:hAnsi="Times New Roman" w:cs="Times New Roman" w:eastAsia="Times New Roman"/>
          <w:b w:val="0"/>
          <w:i w:val="0"/>
          <w:sz w:val="24"/>
        </w:rPr>
        <w:t>“As reviewed by Son et al. [ 116 ], the increased production of superoxide radicals (O 2 \u2022\u2212 ) resulting from T2D hyperglycemia can rapidly react with nitric oxide (NO) to produce peroxynitrite (ONOO \u2212 ), which can subsequently react with protein (and apolipoprotein) tyrosine residues to form 3-nitro-tyrosine (3-NT). 3-NT levels are biomarkers for inflammation and patients with T2D have increased serum 3-NT levels compared to controls [ 117 ]. ROS and RNOS are both thought to contribute to T2D macro- and micro-vascular damage [ 116 ]. GSH is thought to play a key role in NO biochemistry [ 118 ]. GSH, for example, can react with NO to form S-nitrosoglutathione, which may be relevant to T2D by promoting insulin sensitivity [ 119 ]. Serum levels of C-reactive protein are clinically used as a measure of systemic inflammation and are increased in T2D [ 120 , 121 ]. Although not focused on T2D, a meta-analysis by Askari et al.”  [PMC10885928 ¶34]</w:t>
      </w:r>
    </w:p>
    <w:p>
      <w:pPr>
        <w:spacing w:after="120"/>
        <w:jc w:val="both"/>
      </w:pPr>
      <w:r>
        <w:rPr>
          <w:rFonts w:ascii="Times New Roman" w:hAnsi="Times New Roman" w:cs="Times New Roman" w:eastAsia="Times New Roman"/>
          <w:b w:val="0"/>
          <w:i w:val="0"/>
          <w:sz w:val="24"/>
        </w:rPr>
        <w:t>“[ 122 ] found that oral NAC supplementation reduced serum levels of C-reactive protein. In a small study of T2D subjects (N = 24 adults), Jeremias et al. [ 123 ] found that oral NAC supplementation (four weeks) significantly reduced C-reactive protein levels compared to placebo. As suggested by these researchers, \u201cfurther study\u201d is well justified. We would also suggest the inclusion of a pediatric population. 4. Is NAC a Drug and/or a Dietary Supplement? Despite the potential clinical benefits of NAC+GLY for slowing and perhaps even reversing T2D progression, there is a practical issue in its clinical utilization, i.e., it is not entirely clear if NAC is a drug or dietary supplement from a regulatory point of view. The US Federal Food and Drug Administration (FDA) has asserted that NAC was approved as a drug (in 1963) before it was promoted as a dietary supplement and therefore cannot be considered a dietary supplement.”  [PMC10885928 ¶35]</w:t>
      </w:r>
    </w:p>
    <w:p>
      <w:pPr>
        <w:spacing w:after="120"/>
        <w:jc w:val="both"/>
      </w:pPr>
      <w:r>
        <w:rPr>
          <w:rFonts w:ascii="Times New Roman" w:hAnsi="Times New Roman" w:cs="Times New Roman" w:eastAsia="Times New Roman"/>
          <w:b w:val="0"/>
          <w:i w:val="0"/>
          <w:sz w:val="24"/>
        </w:rPr>
        <w:t>“According to the National Institutes of Health (NIH), \u201csupplements are products intended to supplement the diet. They are not medicines and are not intended to treat, diagnose, mitigate, prevent, or cure diseases\u201d [ 124 ]. In addition, \u201cMedicines must be approved by FDA before they can be sold or marketed. Supplements do not require this approval\u201d. Nevertheless, in 2022, the FDA decided to exercise \u201cenforcement discretion\u201d over NAC and this product is freely available (as of October 2023) for purchase without a prescription [ 125 ]. It has been emphasized that stronger federal oversight and regulation of dietary supplements is desirable and could result in enhanced public/physician confidence concerning safety and research outcomes [ 126 , 127 ]. 5. Conclusions OxS plays a central role in the initiation and progression of T2D and dysfunction of the GPX system due to low GSH levels is a key mechanism giving rise to systemic and tissue-specific OxS.”  [PMC10885928 ¶36]</w:t>
      </w:r>
    </w:p>
    <w:p>
      <w:pPr>
        <w:spacing w:after="120"/>
        <w:jc w:val="both"/>
      </w:pPr>
      <w:r>
        <w:rPr>
          <w:rFonts w:ascii="Times New Roman" w:hAnsi="Times New Roman" w:cs="Times New Roman" w:eastAsia="Times New Roman"/>
          <w:b w:val="0"/>
          <w:i w:val="0"/>
          <w:sz w:val="24"/>
        </w:rPr>
        <w:t>“Deficient GSH synthesis resulting from decreased levels of GSH precursors is a key driver of T2D initiation and progression. Several clinical studies, albeit with relatively small study populations, have shown that GSH, and its precursors NAC and GLY, can reduce OxS biomarkers and lower insulin resistance. These studies have almost exclusively been conducted with adult populations in which the disease burden is already present. Positive feedback loops that amplify OxS over long intervals can eventually result in irreversible OxS-driven micro- and macro-vascular damage. These positive feedback loops reinforce the notion that early intervention is the optimal strategy for potentially reversing or dramatically slowing T2D progression. NAC and GLY have excellent safety records and long-term double-blind placebo-controlled studies with a pediatric population should be a high future priority.", "tables": [], "figures": [ { "label": "Figure 1", "caption": "Glutathione biosynthetic scheme.”  [PMC10885928 ¶37]</w:t>
      </w:r>
    </w:p>
    <w:p>
      <w:pPr>
        <w:spacing w:after="120"/>
        <w:jc w:val="both"/>
      </w:pPr>
      <w:r>
        <w:rPr>
          <w:rFonts w:ascii="Times New Roman" w:hAnsi="Times New Roman" w:cs="Times New Roman" w:eastAsia="Times New Roman"/>
          <w:b w:val="0"/>
          <w:i w:val="0"/>
          <w:sz w:val="24"/>
        </w:rPr>
        <w:t>“N-acetyl-L-cysteine (NAC) can supply cysteine (CYS) for the biosynthesis of reduced glutathione (GSH). NAC must first be hydrolyzed by aminoacylase 1 (ACY1) to release CYS. In the first step of GSH synthesis, L-glutamate-L-cysteine ligase (GCL) catalyzes the formation of gamma-L-glutamyl-L-cysteine (GGC) by linking CYS and L-glutamate (GLU). In the second step, glutathione synthetase (GS) catalyzes the formation of GSH by linking GGC to GLY.", "graphic_href": "antioxidants-13-00184-g001.jpg" }, { "label": "Figure 2", "caption": "The glutathione peroxidase (GPX) system and lipid peroxidation. GPX catalyzes the conversion of lipid hydroperoxides (LOOH), formed from lipid peroxidation to a lipid alcohol (LOH) utilizing GSH as a reducing agent. The oxidized GSH (GSSG) formed by this reaction is reduced back to GSH by glutathione reductase (GR) with the consumption of NADPH. The lipid peroxyl radical (LOO*) formed from lipid peroxidation can undergo chemical decomposition to 4-hydroxynonenal (4-HNE) and malondialdehyde (MDA), which are reactive aldehydes that can react with proteins to form carbonylation products.", "graphic_href": "antioxidants-13-00184-g002.jpg" }, { "label": "Figure 3", "caption": "Simplified scheme connecting oxidative stress (OxS) and T2D risk factors.”  [PMC10885928 ¶38]</w:t>
      </w:r>
    </w:p>
    <w:p>
      <w:pPr>
        <w:spacing w:after="120"/>
        <w:jc w:val="both"/>
      </w:pPr>
      <w:r>
        <w:rPr>
          <w:rFonts w:ascii="Times New Roman" w:hAnsi="Times New Roman" w:cs="Times New Roman" w:eastAsia="Times New Roman"/>
          <w:b w:val="0"/>
          <w:i w:val="0"/>
          <w:sz w:val="24"/>
        </w:rPr>
        <w:t>“Two sets of potential positive feedback loops (circles with +) are indicated (blue and red arrows). The text describes these positive feedback loops in more detail. Over prolonged time intervals, systemic OxS can cause beta-cell dysfunction as well as irreversible micro- and macro-vascular damage.", "graphic_href": "antioxidants-13-00184-g003.jpg" } ], "references": [ { "title": "Oxidative Stress in Type 2 Diabetes: Impacts from Pathogenesis to Lifestyle Modifications", "year": "2023", "source": "Curr. Issues Mol. Biol.", "doi": "10.3390/cimb45080420", "pmid": "37623239", "pmcid": "PMC10453126" }, { "title": "Redox Balance in Type 2 Diabetes: Therapeutic Potential and the Challenge of Antioxidant-Based Therapy", "year": "2023", "source": "Antioxidants", "doi": "10.3390/antiox12050994", "pmid": "37237860", "pmcid": "PMC10215840" }, { "title": "The role of dietary antioxidants in type 2 diabetes and neurodegenerative disorders: An assessment of the benefit profile", "year": "2023", "source": "Heliyon", "doi": "10.1016/j.heliyon.2022.e12698", "pmid": "36632095", "pmcid": "PMC9826852" }, { "title": "Oxidative Stress in Type 2 Diabetes: The Case for Future Pediatric Redoxomics Studies", "year": "2022", "source": "Antioxidants", "doi": "10.3390/antiox11071336", "pmid": "35883827", "pmcid": "PMC9312244" }, { "title": "Oxidative stress in type 2 diabetes: The role of fasting and postprandial glycaemia", "year": "2006", "source": "Int.”  [PMC10885928 ¶39]</w:t>
      </w:r>
    </w:p>
    <w:p>
      <w:pPr>
        <w:spacing w:after="120"/>
        <w:jc w:val="both"/>
      </w:pPr>
      <w:r>
        <w:rPr>
          <w:rFonts w:ascii="Times New Roman" w:hAnsi="Times New Roman" w:cs="Times New Roman" w:eastAsia="Times New Roman"/>
          <w:b w:val="0"/>
          <w:i w:val="0"/>
          <w:sz w:val="24"/>
        </w:rPr>
        <w:t>“J. Clin. Pract.", "doi": "10.1111/j.1368-5031.2006.00825.x", "pmid": "16494646", "pmcid": "PMC1448694" }, { "title": "Biochemistry, Antioxidants", "year": "2020", "source": "StatPearls [Internet]", "pmid": "31082108" }, { "title": "The Role of Natural Antioxidant Products That Optimize Redox Status in the Prevention and Management of Type 2 Diabetes", "year": "2023", "source": "Antioxidants", "doi": "10.3390/antiox12061139", "pmid": "37371869", "pmcid": "PMC10295461" }, { "title": "Glutathione metabolism in type 2 diabetes and its relationship with microvascular complications and glycemia", "year": "2018", "source": "PLoS ONE", "doi": "10.1371/journal.pone.0198626", "pmid": "29879181", "pmcid": "PMC5991679" }, { "title": "Detrimental Effects of Lipid Peroxidation in Type 2 Diabetes: Exploring the Neutralizing Influence of Antioxidants", "year": "2022", "source": "Antioxidants", "doi": "10.3390/antiox11102071", "pmid": "36290794", "pmcid": "PMC9598619" }, { "title": "Epidemiology of Type 2 Diabetes\u2014Global Burden of Disease and Forecasted Trends", "year": "2020", "source": "J.”  [PMC10885928 ¶40]</w:t>
      </w:r>
    </w:p>
    <w:p>
      <w:pPr>
        <w:spacing w:after="120"/>
        <w:jc w:val="both"/>
      </w:pPr>
      <w:r>
        <w:rPr>
          <w:rFonts w:ascii="Times New Roman" w:hAnsi="Times New Roman" w:cs="Times New Roman" w:eastAsia="Times New Roman"/>
          <w:b w:val="0"/>
          <w:i w:val="0"/>
          <w:sz w:val="24"/>
        </w:rPr>
        <w:t>“Epidemiol. Glob. Health", "doi": "10.2991/jegh.k.191028.001", "pmid": "32175717", "pmcid": "PMC7310804" }, { "title": "The worldwide epidemiology of type 2 diabetes mellitus\u2014Present and future perspectives", "year": "2011", "source": "Nat. Rev. Endocrinol.", "doi": "10.1038/nrendo.2011.183", "pmid": "22064493" }, { "title": "Type 2 diabetes mellitus in children and adolescents", "year": "2013", "source": "World J. Diabetes", "doi": "10.4239/wjd.v4.i6.270", "pmid": "24379917", "pmcid": "PMC3874486" }, { "title": "Global, regional, and national burden of diabetes from 1990 to 2021, with projections of prevalence to 2050: A systematic analysis for the Global Burden of Disease Study 2021", "year": "2023", "source": "Lancet", "doi": "10.1016/S0140-6736(23)01301-6", "pmid": "37356446", "pmcid": "PMC10364581" }, { "title": "Trends and disparities in diabetes and prediabetes among adults in the United States, 1999\u20132018", "year": "2023", "source": "Public Health", "doi": "10.1016/j.puhe.2022.10.021", "pmid": "36586345", "pmcid": "PMC9839558" }, { "title": "Trends in Prediabetes among Youths in the US from 1999 Through 2018", "year": "2022", "source": "JAMA Pediatr.", "doi": "10.1001/jamapediatrics.2022.0077", "pmid": "35344013", "pmcid": "PMC8961403" }, { "title": "The Progression of Prediabetes to Type 2 Diabetes in Children and Adolescents in the United States: Current Challenges and Solutions", "year": "2022", "source": "Endocrines", "doi": "10.3390/endocrines3030045" }, { "title": "Prediabetes", "year": "", "source": "" }, { "title": "Screening for Prediabetes and Type 2 Diabetes: US Preventive Services Task Force Recommendation Statement", "year": "2021", "source": "JAMA", "doi": "10.1001/jama.2021.12531", "pmid": "34427594" }, { "title": "Screening for Prediabetes and Type 2 Diabetes in Children and Adolescents: US Preventive Services Task Force Recommendation Statement", "year": "2022", "source": "JAMA", "doi": "10.1001/jama.2022.14543", "pmid": "36098719" }, { "title": "Early intervention and intensive management of patients with diabetes, cardiorenal, and metabolic diseases", "year": "2023", "source": "J.”  [PMC10885928 ¶41]</w:t>
      </w:r>
    </w:p>
    <w:p>
      <w:pPr>
        <w:spacing w:after="120"/>
        <w:jc w:val="both"/>
      </w:pPr>
      <w:r>
        <w:rPr>
          <w:rFonts w:ascii="Times New Roman" w:hAnsi="Times New Roman" w:cs="Times New Roman" w:eastAsia="Times New Roman"/>
          <w:b w:val="0"/>
          <w:i w:val="0"/>
          <w:sz w:val="24"/>
        </w:rPr>
        <w:t>“Diabetes Complicat.", "doi": "10.1016/j.jdiacomp.2022.108389", "pmid": "36669322" }, { "title": "Clinical Practice Guideline for the Evaluation and Treatment of Children and Adolescents with Obesity", "year": "2023", "source": "Pediatrics", "doi": "10.1542/peds.2022-060640", "pmid": "36622115" }, { "title": "Introduction: Standards of Medical Care in Diabetes\u20142022", "year": "2021", "source": "Diabetes Care", "doi": "10.2337/dc22-Sint", "pmid": "34964812" }, { "title": "Relationships between obesity and cardiovascular diseases in four southern states and Colorado", "year": "2011", "source": "J. Health Care Poor Underserved", "doi": "10.1353/hpu.2011.0166", "pmid": "22102306", "pmcid": "PMC3250069" }, { "title": "Obesity and cardiovascular disease: Mechanistic insights and management strategies. A joint position paper by the World Heart Federation and World Obesity Federation", "year": "2022", "source": "Eur.”  [PMC10885928 ¶42]</w:t>
      </w:r>
    </w:p>
    <w:p>
      <w:pPr>
        <w:spacing w:after="120"/>
        <w:jc w:val="both"/>
      </w:pPr>
      <w:r>
        <w:rPr>
          <w:rFonts w:ascii="Times New Roman" w:hAnsi="Times New Roman" w:cs="Times New Roman" w:eastAsia="Times New Roman"/>
          <w:b w:val="0"/>
          <w:i w:val="0"/>
          <w:sz w:val="24"/>
        </w:rPr>
        <w:t>“J. Prev. Cardiol.", "doi": "10.1093/eurjpc/zwac187", "pmid": "36007112" }, { "title": "Obesity-associated oxidative stress: Strategies finalized to improve redox state", "year": "2013", "source": "Int. J. Mol. Sci.", "doi": "10.3390/ijms140510497", "pmid": "23698776", "pmcid": "PMC3676851" }, { "title": "Type 2 diabetes: Etiology and reversibility", "year": "2013", "source": "Diabetes Care", "doi": "10.2337/dc12-1805", "pmid": "23520370", "pmcid": "PMC3609491" }, { "title": "Defining and characterizing the progression of type 2 diabetes", "year": "2009", "source": "Diabetes Care", "doi": "10.2337/dc09-S301", "pmid": "19875543", "pmcid": "PMC2811457" }, { "title": "Lipidome as a predictive tool in progression to type 2 diabetes in Finnish men", "year": "2018", "source": "Metabolism", "doi": "10.1016/j.metabol.2017.08.014", "pmid": "28941595" }, { "title": "Longitudinal plasma protein profiling of newly diagnosed type 2 diabetes", "year": "2021", "source": "EBioMedicine", "doi": "10.1016/j.ebiom.2020.103147", "pmid": "33279861", "pmcid": "PMC7718461" }, { "title": "Genetics of Type 2 Diabetes: It Matters from Which Parent We Inherit the Risk", "year": "2015", "source": "Rev.”  [PMC10885928 ¶43]</w:t>
      </w:r>
    </w:p>
    <w:p>
      <w:pPr>
        <w:spacing w:after="120"/>
        <w:jc w:val="both"/>
      </w:pPr>
      <w:r>
        <w:rPr>
          <w:rFonts w:ascii="Times New Roman" w:hAnsi="Times New Roman" w:cs="Times New Roman" w:eastAsia="Times New Roman"/>
          <w:b w:val="0"/>
          <w:i w:val="0"/>
          <w:sz w:val="24"/>
        </w:rPr>
        <w:t>“Diabet. Stud.", "doi": "10.1900/RDS.2015.12.233", "pmid": "27111116", "pmcid": "PMC5275752" }, { "title": "Ultraprocessed food consumption and dietary nutrient profiles associated with obesity: A multicountry study of children and adolescents", "year": "2022", "source": "Obes. Rev.", "doi": "10.1111/obr.13387", "pmid": "34889015" }, { "title": "Ultra-processed Food Intake and Obesity: What Really Matters for Health-Processing or Nutrient Content?", "year": "2017", "source": "Curr. Obes. Rep.", "doi": "10.1007/s13679-017-0285-4", "pmid": "29071481", "pmcid": "PMC5787353" }, { "title": "GlyNAC (Glycine and N-Acetylcysteine) Supplementation Improves Impaired Mitochondrial Fuel Oxidation and Lowers Insulin Resistance in Patients with Type 2 Diabetes: Results of a Pilot Study", "year": "2022", "source": "Antioxidants", "doi": "10.3390/antiox11010154", "pmid": "35052658", "pmcid": "PMC8773349" }, { "title": "Chemoprevention of Hepatocarcinogenesis with Dietary Isoprenic Derivatives: Cellular and Molecular Aspects", "year": "2012", "source": "Curr.”  [PMC10885928 ¶44]</w:t>
      </w:r>
    </w:p>
    <w:p>
      <w:pPr>
        <w:spacing w:after="120"/>
        <w:jc w:val="both"/>
      </w:pPr>
      <w:r>
        <w:rPr>
          <w:rFonts w:ascii="Times New Roman" w:hAnsi="Times New Roman" w:cs="Times New Roman" w:eastAsia="Times New Roman"/>
          <w:b w:val="0"/>
          <w:i w:val="0"/>
          <w:sz w:val="24"/>
        </w:rPr>
        <w:t>“Cancer Drug Targets", "pmid": "22873216", "doi": "10.2174/156800912803987986" }, { "title": "The mechanism of action of N-acetylcysteine (NAC): The emerging role of H", "year": "2021", "source": "Pharmacol. Ther.", "doi": "10.1016/j.pharmthera.2021.107916", "pmid": "34171332" }, { "title": "l-Cysteine supplementation increases insulin sensitivity mediated by upregulation of GSH and adiponectin in high glucose treated 3T3-L1 adipocytes", "year": "2017", "source": "Arch. Biochem. Biophys.", "doi": "10.1016/j.abb.2017.07.016", "pmid": "28755973" }, { "title": "Multifarious Beneficial Effect of Nonessential Amino Acid, Glycine: A Review", "year": "2017", "source": "Oxid. Med. Cell. Longev.", "doi": "10.1155/2017/1716701", "pmid": "28337245", "pmcid": "PMC5350494" }, { "title": "Glutathione homeostasis and functions: Potential targets for medical interventions", "year": "2012", "source": "J.”  [PMC10885928 ¶45]</w:t>
      </w:r>
    </w:p>
    <w:p>
      <w:pPr>
        <w:spacing w:after="120"/>
        <w:jc w:val="both"/>
      </w:pPr>
      <w:r>
        <w:rPr>
          <w:rFonts w:ascii="Times New Roman" w:hAnsi="Times New Roman" w:cs="Times New Roman" w:eastAsia="Times New Roman"/>
          <w:b w:val="0"/>
          <w:i w:val="0"/>
          <w:sz w:val="24"/>
        </w:rPr>
        <w:t>“Amino Acids", "doi": "10.1155/2012/736837", "pmid": "22500213", "pmcid": "PMC3303626" }, { "title": "Glutathione!", "year": "2014", "source": "Integr. Med. (Encinitas)", "pmcid": "PMC4684116", "pmid": "26770075" }, { "title": "Blood and plasma glutathione measured in healthy subjects by HPLC: Relation to sex, aging, biological variables, and life habits", "year": "1995", "source": "Clin. Chem.", "doi": "10.1093/clinchem/41.10.1509", "pmid": "7586526" }, { "title": "Glutathione synthesis is diminished in patients with uncontrolled diabetes and restored by dietary supplementation with cysteine and glycine", "year": "2011", "source": "Diabetes Care", "doi": "10.2337/dc10-1006", "pmid": "20929994", "pmcid": "PMC3005481" }, { "title": "Glutathione synthesis", "year": "2013", "source": "Biochim. Biophys. Acta", "doi": "10.1016/j.bbagen.2012.09.008", "pmid": "22995213", "pmcid": "PMC3549305" }, { "title": "Regulation of hepatic glutathione synthesis", "year": "1998", "source": "Semin.”  [PMC10885928 ¶46]</w:t>
      </w:r>
    </w:p>
    <w:p>
      <w:pPr>
        <w:spacing w:after="120"/>
        <w:jc w:val="both"/>
      </w:pPr>
      <w:r>
        <w:rPr>
          <w:rFonts w:ascii="Times New Roman" w:hAnsi="Times New Roman" w:cs="Times New Roman" w:eastAsia="Times New Roman"/>
          <w:b w:val="0"/>
          <w:i w:val="0"/>
          <w:sz w:val="24"/>
        </w:rPr>
        <w:t>“Liver Dis.", "doi": "10.1055/s-2007-1007168", "pmid": "9875552" }, { "title": "Glutathione and its precursors in cancer", "year": "2021", "source": "Curr. Opin. Biotechnol.", "doi": "10.1016/j.copbio.2021.03.001", "pmid": "33819793" }, { "title": "Impact of sex, age and diet on the cysteine/cystine and glutathione/glutathione disulfide plasma redox couples in mice", "year": "2020", "source": "J. Nutr. Biochem.", "doi": "10.1016/j.jnutbio.2020.108431", "pmid": "32615368" }, { "title": "Cellular Compartmentalization, Glutathione Transport and Its Relevance in Some Pathologies", "year": "2023", "source": "Antioxidants", "doi": "10.3390/antiox12040834", "pmid": "37107209", "pmcid": "PMC10135322" }, { "title": "The antioxidant glutathione", "year": "2023", "source": "Vitam. Horm.", "doi": "10.1016/bs.vh.2022.09.002", "pmid": "36707132" }, { "title": "Regulatory Phenomena in the Glutathione Peroxidase Superfamily", "year": "2020", "source": "Antioxid.”  [PMC10885928 ¶47]</w:t>
      </w:r>
    </w:p>
    <w:p>
      <w:pPr>
        <w:spacing w:after="120"/>
        <w:jc w:val="both"/>
      </w:pPr>
      <w:r>
        <w:rPr>
          <w:rFonts w:ascii="Times New Roman" w:hAnsi="Times New Roman" w:cs="Times New Roman" w:eastAsia="Times New Roman"/>
          <w:b w:val="0"/>
          <w:i w:val="0"/>
          <w:sz w:val="24"/>
        </w:rPr>
        <w:t>“Redox Signal.", "doi": "10.1089/ars.2019.7905", "pmid": "31822117" }, { "title": "Glutathione peroxidase-1 regulates mitochondrial function to modulate redox-dependent cellular responses", "year": "2009", "source": "J. Biol. Chem.", "doi": "10.1074/jbc.M900392200", "pmid": "19254950", "pmcid": "PMC2673260" }, { "title": "Selenium and non-selenium glutathione peroxidase activities in selected ocular and non-ocular rat tissues", "year": "1982", "source": "Exp. Eye Res.", "doi": "10.1016/0014-4835(82)90039-2", "pmid": "7173338" }, { "title": "Reactive oxygen species: Impact on skeletal muscle", "year": "2011", "source": "Compr. Physiol.", "doi": "10.1002/cphy.c100054", "pmid": "23737208", "pmcid": "PMC3893116" }, { "title": "Mitochondrial catalase and oxidative injury", "year": "2001", "source": "Biol. Signal”  [PMC10885928 ¶48]</w:t>
      </w:r>
    </w:p>
    <w:p>
      <w:pPr>
        <w:keepNext/>
        <w:spacing w:before="280" w:after="80"/>
        <w:outlineLvl w:val="1"/>
      </w:pPr>
      <w:r>
        <w:rPr>
          <w:rFonts w:ascii="Times New Roman" w:hAnsi="Times New Roman" w:cs="Times New Roman" w:eastAsia="Times New Roman"/>
          <w:b/>
          <w:i w:val="0"/>
          <w:color w:val="335588"/>
          <w:sz w:val="28"/>
        </w:rPr>
        <w:t>11.4  [4] Anti-Inflammatory and Anti-Oxidant Properties of N-Acetylcysteine: A Fresh Perspective</w:t>
      </w:r>
    </w:p>
    <w:p>
      <w:pPr>
        <w:spacing w:after="80"/>
        <w:jc w:val="both"/>
      </w:pPr>
      <w:r>
        <w:rPr>
          <w:rFonts w:ascii="Times New Roman" w:hAnsi="Times New Roman" w:cs="Times New Roman" w:eastAsia="Times New Roman"/>
          <w:b w:val="0"/>
          <w:i/>
          <w:sz w:val="22"/>
        </w:rPr>
        <w:t>Bibliographic identifiers — PMCID: PMC11278452; PMID: 39064168; DOI: 10.3390/jcm13144127; Journal: Journal of Clinical Medicine; Year: 2024.</w:t>
      </w:r>
    </w:p>
    <w:p>
      <w:pPr>
        <w:spacing w:after="80"/>
        <w:jc w:val="both"/>
      </w:pPr>
      <w:r>
        <w:rPr>
          <w:rFonts w:ascii="Times New Roman" w:hAnsi="Times New Roman" w:cs="Times New Roman" w:eastAsia="Times New Roman"/>
          <w:b w:val="0"/>
          <w:i w:val="0"/>
          <w:sz w:val="22"/>
        </w:rPr>
        <w:t>Retrieval — full JATS XML via NCBI efetch db=pmc rettype=xml. Body text length: 30,996 characters; structured tables: 0; figures: 2; references: 117. Supplementary body text also harvested via MCP fetch_pmc_article: 0 characters, 0 verbatim paragraphs reproduced below.</w:t>
      </w:r>
    </w:p>
    <w:p>
      <w:pPr>
        <w:spacing w:after="80"/>
        <w:jc w:val="both"/>
      </w:pPr>
      <w:r>
        <w:rPr>
          <w:rFonts w:ascii="Times New Roman" w:hAnsi="Times New Roman" w:cs="Times New Roman" w:eastAsia="Times New Roman"/>
          <w:b/>
          <w:i w:val="0"/>
          <w:sz w:val="22"/>
        </w:rPr>
        <w:t>Verbatim abstract (from JATS XML):</w:t>
      </w:r>
    </w:p>
    <w:p>
      <w:pPr>
        <w:spacing w:after="80"/>
        <w:jc w:val="both"/>
      </w:pPr>
      <w:r>
        <w:rPr>
          <w:rFonts w:ascii="Times New Roman" w:hAnsi="Times New Roman" w:cs="Times New Roman" w:eastAsia="Times New Roman"/>
          <w:b w:val="0"/>
          <w:i/>
          <w:sz w:val="24"/>
        </w:rPr>
        <w:t>“N-acetyl-L-cysteine (NAC) was initially introduced as a treatment for mucus reduction and widely used for chronic respiratory conditions associated with mucus overproduction. However, the mechanism of action for NAC extends beyond its mucolytic activity and is complex and multifaceted. Contrary to other mucoactive drugs, NAC has been found to exhibit antioxidant, anti-infective, and anti-inflammatory activity in pre-clinical and clinical reports. These properties have sparked interest in its potential for treating chronic lung diseases, including chronic obstructive pulmonary disease (COPD), bronchiectasis (BE), cystic fibrosis (CF), and idiopathic pulmonary fibrosis (IPF), which are associated with oxidative stress, increased levels of glutathione and inflammation. NAC’s anti-inflammatory activity is noteworthy, and it is not solely secondary to its antioxidant capabilities. In ex vivo models of COPD exacerbation, the anti-inflammatory effects have been observed even at very low doses, especially with prolonged treatment. The mechanism involves the inhibition of the activation of NF-kB and neurokinin A production, resulting in a reduction in interleukin-6 production, a cytokine abundantly present in the sputum and breath condensate of patients with COPD and correlates with the number of exacerbations. The unique combination of mucolytic, antioxidant, anti-infective, and anti-inflammatory properties positions NAC as a safe, cost-effective, and efficacious therapy for a plethora of respiratory conditions.”</w:t>
      </w:r>
    </w:p>
    <w:p>
      <w:pPr>
        <w:spacing w:after="80"/>
        <w:jc w:val="both"/>
      </w:pPr>
      <w:r>
        <w:rPr>
          <w:rFonts w:ascii="Times New Roman" w:hAnsi="Times New Roman" w:cs="Times New Roman" w:eastAsia="Times New Roman"/>
          <w:b w:val="0"/>
          <w:i/>
          <w:sz w:val="24"/>
        </w:rPr>
        <w:t>Figure 1 (verbatim caption): “Differential modulation of pro-inflammatory mediators in relation to both the concentration and duration of treatment with N-acetylcysteine in in vitro models of airway inflammation. NAC: N-acetylcysteine; LPS: lipopolysaccharides; NKA: neurokinin A; IL-6: Interleukin-6; TNF-α: tumor necrosis factor-α; IL-8: Interleukin-8; IL-1β: Interleukin-1beta; NF-κB: Nuclear factor kappa B.</w:t>
        <w:br/>
        <w:t xml:space="preserve">   graphic: `jcm-13-04127-g001.jpg`”</w:t>
      </w:r>
    </w:p>
    <w:p>
      <w:pPr>
        <w:spacing w:after="80"/>
        <w:jc w:val="both"/>
      </w:pPr>
      <w:r>
        <w:rPr>
          <w:rFonts w:ascii="Times New Roman" w:hAnsi="Times New Roman" w:cs="Times New Roman" w:eastAsia="Times New Roman"/>
          <w:b w:val="0"/>
          <w:i/>
          <w:sz w:val="24"/>
        </w:rPr>
        <w:t>Figure 2 (verbatim caption): “Proposed molecular mechanisms for the therapeutic activity of N-acetylcysteine after oral administration in chronic respiratory diseases. NAC: N-acetylcysteine; GSH: glutathione; RSSH: persulfides; RSS n SR: polysulfides; NKA: neurokinin A; NF-κB: Nuclear factor kappa B; TNF-α: tumor necrosis factor-α; IL-1β: Interleukin-1beta; IL-8: Interleukin-8; ROS: reactive oxygen species.</w:t>
        <w:br/>
        <w:t xml:space="preserve">   graphic: `jcm-13-04127-g002.jpg`”</w:t>
      </w:r>
    </w:p>
    <w:p>
      <w:pPr>
        <w:keepNext/>
        <w:spacing w:before="160" w:after="40"/>
        <w:outlineLvl w:val="2"/>
      </w:pPr>
      <w:r>
        <w:rPr>
          <w:rFonts w:ascii="Times New Roman" w:hAnsi="Times New Roman" w:cs="Times New Roman" w:eastAsia="Times New Roman"/>
          <w:b/>
          <w:i w:val="0"/>
          <w:color w:val="404040"/>
          <w:sz w:val="24"/>
        </w:rPr>
        <w:t>Verbatim body-text paragraphs from PMC11278452</w:t>
      </w:r>
    </w:p>
    <w:p>
      <w:pPr>
        <w:spacing w:after="120"/>
        <w:jc w:val="both"/>
      </w:pPr>
      <w:r>
        <w:rPr>
          <w:rFonts w:ascii="Times New Roman" w:hAnsi="Times New Roman" w:cs="Times New Roman" w:eastAsia="Times New Roman"/>
          <w:b w:val="0"/>
          <w:i w:val="0"/>
          <w:sz w:val="24"/>
        </w:rPr>
        <w:t>“## Figure captions (2) 1. **Figure 1** — Differential modulation of pro-inflammatory mediators in relation to both the concentration and duration of treatment with N-acetylcysteine in in vitro models of airway inflammation. NAC: N-acetylcysteine; LPS: lipopolysaccharides; NKA: neurokinin A; IL-6: Interleukin-6; TNF-α: tumor necrosis factor-α; IL-8: Interleukin-8; IL-1β: Interleukin-1beta; NF-κB: Nuclear factor kappa B. graphic: `jcm-13-04127-g001.jpg` 2. **Figure 2** — Proposed molecular mechanisms for the therapeutic activity of N-acetylcysteine after oral administration in chronic respiratory diseases. NAC: N-acetylcysteine; GSH: glutathione; RSSH: persulfides; RSS n SR: polysulfides; NKA: neurokinin A; NF-κB: Nuclear factor kappa B; TNF-α: tumor necrosis factor-α; IL-1β: Interleukin-1beta; IL-8: Interleukin-8; ROS: reactive oxygen species. graphic: `jcm-13-04127-g002.jpg` ```json { "pmcid": "PMC11278452", "pmid": "39064168", "doi": "10.3390/jcm13144127", "title": "Anti-Inflammatory and Anti-Oxidant Properties of N-Acetylcysteine: A Fresh Perspective", "journal": "Journal of Clinical Medicine", "year": "2024", "abstract": "N-acetyl-L-cysteine (NAC) was initially introduced as a treatment for mucus reduction and widely used for chronic respiratory conditions associated with mucus overproduction.”  [PMC11278452 ¶1]</w:t>
      </w:r>
    </w:p>
    <w:p>
      <w:pPr>
        <w:spacing w:after="120"/>
        <w:jc w:val="both"/>
      </w:pPr>
      <w:r>
        <w:rPr>
          <w:rFonts w:ascii="Times New Roman" w:hAnsi="Times New Roman" w:cs="Times New Roman" w:eastAsia="Times New Roman"/>
          <w:b w:val="0"/>
          <w:i w:val="0"/>
          <w:sz w:val="24"/>
        </w:rPr>
        <w:t>“However, the mechanism of action for NAC extends beyond its mucolytic activity and is complex and multifaceted. Contrary to other mucoactive drugs, NAC has been found to exhibit antioxidant, anti-infective, and anti-inflammatory activity in pre-clinical and clinical reports. These properties have sparked interest in its potential for treating chronic lung diseases, including chronic obstructive pulmonary disease (COPD), bronchiectasis (BE), cystic fibrosis (CF), and idiopathic pulmonary fibrosis (IPF), which are associated with oxidative stress, increased levels of glutathione and inflammation. NAC\u2019s anti-inflammatory activity is noteworthy, and it is not solely secondary to its antioxidant capabilities. In ex vivo models of COPD exacerbation, the anti-inflammatory effects have been observed even at very low doses, especially with prolonged treatment. The mechanism involves the inhibition of the activation of NF-kB and neurokinin A production, resulting in a reduction in interleukin-6 production, a cytokine abundantly present in the sputum and breath condensate of patients with COPD and correlates with the number of exacerbations.”  [PMC11278452 ¶2]</w:t>
      </w:r>
    </w:p>
    <w:p>
      <w:pPr>
        <w:spacing w:after="120"/>
        <w:jc w:val="both"/>
      </w:pPr>
      <w:r>
        <w:rPr>
          <w:rFonts w:ascii="Times New Roman" w:hAnsi="Times New Roman" w:cs="Times New Roman" w:eastAsia="Times New Roman"/>
          <w:b w:val="0"/>
          <w:i w:val="0"/>
          <w:sz w:val="24"/>
        </w:rPr>
        <w:t>“The unique combination of mucolytic, antioxidant, anti-infective, and anti-inflammatory properties positions NAC as a safe, cost-effective, and efficacious therapy for a plethora of respiratory conditions.", "body_text": "1. Introduction N-acetyl-L-cysteine (NAC) was first introduced in 1965 primarily for its role in promoting mucolysis [ 1 ] and has been the preferred treatment for paracetamol intoxication since the mid-1970s [ 2 ]. Its intravenous formulation for this purpose is recognized on the WHO\u2019s list of Essential Medicines [ 3 ]. The excessive production and secretion of airway mucus have significant importance in the pathophysiology and clinical manifestations of different respiratory diseases, including acute and chronic bronchitis (CB), chronic obstructive pulmonary disease (COPD), bronchiectasis, and cystic fibrosis (CF) [ 4 , 5 ]. Recent evidence indicates that oxidative stress and inflammation contribute to the development of these pathologies, showing a close correlation with clinical outcomes and triggering the overproduction of mucus by glands and goblet cells [ 6 , 7 , 8 , 9 ].”  [PMC11278452 ¶3]</w:t>
      </w:r>
    </w:p>
    <w:p>
      <w:pPr>
        <w:spacing w:after="120"/>
        <w:jc w:val="both"/>
      </w:pPr>
      <w:r>
        <w:rPr>
          <w:rFonts w:ascii="Times New Roman" w:hAnsi="Times New Roman" w:cs="Times New Roman" w:eastAsia="Times New Roman"/>
          <w:b w:val="0"/>
          <w:i w:val="0"/>
          <w:sz w:val="24"/>
        </w:rPr>
        <w:t>“Under diverse stress conditions, such as infection, pathogenic factors, smoking, and oxidative stress, epithelial cells in the airway release pro-secretory molecules, leading to hypertrophy of secretory cells and hyperplasia of goblet cells, with concomitant overproduction of mucus [ 5 , 6 , 7 , 8 ]. Conditions like chronic bronchitis, bronchiectasis, CF, and COPD are associated with impairment of ciliary function and/or airway mucus hypersecretion [ 6 , 7 , 10 , 11 ]. COPD is characterized by airflow limitation, oxidative stress, and airway inflammation [ 12 ]. It is a persistent and advancing disease linked to a heightened inflammatory response in the respiratory tract triggered by gases, noxious particles, or cigarette smoke, which results in the injury of cells lining the airway and mucus hypersecretion [ 13 ]. In particular, the over-secretion of components of mucus MUC5AC and MUC5B in the respiratory tract, coupled with epithelial damage, leads to the shedding of ciliated cells, hyperplasia of goblet cells, and hypertrophy of the submucosal gland, ultimately resulting in airway mucus hypersecretion [ 4 ].”  [PMC11278452 ¶4]</w:t>
      </w:r>
    </w:p>
    <w:p>
      <w:pPr>
        <w:spacing w:after="120"/>
        <w:jc w:val="both"/>
      </w:pPr>
      <w:r>
        <w:rPr>
          <w:rFonts w:ascii="Times New Roman" w:hAnsi="Times New Roman" w:cs="Times New Roman" w:eastAsia="Times New Roman"/>
          <w:b w:val="0"/>
          <w:i w:val="0"/>
          <w:sz w:val="24"/>
        </w:rPr>
        <w:t>“The mucus, secreted by serous, mucous, and goblet cells in response to various stimuli, including inflammation [ 9 ], becomes viscous [ 12 ] and promotes bacterial colonization and biofilm growth. This hinders the ability of neutrophils and soluble antimicrobial agents to permeate dense mucus and eradicate bacteria [ 14 , 15 ]. In COPD, numerous inflammatory mediators are synthesized and released in response to oxidative stress, such as the pro-inflammatory transcription factor NF-\u03baB, which is over-expressed and activated by Reactive Oxygen Species (ROS), especially in airway epithelial cells and macrophages [ 7 ]. Oxidative stress also promotes the release of signaling molecules such as phosphoinositide 3-kinase (PI3K) and p38 mitogen-activated protein kinase (MAPK). It also sustains transforming growth factor (TGF)-\u03b2 signaling and the expression of matrix metalloproteinase (MMP)-9, which are implicated in small airway fibrosis and emphysema [ 7 ].”  [PMC11278452 ¶5]</w:t>
      </w:r>
    </w:p>
    <w:p>
      <w:pPr>
        <w:spacing w:after="120"/>
        <w:jc w:val="both"/>
      </w:pPr>
      <w:r>
        <w:rPr>
          <w:rFonts w:ascii="Times New Roman" w:hAnsi="Times New Roman" w:cs="Times New Roman" w:eastAsia="Times New Roman"/>
          <w:b w:val="0"/>
          <w:i w:val="0"/>
          <w:sz w:val="24"/>
        </w:rPr>
        <w:t>“Inflammation of the respiratory tract can contribute to flare-ups and deterioration of COPD [ 16 ]. Bronchiectasis involves irreversible bronchial lumen expansion, compromising mucus clearance [ 17 ] and facilitating bacterial colonization [ 18 ]. The initial production of toxins by bacteria contributes to the activation of both microbial and danger-associated molecular patterns, subsequently heightening inflammation [ 18 ]. As a result, this inflammatory response triggers hyperplasia and metaplasia of goblet cells, eventually resulting in increased secretion of mucus in the airways [ 19 , 20 , 21 ]. NAC has undergone extensive scrutiny in numerous global clinical trials and has been used for many years in treating various respiratory conditions [ 13 , 22 , 23 ]. It is a well-documented and well-established treatment of choice, valued not only for reducing mucus viscosity and promoting discharge but also for its recognized antioxidant and anti-inflammatory properties [ 13 , 22 , 23 ].”  [PMC11278452 ¶6]</w:t>
      </w:r>
    </w:p>
    <w:p>
      <w:pPr>
        <w:spacing w:after="120"/>
        <w:jc w:val="both"/>
      </w:pPr>
      <w:r>
        <w:rPr>
          <w:rFonts w:ascii="Times New Roman" w:hAnsi="Times New Roman" w:cs="Times New Roman" w:eastAsia="Times New Roman"/>
          <w:b w:val="0"/>
          <w:i w:val="0"/>
          <w:sz w:val="24"/>
        </w:rPr>
        <w:t>“The aim of this review is to gather data on the multifaceted properties of NAC [ 13 ], with a specific focus on its anti-inflammatory role. The analysis emphasizes findings from various studies, highlighting the impact of dosage and treatment duration on NAC\u2019s anti-inflammatory effectiveness [ 24 , 25 , 26 , 27 , 28 , 29 ]. The evidence suggests that lower doses may prove effective when administered over an extended treatment period [ 24 , 25 , 26 , 27 , 28 , 29 ]. The goal is to present NAC, traditionally recognized as a dual-action mucolytic and anti-oxidant agent, capable of fluidifying mucus secretions and clearing the airways, as a versatile drug with a multifaceted mechanism of action, rendering it a suitable pharmacological option for a variety of chronic respiratory pathologies characterized by mucus hyperproduction, oxidative stress, and inflammation. 2. Methods The authors performed a comprehensive non-systematic review of the existing literature on PubMed/MEDLINE and Google Scholar, until February 2024, using the following keywords: \u201cN-acetylcysteine\u201d AND \u201canti-inflammatory\u201d OR \u201cmucolytic\u201d OR \u201cantioxidant\u201d OR \u201cchronic respiratory disease\u201d OR \u201cchronic obstructive pulmonary disease\u201d OR \u201cidiopathic pulmonary fibrosis\u201d OR \u201cbronchiectasis\u201d OR \u201ccystic fibrosis\u201d OR \u201casthma\u201d OR \u201cbronchitis\u201d OR \u201canti-infective\u201d. 3.”  [PMC11278452 ¶7]</w:t>
      </w:r>
    </w:p>
    <w:p>
      <w:pPr>
        <w:spacing w:after="120"/>
        <w:jc w:val="both"/>
      </w:pPr>
      <w:r>
        <w:rPr>
          <w:rFonts w:ascii="Times New Roman" w:hAnsi="Times New Roman" w:cs="Times New Roman" w:eastAsia="Times New Roman"/>
          <w:b w:val="0"/>
          <w:i w:val="0"/>
          <w:sz w:val="24"/>
        </w:rPr>
        <w:t>“NAC Exhibits Pharmacological Actions beyond Mucolytic Activity The mechanism of action for NAC is complex and multifaceted and is not yet fully elucidated. NAC is widely utilized to decrease the viscosity and elasticity of mucus [ 30 ]. It achieves this by breaking down the disulfide bonds in mucoproteins, thereby decreasing the viscosity of respiratory secretions [ 22 ]. Apart from the replenishing of depleted GSH content, facilitated by NAC, the gradual release of NAC-derived metabolites may result in a modest increase in H 2 S and its oxidation byproducts including persulfides (RSSH) and polysulfides (RSSnSR) [ 31 ], known as sulfane sulfur metabolites [ 32 ]. These metabolites exhibit cytoprotective effects by aiding in disulfide reduction, acting as direct scavengers of radicals, and preventing irreversible oxidative damage of proteins [ 32 ]. Moreover, modifications involving persulfide on proteins have the potential to modify their function and signaling capabilities, thereby initiating stress-responsive cellular reactions [ 32 ].”  [PMC11278452 ¶8]</w:t>
      </w:r>
    </w:p>
    <w:p>
      <w:pPr>
        <w:spacing w:after="120"/>
        <w:jc w:val="both"/>
      </w:pPr>
      <w:r>
        <w:rPr>
          <w:rFonts w:ascii="Times New Roman" w:hAnsi="Times New Roman" w:cs="Times New Roman" w:eastAsia="Times New Roman"/>
          <w:b w:val="0"/>
          <w:i w:val="0"/>
          <w:sz w:val="24"/>
        </w:rPr>
        <w:t>“The initial use of NAC for respiratory diseases like chronic bronchitis and COPD is primarily linked to its direct and indirect mucolytic activity, aiming to reduce the viscosity of secretions and facilitate expectoration [ 22 ]. However, pre-clinical observations indicate that its effectiveness goes beyond its mucolytic properties, encompassing anti-oxidant, anti-infective, and anti-inflammatory effects. This unique combination of properties suggests an additional and beneficial impact on patients [ 13 , 22 , 33 , 34 ]. The diverse actions of NAC may have implications for reducing exacerbations in individuals with chronic inflammatory respiratory conditions, such as CB/COPD. NAC\u2019s effectiveness has been thoroughly studied in this respiratory disease, and it is employed as an adjunctive medication endorsed by several internationally recognized guidelines [ 35 , 36 , 37 , 38 ]. Indeed, its therapeutic value and substantial supporting evidence have been acknowledged by both the American Thoracic Society and the European Respiratory Society guidelines [ 39 ]. 3.1.”  [PMC11278452 ¶9]</w:t>
      </w:r>
    </w:p>
    <w:p>
      <w:pPr>
        <w:spacing w:after="120"/>
        <w:jc w:val="both"/>
      </w:pPr>
      <w:r>
        <w:rPr>
          <w:rFonts w:ascii="Times New Roman" w:hAnsi="Times New Roman" w:cs="Times New Roman" w:eastAsia="Times New Roman"/>
          <w:b w:val="0"/>
          <w:i w:val="0"/>
          <w:sz w:val="24"/>
        </w:rPr>
        <w:t>“NAC as Anti-Oxidant Abnormal levels of GSH in both extracellular and intracellular compartments are commonly observed in chronic pulmonary diseases, such as CF, bronchiectasis, idiopathic pulmonary fibrosis (IPF), and COPD [ 40 , 41 ]. During the 1980s, Mold\u00e9us and colleagues [ 42 ] pioneered the revelation that NAC demonstrated anti-oxidant effects in respiratory cells and tissues. Their findings showcased NAC\u2019s capability to safeguard against the detrimental impacts of cigarette smoke condensates and hydrogen peroxide (H 2 O 2 ) [ 42 ]. The researchers proposed that NAC\u2019s shielding effect against ROS may be attributed to its function as a precursor to GSH and an enhancer of GSH biosynthesis [ 42 ]. Indeed, from a stringent biochemical perspective, the anti-oxidant characteristics of NAC are intricately linked to the elevation of GSH content, leading to the reduction in ROS synthesis [ 22 ].”  [PMC11278452 ¶10]</w:t>
      </w:r>
    </w:p>
    <w:p>
      <w:pPr>
        <w:spacing w:after="120"/>
        <w:jc w:val="both"/>
      </w:pPr>
      <w:r>
        <w:rPr>
          <w:rFonts w:ascii="Times New Roman" w:hAnsi="Times New Roman" w:cs="Times New Roman" w:eastAsia="Times New Roman"/>
          <w:b w:val="0"/>
          <w:i w:val="0"/>
          <w:sz w:val="24"/>
        </w:rPr>
        <w:t>“However, NAC also possesses the capability to directly engage with oxidants such as hydroxyl radical, hydrogen peroxide, and hypochloric acid [ 30 , 34 ]. The pharmacological characterization of NAC\u2019s anti-oxidant effect took place in the human ex vivo model of acute exacerbations of COPD (AECOPD) consisting of lipopolysaccharide (LPS)-stimulated human bronchi. In two different studies performed by Cazzola et al. [ 27 ] and Calzetta et al. [ 28 ], NAC led to a decrease in LPS-induced malondialdehyde, H 2 O 2 , peroxidase activity, and nitric oxide (NO) production at concentrations of 1\u201310 \u00b5M and 16\u201335 \u00b5M, respectively. Notably, there was also a normalization of GSH levels in the aforementioned two separate studies [ 27 , 28 ], with one study reporting increased superoxide dismutase (SOD) activity by approximately 150% compared to LPS-treated bronchi [ 27 ]. Currently, oxidative stress is recognized as a key predisposing factor in the development of COPD, with an imbalanced oxidant/anti-oxidant state particularly pronounced during AECOPD [ 43 ].”  [PMC11278452 ¶11]</w:t>
      </w:r>
    </w:p>
    <w:p>
      <w:pPr>
        <w:spacing w:after="120"/>
        <w:jc w:val="both"/>
      </w:pPr>
      <w:r>
        <w:rPr>
          <w:rFonts w:ascii="Times New Roman" w:hAnsi="Times New Roman" w:cs="Times New Roman" w:eastAsia="Times New Roman"/>
          <w:b w:val="0"/>
          <w:i w:val="0"/>
          <w:sz w:val="24"/>
        </w:rPr>
        <w:t>“Factors such as inflammation, microbial infection, or smoke exposure can increase GSH content in bronchoalveolar lavage fluid (BALF) as a protective measure against further lung damage [ 40 ]. While GSH concentration increases in the BALF of stable COPD patients, it diminishes during AECOPD [ 44 ]. This indicates that the increase in GSH levels within the lungs is inadequate to effectively counterbalance the significant production of ROS. Maintaining adequate GSH levels is crucial to counteract excessive ROS production during AECOPD [ 45 ]. Thus, therapeutic approaches focused on increasing GSH levels could potentially be beneficial in managing the severity of AECOPD and reducing the occurrence of future episodes. In this context, NAC shows efficacy in restoring the depleted pool of intracellular GSH during AECOPD [ 46 , 47 ] by elevating GSH levels in plasma and BALF [ 48 ]. NAC also reduces ROS secretion by alveolar macrophages (AM) [ 49 ] and exhaled H 2 O 2 and decreases H 2 O 2 production in the respiratory tract of COPD patients [ 50 ].”  [PMC11278452 ¶12]</w:t>
      </w:r>
    </w:p>
    <w:p>
      <w:pPr>
        <w:spacing w:after="120"/>
        <w:jc w:val="both"/>
      </w:pPr>
      <w:r>
        <w:rPr>
          <w:rFonts w:ascii="Times New Roman" w:hAnsi="Times New Roman" w:cs="Times New Roman" w:eastAsia="Times New Roman"/>
          <w:b w:val="0"/>
          <w:i w:val="0"/>
          <w:sz w:val="24"/>
        </w:rPr>
        <w:t>“This is corroborated by De Benedetto et al., who observed a reduction in exhaled H 2 O 2 in patients with COPD after 2 weeks of treatment with NAC at 1200 mg/day administration [ 51 ]. Intriguingly, the reduction in exhaled H 2 O 2 in patients with COPD who received 600 mg/day NAC was observed only after 9\u201312 months [ 50 ], indicating the need for a longer duration of treatment for anti-oxidant effect when lower doses are employed. Collectively, the evidence presented strongly suggests that oxidative stress plays a pivotal role in the pathogenesis of lung abnormalities observed in individuals diagnosed with COPD. Alleviating oxidative stress is anticipated to lead to diminished pulmonary damage and lower the incidence of local infections, thereby significantly slowing the progression of COPD. 3.2. NAC as an Anti-Inflammatory Drug The anti-inflammatory attributes of NAC have been substantiated through various studies [ 13 ].”  [PMC11278452 ¶13]</w:t>
      </w:r>
    </w:p>
    <w:p>
      <w:pPr>
        <w:spacing w:after="120"/>
        <w:jc w:val="both"/>
      </w:pPr>
      <w:r>
        <w:rPr>
          <w:rFonts w:ascii="Times New Roman" w:hAnsi="Times New Roman" w:cs="Times New Roman" w:eastAsia="Times New Roman"/>
          <w:b w:val="0"/>
          <w:i w:val="0"/>
          <w:sz w:val="24"/>
        </w:rPr>
        <w:t>“In the 1980s, multiple investigations suggested that NAC could mitigate cigarette irregularities in polymorphonuclear neutrophils (PMNs) [ 52 ], AM [ 49 , 53 , 54 ], fibroblasts [ 42 ], and epithelial cells [ 55 , 56 ] induced by smoke. In particular, when given to smokers at a high dosage over an 8-week period, NAC has demonstrated efficacy in diminishing airway inflammation by reducing plasma concentrations of elastase and myeloperoxidase, lowering the content of lactoferrin, anti-chymotrypsin, and eosinophil cationic protein (ECP) in BALF, and mitigating the chemotactic activity of neutrophils [ 57 ]. Furthermore, it enhanced AM function in smokers [ 49 ]. In the 1990s, Schreck et al. observed NAC\u2019s effectiveness in reducing the activation of nuclear factor kappa B (NF-kB) in intact Jurkat T cells [ 58 ]. Further support for the anti-inflammatory effect of NAC was provided by data demonstrating a decrease in the chemiluminescence of PMNs in BALF in vitro [ 59 ].”  [PMC11278452 ¶14]</w:t>
      </w:r>
    </w:p>
    <w:p>
      <w:pPr>
        <w:spacing w:after="120"/>
        <w:jc w:val="both"/>
      </w:pPr>
      <w:r>
        <w:rPr>
          <w:rFonts w:ascii="Times New Roman" w:hAnsi="Times New Roman" w:cs="Times New Roman" w:eastAsia="Times New Roman"/>
          <w:b w:val="0"/>
          <w:i w:val="0"/>
          <w:sz w:val="24"/>
        </w:rPr>
        <w:t>“Additionally, NAC administered 1 h before LPS exposure in rats showed a dose-dependent reduction in lung NF-\u03baB activation, leading to significant suppression of endotoxin-induced neutrophilic alveolitis [ 60 ]. Cytokines are pivotal in pulmonary immune defense but may lead to lung injury when produced excessively or dysregulated [ 60 ]. Given NF-\u03baB dependent regulation of various cytokines, it emerges as a key factor in the pathobiology of pulmonary injury caused by excessive inflammation [ 60 ]. Consequently, targeting the NF-\u03baB pathway becomes an appealing strategy for therapies aiming to limit neutrophilic lung inflammation and host-derived lung injury [ 60 ]. NAC\u2019s anti-inflammatory activity in cells of the respiratory tract was demonstrated by Desaki et al. [ 61 ] in 2000, showing its efficacy in reducing the activation of NF-\u03baB in human bronchial epithelial cells treated with silica.”  [PMC11278452 ¶15]</w:t>
      </w:r>
    </w:p>
    <w:p>
      <w:pPr>
        <w:spacing w:after="120"/>
        <w:jc w:val="both"/>
      </w:pPr>
      <w:r>
        <w:rPr>
          <w:rFonts w:ascii="Times New Roman" w:hAnsi="Times New Roman" w:cs="Times New Roman" w:eastAsia="Times New Roman"/>
          <w:b w:val="0"/>
          <w:i w:val="0"/>
          <w:sz w:val="24"/>
        </w:rPr>
        <w:t>“NAC orally administered at 600 mg/day has been reported to reduce sputum ECP and Interleukin-8 (IL-8) concentrations in patients with COPD [ 24 , 25 ]. Additionally, at this dosage, NAC modulated the inflammatory response after ten weeks of intake in COPD patients by decreasing serum IL-8 levels [ 26 ]. This intervention also removed the inverse relationship between the pro-inflammatory cytokine IL-8 and glutathione peroxidase (GPx) and Trolox equivalent antioxidant capacity (TEAC) [ 26 ]. These findings imply that NAC affects IL-8 expression through pathways that are not dependent on GPx and plasma anti-oxidants [ 26 ]. Moreover, it eliminated the positive correlation between intercellular adhesion molecule-1 (ICAM-1) and IL-8, indicating that ICAM-1 expression is modulated by pathways not susceptible to NAC [ 26 ]. A study examining how NAC treatment affects changes induced by sepsis in conscious rats revealed a reduction in inflammatory biomarkers (IL-6, tumor necrosis factor-\u03b1 (TNF-\u03b1), and IL-10) linked to sepsis [ 62 ].”  [PMC11278452 ¶16]</w:t>
      </w:r>
    </w:p>
    <w:p>
      <w:pPr>
        <w:spacing w:after="120"/>
        <w:jc w:val="both"/>
      </w:pPr>
      <w:r>
        <w:rPr>
          <w:rFonts w:ascii="Times New Roman" w:hAnsi="Times New Roman" w:cs="Times New Roman" w:eastAsia="Times New Roman"/>
          <w:b w:val="0"/>
          <w:i w:val="0"/>
          <w:sz w:val="24"/>
        </w:rPr>
        <w:t>“In vitro, NAC reduced inflammatory cytokines, namely IL-6, IL-1\u03b2, and TNF-\u03b1, in LPS-treated macrophages under mild oxidative conditions [ 63 ]. In a hamster model of lung damage induced by SARS-CoV-2, intravenous NAC at high doses (500 mg/kg) significantly decreased levels of pro-inflammatory cytokines such as IL-1\u03b2, IL-6, IFN-\u03b3, and TNF-\u03b1 [ 64 ]. As a result of this decrease, there was reduced infiltration of macrophages at the infection site, thereby preventing lung damage [ 64 ]. In particular, elevated IL-6 levels characterize chronic inflammatory conditions of the lung and have an active role in the development of chronic respiratory conditions such as COPD and asthma, designating it as a crucial pharmacological target [ 65 ]. Reflecting airway inflammation, IL-6 concentration is heightened in sputum [ 66 ] and exhaled breath condensate of COPD patients [ 67 ].”  [PMC11278452 ¶17]</w:t>
      </w:r>
    </w:p>
    <w:p>
      <w:pPr>
        <w:spacing w:after="120"/>
        <w:jc w:val="both"/>
      </w:pPr>
      <w:r>
        <w:rPr>
          <w:rFonts w:ascii="Times New Roman" w:hAnsi="Times New Roman" w:cs="Times New Roman" w:eastAsia="Times New Roman"/>
          <w:b w:val="0"/>
          <w:i w:val="0"/>
          <w:sz w:val="24"/>
        </w:rPr>
        <w:t>“Correlating with the number of exacerbations, IL-6 elevation may be discerned in plasma/serum during exacerbations [ 66 , 68 , 69 ]. A recent study identified a serum IL-6 concentration of 14.030 pg/mL or higher as a risk factor for more than 2 AECOPD in the subsequent year [ 70 ]. Additional evidence indicates that IL-6 could be pivotal in exacerbating COPD, particularly in cases involving co-infection with both the Gram-negative pathogen Haemophilus influenzae and rhinovirus [ 71 ]. It has been recently demonstrated that NAC exerts both anti-oxidant and concentration-dependent effects in human-isolated bronchi of patients with COPD treated with LPS [ 27 ]. The aforementioned studies conducted by Cazzola et al. [ 27 ] and Calzetta et al. [ 28 ] explored the beneficial effect of NAC in reducing airway inflammation caused by LPS. They used a wide variety of concentrations applicable in vitro, including those mimicking the levels found in plasma following daily oral doses of NAC (200 mg, 600 mg, and 1200 mg) in a validated ex vivo model of AECOPD [ 27 , 28 ].”  [PMC11278452 ¶18]</w:t>
      </w:r>
    </w:p>
    <w:p>
      <w:pPr>
        <w:spacing w:after="120"/>
        <w:jc w:val="both"/>
      </w:pPr>
      <w:r>
        <w:rPr>
          <w:rFonts w:ascii="Times New Roman" w:hAnsi="Times New Roman" w:cs="Times New Roman" w:eastAsia="Times New Roman"/>
          <w:b w:val="0"/>
          <w:i w:val="0"/>
          <w:sz w:val="24"/>
        </w:rPr>
        <w:t>“NAC has demonstrated efficacy in regulating neurokinin A (NKA) release in LPS-stimulated human bronchi at concentrations ranging from 1 to 10 \u00b5M [ 27 ] and 5 to 35 \u00b5M [ 28 ] in the two different studies ( Figure 1 ). One of the two studies showed that higher NAC concentrations (300 \u03bcM to 10 mM) were needed to reduce the production of IL-8, IL-1\u03b2, and TNF-\u03b1 from LPS-stimulated human bronchi by approximately 55% [ 27 ]. In contrast, lower concentrations (1 \u03bcM) sufficed to decrease IL-6 levels by approximately 33%, likely through the inhibition of NKA release [ 27 ] ( Figure 1 ). Accordingly, the other study showed that selectively blocking the receptor for NKA NK2 nullified the association between the reduction in NKA release and the decrease in IL-6 content [ 28 ]. This finding suggests that NAC suppresses the neurogenic inflammatory response triggered by LPS by reducing NKA production, subsequently diminishing the increase in IL-6 [ 28 ].”  [PMC11278452 ¶19]</w:t>
      </w:r>
    </w:p>
    <w:p>
      <w:pPr>
        <w:spacing w:after="120"/>
        <w:jc w:val="both"/>
      </w:pPr>
      <w:r>
        <w:rPr>
          <w:rFonts w:ascii="Times New Roman" w:hAnsi="Times New Roman" w:cs="Times New Roman" w:eastAsia="Times New Roman"/>
          <w:b w:val="0"/>
          <w:i w:val="0"/>
          <w:sz w:val="24"/>
        </w:rPr>
        <w:t>“Logistic regression analysis revealed that NAC\u2019s influence on NKA levels correlated positively with IL-6 levels and reduced H 2 O 2 , malondialdehyde, peroxidase activity, and NO levels in both studies [ 27 , 28 ]. Notably, the study by Calzetta et al. [ 28 ] revealed that even very low concentrations, mirroring plasma levels from oral administration at 200 mg/day, were effective against GSH, H 2 O 2 , peroxidase activity, and IL-6. This effect was comparable in magnitude to that obtained with higher doses, reproducing the plasma levels resulting from oral administration at 1200 mg/day and 600 mg/day [ 28 ]. These findings indicate that NAC can modulate the production of NKA, leading to a subsequent beneficial effect against the LPS-induced increase in IL-6 when administered across a spectrum of doses ( Figure 1 ). A detailed, well-fitted logistic regression analysis of the results obtained by Calzetta et al.”  [PMC11278452 ¶20]</w:t>
      </w:r>
    </w:p>
    <w:p>
      <w:pPr>
        <w:spacing w:after="120"/>
        <w:jc w:val="both"/>
      </w:pPr>
      <w:r>
        <w:rPr>
          <w:rFonts w:ascii="Times New Roman" w:hAnsi="Times New Roman" w:cs="Times New Roman" w:eastAsia="Times New Roman"/>
          <w:b w:val="0"/>
          <w:i w:val="0"/>
          <w:sz w:val="24"/>
        </w:rPr>
        <w:t>“[ 28 ] demonstrated that the influence of NAC on NKA production displays a bell-shaped concentration-response curve. This suggests that the inhibitory effect observed at concentrations between 5 to 35 \u00b5M is greater than at higher concentrations [ 28 ]. This distinct fitting model induced by NAC concerning NKA levels may elucidate conflicting dose-effect findings reported in in vitro and in vivo settings, particularly regarding NAC\u2019s anti-inflammatory activity [ 72 ]. These findings imply that additional mechanisms apart from the anti-oxidant activity control the rise of IL-6 in LPS-stimulated human bronchi, particularly when NAC is administered at low concentrations equivalent to an oral dose of 200 mg/day. This suggests a genuine anti-inflammatory effect of NAC, distinct from its anti-oxidant capabilities. Given that the LPS challenge triggers neurogenic inflammation in the airways and IL-6 exacerbates NKA release, NAC at low concentrations seems to finely regulate neurogenic inflammation [ 73 , 74 , 75 , 76 ], a harmful condition that contributes to the cyclical relationship between oxidative stress and inflammation in human bronchi [ 13 , 27 ].”  [PMC11278452 ¶21]</w:t>
      </w:r>
    </w:p>
    <w:p>
      <w:pPr>
        <w:spacing w:after="120"/>
        <w:jc w:val="both"/>
      </w:pPr>
      <w:r>
        <w:rPr>
          <w:rFonts w:ascii="Times New Roman" w:hAnsi="Times New Roman" w:cs="Times New Roman" w:eastAsia="Times New Roman"/>
          <w:b w:val="0"/>
          <w:i w:val="0"/>
          <w:sz w:val="24"/>
        </w:rPr>
        <w:t>“Notably, a recent meta-analysis by Askari et al. [ 77 ] delving into the impact of oral NAC on serum inflammatory biomarkers uncovered that only a high dosage (\u22651200 mg/day) of orally administered NAC effectively reduced C-reactive protein (CRP) levels. However, a noteworthy decrease in circulating IL-6 was reported with a dosage below 1200 mg/day [ 77 ]. This suggests that while high doses may be necessary for diminishing serum IL-6, these requirements are still lower than those needed for decreasing CRP levels. In their study [ 77 ], no discernible effect on the circulating levels of VCAM-1, ICAM-1, MCP-1, IL-8, and TNF-\u03b1 was reported following oral administration of NAC. This aligns with the abovementioned findings of Cazzola et al. [ 27 ], where high concentrations of NAC (ranging from 300 \u03bcM to 10 mM) were required to reduce the release of IL-1\u03b2, IL-8, and TNF-\u03b1 by LPS-stimulated bronchi.”  [PMC11278452 ¶22]</w:t>
      </w:r>
    </w:p>
    <w:p>
      <w:pPr>
        <w:spacing w:after="120"/>
        <w:jc w:val="both"/>
      </w:pPr>
      <w:r>
        <w:rPr>
          <w:rFonts w:ascii="Times New Roman" w:hAnsi="Times New Roman" w:cs="Times New Roman" w:eastAsia="Times New Roman"/>
          <w:b w:val="0"/>
          <w:i w:val="0"/>
          <w:sz w:val="24"/>
        </w:rPr>
        <w:t>“Additionally, the duration of treatment significantly influences NAC\u2019s anti-inflammatory activity, as evidenced by Montero et al.\u2019s study [ 29 ]. Their findings showed that A549 cells treated with doses of NAC reflecting plasma concentrations after oral doses of 600 mg and 1200 mg prevented ROS induction, decreased thiol level, correlated with intracellular GSH levels, and suppressed IL-6 and IL-8 levels while inhibiting NF\u03baB activation [ 29 ]. The extended incubation period enabled even lower concentrations of NAC to exhibit anti-inflammatory effects, suggesting that NAC\u2019s positive impact on IL-6 regulation may stem from both its anti-oxidant properties and other anti-inflammatory mechanisms [ 27 , 28 , 29 ]. These results provide new evidence by confirming the concentration and time-dependent effects of NAC, both in vivo and in vitro, as suggested by Sadowska et al.”  [PMC11278452 ¶23]</w:t>
      </w:r>
    </w:p>
    <w:p>
      <w:pPr>
        <w:spacing w:after="120"/>
        <w:jc w:val="both"/>
      </w:pPr>
      <w:r>
        <w:rPr>
          <w:rFonts w:ascii="Times New Roman" w:hAnsi="Times New Roman" w:cs="Times New Roman" w:eastAsia="Times New Roman"/>
          <w:b w:val="0"/>
          <w:i w:val="0"/>
          <w:sz w:val="24"/>
        </w:rPr>
        <w:t>“[ 72 ]. NAC\u2019s effects may be attributed to both its sustained anti-oxidant activity and its impact on intracellular events, including the regulation of NF-\u03baB activation and NKA release. 4. Clinical Effectiveness of NAC in Pulmonary Medicine Pre-clinical observations on NAC suggest that its diverse pharmacologic characteristics, including mucolytic activity and specific anti-oxidant and anti-inflammatory effects, may have a beneficial impact on COPD ( Figure 2 ). A correlation between exacerbation frequency and sputum IL-8 and IL-6 levels has been established [ 68 ]. NAC, by acting on baseline levels of these cytokines, may contribute to limiting the inflammatory status and modulating exacerbation frequency. Additionally, by reducing sputum viscosity, NAC may facilitate airway clearance, influencing the course of exacerbation, as there is a link between bacterial colonization and exacerbation frequency and character [ 78 ].”  [PMC11278452 ¶24]</w:t>
      </w:r>
    </w:p>
    <w:p>
      <w:pPr>
        <w:spacing w:after="120"/>
        <w:jc w:val="both"/>
      </w:pPr>
      <w:r>
        <w:rPr>
          <w:rFonts w:ascii="Times New Roman" w:hAnsi="Times New Roman" w:cs="Times New Roman" w:eastAsia="Times New Roman"/>
          <w:b w:val="0"/>
          <w:i w:val="0"/>
          <w:sz w:val="24"/>
        </w:rPr>
        <w:t>“The anti-infective properties and the ability to modulate the human bronchial tone of NAC can also impact the progression of COPD [ 13 ]. Patients experiencing frequent AECOPD may exhibit airway colonization by bacteria that produce biofilm [ 79 ], potentially perpetuating a harmful cycle of infection and inflammation that contributes to disease progression [ 80 , 81 , 82 ]. NAC\u2019s antimicrobial activity has been demonstrated against various microorganisms, affecting different steps of biofilm formation [ 33 , 79 ]. NAC may also demonstrate strong anti-mycobacterial effects, reducing Mycobacterium tuberculosis infection and disease [ 83 ] and enhancing the effectiveness of antibiotics against bacterial infections [ 84 , 85 , 86 , 87 , 88 ]. However, it\u2019s crucial to highlight that the plasma concentrations of NAC needed for its anti-infective properties can be much higher than what can be achieved through oral administration [ 13 ].”  [PMC11278452 ¶25]</w:t>
      </w:r>
    </w:p>
    <w:p>
      <w:pPr>
        <w:spacing w:after="120"/>
        <w:jc w:val="both"/>
      </w:pPr>
      <w:r>
        <w:rPr>
          <w:rFonts w:ascii="Times New Roman" w:hAnsi="Times New Roman" w:cs="Times New Roman" w:eastAsia="Times New Roman"/>
          <w:b w:val="0"/>
          <w:i w:val="0"/>
          <w:sz w:val="24"/>
        </w:rPr>
        <w:t>“NAC has been shown to counteract bronchial desensitization during LPS challenges, restoring the normal contractility of airway smooth cells in an ex vivo AECOPD model [ 27 ], suggesting a potential role in protecting against exacerbations. While certain dated studies found a small but significant positive impact of NAC on respiratory function in stable COPD patients, as measured by FEV 1 [ 89 , 90 ] and MEF 50 [ 90 ], recent research yielded disappointing results [ 91 , 92 , 93 ]. This discrepancy may stem from the limited sensitivity of these measures in detecting small airway disease and air trapping, where NAC is believed to exert its greatest effect, as evidenced by the improved FEF 25\u201375% observed in the BRONCUS trial [ 91 ]. The randomized placebo-controlled HIACE and PANTHEON trials highlight a reduction in exacerbation rates in patients with COPD treated with 1200 mg/day of NAC for one year [ 88 , 94 ].”  [PMC11278452 ¶26]</w:t>
      </w:r>
    </w:p>
    <w:p>
      <w:pPr>
        <w:spacing w:after="120"/>
        <w:jc w:val="both"/>
      </w:pPr>
      <w:r>
        <w:rPr>
          <w:rFonts w:ascii="Times New Roman" w:hAnsi="Times New Roman" w:cs="Times New Roman" w:eastAsia="Times New Roman"/>
          <w:b w:val="0"/>
          <w:i w:val="0"/>
          <w:sz w:val="24"/>
        </w:rPr>
        <w:t>“This effect appears more pronounced in stable COPD patients and mild disease cases, irrespective of the AECOPD rate [ 88 , 94 ]. Accordingly, a meta-analysis by Shen et al. [ 95 ] suggests that extended therapy with high doses of NAC (&gt;600 mg/day) can decrease AECOPD. Another meta-analysis conducted by Cazzola et al. [ 96 ] reports that oral administration of NAC for 4 months or more effectively reduces the frequency of AECOPD. However, higher doses (\u22651200 mg/day) were needed for this effect, while NAC at the dosage of \u2264600 mg/day prevented exacerbation of chronic bronchitis [ 96 ]. In another meta-analysis, the same authors also highlight that high doses of NAC (1200 mg/day), employed as additional therapy in COPD patients, prevent AECOPD [ 97 ]. In contrast, a systematic review by Fowdar et al. [ 92 ] indicates that both low-dose NAC (\u2264600 mg/day) and high-dose NAC (&gt;600 mg/day) can safely reduce the percentage of patients experiencing one exacerbation or more after at least 6 months of treatment.”  [PMC11278452 ¶27]</w:t>
      </w:r>
    </w:p>
    <w:p>
      <w:pPr>
        <w:spacing w:after="120"/>
        <w:jc w:val="both"/>
      </w:pPr>
      <w:r>
        <w:rPr>
          <w:rFonts w:ascii="Times New Roman" w:hAnsi="Times New Roman" w:cs="Times New Roman" w:eastAsia="Times New Roman"/>
          <w:b w:val="0"/>
          <w:i w:val="0"/>
          <w:sz w:val="24"/>
        </w:rPr>
        <w:t>“This suggests that administering NAC over the long term can decrease the likelihood of COPD exacerbations, irrespective of dosage. In chronic bronchitis, NAC 600 mg/day over a duration of 3\u20136 months prevented acute exacerbations and improved symptoms [ 98 , 99 ]. A recent meta-analysis including twenty studies and a total of 4044 patients evaluated oral NAC efficacy either in patients with CB/pre-COPD (patients with chronic bronchitis and no diagnosis of COPD) or with confirmed COPD: in both groups, patients treated with NAC exhibited a noteworthy decrease in the occurrence of exacerbations [ 100 ]. Furthermore, CB/pre-COPD patients treated with NAC showed a significant likelihood of experiencing symptom improvement and/or improved QoL compared to those receiving a placebo [ 100 ]. NAC is linked to a favorable safety profile, with a beneficial impact observed in both patients with stable COPD and individuals at risk of AECOPD, regardless of inhaled corticosteroid use [ 88 , 92 , 96 , 97 , 101 ].”  [PMC11278452 ¶28]</w:t>
      </w:r>
    </w:p>
    <w:p>
      <w:pPr>
        <w:spacing w:after="120"/>
        <w:jc w:val="both"/>
      </w:pPr>
      <w:r>
        <w:rPr>
          <w:rFonts w:ascii="Times New Roman" w:hAnsi="Times New Roman" w:cs="Times New Roman" w:eastAsia="Times New Roman"/>
          <w:b w:val="0"/>
          <w:i w:val="0"/>
          <w:sz w:val="24"/>
        </w:rPr>
        <w:t>“Some years ago, mucolytic agents, like NAC, were recognized as the most cost-effective treatment option for managing severe COPD patients prone to frequent exacerbations [ 102 ]. Based on the currently available findings, the Global Initiative for Chronic Obstructive Lung Disease (GOLD) strategy incorporates a section titled \u201cMucolytic (mucokinetics, mucoregulators) and anti-oxidant agents (NAC, carbocysteine)\u201d [ 35 ]. The recommendations explicitly state that \u201cin COPD patients not receiving inhaled corticosteroids, regular treatment with mucolytics such as carbocysteine and N-acetylcysteine may reduce exacerbations and modestly improve health status\u201d [ 35 ]. Accordingly, the European Respiratory Society/American Thoracic Society guideline emphasizes that mucolytic therapy diminishes the probability of hospitalization in COPD patients [ 39 ]. Moreover, when administered in elevated doses, it has the potential to decrease exacerbations [ 39 ].”  [PMC11278452 ¶29]</w:t>
      </w:r>
    </w:p>
    <w:p>
      <w:pPr>
        <w:spacing w:after="120"/>
        <w:jc w:val="both"/>
      </w:pPr>
      <w:r>
        <w:rPr>
          <w:rFonts w:ascii="Times New Roman" w:hAnsi="Times New Roman" w:cs="Times New Roman" w:eastAsia="Times New Roman"/>
          <w:b w:val="0"/>
          <w:i w:val="0"/>
          <w:sz w:val="24"/>
        </w:rPr>
        <w:t>“Extensive evidence from randomized clinical trials and thorough meta-analyses supports the efficacy of long-term NAC administration in decreasing the risk of AECOPD [ 88 , 94 , 96 , 97 ] and establishes a dose-related protective effect [ 96 , 97 ]. Additionally, pre-clinical in vitro studies indicate that chronic administration may require lower doses for efficacy [ 97 ]. However, there remains a crucial need for larger and more robust randomized controlled trials to optimize dosage and duration of treatment. Such trials can contribute to instilling greater confidence and facilitate the widespread adoption of NAC as a safe and effective therapy for COPD management. Concerning lung diseases other than COPD, thiol drugs have been proposed to have anti-fibrotic activity in IPF, attributed to their antioxidant and anti-inflammatory effects [ 103 , 104 , 105 ]. This condition involves the generation of oxygen radicals and a reduction in GSH levels [ 106 ].”  [PMC11278452 ¶30]</w:t>
      </w:r>
    </w:p>
    <w:p>
      <w:pPr>
        <w:spacing w:after="120"/>
        <w:jc w:val="both"/>
      </w:pPr>
      <w:r>
        <w:rPr>
          <w:rFonts w:ascii="Times New Roman" w:hAnsi="Times New Roman" w:cs="Times New Roman" w:eastAsia="Times New Roman"/>
          <w:b w:val="0"/>
          <w:i w:val="0"/>
          <w:sz w:val="24"/>
        </w:rPr>
        <w:t>“Despite these potential benefits, clinical trials for IPF have produced inconsistent results [ 103 , 106 , 107 , 108 ]. Using oral NAC, either by itself or in conjunction with pirfenidone or nintedanib, might be an effective treatment option for certain IPF patients [ 109 ], particularly those with the rs3750920 (TOLLIP) TT genotype [ 110 ]. Data on the overall efficacy and safety of NAC in a pharmacogenomic context, tailored to patients most likely to benefit, are eagerly awaited [ 108 ]. In addition, NAC is also utilized for treating non-CF bronchiectasis, where it could help decrease the frequency of exacerbations [ 111 ]. A recent randomized placebo-controlled pilot study evaluated the impact of NAC on sputum neutrophil elastase levels, which serve as a surrogate marker for exacerbations, in adult patients with bronchiectasis [ 112 ]. They observed a nearly 50% reduction in sputum neutrophil elastase and improvements in lung function and QoL-related domains, without increased adverse events compared to placebo [ 112 ].”  [PMC11278452 ¶31]</w:t>
      </w:r>
    </w:p>
    <w:p>
      <w:pPr>
        <w:spacing w:after="120"/>
        <w:jc w:val="both"/>
      </w:pPr>
      <w:r>
        <w:rPr>
          <w:rFonts w:ascii="Times New Roman" w:hAnsi="Times New Roman" w:cs="Times New Roman" w:eastAsia="Times New Roman"/>
          <w:b w:val="0"/>
          <w:i w:val="0"/>
          <w:sz w:val="24"/>
        </w:rPr>
        <w:t>“A multicenter, double-blind, randomized, placebo-controlled trial is presently in progress to investigate the sustained effectiveness of oral NAC on exacerbation rates and QoL in bronchiectasis [ 113 ]. The study aims to specifically focus on the antioxidant, anti-inflammatory, and antibacterial properties of NAC in bronchiectasis [ 113 ]. NAC is also used in CF, which is characterized by frequent respiratory infections, PMN-mediated inflammation, and increased oxidative stress [ 114 ]. However, evidence of NAC effectiveness in CF is still poor, despite some encouraging results [ 115 , 116 , 117 ], and further studies on larger samples are needed [ 114 ]. Interestingly, NAC as adjunctive therapy has been associated with reduced rates of progression to respiratory failure, with some studies reporting shorter hospital stays and others indicating decreased mortality in patients hospitalized for COVID-19 pneumonia [ 118 ]. 5.”  [PMC11278452 ¶32]</w:t>
      </w:r>
    </w:p>
    <w:p>
      <w:pPr>
        <w:spacing w:after="120"/>
        <w:jc w:val="both"/>
      </w:pPr>
      <w:r>
        <w:rPr>
          <w:rFonts w:ascii="Times New Roman" w:hAnsi="Times New Roman" w:cs="Times New Roman" w:eastAsia="Times New Roman"/>
          <w:b w:val="0"/>
          <w:i w:val="0"/>
          <w:sz w:val="24"/>
        </w:rPr>
        <w:t>“Conclusions In conclusion, although adjusting the anti-oxidant status may indirectly trigger anti-inflammatory effects, recent findings in vitro [ 28 ] highlight a distinctive anti-inflammatory activity of NAC at low concentrations, equivalent to an oral dosage as low as 200 mg/day. This bolsters the evidence suggesting that NAC may disrupt the harmful cycle between oxidative stress and inflammation, a detrimental condition prevalent in the airways of patients undergoing acute exacerbations of chronic respiratory conditions [ 13 ]. The prospect of utilizing NAC in COPD treatment appears promising, especially with prolonged administration (beyond 6 months). While the proposed mechanism, potentially involving NF-\u03baB inhibition and the inhibition of NKA release, holds promise for influencing the production of diverse mediators and regulating inflammation more profoundly, further investigation is required for a comprehensive understanding.”  [PMC11278452 ¶33]</w:t>
      </w:r>
    </w:p>
    <w:p>
      <w:pPr>
        <w:spacing w:after="120"/>
        <w:jc w:val="both"/>
      </w:pPr>
      <w:r>
        <w:rPr>
          <w:rFonts w:ascii="Times New Roman" w:hAnsi="Times New Roman" w:cs="Times New Roman" w:eastAsia="Times New Roman"/>
          <w:b w:val="0"/>
          <w:i w:val="0"/>
          <w:sz w:val="24"/>
        </w:rPr>
        <w:t>“Clinical trial results suggest that prolonged NAC administration can significantly enhance respiratory symptoms and decrease the frequency of exacerbations in COPD and CB/pre-COPD patients.", "tables": [], "figures": [ { "label": "Figure 1", "caption": "Differential modulation of pro-inflammatory mediators in relation to both the concentration and duration of treatment with N-acetylcysteine in in vitro models of airway inflammation. NAC: N-acetylcysteine; LPS: lipopolysaccharides; NKA: neurokinin A; IL-6: Interleukin-6; TNF-\u03b1: tumor necrosis factor-\u03b1; IL-8: Interleukin-8; IL-1\u03b2: Interleukin-1beta; NF-\u03baB: Nuclear factor kappa B.", "graphic_href": "jcm-13-04127-g001.jpg" }, { "label": "Figure 2", "caption": "Proposed molecular mechanisms for the therapeutic activity of N-acetylcysteine after oral administration in chronic respiratory diseases. NAC: N-acetylcysteine; GSH: glutathione; RSSH: persulfides; RSS n SR: polysulfides; NKA: neurokinin A; NF-\u03baB: Nuclear factor kappa B; TNF-\u03b1: tumor necrosis factor-\u03b1; IL-1\u03b2: Interleukin-1beta; IL-8: Interleukin-8; ROS: reactive oxygen species.", "graphic_href": "jcm-13-04127-g002.jpg" } ], "references": [ { "title": "The reduction in vitro in viscosity of mucoprotein solutions by a new mucolytic agent, N-acetyl-L-cysteine", "year": "1963", "source": "Ann.”  [PMC11278452 ¶34]</w:t>
      </w:r>
    </w:p>
    <w:p>
      <w:pPr>
        <w:spacing w:after="120"/>
        <w:jc w:val="both"/>
      </w:pPr>
      <w:r>
        <w:rPr>
          <w:rFonts w:ascii="Times New Roman" w:hAnsi="Times New Roman" w:cs="Times New Roman" w:eastAsia="Times New Roman"/>
          <w:b w:val="0"/>
          <w:i w:val="0"/>
          <w:sz w:val="24"/>
        </w:rPr>
        <w:t>“N. Y. Acad. Sci.", "doi": "10.1111/j.1749-6632.1963.tb16647.x", "pmid": "13977050" }, { "title": "Treatment of paracetamol (acetaminophen) poisoning with N-acetylcysteine", "year": "1977", "source": "Lancet", "doi": "10.1016/S0140-6736(77)90612-2", "pmid": "70646" }, { "title": "Treatment of airway mucus hypersecretion", "year": "2006", "source": "Ann. Med.", "doi": "10.1080/07853890600585795", "pmid": "16581697" }, { "title": "Airway mucus function and dysfunction", "year": "2010", "source": "N. Engl. J. Med.", "doi": "10.1056/NEJMra0910061", "pmid": "21121836", "pmcid": "PMC4048736" }, { "title": "Oxidative Stress and Inflammation in Acute and Chronic Lung Injuries", "year": "2023", "source": "Antioxidants", "doi": "10.3390/antiox12030548", "pmid": "36978796", "pmcid": "PMC10045332" }, { "title": "Oxidative Stress in Chronic Obstructive Pulmonary Disease", "year": "2022", "source": "Antioxidants", "doi": "10.3390/antiox11050965", "pmid": "35624831", "pmcid": "PMC9138026" }, { "title": "Mucin overproduction in chronic inflammatory lung disease", "year": "2006", "source": "Can.”  [PMC11278452 ¶35]</w:t>
      </w:r>
    </w:p>
    <w:p>
      <w:pPr>
        <w:spacing w:after="120"/>
        <w:jc w:val="both"/>
      </w:pPr>
      <w:r>
        <w:rPr>
          <w:rFonts w:ascii="Times New Roman" w:hAnsi="Times New Roman" w:cs="Times New Roman" w:eastAsia="Times New Roman"/>
          <w:b w:val="0"/>
          <w:i w:val="0"/>
          <w:sz w:val="24"/>
        </w:rPr>
        <w:t>“Respir. J.", "doi": "10.1155/2006/901417", "pmid": "16983448", "pmcid": "PMC2683320" }, { "title": "Advances in mucous cell metaplasia: A plug for mucus as a therapeutic focus in chronic airway disease", "year": "2010", "source": "Am. J. Respir. Cell Mol. Biol.", "doi": "10.1165/rcmb.2009-0151TR", "pmid": "19520914", "pmcid": "PMC2830403" }, { "title": "Airway Mucus Hyperconcentration in Non\u2013Cystic Fibrosis Bronchiectasis", "year": "2020", "source": "Am. J. Respir. Crit. Care Med.", "doi": "10.1164/rccm.201906-1219OC", "pmid": "31765597", "pmcid": "PMC7068838" }, { "title": "Cilia Dysfunction in Lung Disease", "year": "2015", "source": "Annu. Rev. Physiol.", "doi": "10.1146/annurev-physiol-021014-071931", "pmid": "25386990", "pmcid": "PMC4465242" }, { "title": "Pathology, pathogenesis, and pathophysiology", "year": "2006", "source": "BMJ", "doi": "10.1136/bmj.332.7551.1202" }, { "title": "Multifaceted activity of N-acetyl-l-cysteine in chronic obstructive pulmonary disease", "year": "2018", "source": "Expert.”  [PMC11278452 ¶36]</w:t>
      </w:r>
    </w:p>
    <w:p>
      <w:pPr>
        <w:spacing w:after="120"/>
        <w:jc w:val="both"/>
      </w:pPr>
      <w:r>
        <w:rPr>
          <w:rFonts w:ascii="Times New Roman" w:hAnsi="Times New Roman" w:cs="Times New Roman" w:eastAsia="Times New Roman"/>
          <w:b w:val="0"/>
          <w:i w:val="0"/>
          <w:sz w:val="24"/>
        </w:rPr>
        <w:t>“Rev. Respir. Med.", "doi": "10.1080/17476348.2018.1495562", "pmid": "29972340" }, { "title": "Effective mucus clearance is essential for respiratory health", "year": "2006", "source": "Am. J. Respir. Cell Mol. Biol.", "doi": "10.1165/rcmb.2006-0082SF", "pmid": "16528010", "pmcid": "PMC2658694" }, { "title": "Reduced three-dimensional motility in dehydrated airway mucus prevents neutrophil capture and killing bacteria on airway epithelial surfaces", "year": "2005", "source": "J. Immunol.", "doi": "10.4049/jimmunol.175.2.1090", "pmid": "16002710" }, { "title": "Pathophysiology of exacerbations of chronic obstructive pulmonary disease", "year": "2006", "source": "Proc. Am. Thorac. Soc.", "doi": "10.1513/pats.200512-125SF", "pmid": "16636093" }, { "title": "Airway clearance techniques in bronchiectasis: Analysis from the United States Bronchiectasis and Non-TB Mycobacteria Research Registry", "year": "2020", "source": "Chest", "doi": "10.1016/j.chest.2020.06.050", "pmid": "32622820", "pmcid": "PMC7674976" }, { "title": "Bacterial colonization and associated factors in patients with bronchiectasis", "year": "2016", "source": "Ann.”  [PMC11278452 ¶37]</w:t>
      </w:r>
    </w:p>
    <w:p>
      <w:pPr>
        <w:spacing w:after="120"/>
        <w:jc w:val="both"/>
      </w:pPr>
      <w:r>
        <w:rPr>
          <w:rFonts w:ascii="Times New Roman" w:hAnsi="Times New Roman" w:cs="Times New Roman" w:eastAsia="Times New Roman"/>
          <w:b w:val="0"/>
          <w:i w:val="0"/>
          <w:sz w:val="24"/>
        </w:rPr>
        <w:t>“Thorac. Med.", "doi": "10.4103/1817-1737.172297", "pmid": "26933458", "pmcid": "PMC4748616" }, { "title": "SAM-pointed domain ETS factor mediates epithelial cell-intrinsic innate immune signaling during airway mucous metaplasia", "year": "2012", "source": "Proc. Natl. Acad. Sci. USA", "doi": "10.1073/pnas.1208092109", "pmid": "23012424", "pmcid": "PMC3478616" }, { "title": "The role of airway epithelial cells and innate immune cells in chronic respiratory disease", "year": "2014", "source": "Nat. Rev. Immunol.", "doi": "10.1038/nri3739", "pmid": "25234144", "pmcid": "PMC4782595" }, { "title": "Blocking airway mucous cell metaplasia by inhibiting EGFR antiapoptosis and IL-13 transdifferentiation signals", "year": "2006", "source": "J. Clin. Investig.", "doi": "10.1172/JCI25167", "pmid": "16453019", "pmcid": "PMC1359039" }, { "title": "N-Acetylcysteine (NAC): Impacts on Human Health", "year": "2021", "source": "Antioxidants", "doi": "10.3390/antiox10060967", "pmid": "34208683", "pmcid": "PMC8234027" }, { "title": "Role of N-acetylcysteine in the management of COPD", "year": "2006", "source": "Int.”  [PMC11278452 ¶38]</w:t>
      </w:r>
    </w:p>
    <w:p>
      <w:pPr>
        <w:spacing w:after="120"/>
        <w:jc w:val="both"/>
      </w:pPr>
      <w:r>
        <w:rPr>
          <w:rFonts w:ascii="Times New Roman" w:hAnsi="Times New Roman" w:cs="Times New Roman" w:eastAsia="Times New Roman"/>
          <w:b w:val="0"/>
          <w:i w:val="0"/>
          <w:sz w:val="24"/>
        </w:rPr>
        <w:t>“J. Chron. Obstruct Pulmon Dis.", "doi": "10.2147/copd.2006.1.4.425", "pmid": "18044098", "pmcid": "PMC2707813" }, { "title": "Sputum ECP levels in COPD patients decrease after treatment with N-acetylcysteine (NAC)", "year": "1997", "source": "Eur. Respir. J." }, { "title": "New developments in the treatment of COPD: Comparing the effects of inhaled corticosteroids and N-acetylcysteine", "year": "2005", "source": "J. Physiol. Pharmacol.", "pmid": "16204787" }, { "title": "The interrelationship between markers of inflammation and oxidative stress in chronic obstructive pulmonary disease: Modulation by inhaled steroids and antioxidant", "year": "2005", "source": "Respir. Med.", "doi": "10.1016/j.rmed.2004.07.005", "pmid": "15715193" }, { "title": "Pharmacological investigation on the anti-oxidant and anti-inflammatory activity of N-acetylcysteine in an ex vivo model of COPD exacerbation", "year": "2017", "source": "Respir.”  [PMC11278452 ¶39]</w:t>
      </w:r>
    </w:p>
    <w:p>
      <w:pPr>
        <w:spacing w:after="120"/>
        <w:jc w:val="both"/>
      </w:pPr>
      <w:r>
        <w:rPr>
          <w:rFonts w:ascii="Times New Roman" w:hAnsi="Times New Roman" w:cs="Times New Roman" w:eastAsia="Times New Roman"/>
          <w:b w:val="0"/>
          <w:i w:val="0"/>
          <w:sz w:val="24"/>
        </w:rPr>
        <w:t>“Res.", "doi": "10.1186/s12931-016-0500-y", "pmid": "28118826", "pmcid": "PMC5260037" }, { "title": "N-Acetylcysteine protects human bronchi by modulating the release of neurokinin A in an ex vivo model of COPD exacerbation", "year": "2018", "source": "Biomed. Pharmacother.", "doi": "10.1016/j.biopha.2018.04.011", "pmid": "29635121" }, { "title": "Influence of dose and exposition time in the effectiveness of N-Acetyl-l-cysteine treatment in A549 human epithelial cells", "year": "2023", "source": "Heliyon", "doi": "10.1016/j.heliyon.2023.e15613", "pmid": "37144195", "pmcid": "PMC10151372" }, { "title": "The antioxidant action of N-acetylcysteine: Its reaction with hydrogen peroxide, hydroxyl radical, superoxide, and hypochlorous acid", "year": "1989", "source": "Free Radic. Biol. Med.", "doi": "10.1016/0891-5849(89)90066-X", "pmid": "2546864" }, { "title": "H2S: A Novel Gasotransmitter that Signals by Sulfhydration", "year": "2015", "source": "Trends Biochem.”  [PMC11278452 ¶40]</w:t>
      </w:r>
    </w:p>
    <w:p>
      <w:pPr>
        <w:spacing w:after="120"/>
        <w:jc w:val="both"/>
      </w:pPr>
      <w:r>
        <w:rPr>
          <w:rFonts w:ascii="Times New Roman" w:hAnsi="Times New Roman" w:cs="Times New Roman" w:eastAsia="Times New Roman"/>
          <w:b w:val="0"/>
          <w:i w:val="0"/>
          <w:sz w:val="24"/>
        </w:rPr>
        <w:t>“Sci.", "doi": "10.1016/j.tibs.2015.08.007", "pmid": "26439534", "pmcid": "PMC4630104" }, { "title": "The mechanism of action of N-acetylcysteine (NAC): The emerging role of H2S and sulfane sulfur species", "year": "2021", "source": "Pharmacol. Ther.", "doi": "10.1016/j.pharmthera.2021.107916", "pmid": "34171332" }, { "title": "N-Acetylcysteine and Its Immunomodulatory Properties in Humans and Domesticated Animals", "year": "2023", "source": "Antioxidants", "doi": "10.3390/antiox12101867", "pmid": "37891946", "pmcid": "PMC10604897" }, { "title": "Oxidative stress and respiratory system: Pharmacological and clinical reappraisal of N-acetylcysteine", "year": "2014", "source": "COPD J. Chronic Obstr. Pulm. Dis.", "doi": "10.3109/15412555.2014.898040", "pmcid": "PMC4245155", "pmid": "24787454" }, { "title": "2024 GOLD Report", "year": "", "source": "" }, { "title": "Spanish COPD Guidelines (GesEPOC) 2021: Updated Pharmacological treatment of stable COPD", "year": "2022", "source": "Arch.”  [PMC11278452 ¶41]</w:t>
      </w:r>
    </w:p>
    <w:p>
      <w:pPr>
        <w:spacing w:after="120"/>
        <w:jc w:val="both"/>
      </w:pPr>
      <w:r>
        <w:rPr>
          <w:rFonts w:ascii="Times New Roman" w:hAnsi="Times New Roman" w:cs="Times New Roman" w:eastAsia="Times New Roman"/>
          <w:b w:val="0"/>
          <w:i w:val="0"/>
          <w:sz w:val="24"/>
        </w:rPr>
        <w:t>“Bronconeumol.", "doi": "10.1016/j.arbres.2021.03.005", "pmid": "33840553" }, { "title": "Prevention of acute exacerbations of COPD: American College of Chest Physicians and Canadian Thoracic Society Guideline", "year": "2015", "source": "Chest", "doi": "10.1378/chest.14-1676", "pmid": "25321320", "pmcid": "PMC4388124" }, { "title": "Full article: CTS position statement: Pharmacotherapy in patients with COPD\u2014An update", "year": "2017", "source": "Can. J. Respir. Crit. Care Sleep Med." }, { "title": "Prevention of COPD exacerbations: A European Respiratory Society/American Thoracic Society guideline", "year": "2017", "source": "Eur. Respir. J.", "doi": "10.1183/13993003.02265-2016", "pmid": "28889106" }, { "title": "Targeting maladaptive glutathione responses in lung disease", "year": "2011", "source": "Biochem. Pharmacol.", "doi": "10.1016/j.bcp.2010.10.001", "pmid": "20951119", "pmcid": "PMC3039114" }, { "title": "Cellular and plasma oxidative stress biomarkers are raised in adults with bronchiectasis", "year": "2013", "source": "Clin.”  [PMC11278452 ¶42]</w:t>
      </w:r>
    </w:p>
    <w:p>
      <w:pPr>
        <w:spacing w:after="120"/>
        <w:jc w:val="both"/>
      </w:pPr>
      <w:r>
        <w:rPr>
          <w:rFonts w:ascii="Times New Roman" w:hAnsi="Times New Roman" w:cs="Times New Roman" w:eastAsia="Times New Roman"/>
          <w:b w:val="0"/>
          <w:i w:val="0"/>
          <w:sz w:val="24"/>
        </w:rPr>
        <w:t>“Nutr.", "doi": "10.1016/j.clnu.2012.06.002", "pmid": "22749311" }, { "title": "Lung protection by a thiol-containing antioxidant: N-acetylcysteine", "year": "1986", "source": "Respiration", "doi": "10.1159/000195086", "pmid": "3809741" }, { "title": "Oxidative stress in COPD", "year": "2013", "source": "Chest", "doi": "10.1378/chest.12-2664", "pmid": "23880677" }, { "title": "Oxidative stress and airway inflammation in severe exacerbations of COPD", "year": "2005", "source": "Thorax", "doi": "10.1136/thx.2004.027946", "pmid": "15790984", "pmcid": "PMC1747355" }, { "title": "Oxidation pathway and exacerbations in COPD: The role of NAC", "year": "2016", "source": "Expert Rev. Respir. Med.", "doi": "10.1586/17476348.2016.1121105", "pmid": "26567752" }, { "title": "Effect of N-acetyl cysteine on the concentrations of thiols in plasma, bronchoalveolar lavage fluid, and lung tissue", "year": "1994", "source": "Thorax", "doi": "10.1136/thx.49.7.670", "pmid": "8066561", "pmcid": "PMC475055" }, { "title": "The effects of N-acetylcysteine and glutathione on smoke-induced changes in lung phagocytes and epithelial cells", "year": "1991", "source": "Am.”  [PMC11278452 ¶43]</w:t>
      </w:r>
    </w:p>
    <w:p>
      <w:pPr>
        <w:spacing w:after="120"/>
        <w:jc w:val="both"/>
      </w:pPr>
      <w:r>
        <w:rPr>
          <w:rFonts w:ascii="Times New Roman" w:hAnsi="Times New Roman" w:cs="Times New Roman" w:eastAsia="Times New Roman"/>
          <w:b w:val="0"/>
          <w:i w:val="0"/>
          <w:sz w:val="24"/>
        </w:rPr>
        <w:t>“J. Med.", "doi": "10.1016/0002-9343(91)90285-6", "pmid": "1928213" }, { "title": "Cysteine and glutathione concentrations in plasma and bronchoalveolar lavage fluid after treatment with N-acetylcysteine", "year": "1991", "source": "Thorax", "doi": "10.1136/thx.46.1.39", "pmid": "1871695", "pmcid": "PMC1020912" }, { "title": "Effects of oral N-acetylcysteine on cell content and macrophage function in bronchoalveolar lavage from healthy smokers", "year": "1988", "source": "Eur. Respir. J.", "doi": "10.1183/09031936.93.01070645", "pmid": "2846345" }, { "title": "Long-term administration of N-acetylcysteine decreases hydrogen peroxide exhalation in subjects with chronic obstructive pulmonary disease", "year": "2001", "source": "Respir. Med.", "doi": "10.1053/rmed.2001.1066", "pmid": "11421501" }, { "title": "Long-term oral n-acetylcysteine reduces exhaled hydrogen peroxide in stable COPD", "year": "2005", "source": "Pulm.”  [PMC11278452 ¶44]</w:t>
      </w:r>
    </w:p>
    <w:p>
      <w:pPr>
        <w:spacing w:after="120"/>
        <w:jc w:val="both"/>
      </w:pPr>
      <w:r>
        <w:rPr>
          <w:rFonts w:ascii="Times New Roman" w:hAnsi="Times New Roman" w:cs="Times New Roman" w:eastAsia="Times New Roman"/>
          <w:b w:val="0"/>
          <w:i w:val="0"/>
          <w:sz w:val="24"/>
        </w:rPr>
        <w:t>“Pharmacol. Ther.", "doi": "10.1016/j.pupt.2004.09.030", "pmid": "15607126" }, { "title": "Protective action of thiols on neutrophil function", "year": "1985", "source": "Eur. J. Respir. Dis. Suppl.", "pmid": "3862610" }, { "title": "Prevention of in vitro oxidant-mediated alveolar macrophage injury by cellular glutathione and precursors", "year": "1987", "source": "Bull. Eur. Physiopathol. Respir.", "pmid": "2825864" }, { "title": "Stimuli-induced superoxide radical generation in vitro by human alveolar macrophages from smokers: Modulation by N-acetylcysteine treatment in vivo", "year": "1986", "source": "J. Free Radic. Biol. Med.", "doi": "10.1016/S0748-5514(86)80060-5", "pmid": "3029208" }, { "title": "N-acetylcysteine protection against the toxicity of cigarette smoke and cigarette smoke condensates in various tissues and cells in vitro", "year": "1985", "source": "Eur. J. Respir. Dis.”  [PMC11278452 ¶45]</w:t>
      </w:r>
    </w:p>
    <w:p>
      <w:pPr>
        <w:spacing w:after="120"/>
        <w:jc w:val="both"/>
      </w:pPr>
      <w:r>
        <w:rPr>
          <w:rFonts w:ascii="Times New Roman" w:hAnsi="Times New Roman" w:cs="Times New Roman" w:eastAsia="Times New Roman"/>
          <w:b w:val="0"/>
          <w:i w:val="0"/>
          <w:sz w:val="24"/>
        </w:rPr>
        <w:t>“Suppl.", "pmid": "3862605" }, { "title": "Lung protection by thiol-containing antioxidants", "year": "1987", "source": "Bull. Eur. Physiopathol. Respir.", "pmid": "3318962" }, { "title": "Oral N-acetylcysteine reduces selected humoral markers of inflammatory cell activity in BAL fluid from healthy smokers: Correlation to effects on cellular variables", "year": "1988", "source": "Eur. Respir. J.", "doi": "10.1183/09031936.93.01090832", "pmid": "2852604" }, { "title": "Dithiocarbamates as potent inhibitors of nuclear factor kappa B activation in intact cells", "year": "1992", "source": "J. Exp. Med.", "doi": "10.1084/jem.175.5.1181", "pmid": "1314883", "pmcid": "PMC2119220" }, { "title": "The influence of n-acetylcysteine on chemiluminescence of granulocytes in peripheral blood of patients with chronic bronchitis", "year": "1993", "source": "Pneumonol. Alergol. Pol.", "pmid": "8148757" }, { "title": "In vivo antioxidant treatment suppresses nuclear factor-kappa B activation and neutrophilic lung inflammation", "year": "1996", "source": "J.”  [PMC11278452 ¶46]</w:t>
      </w:r>
    </w:p>
    <w:p>
      <w:pPr>
        <w:spacing w:after="120"/>
        <w:jc w:val="both"/>
      </w:pPr>
      <w:r>
        <w:rPr>
          <w:rFonts w:ascii="Times New Roman" w:hAnsi="Times New Roman" w:cs="Times New Roman" w:eastAsia="Times New Roman"/>
          <w:b w:val="0"/>
          <w:i w:val="0"/>
          <w:sz w:val="24"/>
        </w:rPr>
        <w:t>“Immunol.", "doi": "10.4049/jimmunol.157.4.1630", "pmid": "8759749" }, { "title": "Nuclear factor-kappa b activation in silica-induced interleukin 8 production by human bronchial epithelial cells", "year": "2000", "source": "Cytokine", "doi": "10.1006/cyto.2000.0704", "pmid": "10930308" }, { "title": "Post-treatment with N-acetylcysteine ameliorates endotoxin shock-induced organ damage in conscious rats", "year": "2006", "source": "Life Sci.", "doi": "10.1016/j.lfs.2006.06.040", "pmid": "16860347" }, { "title": "Anti-inflammatory properties of N-acetylcysteine on lipopolysaccharide-activated macrophages", "year": "2011", "source": "Inflamm. Res.", "doi": "10.1007/s00011-011-0323-8", "pmid": "21424515" }, { "t”  [PMC11278452 ¶47]</w:t>
      </w:r>
    </w:p>
    <w:p>
      <w:pPr>
        <w:keepNext/>
        <w:spacing w:before="280" w:after="80"/>
        <w:outlineLvl w:val="1"/>
      </w:pPr>
      <w:r>
        <w:rPr>
          <w:rFonts w:ascii="Times New Roman" w:hAnsi="Times New Roman" w:cs="Times New Roman" w:eastAsia="Times New Roman"/>
          <w:b/>
          <w:i w:val="0"/>
          <w:color w:val="335588"/>
          <w:sz w:val="28"/>
        </w:rPr>
        <w:t>11.5  [5] Extracellular Calcium Receptor as a Target for Glutathione and Its Derivatives</w:t>
      </w:r>
    </w:p>
    <w:p>
      <w:pPr>
        <w:spacing w:after="80"/>
        <w:jc w:val="both"/>
      </w:pPr>
      <w:r>
        <w:rPr>
          <w:rFonts w:ascii="Times New Roman" w:hAnsi="Times New Roman" w:cs="Times New Roman" w:eastAsia="Times New Roman"/>
          <w:b w:val="0"/>
          <w:i/>
          <w:sz w:val="22"/>
        </w:rPr>
        <w:t>Bibliographic identifiers — PMCID: PMC8776003; PMID: 35054903; DOI: 10.3390/ijms23020717; Journal: International Journal of Molecular Sciences; Year: 2022.</w:t>
      </w:r>
    </w:p>
    <w:p>
      <w:pPr>
        <w:spacing w:after="80"/>
        <w:jc w:val="both"/>
      </w:pPr>
      <w:r>
        <w:rPr>
          <w:rFonts w:ascii="Times New Roman" w:hAnsi="Times New Roman" w:cs="Times New Roman" w:eastAsia="Times New Roman"/>
          <w:b w:val="0"/>
          <w:i w:val="0"/>
          <w:sz w:val="22"/>
        </w:rPr>
        <w:t>Retrieval — full JATS XML via NCBI efetch db=pmc rettype=xml. Body text length: 25,297 characters; structured tables: 0; figures: 4; references: 92. Supplementary body text also harvested via MCP fetch_pmc_article: 0 characters, 0 verbatim paragraphs reproduced below.</w:t>
      </w:r>
    </w:p>
    <w:p>
      <w:pPr>
        <w:spacing w:after="80"/>
        <w:jc w:val="both"/>
      </w:pPr>
      <w:r>
        <w:rPr>
          <w:rFonts w:ascii="Times New Roman" w:hAnsi="Times New Roman" w:cs="Times New Roman" w:eastAsia="Times New Roman"/>
          <w:b/>
          <w:i w:val="0"/>
          <w:sz w:val="22"/>
        </w:rPr>
        <w:t>Verbatim abstract (from JATS XML):</w:t>
      </w:r>
    </w:p>
    <w:p>
      <w:pPr>
        <w:spacing w:after="80"/>
        <w:jc w:val="both"/>
      </w:pPr>
      <w:r>
        <w:rPr>
          <w:rFonts w:ascii="Times New Roman" w:hAnsi="Times New Roman" w:cs="Times New Roman" w:eastAsia="Times New Roman"/>
          <w:b w:val="0"/>
          <w:i/>
          <w:sz w:val="24"/>
        </w:rPr>
        <w:t>“Extracellular glutathione (GSH) and oxidized glutathione (GSSG) can modulate the function of the extracellular calcium sensing receptor (CaSR). The CaSR has a binding pocket in the extracellular domain of CaSR large enough to bind either GSH or GSSG, as well as the naturally occurring oxidized derivative L-cysteine glutathione disulfide (CySSG) and the compound cysteinyl glutathione (CysGSH). Modeling the binding energies (ΔG) of CySSG and CysGSH to CaSR reveals that both cysteine derivatives may have greater affinities for CaSR than either GSH or GSSG. GSH, CySSG, and GSSG are found in circulation in mammals and, among the three, CySSG is more affected by HIV/AIDs and aging than either GSH or GSSG. The beta-carbon linkage of cysteine in CysGSH may model a new class of calcimimetics, exemplified by etelcalcetide. Circulating glutathionergic compounds, particularly CySSG, may mediate calcium-regulatory responses via receptor-binding to CaSR in a variety of organs, including parathyroids, kidneys, and bones. Receptor-mediated actions of glutathionergics may thus complement their roles in redox regulation and detoxification. The glutathionergic binding site(s) on CaSR are suggested to be a target for development of drugs that can be used in treating kidney and other diseases whose mechanisms involve CaSR dysregulation.”</w:t>
      </w:r>
    </w:p>
    <w:p>
      <w:pPr>
        <w:spacing w:after="80"/>
        <w:jc w:val="both"/>
      </w:pPr>
      <w:r>
        <w:rPr>
          <w:rFonts w:ascii="Times New Roman" w:hAnsi="Times New Roman" w:cs="Times New Roman" w:eastAsia="Times New Roman"/>
          <w:b w:val="0"/>
          <w:i/>
          <w:sz w:val="24"/>
        </w:rPr>
        <w:t>Figure 1 (verbatim caption): “Structures of glutathione (GSH), L-cysteine-glutathione disulfide (CySSG), glutathione disulfide (oxidized glutathione, GSSG), and cysteinyl glutathione (CysGSH). Models were drawn by Jmol, through an interface on Wikipedia (GSSG) or at http://biomodel.uah.es/en/DIY/JSME/draw.en.htm (GSH, CySSG, and CysGSH; accessed 10 and 11 August 2021), based on CID structures 124886 for GSH, 10455148 for CySSG</w:t>
        <w:br/>
        <w:t xml:space="preserve">   graphic: `ijms-23-00717-g001.jpg`”</w:t>
      </w:r>
    </w:p>
    <w:p>
      <w:pPr>
        <w:spacing w:after="80"/>
        <w:jc w:val="both"/>
      </w:pPr>
      <w:r>
        <w:rPr>
          <w:rFonts w:ascii="Times New Roman" w:hAnsi="Times New Roman" w:cs="Times New Roman" w:eastAsia="Times New Roman"/>
          <w:b w:val="0"/>
          <w:i/>
          <w:sz w:val="24"/>
        </w:rPr>
        <w:t>Figure 2 (verbatim caption): “Plasma GSH, GSSG, and CySSG in 10 healthy (HIV-negative) people, 30 HIV-positive, and 23 AIDS patients. ( Left ) Derived from Figure 1 and the text of Walmsley et al. [ 15 ]. ( Right ) the same data plotted as per cent of average healthy controls. * p &lt; 0.05 compared to controls.</w:t>
        <w:br/>
        <w:t xml:space="preserve">   graphic: `ijms-23-00717-g002.jpg`”</w:t>
      </w:r>
    </w:p>
    <w:p>
      <w:pPr>
        <w:spacing w:after="80"/>
        <w:jc w:val="both"/>
      </w:pPr>
      <w:r>
        <w:rPr>
          <w:rFonts w:ascii="Times New Roman" w:hAnsi="Times New Roman" w:cs="Times New Roman" w:eastAsia="Times New Roman"/>
          <w:b w:val="0"/>
          <w:i/>
          <w:sz w:val="24"/>
        </w:rPr>
        <w:t>Figure 3 (verbatim caption): “Binding pocket from Wang et al. [ 1 ], showing that it can accommodate either ( A ) GSH or ( B ) GSSG.</w:t>
        <w:br/>
        <w:t xml:space="preserve">   graphic: `ijms-23-00717-g003.jpg`”</w:t>
      </w:r>
    </w:p>
    <w:p>
      <w:pPr>
        <w:spacing w:after="80"/>
        <w:jc w:val="both"/>
      </w:pPr>
      <w:r>
        <w:rPr>
          <w:rFonts w:ascii="Times New Roman" w:hAnsi="Times New Roman" w:cs="Times New Roman" w:eastAsia="Times New Roman"/>
          <w:b w:val="0"/>
          <w:i/>
          <w:sz w:val="24"/>
        </w:rPr>
        <w:t xml:space="preserve">Figure 4 (verbatim caption): “Potential docking sites of glutathionergics to the ECD of CaSR determined with the SwissDock docking simulator [ 56 ], and visualized via UCSF Chimera [ 57 ] visualization software. Images show Chain B of the CaSR ECD structure with ligands ( A ) and ( B ) CySSG, ( D ) GSH, ( E ) GSSG, and ( F ) CysGSH, docked in the binding site corresponding to where tryptophan and ( C ) a tryptophan derivative </w:t>
        <w:br/>
        <w:t xml:space="preserve">   graphic: `ijms-23-00717-g004.jpg`”</w:t>
      </w:r>
    </w:p>
    <w:p>
      <w:pPr>
        <w:keepNext/>
        <w:spacing w:before="160" w:after="40"/>
        <w:outlineLvl w:val="2"/>
      </w:pPr>
      <w:r>
        <w:rPr>
          <w:rFonts w:ascii="Times New Roman" w:hAnsi="Times New Roman" w:cs="Times New Roman" w:eastAsia="Times New Roman"/>
          <w:b/>
          <w:i w:val="0"/>
          <w:color w:val="404040"/>
          <w:sz w:val="24"/>
        </w:rPr>
        <w:t>Verbatim body-text paragraphs from PMC8776003</w:t>
      </w:r>
    </w:p>
    <w:p>
      <w:pPr>
        <w:spacing w:after="120"/>
        <w:jc w:val="both"/>
      </w:pPr>
      <w:r>
        <w:rPr>
          <w:rFonts w:ascii="Times New Roman" w:hAnsi="Times New Roman" w:cs="Times New Roman" w:eastAsia="Times New Roman"/>
          <w:b w:val="0"/>
          <w:i w:val="0"/>
          <w:sz w:val="24"/>
        </w:rPr>
        <w:t>“## Figure captions (4) 1. **Figure 1** — Structures of glutathione (GSH), L-cysteine-glutathione disulfide (CySSG), glutathione disulfide (oxidized glutathione, GSSG), and cysteinyl glutathione (CysGSH). Models were drawn by Jmol, through an interface on Wikipedia (GSSG) or at http://biomodel.uah.es/en/DIY/JSME/draw.en.htm (GSH, CySSG, and CysGSH; accessed 10 and 11 August 2021), based on CID structures 124886 for GSH, 10455148 for CySSG graphic: `ijms-23-00717-g001.jpg` 2. **Figure 2** — Plasma GSH, GSSG, and CySSG in 10 healthy (HIV-negative) people, 30 HIV-positive, and 23 AIDS patients. ( Left ) Derived from Figure 1 and the text of Walmsley et al. [ 15 ]. ( Right ) the same data plotted as per cent of average healthy controls. * p &lt; 0.05 compared to controls. graphic: `ijms-23-00717-g002.jpg` 3. **Figure 3** — Binding pocket from Wang et al. [ 1 ], showing that it can accommodate either ( A ) GSH or ( B ) GSSG. graphic: `ijms-23-00717-g003.jpg` 4. **Figure 4** — Potential docking sites of glutathionergics to the ECD of CaSR determined with the SwissDock docking simulator [ 56 ], and visualized via UCSF Chimera [ 57 ] visualization software.”  [PMC8776003 ¶1]</w:t>
      </w:r>
    </w:p>
    <w:p>
      <w:pPr>
        <w:spacing w:after="120"/>
        <w:jc w:val="both"/>
      </w:pPr>
      <w:r>
        <w:rPr>
          <w:rFonts w:ascii="Times New Roman" w:hAnsi="Times New Roman" w:cs="Times New Roman" w:eastAsia="Times New Roman"/>
          <w:b w:val="0"/>
          <w:i w:val="0"/>
          <w:sz w:val="24"/>
        </w:rPr>
        <w:t>“Images show Chain B of the CaSR ECD structure with ligands ( A ) and ( B ) CySSG, ( D ) GSH, ( E ) GSSG, and ( F ) CysGSH, docked in the binding site corresponding to where tryptophan and ( C ) a tryptophan derivative graphic: `ijms-23-00717-g004.jpg` ```json { "pmcid": "PMC8776003", "pmid": "35054903", "doi": "10.3390/ijms23020717", "title": "Extracellular Calcium Receptor as a Target for Glutathione and Its Derivatives", "journal": "International Journal of Molecular Sciences", "year": "2022", "abstract": "Extracellular glutathione (GSH) and oxidized glutathione (GSSG) can modulate the function of the extracellular calcium sensing receptor (CaSR). The CaSR has a binding pocket in the extracellular domain of CaSR large enough to bind either GSH or GSSG, as well as the naturally occurring oxidized derivative L-cysteine glutathione disulfide (CySSG) and the compound cysteinyl glutathione (CysGSH).”  [PMC8776003 ¶2]</w:t>
      </w:r>
    </w:p>
    <w:p>
      <w:pPr>
        <w:spacing w:after="120"/>
        <w:jc w:val="both"/>
      </w:pPr>
      <w:r>
        <w:rPr>
          <w:rFonts w:ascii="Times New Roman" w:hAnsi="Times New Roman" w:cs="Times New Roman" w:eastAsia="Times New Roman"/>
          <w:b w:val="0"/>
          <w:i w:val="0"/>
          <w:sz w:val="24"/>
        </w:rPr>
        <w:t>“Modeling the binding energies (\u0394G) of CySSG and CysGSH to CaSR reveals that both cysteine derivatives may have greater affinities for CaSR than either GSH or GSSG. GSH, CySSG, and GSSG are found in circulation in mammals and, among the three, CySSG is more affected by HIV/AIDs and aging than either GSH or GSSG. The beta-carbon linkage of cysteine in CysGSH may model a new class of calcimimetics, exemplified by etelcalcetide. Circulating glutathionergic compounds, particularly CySSG, may mediate calcium-regulatory responses via receptor-binding to CaSR in a variety of organs, including parathyroids, kidneys, and bones. Receptor-mediated actions of glutathionergics may thus complement their roles in redox regulation and detoxification. The glutathionergic binding site(s) on CaSR are suggested to be a target for development of drugs that can be used in treating kidney and other diseases whose mechanisms involve CaSR dysregulation.", "body_text": "1.”  [PMC8776003 ¶3]</w:t>
      </w:r>
    </w:p>
    <w:p>
      <w:pPr>
        <w:spacing w:after="120"/>
        <w:jc w:val="both"/>
      </w:pPr>
      <w:r>
        <w:rPr>
          <w:rFonts w:ascii="Times New Roman" w:hAnsi="Times New Roman" w:cs="Times New Roman" w:eastAsia="Times New Roman"/>
          <w:b w:val="0"/>
          <w:i w:val="0"/>
          <w:sz w:val="24"/>
        </w:rPr>
        <w:t>“Introduction Associations of calcium (Ca) and glutathione in various organs are not well understood. However, molecular modeling by Wang et al. [ 1 ] identified a glutathione binding site on the extracellular calcium sensing receptor (CaSR) and demonstrated glutathione-elicited changes in extracellular calcium responses mediated by CaSR transfected into a model cell system. With the perspective of more recent crystallographic studies of CaSR [ 2 , 3 , 4 , 5 ] and docking studies of various glutathionergic ligands with CaSR, this paper explores the potential actions that circulating glutathionergic compounds (reduced glutathione (GSH, PubChem CID 124886); oxidized glutathione (GSSG, PubChem CID 65359); and another circulating oxidized derivative of glutathione, L-cysteine-glutathione disulfide (CySSG, PubChem CID 10455148) may have that could be mediated via binding to the extracellular domain of CaSR.”  [PMC8776003 ¶4]</w:t>
      </w:r>
    </w:p>
    <w:p>
      <w:pPr>
        <w:spacing w:after="120"/>
        <w:jc w:val="both"/>
      </w:pPr>
      <w:r>
        <w:rPr>
          <w:rFonts w:ascii="Times New Roman" w:hAnsi="Times New Roman" w:cs="Times New Roman" w:eastAsia="Times New Roman"/>
          <w:b w:val="0"/>
          <w:i w:val="0"/>
          <w:sz w:val="24"/>
        </w:rPr>
        <w:t>“We propose that CaSR may be an important nexus for the interaction of glutathione and Ca and that the lesser known of these three compounds, CySSG, may have physiological roles in regulating CaSR activity through its receptor-binding activity. 1.1. GSH Synthesis and Relationship to GSH-Derivatives GSH is a tripeptide (gamma-glutamyl-cysteinyl-glycine) made by non-ribosomal mechanisms. The rate-limiting enzyme in GSH synthesis is glutamate-cysteine ligase (GCL, EC 6.3.2.2), whose activity is limited by the amount of enzyme and the availability of cysteine. Glutathione synthase (GSS) couples glycine to the resultant gamma-glu-cys to make GSH. GSH reacts with oxidants via glutathione peroxidase (GPx) to form GSSG, form GS- adducts with various electrophiles (these are often toxicants that are thereby detoxified) via glustathione-S-transferases (GSTs), or glutathionylates proteins through reactions mediated by glutaredoxins and thioredoxins.”  [PMC8776003 ¶5]</w:t>
      </w:r>
    </w:p>
    <w:p>
      <w:pPr>
        <w:spacing w:after="120"/>
        <w:jc w:val="both"/>
      </w:pPr>
      <w:r>
        <w:rPr>
          <w:rFonts w:ascii="Times New Roman" w:hAnsi="Times New Roman" w:cs="Times New Roman" w:eastAsia="Times New Roman"/>
          <w:b w:val="0"/>
          <w:i w:val="0"/>
          <w:sz w:val="24"/>
        </w:rPr>
        <w:t>“Alternatively, GSH is transported out of cells where it can undergo further reactions. GSH can be resynthesized from GSSG by the actions of glutathione disulfide reductase (GR). CySSG can be formed intracellularly or extracellularly by thiol-disulfide exchange with cystine [ 6 ], either spontaneously or via enzymatic catalysis by a thioltransferase [ 7 , 8 ]. CySSG is also produced spontaneously by the reaction of GSSG and cysteine [ 6 ]; gamma-glutamyltransferase (GGT) produces CySSG and cystine from GSSG, a reaction that can be inhibited by AT-125 (Acivicin) [ 9 ]. GGT also degrades CySSG, which can also be inhibited by Acivicin [ 9 ]. All three forms of glutathione are found in mammalian circulation [ 10 , 11 , 12 , 13 , 14 , 15 ]. Structures of the three circulating forms of glutathione (GSH, GSSG, and CySSG) are shown in Figure 1 . A fourth structure in Figure 1 , designated as cysteinyl glutathione (CysGSH), has cysteine coupled to glutathione through a covalent linkage to the beta carbon of the cysteine in the glutathione backbone and retains the hydrogen atom on one of the sulfurs the two cysteines in the structure, has also been described (PubChem CID 3080690).”  [PMC8776003 ¶6]</w:t>
      </w:r>
    </w:p>
    <w:p>
      <w:pPr>
        <w:spacing w:after="120"/>
        <w:jc w:val="both"/>
      </w:pPr>
      <w:r>
        <w:rPr>
          <w:rFonts w:ascii="Times New Roman" w:hAnsi="Times New Roman" w:cs="Times New Roman" w:eastAsia="Times New Roman"/>
          <w:b w:val="0"/>
          <w:i w:val="0"/>
          <w:sz w:val="24"/>
        </w:rPr>
        <w:t>“Plasma GSH and CySSG are usually in the 1\u201310 \u00b5M range (e.g., Figure 2 , derived from data in Walmsley et al. [ 15 ]), while GSSG is often 1 \u00b5M or less [ 10 , 15 ]. Many studies have used enzymatic methods to measure GSH; \u201coxidized glutathione\u201d is often also measured after reduction of oxidized forms to GSH; however, this method does not distinguish between the two oxidized forms of glutathione. Measurement of both oxidized forms of glutathione requires HPLC, which can distinguish between CySSG and GSSG. In healthy people over a broad age range, plasma levels of GSH and CySSG are correlated (Pearson correlation coefficient = 0.622, p &lt; 0.001 [ 10 ]). Plasma redox pairs have different Eh values (GSH/GSSG, \u2212140 mV; Cys/CySS, \u221272 mV; and Cys-GSH/CySSG, \u2212110 mV; [ 10 ]), indicating that relative concentrations of the reactants have different chemical potentials and are not at redox equilibrium in circulation.”  [PMC8776003 ¶7]</w:t>
      </w:r>
    </w:p>
    <w:p>
      <w:pPr>
        <w:spacing w:after="120"/>
        <w:jc w:val="both"/>
      </w:pPr>
      <w:r>
        <w:rPr>
          <w:rFonts w:ascii="Times New Roman" w:hAnsi="Times New Roman" w:cs="Times New Roman" w:eastAsia="Times New Roman"/>
          <w:b w:val="0"/>
          <w:i w:val="0"/>
          <w:sz w:val="24"/>
        </w:rPr>
        <w:t>“CySSG is also found in non-mammalian species, most notably in the polychaete Nereis succinea where it functions as a spawning pheromone [ 16 , 17 , 18 , 19 ]. 1.2. CaSR Function in Parathyroid, Kidney, and Other Tissues CaSR was first identified in parathyroid gland, where it solved the long-standing problem of what receptor mediated up- and down-regulation of parathyroid hormone (PTH) synthesis and release by Ca [ 20 ]. Unlike most secretory processes, PTH release is decreased by increases of extracellular Ca. CaSR was discovered to be a G-protein-coupled receptor that mediates responses in parathyroid cells by activating Gq, which regulates phospholipase C (PLC), and Gi, which inhibits cAMP synthesis (as reviewed by Ward [ 21 ]). CaSR activity is affected by small changes in Ca in the physiological extracellular range (1\u201310 mM) [ 20 ], and its sensitivity can be shifted by various agents, such as amino acids [ 22 ].”  [PMC8776003 ¶8]</w:t>
      </w:r>
    </w:p>
    <w:p>
      <w:pPr>
        <w:spacing w:after="120"/>
        <w:jc w:val="both"/>
      </w:pPr>
      <w:r>
        <w:rPr>
          <w:rFonts w:ascii="Times New Roman" w:hAnsi="Times New Roman" w:cs="Times New Roman" w:eastAsia="Times New Roman"/>
          <w:b w:val="0"/>
          <w:i w:val="0"/>
          <w:sz w:val="24"/>
        </w:rPr>
        <w:t>“CaSR is found in many other tissues. In kidney, CaSR expression is particularly high in thick ascending limb (TAL) [ 21 ] but also occurs in many renal tissues, including proximal tubule, collecting duct, and juxtaglomerular apparatus [ 23 ]. Although approximately 65% of filtered Ca is reabsorbed in the proximal tubule, the proximal reabsorption is mostly not subject to regulatory control. Ca reabsorption in TAL and distal convoluted tubule is regulated in part by CaSR, coupled via G-protein mechanisms to cellular responses. The effect of these actions is to decrease cAMP, which would inhibit the luminal membrane cAMP-dependent Na-K-Cl cotransporter [ 24 , 25 , 26 ], thereby decreasing Na-reabsorption and inhibiting luminal (apical) K channels via phospholipase A2 and P-450 mediated synthesis of 20-hydroxyeicosatetraenoic acid (20-HETE) [ 27 , 28 ]. These multiple actions of the TAL CaSR cause changes in the transluminal voltage that ultimately cause a decrease in paracellular Ca reabsorption.”  [PMC8776003 ¶9]</w:t>
      </w:r>
    </w:p>
    <w:p>
      <w:pPr>
        <w:spacing w:after="120"/>
        <w:jc w:val="both"/>
      </w:pPr>
      <w:r>
        <w:rPr>
          <w:rFonts w:ascii="Times New Roman" w:hAnsi="Times New Roman" w:cs="Times New Roman" w:eastAsia="Times New Roman"/>
          <w:b w:val="0"/>
          <w:i w:val="0"/>
          <w:sz w:val="24"/>
        </w:rPr>
        <w:t>“Numerous other actions in kidney mediated by CaSR include increases in TAL PGE2 production [ 29 ], changes in aquaporin trafficking and water transport regulation in renal collecting duct [ 30 ], decreases in renin secretion by juxtaglomerular cells [ 31 ] and stimulation of claudin-14 expression in TAL mediated by a microRNA-signaling pathway downstream from CaSR activation [ 32 ]. CaSR protein is also expressed in the gastrointestinal system, bone cells, the nervous system, etc., where these receptors may mediate other Ca-sensitive responses [ 33 ]. Among other tissues expressing CaSR are liver cells that stimulate bile flow [ 34 ], endothelial cells and vascular smooth muscle cells in many tissues [ 35 ] notably in pulmonary arteries [ 36 ], pancreatic beta cells [ 37 , 38 ], and taste buds [ 39 , 40 , 41 ]. 1.3. Amino Acid and Peptide Modulation of CaSR Activity The sensitivity of the CaSR to Ca is enhanced by a variety of naturally occurring organic molecules of which amino acids were among the earliest to be described; tryptophan, phenylalanine, tyrosine, and histidine are among the most effective modulators of CaSR activity, generally having EC50 concentrations in the range of 1\u201310 mM [ 42 , 43 , 44 ].”  [PMC8776003 ¶10]</w:t>
      </w:r>
    </w:p>
    <w:p>
      <w:pPr>
        <w:spacing w:after="120"/>
        <w:jc w:val="both"/>
      </w:pPr>
      <w:r>
        <w:rPr>
          <w:rFonts w:ascii="Times New Roman" w:hAnsi="Times New Roman" w:cs="Times New Roman" w:eastAsia="Times New Roman"/>
          <w:b w:val="0"/>
          <w:i w:val="0"/>
          <w:sz w:val="24"/>
        </w:rPr>
        <w:t>“Zhang et al. [ 5 ] discovered a novel derivative of tryptophan, L-1,2,3,4-tetrahydronorharman-3-carboxylic acid, bound to CaSR and having EC50 of approximately 2 \u00b5M. In studies of CaSR in taste buds, modulatory effects of small gamma-glutamyl peptides have been the focus, among which the most effective dipeptides were gamma-glutamyl-alanine, gamma-glutamyl valine, and gamma-glutamyl-cysteine [ 39 , 40 ]. Larger peptides have also been shown to modulate the activity of CaSR, including GSH and GSSG at micromolar and lower concentrations. The study of gamma-glutamyl peptides found that CaSR activity was enhanced by GSH as well as other gamma-glutamyl tripeptides, including gamma-glutamyl-S-methylcysteinylglycine and gamma-glutamylvalylglycine [ 39 , 40 ], generally exhibiting EC50 values in the micromolar range. Wang et al. [ 1 ], studying HEK-293 cells transfected with CaSR and tested in a calcium release assay, showed that the Ca response was enhanced in the presence of either GSH or GSSG.”  [PMC8776003 ¶11]</w:t>
      </w:r>
    </w:p>
    <w:p>
      <w:pPr>
        <w:spacing w:after="120"/>
        <w:jc w:val="both"/>
      </w:pPr>
      <w:r>
        <w:rPr>
          <w:rFonts w:ascii="Times New Roman" w:hAnsi="Times New Roman" w:cs="Times New Roman" w:eastAsia="Times New Roman"/>
          <w:b w:val="0"/>
          <w:i w:val="0"/>
          <w:sz w:val="24"/>
        </w:rPr>
        <w:t>“EC50 values were &lt;1 \u00b5M for both, compared to an EC50 for phenylalanine of 300 \u00b5M in the same assays [ 1 ]. Neither CySSG nor CysG were tested. Of particular note is that both GSH and GSSG produced similar physiological responses, supporting the idea that these responses are mediated by binding to a receptor and are not due to interactions with intracellular redox mechanisms, which might have been an alternative explanation if only one of them had been active. A similar conclusion that the action of glutathione is associated with binding, not redox regulation, has been drawn regarding the male spawning response of the polychaete Nereis succinea , which is also equally well activated by GSH and GSSG [ 19 ]. In the case of N. succinea , however, CySSG has also been tested and is effective at eliciting the response at about ten times lower concentration than either GSH or GSSG [ 19 ].”  [PMC8776003 ¶12]</w:t>
      </w:r>
    </w:p>
    <w:p>
      <w:pPr>
        <w:spacing w:after="120"/>
        <w:jc w:val="both"/>
      </w:pPr>
      <w:r>
        <w:rPr>
          <w:rFonts w:ascii="Times New Roman" w:hAnsi="Times New Roman" w:cs="Times New Roman" w:eastAsia="Times New Roman"/>
          <w:b w:val="0"/>
          <w:i w:val="0"/>
          <w:sz w:val="24"/>
        </w:rPr>
        <w:t>“Unfortunately, little is known about the structure of the glutathionergic receptor in N. succinea and whether it may be part of the C-family of G-protein coupled receptors from which CaSR evolved in vertebrates. Nevertheless, the binding sites of all three of these glutathionergic compounds to potential receptors is of interest. 2. CaSR Structure, including Ca, Calcimimetic, Calcilytic, and Peptide Binding Sites CaSR is part of the C class of G-protein coupled receptors (GPCRs). The structure has been described as a snake (transmembrane domain, TMD) and a Venus fly-trap (extracellular domain, ECD). Ca binds to the ECD, and several sites on the ECD have been suggested as critical active binding locations for metal ion activation of CaSR [ 4 , 5 , 45 ]. The sensitivity of CaSR to Ca can be affected by agents that bind to the TMD, including the clinically approved calcium \u201cmimetic\u201d agent Evocalcet [ 46 ] and others [ 47 , 48 , 49 ].”  [PMC8776003 ¶13]</w:t>
      </w:r>
    </w:p>
    <w:p>
      <w:pPr>
        <w:spacing w:after="120"/>
        <w:jc w:val="both"/>
      </w:pPr>
      <w:r>
        <w:rPr>
          <w:rFonts w:ascii="Times New Roman" w:hAnsi="Times New Roman" w:cs="Times New Roman" w:eastAsia="Times New Roman"/>
          <w:b w:val="0"/>
          <w:i w:val="0"/>
          <w:sz w:val="24"/>
        </w:rPr>
        <w:t>“Allosteric antagonists targeting the TMD include NPS 2143 and others [ 50 , 51 , 52 ]. Calcimimetics that target the ECD have also been developed, including Parsabiv (etelcalcitide, [ 53 , 54 ]. The binding site for amino acids to CaSR is also located in the ECD, at a location consistent with the general structure of the receptor as part of the C family of GPCRs, which includes amino acid binding members that mediate metabotropic responses to glutamate and glycine (reviewed by [ 1 ]). By in silico homology modeling of the binding site and subsequent functional studies, Wang et al. [ 1 ] determined that the amino acid binding site of CaSR was larger than in the other family C receptors, and that both GSH and GSSG can readily fit in the canonical amino acid binding site ( Figure 3 , reproduced from [ 1 ]). More recent crystallographic and cryo-EM studies of CaSR have provided direct evidence for the binding pocket(s) of amino acids and larger molecules in the ECD binding pocket of the receptor [ 3 , 4 , 55 ].”  [PMC8776003 ¶14]</w:t>
      </w:r>
    </w:p>
    <w:p>
      <w:pPr>
        <w:spacing w:after="120"/>
        <w:jc w:val="both"/>
      </w:pPr>
      <w:r>
        <w:rPr>
          <w:rFonts w:ascii="Times New Roman" w:hAnsi="Times New Roman" w:cs="Times New Roman" w:eastAsia="Times New Roman"/>
          <w:b w:val="0"/>
          <w:i w:val="0"/>
          <w:sz w:val="24"/>
        </w:rPr>
        <w:t>“Zhang et al. [ 5 ] studied the binding of tryptophan and an unexpected tryptophan derivative bound in crystalized hCaSR ECD. Tryptophan and its derivative bound in a binding pocket that was surrounded by many of the same amino acid residues predicted by Wang et al. [ 1 ], including W70, T145, S147, and S170, Y218, and E297. A similar set of residues adjacent to the binding pocket were also determined by Ling et al. 2021 using cryo-EM. The binding pocket described by Zhang et al. [ 5 ] was noted to be significantly larger than that of mGluR1, supporting the idea that CaSR could bind much larger ligands than the amino acids it has thus far been crystalized with. In further support of this idea, Zhang et al. [ 5 ] also commented that besides binding the somewhat larger tryptophan derivative, the binding site also appears to contain a bicarbonate molecule. The ECD binding pocket based on these recent structural studies is illustrated in this paper in Figure 4 , showing that it can also easily accommodate CySSG ( Figure 4 A,B), in a similar location to the position of Zhang et al.\u2019s tryptophan derivative [ 5 ] (illustrated in Figure 4 C).”  [PMC8776003 ¶15]</w:t>
      </w:r>
    </w:p>
    <w:p>
      <w:pPr>
        <w:spacing w:after="120"/>
        <w:jc w:val="both"/>
      </w:pPr>
      <w:r>
        <w:rPr>
          <w:rFonts w:ascii="Times New Roman" w:hAnsi="Times New Roman" w:cs="Times New Roman" w:eastAsia="Times New Roman"/>
          <w:b w:val="0"/>
          <w:i w:val="0"/>
          <w:sz w:val="24"/>
        </w:rPr>
        <w:t>“In the illustrated configuration of CySSG, the calculated change in Gibbs free energy of binding (\u2206G) is \u22129.43 Kcal/Mol for CySSG, as illustrated using SwissDock [ 56 ] and UCSF Chimera [ 57 ]. In a comparable configuration the calculated GSH \u2206G is only \u22126.54 Kcal/Mol ( Figure 4 D). The average calculated free energy of binding to CaSR of CySSG, GSH, GSSG, and CysGSH, as determined by SwissDock [ 56 ], helps estimate the likely relative affinity of the ligands for the receptor. SwissDock analysis of approximately 250 docking positions was \u22127.22 \u00b1 \u22120.16 (mean \u00b1 SD) Kcal/Mol for CySSG, \u22126.60 \u00b1 0.15 Kcal/Mol for GSH, and \u22126.54 \u00b1 0.17 Kcal/Mol for GSSG, and \u22127.19 \u00b1 \u22120.07 for CysGSH ( n = 4 replications each; 1-way ANOVA, p &lt; 0.0001, ANOVA; Tukey HSD post-hoc tests: CySSG v. GSH, p = 0.0001; CySSG v. GSSG, p = 0.0003; CysGSH v.”  [PMC8776003 ¶16]</w:t>
      </w:r>
    </w:p>
    <w:p>
      <w:pPr>
        <w:spacing w:after="120"/>
        <w:jc w:val="both"/>
      </w:pPr>
      <w:r>
        <w:rPr>
          <w:rFonts w:ascii="Times New Roman" w:hAnsi="Times New Roman" w:cs="Times New Roman" w:eastAsia="Times New Roman"/>
          <w:b w:val="0"/>
          <w:i w:val="0"/>
          <w:sz w:val="24"/>
        </w:rPr>
        <w:t>“GSH, p = 0.0004; and CysGSH v. GSSG, p = 0.0004; all other comparisons, p &gt; 0.5). Among the naturally occurring potential ligands, these estimates of the Gibbs free energy of binding indicate a greater average affinity of CaSR for CySSG than for either GSH or GSSG, and therefore greater binding of CySSG at comparable temperature and concentrations, assuming no additional steric effects related to accessibility of the binding site. The docking behavior on CaSR of CysGSH is similar to CySSG. 3. Associations of Ca with Glutathionergic Metabolism Several experiments have examined the association of Ca with GSH metabolism. The rise in GSH synthesis in RAW264.7 macrophage tumor cells in response to gamma rays is Ca dependent [ 60 ]: GCLC mRNA increased with a similar time course to GSH, a response that was inhibited in cells cultured with 1 mM EGTA (Ca chelator) or BAPTA/AM (intracellular Ca chelator).”  [PMC8776003 ¶17]</w:t>
      </w:r>
    </w:p>
    <w:p>
      <w:pPr>
        <w:spacing w:after="120"/>
        <w:jc w:val="both"/>
      </w:pPr>
      <w:r>
        <w:rPr>
          <w:rFonts w:ascii="Times New Roman" w:hAnsi="Times New Roman" w:cs="Times New Roman" w:eastAsia="Times New Roman"/>
          <w:b w:val="0"/>
          <w:i w:val="0"/>
          <w:sz w:val="24"/>
        </w:rPr>
        <w:t>“Coordinate regulation of gene transcription for GCLC, GSS, and other glutathione-regulating genes is mediated by Nrf2, an activator of antioxidant response elements in their 5\u2032-flanking promoter regions [ 61 , 62 ]. In human keratinocytes, activation of Nrf2 by arsenite was reduced by depleting cells of Ca in Ca-free media [ 63 ]. Ca-calmodulin inhibition of CK2 kinase activity mediates the response, i.e., low Ca results in higher CK2 activity, which phosphorylates Nrf2, making it more vulnerable to degradation. A treatment that reduced UV-radiation damage in lens tissue decreased the expression of CaSR at the same time that markers of oxidative stress (SOD and \u201cT-AOC,\u201d said to measure total antioxidant content, but is not a direct measurement of glutathione) were increased [ 64 ]. Changes in glutathione metabolism in liver cells are particularly significant as the liver is the major source of circulating glutathione [ 65 ].”  [PMC8776003 ¶18]</w:t>
      </w:r>
    </w:p>
    <w:p>
      <w:pPr>
        <w:spacing w:after="120"/>
        <w:jc w:val="both"/>
      </w:pPr>
      <w:r>
        <w:rPr>
          <w:rFonts w:ascii="Times New Roman" w:hAnsi="Times New Roman" w:cs="Times New Roman" w:eastAsia="Times New Roman"/>
          <w:b w:val="0"/>
          <w:i w:val="0"/>
          <w:sz w:val="24"/>
        </w:rPr>
        <w:t>“GSH in hepatocytes was increased by 3.5 mM extracellular Ca compared to 0 mM extracellular Ca [ 66 ]. In a recent study, ionizing radiation increased liver Ca, accompanied by large decreases in total glutathione and glutathione-regulating enzymes, interpreted as a large relative increase in oxidant status, as compared to antioxidant status [ 67 ]. These previous studies relating Ca and glutathione have generally interpreted their findings in terms of redox status of cells and, except for the study UV-radiation damage in lens tissue [ 64 ], have not considered possible roles of CaSR in the mechanisms that might be involved. Nevertheless, evidence exists to indicate that glutathione metabolism may be interactive with calcium signaling and possibly related to extracellular calcium concentration via CaSR. 4. Proposed Role of Glutathionergics in Regulating CaSR Function The above information can be summarized as follows: First, GSH and its oxidized derivatives CySSG and GSSG are found in mammalian circulation at micromolar concentrations and exhibit changes correlated with age and health.”  [PMC8776003 ¶19]</w:t>
      </w:r>
    </w:p>
    <w:p>
      <w:pPr>
        <w:spacing w:after="120"/>
        <w:jc w:val="both"/>
      </w:pPr>
      <w:r>
        <w:rPr>
          <w:rFonts w:ascii="Times New Roman" w:hAnsi="Times New Roman" w:cs="Times New Roman" w:eastAsia="Times New Roman"/>
          <w:b w:val="0"/>
          <w:i w:val="0"/>
          <w:sz w:val="24"/>
        </w:rPr>
        <w:t>“Second, CaSR is found in many tissues, including parathyroid gland, kidney, and bone, where it participates in regulation and utilization of extracellular Ca. Third, amino acids and peptides, including GSH and its derivatives, can sensitize CaSR responses to Ca; in taste buds GSH and related compounds can activate CaSR under ambient Ca conditions. Fourth, consistent with the functional effects of glutathionergics on CaSR, the binding pocket at which amino acids exert their effects on CaSR is large enough to accommodate peptides, including glutathione and its oxidized derivatives. Fifth, extracellular Ca in the same concentration range as is regulated by CaSR in parathyroid, kidney, and bone tissues can modify glutathione synthesis, particularly in hepatocytes, the major source of circulating glutathione. Given the above observations, we therefore propose that circulating glutathionergics (GSH, GSSG, and/or CySSG) bind to and sensitize CaSR to extracellular Ca and thereby participate in the homeostatic regulation of extracellular Ca.”  [PMC8776003 ¶20]</w:t>
      </w:r>
    </w:p>
    <w:p>
      <w:pPr>
        <w:spacing w:after="120"/>
        <w:jc w:val="both"/>
      </w:pPr>
      <w:r>
        <w:rPr>
          <w:rFonts w:ascii="Times New Roman" w:hAnsi="Times New Roman" w:cs="Times New Roman" w:eastAsia="Times New Roman"/>
          <w:b w:val="0"/>
          <w:i w:val="0"/>
          <w:sz w:val="24"/>
        </w:rPr>
        <w:t>“A subsidiary hypothesis, based on the physiological principle that homeostatic systems usually have feedback to the source of the regulatory signal, is that extracellular Ca effects on glutathione metabolism in the liver, the major source of circulating glutathionergics, may constitute a feedback mechanism for this hypothesized glutathionergic Ca regulatory mechanism. The association of CySSG changes with age and health and the greater affinity of CySSG for CaSR in model docking simulations may indicate an importance for this derivative of CySSG that has heretofore been overlooked. This proposed role broadens our views about the functions of glutathione, emphasizing an extracellular receptor-mediated role for glutathionergics, complementary to their well-known intracellular actions regulating the intracellular redox state of cells. This paper highlights the potential biological actions of plasma CySSG and further emphasizes the peptide binding site on CaSR as a potential target the development of drugs that can be used in treating kidney, Parkinson\u2019s and other diseases. 5.”  [PMC8776003 ¶21]</w:t>
      </w:r>
    </w:p>
    <w:p>
      <w:pPr>
        <w:spacing w:after="120"/>
        <w:jc w:val="both"/>
      </w:pPr>
      <w:r>
        <w:rPr>
          <w:rFonts w:ascii="Times New Roman" w:hAnsi="Times New Roman" w:cs="Times New Roman" w:eastAsia="Times New Roman"/>
          <w:b w:val="0"/>
          <w:i w:val="0"/>
          <w:sz w:val="24"/>
        </w:rPr>
        <w:t>“Medical Implications In the period 2015\u20132018, 37 million Americans had chronic kidney disease (CKD), including 38% of patients age 65 and older [ 68 ]. Together, CKD and End-Stage Renal Disease (ESRD) had an annual Medicare cost (2017) of over $120 billion [ 69 ]. ESRD is often accompanied by secondary parathyroidism and abnormal Ca homeostasis [ 70 ]. Calcimimetics targeting CaSR were developed to enhance the affinity of CaSR for Ca and thereby reduce parathyroid hormone at more modest Ca concentrations [ 71 ]. These compounds (e.g., AMG073 (Cinacalcet, Sensipar), FDA approved in 2004 and etelcalcitide (Parsabiv), approved in 2017) are effective but expensive (about $10,000 per patient per year [ 72 ]) and may be accompanied by side effects [ 73 ]. Another renal condition associated with abnormal CaSR function includes kidney stones [ 74 ]. While the earliest calcimimetics, such as Cinacalcet targeted the TMD of CaSR; the more recent category of calcimimetics represented by etelcalcetide apparently produce their response by binding at a site near the amino acid/peptide binding site of the ECD [ 2 , 54 ] Alexander, Hunter, Walter, Dong, Maclean, Baruch, Subramanian and Tomlinson [ 54 ] suggested that etelcalcetide\u2019s cysteine residue may undergo a critical disulfide interaction with CaSR ECD cysteine residue C482, which is supported by cryoelectronmicroscopy structural analysis [ 2 ] of CaSR showing elelcalcitide bound by disulfide bonds to C482 in the homodimer interface CaSR.”  [PMC8776003 ¶22]</w:t>
      </w:r>
    </w:p>
    <w:p>
      <w:pPr>
        <w:spacing w:after="120"/>
        <w:jc w:val="both"/>
      </w:pPr>
      <w:r>
        <w:rPr>
          <w:rFonts w:ascii="Times New Roman" w:hAnsi="Times New Roman" w:cs="Times New Roman" w:eastAsia="Times New Roman"/>
          <w:b w:val="0"/>
          <w:i w:val="0"/>
          <w:sz w:val="24"/>
        </w:rPr>
        <w:t>“The nearby position of C482 to the amino acid/peptide binding pocket of CaSR is illustrated in this paper in Figure 4 C, in which C482 in the A chain of CaSR is shown as the yellow residue in the lower left part of the figure. A comparably near C482 in the B chain is also present but obscured in Figure 4 C behind other amino acids. It has not escaped our attention that etelcalcetide, like the naturally occurring CySSG, has a critical cysteine residue connected to its peptide backbone structure. Interestingly, CysGSH, the other cysteine-glutathione compound that we have highlighted in this review, is linked by a covalent bond between the cysteine S and one of the backbone carbons, similar to the linkage of cysteine to the peptide backbone of etelcalcetide, as illustrated by Alexander, Hunter, Walter, Dong, Maclean, Baruch, Subramanian and Tomlinson [ 2 , 54 ]. Whether CySSG or CysGSH may bind in the location demonstrated for etelcalcitide is a matter for future modeling and empirical analysis.”  [PMC8776003 ¶23]</w:t>
      </w:r>
    </w:p>
    <w:p>
      <w:pPr>
        <w:spacing w:after="120"/>
        <w:jc w:val="both"/>
      </w:pPr>
      <w:r>
        <w:rPr>
          <w:rFonts w:ascii="Times New Roman" w:hAnsi="Times New Roman" w:cs="Times New Roman" w:eastAsia="Times New Roman"/>
          <w:b w:val="0"/>
          <w:i w:val="0"/>
          <w:sz w:val="24"/>
        </w:rPr>
        <w:t>“According to the perspective presented in this paper, etelcalcetide may, in this respect, be mimicking the functional actions of a naturally circulating glutathionergic compound, CySSG. The amino acid sensitizers of CaSR are active at mM concentrations. In contrast, glutathionergics bind to and sensitize the receptor at \u00b5M concentrations. Like etelcalcetide, glutathionergics may be the basis for developing lead compounds for a \u201cnext generation\u201d of CaSR sensitizers, especially if it can be determined that CySSG is the most effective of the glutathionergics at producing physiological responses. In this regard, CysGSH should also be considered as a possible CaSR sensitizer. The actions of glutathionergics on CaSR may also have implications for other functions besides Ca homeostasis. Aside from possible roles in renal disease, changes in glutathionergics and CaSR function may also have roles pathology in HIV-AIDs, osteoporosis, pulmonary hypertension, and neurodegenerative diseases.”  [PMC8776003 ¶24]</w:t>
      </w:r>
    </w:p>
    <w:p>
      <w:pPr>
        <w:spacing w:after="120"/>
        <w:jc w:val="both"/>
      </w:pPr>
      <w:r>
        <w:rPr>
          <w:rFonts w:ascii="Times New Roman" w:hAnsi="Times New Roman" w:cs="Times New Roman" w:eastAsia="Times New Roman"/>
          <w:b w:val="0"/>
          <w:i w:val="0"/>
          <w:sz w:val="24"/>
        </w:rPr>
        <w:t>“HIV/AIDS is accompanied hypercalciuria and osteopenia [ 75 , 76 ] and, as already reviewed ( Figure 2 ), changes in plasma levels of GSH and its oxidized derivatives also occur in HIV/AIDS [ 15 ]. With respect to heart disease, mutations in promotor regions of subunits of glutamate-cysteine ligase (GCL, the rate-limiting enzyme for GSH synthesis) are associated with increased risk for myocardial infarction [ 77 ], which could be related to GSH-potentiation of endothelial nitric oxide release [ 78 ] and the extracellular calcium receptor (CaSR) in cardiac microvascular endothelial cells [ 79 ]. With regard to osteoporosis, osteoclasts and osteoblasts have CaSR (reviewed in [ 80 ]), and osteoporosis is associated with changes in glutathione-associated enzymes [ 81 , 82 ]. A proposed mediator for some forms of pulmonary hypertension is CaSR in pulmonary vasculature [ 83 ]. Pulmonary hypertension is also accompanied by changes in plasma glutathionergics which have been suggested as targets for treatment [ 84 ].”  [PMC8776003 ¶25]</w:t>
      </w:r>
    </w:p>
    <w:p>
      <w:pPr>
        <w:spacing w:after="120"/>
        <w:jc w:val="both"/>
      </w:pPr>
      <w:r>
        <w:rPr>
          <w:rFonts w:ascii="Times New Roman" w:hAnsi="Times New Roman" w:cs="Times New Roman" w:eastAsia="Times New Roman"/>
          <w:b w:val="0"/>
          <w:i w:val="0"/>
          <w:sz w:val="24"/>
        </w:rPr>
        <w:t>“Degenerative diseases of the brain such as Parkinson\u2019s and Alzheimer\u2019s disease may also be affected by both glutathionergics [ 85 , 86 , 87 ] and CaSR [ 88 , 89 , 90 , 91 ] in brain tissue; however, their neural and systemic interactions are complex and beyond the scope of the present review. In almost every case where glutathionergics have been investigated, their hypothesized roles have been interpreted based on their functions in redox regulation or detoxification and not based on a possible CaSR-receptor mediated role that is hypothesized here. 6. Conclusions Three key observations are reviewed in this paper: Glutathionergic compounds can produce biological responses through receptor binding mechanisms on CaSR. Most discussions of the roles of GSH and its derivatives focus almost exclusively on their functions in regulating the redox states of cells and in detoxifying chemicals (e.g., Lu [ 92 ]).”  [PMC8776003 ¶26]</w:t>
      </w:r>
    </w:p>
    <w:p>
      <w:pPr>
        <w:spacing w:after="120"/>
        <w:jc w:val="both"/>
      </w:pPr>
      <w:r>
        <w:rPr>
          <w:rFonts w:ascii="Times New Roman" w:hAnsi="Times New Roman" w:cs="Times New Roman" w:eastAsia="Times New Roman"/>
          <w:b w:val="0"/>
          <w:i w:val="0"/>
          <w:sz w:val="24"/>
        </w:rPr>
        <w:t>“The idea that glutathionergics may also function as ligands that bind to receptors such as CaSR via structures that are not necessarily affected by their redox state broadens the types of roles that they can have. Furthermore, receptor function involves reversible binding, in contrast to covalent detoxification mechanisms. A role for plasma CySSG . CySSG is present in plasma at concentrations greater than GSSG and nearly as high as GSH; in some medical conditions (e.g., HIV/AIDS) the ratio of CySSG to GSH changes as much as 5-fold. The higher affinity calculated in this paper for CySSG binding to CaSR, compared to GSH and GSSG, suggests that CySSG may even be the preferred ligand at the peptide binding site on CaSR. However, the presence and possible functions of CySSG have gone largely uncommented upon, even in the publications with the most extensive human plasma measurements of CySSG [ 10 , 15 ], despite CySSG-specific significant changes and correlations in the texts of the papers.”  [PMC8776003 ¶27]</w:t>
      </w:r>
    </w:p>
    <w:p>
      <w:pPr>
        <w:spacing w:after="120"/>
        <w:jc w:val="both"/>
      </w:pPr>
      <w:r>
        <w:rPr>
          <w:rFonts w:ascii="Times New Roman" w:hAnsi="Times New Roman" w:cs="Times New Roman" w:eastAsia="Times New Roman"/>
          <w:b w:val="0"/>
          <w:i w:val="0"/>
          <w:sz w:val="24"/>
        </w:rPr>
        <w:t>“CySSG is known to stimulate an important receptor-mediated response in invertebrate reproduction [ 19 ]. The proposal here is that CySSG has important functions in mammalian Ca homeostasis. Glutathionergics may be lead compounds for new regulators of CaSR activity for clinical treatments. As noted above, the presence of a cysteine residue attached to a peptide backbone, found in CySSG, CysGSH, and etelcalcetide, may point the way to further development of compounds that sensitize or antagonize CaSR through actions in the amino acid/peptide binding pocket of the CaSR ECD. A variety of disease conditions associated with changes in CaSR activity and affected by GSH and its derivatives may be subject to treatment with new drugs derived from this understanding.", "tables": [], "figures": [ { "label": "Figure 1", "caption": "Structures of glutathione (GSH), L-cysteine-glutathione disulfide (CySSG), glutathione disulfide (oxidized glutathione, GSSG), and cysteinyl glutathione (CysGSH).”  [PMC8776003 ¶28]</w:t>
      </w:r>
    </w:p>
    <w:p>
      <w:pPr>
        <w:spacing w:after="120"/>
        <w:jc w:val="both"/>
      </w:pPr>
      <w:r>
        <w:rPr>
          <w:rFonts w:ascii="Times New Roman" w:hAnsi="Times New Roman" w:cs="Times New Roman" w:eastAsia="Times New Roman"/>
          <w:b w:val="0"/>
          <w:i w:val="0"/>
          <w:sz w:val="24"/>
        </w:rPr>
        <w:t>“Models were drawn by Jmol, through an interface on Wikipedia (GSSG) or at http://biomodel.uah.es/en/DIY/JSME/draw.en.htm (GSH, CySSG, and CysGSH; accessed 10 and 11 August 2021), based on CID structures 124886 for GSH, 10455148 for CySSG, 65359 for GSSG, and 3080690 for CysGSH, from Pub-Chem (URL: https://pubchem.ncbi.nlm.nih.gov , accessed 22 August 2021).", "graphic_href": "ijms-23-00717-g001.jpg" }, { "label": "Figure 2", "caption": "Plasma GSH, GSSG, and CySSG in 10 healthy (HIV-negative) people, 30 HIV-positive, and 23 AIDS patients. ( Left ) Derived from Figure 1 and the text of Walmsley et al. [ 15 ]. ( Right ) the same data plotted as per cent of average healthy controls. * p &lt; 0.05 compared to controls.", "graphic_href": "ijms-23-00717-g002.jpg" }, { "label": "Figure 3", "caption": "Binding pocket from Wang et al. [ 1 ], showing that it can accommodate either ( A ) GSH or ( B ) GSSG.", "graphic_href": "ijms-23-00717-g003.jpg" }, { "label": "Figure 4", "caption": "Potential docking sites of glutathionergics to the ECD of CaSR determined with the SwissDock docking simulator [ 56 ], and visualized via UCSF Chimera [ 57 ] visualization software.”  [PMC8776003 ¶29]</w:t>
      </w:r>
    </w:p>
    <w:p>
      <w:pPr>
        <w:spacing w:after="120"/>
        <w:jc w:val="both"/>
      </w:pPr>
      <w:r>
        <w:rPr>
          <w:rFonts w:ascii="Times New Roman" w:hAnsi="Times New Roman" w:cs="Times New Roman" w:eastAsia="Times New Roman"/>
          <w:b w:val="0"/>
          <w:i w:val="0"/>
          <w:sz w:val="24"/>
        </w:rPr>
        <w:t>“Images show Chain B of the CaSR ECD structure with ligands ( A ) and ( B ) CySSG, ( D ) GSH, ( E ) GSSG, and ( F ) CysGSH, docked in the binding site corresponding to where tryptophan and ( C ) a tryptophan derivative [ 5 ] are known to bind. Docking simulations utilized the pdb ID 5FBK 3d structure of the CaSR ECD. CySSG and CysGSH were obtained from PubChem CID 44119801 and CID 3080690, respectively, converted from 3d .XML files to .Mol2 files using Open Babel, version 2.3.1, http://openbabel.org (accessed 28 August 2021), ref. [ 58 ]; GSH was obtained from Zinc ID 3830891 as a .Mol2 file; GSSG was obtained from zinc ID 3870129 as a .Mol2 file. Pdb ID 5FBK was modified to contain only Chain B of the receptor. The docking region of interest in Chain B was restricted to SwissDock\u2019s XYZ center\u201435, 17, and 27", "graphic_href": "ijms-23-00717-g004.jpg" } ], "references": [ { "title": "Activation of family C G-protein-coupled receptors by the tripeptide glutathione", "year": "2006", "source": "J.”  [PMC8776003 ¶30]</w:t>
      </w:r>
    </w:p>
    <w:p>
      <w:pPr>
        <w:spacing w:after="120"/>
        <w:jc w:val="both"/>
      </w:pPr>
      <w:r>
        <w:rPr>
          <w:rFonts w:ascii="Times New Roman" w:hAnsi="Times New Roman" w:cs="Times New Roman" w:eastAsia="Times New Roman"/>
          <w:b w:val="0"/>
          <w:i w:val="0"/>
          <w:sz w:val="24"/>
        </w:rPr>
        <w:t>“Biol. Chem.", "doi": "10.1074/jbc.M512865200", "pmid": "16455645" }, { "title": "Asymmetric activation of the calcium-sensing receptor homodimer", "year": "2021", "source": "Nature", "doi": "10.1038/s41586-021-03691-0", "pmid": "34194040", "pmcid": "PMC8826748" }, { "title": "Structural mechanism of ligand activation in human calcium-sensing receptor", "year": "2016", "source": "eLife", "doi": "10.7554/eLife.13662", "pmid": "27434672", "pmcid": "PMC4977154" }, { "title": "Structural mechanism of cooperative activation of the human calcium-sensing receptor by Ca 2+ ions and L-tryptophan", "year": "2021", "source": "Cell Res.", "doi": "10.1038/s41422-021-00474-0", "pmid": "33603117", "pmcid": "PMC8115157" }, { "title": "Structural basis for regulation of human calcium-sensing receptor by magnesium ions and an unexpected tryptophan derivative co-agonist", "year": "2016", "source": "Sci. Adv.", "doi": "10.1126/sciadv.1600241", "pmid": "27386547", "pmcid": "PMC4928972" }, { "title": "The standard redox potential of cysteine-cystine from the thiol-disulfide exchange reaction with glutathione and lipoic acid", "year": "1967", "source": "Eur.”  [PMC8776003 ¶31]</w:t>
      </w:r>
    </w:p>
    <w:p>
      <w:pPr>
        <w:spacing w:after="120"/>
        <w:jc w:val="both"/>
      </w:pPr>
      <w:r>
        <w:rPr>
          <w:rFonts w:ascii="Times New Roman" w:hAnsi="Times New Roman" w:cs="Times New Roman" w:eastAsia="Times New Roman"/>
          <w:b w:val="0"/>
          <w:i w:val="0"/>
          <w:sz w:val="24"/>
        </w:rPr>
        <w:t>“J. Biochem.", "doi": "10.1111/j.1432-1033.1967.tb00142.x", "pmid": "4865316" }, { "title": "The reduction of the L-cysteine-glutathione mixed disulfide in rat liver. Involvement of an enzyme catalyzing thiol-disulfide interchange", "year": "1970", "source": "FEBS Lett.", "doi": "10.1016/0014-5793(70)80608-1", "pmid": "11947421" }, { "title": "Characteristics of glutathione biosynthesis by freshly isolated rat-kidney cells", "year": "1980", "source": "J. Biol. Chem.", "doi": "10.1016/S0021-9258(19)86281-6", "pmid": "7350152" }, { "title": "The inhibition of gamma-glutamyl-transferase transpeptidase and glutathione metabolism of isolated rat-kidney cells by L-(alpha-S,5s)-alpha-amino-3-chloro-4, 5-dihydro-5-isoxazoleacetic acid (AT-125, NSC-163501)", "year": "1980", "source": "Biochem. Biophys. Res. Commun.", "doi": "10.1016/0006-291X(80)90557-4", "pmid": "6104962" }, { "title": "Redox analysis of human plasma allows separation of pro-oxidant events of aging from decline in antioxidant defenses", "year": "2002", "source": "Free.”  [PMC8776003 ¶32]</w:t>
      </w:r>
    </w:p>
    <w:p>
      <w:pPr>
        <w:spacing w:after="120"/>
        <w:jc w:val="both"/>
      </w:pPr>
      <w:r>
        <w:rPr>
          <w:rFonts w:ascii="Times New Roman" w:hAnsi="Times New Roman" w:cs="Times New Roman" w:eastAsia="Times New Roman"/>
          <w:b w:val="0"/>
          <w:i w:val="0"/>
          <w:sz w:val="24"/>
        </w:rPr>
        <w:t>“Radic. Biol. Med.", "doi": "10.1016/S0891-5849(02)01040-7", "pmid": "12398937" }, { "title": "Status of glutathione and other thiols and disulfides in human plasma", "year": "2000", "source": "Biochem. Pharmacol.", "doi": "10.1016/S0006-2952(00)00293-8", "pmid": "10807941" }, { "title": "Distribution of oxidized and reduced forms of glutathione and cysteine in rat plasma", "year": "1985", "source": "Arch. Biochem. Biophys.", "doi": "10.1016/0003-9861(85)90065-7", "pmid": "4026295" }, { "title": "Changes in plasma glutathione concentrations, turnover, and disposal in developing rats", "year": "1994", "source": "Am. J. Physiol.", "doi": "10.1152/ajpregu.1994.266.3.R979", "pmid": "8160895" }, { "title": "High-performance liquid-chromatographic analysis of glutathione and its thiol and disulfide degradation products", "year": "1986", "source": "J. Chromatogr.", "doi": "10.1016/S0378-4347(00)83592-6", "pmid": "3760084" }, { "title": "Oxidative stress and thiol depletion in plasma and peripheral blood lymphocytes from HIV-infected patients: Toxicological and pathological implications", "year": "1997", "source": "Aids", "doi": "10.1097/00002030-199714000-00005", "pmid": "9386803" }, { "title": "A waterborne female sex pheromone in the ragworm Nereis succinia ( Annelida, Polychaeta )", "year": "1997", "source": "Polych.”  [PMC8776003 ¶33]</w:t>
      </w:r>
    </w:p>
    <w:p>
      <w:pPr>
        <w:spacing w:after="120"/>
        <w:jc w:val="both"/>
      </w:pPr>
      <w:r>
        <w:rPr>
          <w:rFonts w:ascii="Times New Roman" w:hAnsi="Times New Roman" w:cs="Times New Roman" w:eastAsia="Times New Roman"/>
          <w:b w:val="0"/>
          <w:i w:val="0"/>
          <w:sz w:val="24"/>
        </w:rPr>
        <w:t>“Res." }, { "title": "Finding females: Pheromone-guided reproductive tracking behavior by male Nereis succinea in the marine environment", "year": "2008", "source": "J. Exp. Biol.", "doi": "10.1242/jeb.012773", "pmid": "18281338" }, { "title": "Nereis succinea nuptial behavior: Does size matter?", "year": "2005", "source": "Invertebr. Reprod. Dev.", "doi": "10.1080/07924259.2005.9652174" }, { "title": "The spawning pheromone cysteine-glutathione disulfide (\u2018nereithiones\u2019) arouses a multicomponent nuptial behaviour and electrophysiological activity in Nereis succinea males", "year": "1999", "source": "FASEB J.", "doi": "10.1096/fasebj.13.8.945", "pmid": "10224237" }, { "title": "Cloning and characterization of an extracellular Ca 2+ -sensing receptor from bovine parathyroid", "year": "1993", "source": "Nature", "doi": "10.1038/366575a0", "pmid": "8255296" }, { "title": "Calcium receptor-mediated intracellular signalling", "year": "2004", "source": "Cell Calcium", "doi": "10.1016/j.ceca.2003.10.017", "pmid": "15200145" }, { "title": "Aromatic L-amino acids activate the calcium-sensing receptor", "year": "2007", "source": "J.”  [PMC8776003 ¶34]</w:t>
      </w:r>
    </w:p>
    <w:p>
      <w:pPr>
        <w:spacing w:after="120"/>
        <w:jc w:val="both"/>
      </w:pPr>
      <w:r>
        <w:rPr>
          <w:rFonts w:ascii="Times New Roman" w:hAnsi="Times New Roman" w:cs="Times New Roman" w:eastAsia="Times New Roman"/>
          <w:b w:val="0"/>
          <w:i w:val="0"/>
          <w:sz w:val="24"/>
        </w:rPr>
        <w:t>“Nutr.", "doi": "10.1093/jn/137.6.1524S", "pmid": "17513419" }, { "title": "Localization and function of the renal calcium-sensing receptor", "year": "2016", "source": "Nat. Rev. Nephrol.", "doi": "10.1038/nrneph.2016.59", "pmid": "27157444" }, { "title": "VAMP-2/3 mediates cAMP-induced translocation of NKCC2 to the apical membrane of the thick ascending limb", "year": "2003", "source": "J. Am. Soc. Nephrol." }, { "title": "cAMP stimulates NaCl absorption by increasing NKCC2 trafficking to the apical membrane of thick ascending limbs: Role of VAMP-2/3", "year": "2004", "source": "Hypertension" }, { "title": "cAMP increases surface expression of NKCC2 in rat thick ascending limbs: Role of VAMP", "year": "2006", "source": "Am. J. Physiol.-Renal Physiol.", "doi": "10.1152/ajprenal.00248.2005", "pmid": "16144963" }, { "title": "Effect of arachidonic-acid on activity of the apical K+ channel in the thick ascending limb of the rat-kidney", "year": "1995", "source": "J.”  [PMC8776003 ¶35]</w:t>
      </w:r>
    </w:p>
    <w:p>
      <w:pPr>
        <w:spacing w:after="120"/>
        <w:jc w:val="both"/>
      </w:pPr>
      <w:r>
        <w:rPr>
          <w:rFonts w:ascii="Times New Roman" w:hAnsi="Times New Roman" w:cs="Times New Roman" w:eastAsia="Times New Roman"/>
          <w:b w:val="0"/>
          <w:i w:val="0"/>
          <w:sz w:val="24"/>
        </w:rPr>
        <w:t>“Gen. Physiol.", "doi": "10.1085/jgp.106.4.727", "pmid": "8576704", "pmcid": "PMC2229275" }, { "title": "Cytochrome P-450 metabolites mediate extracellular Ca 2+ -induced inhibition of apical K + channels in the TAL", "year": "1996", "source": "Am. J. Physiol.-Cell Physiol.", "doi": "10.1152/ajpcell.1996.271.1.C103", "pmid": "8760035" }, { "title": "CaR-mediated COX-2 expression in primary cultured mTAL cells", "year": "2001", "source": "Am. J. Physiol.-Renal Physiol.", "doi": "10.1152/ajprenal.2001.281.4.F658", "pmid": "11553512" }, { "title": "Olive Leaf Extract (OLE) impaired vasopressin-induced aquaporin-2 trafficking through the activation of the calcium-sensing receptor", "year": "2021", "source": "Sci. Rep.", "doi": "10.1038/s41598-021-83850-5", "pmid": "33633156", "pmcid": "PMC7907100" }, { "title": "The influence of extracellular and intracellular calcium on the secretion of renin", "year": "2013", "source": "Pfl\u00fcgers Arch.-Eur.”  [PMC8776003 ¶36]</w:t>
      </w:r>
    </w:p>
    <w:p>
      <w:pPr>
        <w:spacing w:after="120"/>
        <w:jc w:val="both"/>
      </w:pPr>
      <w:r>
        <w:rPr>
          <w:rFonts w:ascii="Times New Roman" w:hAnsi="Times New Roman" w:cs="Times New Roman" w:eastAsia="Times New Roman"/>
          <w:b w:val="0"/>
          <w:i w:val="0"/>
          <w:sz w:val="24"/>
        </w:rPr>
        <w:t>“J. Physiol.", "doi": "10.1007/s00424-012-1107-x", "pmid": "22538344", "pmcid": "PMC3553253" }, { "title": "Claudin-14 Underlies Ca++-Sensing Receptor\u2013Mediated Ca++Metabolism via NFAT-microRNA\u2013Based Mechanisms", "year": "2014", "source": "J. Am. Soc. Nephrol.", "doi": "10.1681/ASN.2013050553", "pmid": "24335970", "pmcid": "PMC3968499" }, { "title": "Extracellular calcium sensing and extracellular calcium signaling", "year": "2001", "source": "Physiol. Rev.", "doi": "10.1152/physrev.2001.81.1.239", "pmid": "11152759" }, { "title": "Extracellular calcium-sensing receptor is expressed in rat hepatocytes\u2014Coupling to intracellular calcium mobilization and stimulation of bile flow", "year": "2001", "source": "J. Biol. Chem.", "doi": "10.1074/jbc.M009317200", "pmid": "11071898" }, { "title": "Important roles of the Ca2+ -sensing receptor in vascular health and disease", "year": "2018", "source": "Life Sci.", "doi": "10.1016/j.lfs.2018.08.016", "pmid": "30098342" }, { "title": "The functional expression of extracellular calcium-sensing receptor in rat pulmonary artery smooth muscle cells", "year": "2011", "source": "J.”  [PMC8776003 ¶37]</w:t>
      </w:r>
    </w:p>
    <w:p>
      <w:pPr>
        <w:spacing w:after="120"/>
        <w:jc w:val="both"/>
      </w:pPr>
      <w:r>
        <w:rPr>
          <w:rFonts w:ascii="Times New Roman" w:hAnsi="Times New Roman" w:cs="Times New Roman" w:eastAsia="Times New Roman"/>
          <w:b w:val="0"/>
          <w:i w:val="0"/>
          <w:sz w:val="24"/>
        </w:rPr>
        <w:t>“Biomed. Sci.", "doi": "10.1186/1423-0127-18-16", "pmid": "21314926", "pmcid": "PMC3050794" }, { "title": "A Role for the Extracellular Calcium-Sensing Receptor in Cell-Cell Communication in Pancreatic Islets of Langerhans", "year": "2008", "source": "Cell. Physiol. Biochem.", "doi": "10.1159/000185540", "pmid": "19088438" }, { "title": "The extracellular calcium-sensing receptor on human beta-cells negatively modulates insulin secretion", "year": "2000", "source": "Diabetes", "doi": "10.2337/diabetes.49.3.409", "pmid": "10868962" }, { "title": "Structural analysis and taste evaluation of \u03b3-glutamyl peptides comprising sulfur-containing amino acids", "year": "2018", "source": "Biosci. Biotechnol. Biochem.", "doi": "10.1080/09168451.2018.1436433", "pmid": "29488453" }, { "title": "Involvement of the Calcium-sensing Receptor in Human Taste Perception", "year": "2010", "source": "J. Biol.”  [PMC8776003 ¶38]</w:t>
      </w:r>
    </w:p>
    <w:p>
      <w:pPr>
        <w:spacing w:after="120"/>
        <w:jc w:val="both"/>
      </w:pPr>
      <w:r>
        <w:rPr>
          <w:rFonts w:ascii="Times New Roman" w:hAnsi="Times New Roman" w:cs="Times New Roman" w:eastAsia="Times New Roman"/>
          <w:b w:val="0"/>
          <w:i w:val="0"/>
          <w:sz w:val="24"/>
        </w:rPr>
        <w:t>“Chem.", "doi": "10.1074/jbc.M109.029165", "pmid": "19892707", "pmcid": "PMC2801228" }, { "title": "Kokumi taste perception is functional in a model carnivore, the domestic cat (Felis catus)", "year": "2021", "source": "Sci. Rep.", "doi": "10.1038/s41598-021-89558-w", "pmid": "34006911", "pmcid": "PMC8131363" }, { "title": "L-Amino acid sensing by the extracellular Ca 2+ -sensing receptor", "year": "2000", "source": "Proc. Natl. Acad. Sci. USA", "doi": "10.1073/pnas.97.9.4814", "pmid": "10781086", "pmcid": "PMC18315" }, { "title": "Molecular basis for amino acid sensing by family C G-protein-coupled receptors", "year": "2009", "source": "Br. J. Pharmacol.", "doi": "10.1111/j.1476-5381.2008.00078.x", "pmid": "19298394", "pmcid": "PMC2697712" }, { "title": "Illuminating the allosteric modulation of the calcium-sensing receptor", "year": "2020", "source": "Proc. Natl. Acad. Sci. USA", "doi": "10.1073/pnas.1922231117", "pmid": "32817431", "pmcid": "PMC7474691" }, { "title": "Structural insights into the activation of human calcium sensing receptor", "year": "2021", "source": "eLife", "doi": "10.7554/eLife.68578", "pmid": "34467854", "pmcid": "PMC8476121" }, { "title": "Evocalcet: A New Oral Calcimimetic for Dialysis Patients with Secondary Hyperparathyroidism", "year": "2020", "source": "Ther.”  [PMC8776003 ¶39]</w:t>
      </w:r>
    </w:p>
    <w:p>
      <w:pPr>
        <w:spacing w:after="120"/>
        <w:jc w:val="both"/>
      </w:pPr>
      <w:r>
        <w:rPr>
          <w:rFonts w:ascii="Times New Roman" w:hAnsi="Times New Roman" w:cs="Times New Roman" w:eastAsia="Times New Roman"/>
          <w:b w:val="0"/>
          <w:i w:val="0"/>
          <w:sz w:val="24"/>
        </w:rPr>
        <w:t>“Apher. Dial.", "doi": "10.1111/1744-9987.13434", "pmid": "31486206", "pmcid": "PMC7317959" }, { "title": "New concepts in calcium-sensing receptor pharmacology and signalling", "year": "2012", "source": "Br. J. Pharmacol.", "doi": "10.1111/j.1476-5381.2011.01511.x", "pmid": "21627634", "pmcid": "PMC3252964" }, { "title": "Positive and negative allosteric modulators of the Ca 2+ -sensing receptor interact within overlapping but not identical binding sites in the transmembrane domain", "year": "2004", "source": "J. Biol. Chem.", "doi": "10.1074/jbc.M400724200", "pmid": "14976203" }, { "title": "Structural basis for activation and allosteric modulation of full-length calcium-sensing receptor", "year": "2021", "source": "Sci. Adv.", "doi": "10.1126/sciadv.abg1483", "pmcid": "PMC8177707", "pmid": "34088669" }, { "title": "Discovery of novel 1-arylmethyl pyrrolidin-2-yl ethanol amines as calcium-sensing receptor antagonists", "year": "2005", "source": "Bioorg.”  [PMC8776003 ¶40]</w:t>
      </w:r>
    </w:p>
    <w:p>
      <w:pPr>
        <w:spacing w:after="120"/>
        <w:jc w:val="both"/>
      </w:pPr>
      <w:r>
        <w:rPr>
          <w:rFonts w:ascii="Times New Roman" w:hAnsi="Times New Roman" w:cs="Times New Roman" w:eastAsia="Times New Roman"/>
          <w:b w:val="0"/>
          <w:i w:val="0"/>
          <w:sz w:val="24"/>
        </w:rPr>
        <w:t>“Med. Chem. Lett.", "doi": "10.1016/j.bmcl.2005.08.095", "pmid": "16216508" }, { "title": "Discovery and structure-activity relationships of 2-benzylpyrrolidine-substituted aryloxypropanols as calcium-sensing receptor antagonists", "year": "2005", "source": "Bioorg. Med. Chem. Lett.", "doi": "10.1016/j.bmcl.2004.11.071", "pmid": "15686947" }, { "title": "Characterization of Negative Allosteric Modulators of the Calcium-Sensing Receptor for Repurposing as a Treatment of Asthma", "year": "2021", "source": "J. Pharmacol. Exp. Ther.", "doi": "10.1124/jpet.120.000281", "pmid": "33115824" }, { "title": "Pharmacology of Parsabiv\u00ae (etelcalcetide, ONO-5163/AMG 416), a novel allosteric modulator of the calcium-sensing receptor, for secondary hyperparathyroidism in hemodialysis patients", "year": "2019", "source": "Eur. J. Pharmacol.", "doi": "10.1016/j.ejphar.2018.10.021", "pmid": "30342948" }, { "title": "Critical Cysteine Residues in Both the Calcium-Sensing Receptor and the Allosteric Activator AMG 416 Underlie the Mechanism of Action", "year": "2015", "source": "Mol.”  [PMC8776003 ¶41]</w:t>
      </w:r>
    </w:p>
    <w:p>
      <w:pPr>
        <w:spacing w:after="120"/>
        <w:jc w:val="both"/>
      </w:pPr>
      <w:r>
        <w:rPr>
          <w:rFonts w:ascii="Times New Roman" w:hAnsi="Times New Roman" w:cs="Times New Roman" w:eastAsia="Times New Roman"/>
          <w:b w:val="0"/>
          <w:i w:val="0"/>
          <w:sz w:val="24"/>
        </w:rPr>
        <w:t>“Pharmacol.", "doi": "10.1124/mol.115.098392", "pmid": "26290606" }, { "title": "Molecular Basis of the Extracellular Ligands Mediated Signaling by the Calcium Sensing Receptor", "year": "2016", "source": "Front. Physiol.", "doi": "10.3389/fphys.2016.00441", "pmid": "27746744", "pmcid": "PMC5043022" }, { "title": "SwissDock, a protein-small molecule docking web service based on EADock DSS", "year": "2011", "source": "Nucleic Acids Res.", "doi": "10.1093/nar/gkr366", "pmid": "21624888", "pmcid": "PMC3125772" }, { "title": "UCSF Chimera: A visualization system for exploratory research and analysis", "year": "2004", "source": "J. Comput. Chem.", "doi": "10.1002/jcc.20084", "pmid": "15264254" }, { "title": "Open Babel: An open chemical toolbox", "year": "2011", "source": "J. Cheminform.", "doi": "10.1186/1758-2946-3-33", "pmid": "21982300", "pmcid": "PMC3198950" }, { "title": "The Protein Data Bank", "year": "2000", "source": "Nucleic Acids Res.", "doi": "10.1093/nar/28.1.235", "pmid": "10592235", "pmcid": "PMC102472" }, { "title": "Involvement of calcium ion in elevation of mRNA for gamma-glutamylcysteine synthetase (gamma-GCS) induced by low-dose gamma-rays", "year": "2000", "source": "Int.”  [PMC8776003 ¶42]</w:t>
      </w:r>
    </w:p>
    <w:p>
      <w:pPr>
        <w:spacing w:after="120"/>
        <w:jc w:val="both"/>
      </w:pPr>
      <w:r>
        <w:rPr>
          <w:rFonts w:ascii="Times New Roman" w:hAnsi="Times New Roman" w:cs="Times New Roman" w:eastAsia="Times New Roman"/>
          <w:b w:val="0"/>
          <w:i w:val="0"/>
          <w:sz w:val="24"/>
        </w:rPr>
        <w:t>“J. Radiat. Biol.", "doi": "10.1080/09553000050201127", "pmid": "11133045" }, { "title": "Activation of Nrf2-mediated oxidative stress response in macrophages by hypochlorous acid", "year": "2008", "source": "Toxicol. Appl. Pharmacol.", "doi": "10.1016/j.taap.2007.09.016", "pmid": "17980396" }, { "title": "Pi class glutathione S-transferase genes are regulated by Nrf 2 through an evolutionarily conserved regulatory element in zebrafish", "year": "2005", "source": "Biochem. J.", "doi": "10.1042/BJ20041860", "pmid": "15654768", "pmcid": "PMC1186694" }, { "title": "Molecular mechanism of human Nrf2 activation and degradation: Role of sequential phosphorylation by protein kinase CK2", "year": "2007", "source": "Free Radic. Biol. Med.", "doi": "10.1016/j.freeradbiomed.2007.03.001", "pmid": "17512459", "pmcid": "PMC1950666" }, { "title": "Inhibition of Cartilage Acidic Protein 1 Reduces Ultraviolet B Irradiation Induced-Apoptosis through P38 Mitogen-Activated Protein Kinase and Jun Amino-Terminal Kinase Pathways", "year": "2016", "source": "Cell.”  [PMC8776003 ¶43]</w:t>
      </w:r>
    </w:p>
    <w:p>
      <w:pPr>
        <w:spacing w:after="120"/>
        <w:jc w:val="both"/>
      </w:pPr>
      <w:r>
        <w:rPr>
          <w:rFonts w:ascii="Times New Roman" w:hAnsi="Times New Roman" w:cs="Times New Roman" w:eastAsia="Times New Roman"/>
          <w:b w:val="0"/>
          <w:i w:val="0"/>
          <w:sz w:val="24"/>
        </w:rPr>
        <w:t>“Physiol. Biochem.", "doi": "10.1159/000447920", "pmid": "27855397" }, { "title": "Hepatic Glutathione Homeostasis in the Rat: Efflux Accounts for Glutathione Turnover", "year": "1984", "source": "Hepatology", "doi": "10.1002/hep.1840040402", "pmid": "6745847" }, { "title": "A role of vitamin E in protection against cell injury\u2014Maintenance of intracellular glutathione precursors and biosynthesis", "year": "1987", "source": "Eur. J. Biochem.", "doi": "10.1111/j.1432-1033.1987.tb13508.x", "pmid": "3595614" }, { "title": "Effect of Low-Level Laser on Some Metals Related to Redox State and Histological Alterations in the Liver and Kidney of Irradiated Rats", "year": "2020", "source": "Biol. Trace Elem. Res.", "doi": "10.1007/s12011-019-01779-3", "pmid": "31313245" }, { "title": "Chronic Kidney Disease in the United States", "year": "2021", "source": "" }, { "title": "", "year": "2019", "source": "2019 USRDS Annual Data Report: Epidemiology of Kidney Disease in the United States, Executive Summary" }, { "title": "Cinacalcet hydrochloride (Sensipar)", "year": "2005", "source": "Bayl.”  [PMC8776003 ¶44]</w:t>
      </w:r>
    </w:p>
    <w:p>
      <w:pPr>
        <w:spacing w:after="120"/>
        <w:jc w:val="both"/>
      </w:pPr>
      <w:r>
        <w:rPr>
          <w:rFonts w:ascii="Times New Roman" w:hAnsi="Times New Roman" w:cs="Times New Roman" w:eastAsia="Times New Roman"/>
          <w:b w:val="0"/>
          <w:i w:val="0"/>
          <w:sz w:val="24"/>
        </w:rPr>
        <w:t>“Univ. Med. Cent.", "doi": "10.1080/08998280.2005.11928062", "pmcid": "PMC1200722", "pmid": "16200170" }, { "title": "Recent updates on the calcium-sensing receptor as a drug target", "year": "2008", "source": "Curr. Med. Chem.", "doi": "10.2174/092986708783330601", "pmid": "18220773" }, { "title": "Exploring the potential value of improved care for secondary hyperparathyroidism with a novel calcimimetic therapy", "year": "2017", "source": "J. Med. Econ.", "doi": "10.1080/13696998.2017.1360309", "pmid": "28803497" }, { "title": "Effect of Etelcalcetide vs Cinacalcet on Serum Parathyroid Hormone in Patients Receiving Hemodialysis With Secondary Hyperparathyroidism", "year": "2017", "source": "JAMA", "doi": "10.1001/jama.2016.19468", "pmid": "28097356" }, { "title": "Sequencing the CaSR locus in Pakistani stone formers reveals a novel loss-of-function variant atypically associated with nephrolithiasis", "year": "2021", "source": "BMC Med.”  [PMC8776003 ¶45]</w:t>
      </w:r>
    </w:p>
    <w:p>
      <w:pPr>
        <w:spacing w:after="120"/>
        <w:jc w:val="both"/>
      </w:pPr>
      <w:r>
        <w:rPr>
          <w:rFonts w:ascii="Times New Roman" w:hAnsi="Times New Roman" w:cs="Times New Roman" w:eastAsia="Times New Roman"/>
          <w:b w:val="0"/>
          <w:i w:val="0"/>
          <w:sz w:val="24"/>
        </w:rPr>
        <w:t>“Genom.", "doi": "10.1186/s12920-021-01116-5", "pmcid": "PMC8588693", "pmid": "34772415" }, { "title": "Hypercalciuria is the main renal abnormality finding in Human Immunodeficiency Virus-infected children in Venezuela", "year": "2008", "source": "Eur. J. Pediatrics", "doi": "10.1007/s00431-007-0538-4", "pmid": "17593389" }, { "title": "Osteopenia in HIV-infected women prior to highly active antiretroviral therapy", "year": "2003", "source": "J. Infect.", "doi": "10.1053/jinf.2002.1109", "pmid": "12799147" }, { "title": "Association of polymorphism in glutamate-cysteine ligase catalytic subunit gene with coronary vasornotor dysfunction and myocardial infarction", "year": "2003", "source": "J. Am. Coll. Cardiol.", "doi": "10.1016/S0735-1097(02)02866-8", "pmid": "12598062" }, { "title": "Glutathione reverses endothelial dysfunction and improves nitric oxide bioavailability", "year": "1999", "source": "J.”  [PMC8776003 ¶46]</w:t>
      </w:r>
    </w:p>
    <w:p>
      <w:pPr>
        <w:keepNext/>
        <w:spacing w:before="280" w:after="80"/>
        <w:outlineLvl w:val="1"/>
      </w:pPr>
      <w:r>
        <w:rPr>
          <w:rFonts w:ascii="Times New Roman" w:hAnsi="Times New Roman" w:cs="Times New Roman" w:eastAsia="Times New Roman"/>
          <w:b/>
          <w:i w:val="0"/>
          <w:color w:val="335588"/>
          <w:sz w:val="28"/>
        </w:rPr>
        <w:t>11.6  [6] Clinically Relevant Therapeutic Approaches Against Acetaminophen Hepatotoxicity and Acute Liver Failure</w:t>
      </w:r>
    </w:p>
    <w:p>
      <w:pPr>
        <w:spacing w:after="80"/>
        <w:jc w:val="both"/>
      </w:pPr>
      <w:r>
        <w:rPr>
          <w:rFonts w:ascii="Times New Roman" w:hAnsi="Times New Roman" w:cs="Times New Roman" w:eastAsia="Times New Roman"/>
          <w:b w:val="0"/>
          <w:i/>
          <w:sz w:val="22"/>
        </w:rPr>
        <w:t>Bibliographic identifiers — PMCID: PMC11315809; PMID: 38346541; DOI: 10.1016/j.bcp.2024.116056; Journal: Biochemical pharmacology; Year: 2024.</w:t>
      </w:r>
    </w:p>
    <w:p>
      <w:pPr>
        <w:spacing w:after="80"/>
        <w:jc w:val="both"/>
      </w:pPr>
      <w:r>
        <w:rPr>
          <w:rFonts w:ascii="Times New Roman" w:hAnsi="Times New Roman" w:cs="Times New Roman" w:eastAsia="Times New Roman"/>
          <w:b w:val="0"/>
          <w:i w:val="0"/>
          <w:sz w:val="22"/>
        </w:rPr>
        <w:t>Retrieval — full JATS XML via NCBI efetch db=pmc rettype=xml. Body text length: 40,891 characters; structured tables: 1; figures: 0; references: 113. Supplementary body text also harvested via MCP fetch_pmc_article: 0 characters, 0 verbatim paragraphs reproduced below.</w:t>
      </w:r>
    </w:p>
    <w:p>
      <w:pPr>
        <w:spacing w:after="80"/>
        <w:jc w:val="both"/>
      </w:pPr>
      <w:r>
        <w:rPr>
          <w:rFonts w:ascii="Times New Roman" w:hAnsi="Times New Roman" w:cs="Times New Roman" w:eastAsia="Times New Roman"/>
          <w:b/>
          <w:i w:val="0"/>
          <w:sz w:val="22"/>
        </w:rPr>
        <w:t>Verbatim abstract (from JATS XML):</w:t>
      </w:r>
    </w:p>
    <w:p>
      <w:pPr>
        <w:spacing w:after="80"/>
        <w:jc w:val="both"/>
      </w:pPr>
      <w:r>
        <w:rPr>
          <w:rFonts w:ascii="Times New Roman" w:hAnsi="Times New Roman" w:cs="Times New Roman" w:eastAsia="Times New Roman"/>
          <w:b w:val="0"/>
          <w:i/>
          <w:sz w:val="24"/>
        </w:rPr>
        <w:t>“Liver injury and acute liver failure caused by an acetaminophen (APAP) overdose is a significant clinical problem in western countries. With the introduction of the mouse model of APAP hepatotoxicity in the 1970s, fundamental mechanisms of cell death were discovered. This included the recognition that part of the APAP dose is metabolized by cytochrome P450 generating a reactive metabolite that is detoxified by glutathione. After the partial depletion of glutathione, the reactive metabolite will covalently bind to sulfhydryl groups of proteins, which is the initiating event of the toxicity. This insight led to the introduction of N-acetyl-L-cysteine, a glutathione precursor, as antidote against APAP overdose in the clinic. Despite substantial progress in our understanding of the pathomechanisms over the last decades viable new antidotes only emerged recently. This review will discuss the background, mechanisms of action, and the clinical prospects of the existing FDA-approved antidote N-acetylcysteine, of several new drug candidates under clinical development [4-methylpyrazole (fomepizole), calmangafodipir] and examples of additional therapeutic targets (Nrf2 activators) and regeneration promoting agents (thrombopoietin mimetics, adenosine A2B receptor agonists, Wharton’s Jelly mesenchymal stem cells). Although there are clear limitations of certain therapeutic approaches, there is reason to be optimistic. The substantial progress in the understanding of the pathophysiology of APAP hepatotoxicity led to the consideration of several drugs for development as clinical antidotes against APAP overdose in recent years. Based on the currently available information, it is likely that this will result in additional drugs that could be used as adjunct treatment for N-acetylcysteine.”</w:t>
      </w:r>
    </w:p>
    <w:p>
      <w:pPr>
        <w:keepNext/>
        <w:spacing w:before="160" w:after="40"/>
        <w:jc w:val="left"/>
      </w:pPr>
      <w:r>
        <w:rPr>
          <w:rFonts w:ascii="Times New Roman" w:hAnsi="Times New Roman" w:cs="Times New Roman" w:eastAsia="Times New Roman"/>
          <w:b/>
          <w:i w:val="0"/>
          <w:sz w:val="22"/>
        </w:rPr>
        <w:t>Reproduced verbatim from PMC11315809 — Table 1: — Characteristics of New Antidotes in Clinical Development compared to N-Acetylcysteine</w:t>
      </w:r>
    </w:p>
    <w:tbl>
      <w:tblPr>
        <w:tblStyle w:val="TableGrid"/>
        <w:tblW w:type="auto" w:w="0"/>
        <w:tblLayout w:type="fixed"/>
        <w:tblLook w:firstColumn="1" w:firstRow="1" w:lastColumn="0" w:lastRow="0" w:noHBand="0" w:noVBand="1" w:val="04A0"/>
      </w:tblPr>
      <w:tblGrid>
        <w:gridCol w:w="1872"/>
        <w:gridCol w:w="1872"/>
        <w:gridCol w:w="1872"/>
        <w:gridCol w:w="1872"/>
        <w:gridCol w:w="1872"/>
      </w:tblGrid>
      <w:tr>
        <w:tc>
          <w:tcPr>
            <w:tcW w:type="dxa" w:w="1872"/>
            <w:shd w:fill="DDE4EF"/>
          </w:tcPr>
          <w:p>
            <w:r/>
            <w:r>
              <w:rPr>
                <w:rFonts w:ascii="Times New Roman" w:hAnsi="Times New Roman" w:cs="Times New Roman" w:eastAsia="Times New Roman"/>
                <w:b/>
                <w:i w:val="0"/>
                <w:sz w:val="22"/>
              </w:rPr>
              <w:t>Liver Injury:</w:t>
            </w:r>
          </w:p>
        </w:tc>
        <w:tc>
          <w:tcPr>
            <w:tcW w:type="dxa" w:w="1872"/>
            <w:shd w:fill="DDE4EF"/>
          </w:tcPr>
          <w:p>
            <w:r/>
            <w:r>
              <w:rPr>
                <w:rFonts w:ascii="Times New Roman" w:hAnsi="Times New Roman" w:cs="Times New Roman" w:eastAsia="Times New Roman"/>
                <w:b/>
                <w:i w:val="0"/>
                <w:sz w:val="22"/>
              </w:rPr>
              <w:t>N-Acetylcysteine</w:t>
            </w:r>
          </w:p>
        </w:tc>
        <w:tc>
          <w:tcPr>
            <w:tcW w:type="dxa" w:w="1872"/>
            <w:shd w:fill="DDE4EF"/>
          </w:tcPr>
          <w:p>
            <w:r/>
            <w:r>
              <w:rPr>
                <w:rFonts w:ascii="Times New Roman" w:hAnsi="Times New Roman" w:cs="Times New Roman" w:eastAsia="Times New Roman"/>
                <w:b/>
                <w:i w:val="0"/>
                <w:sz w:val="22"/>
              </w:rPr>
              <w:t>Fomepizole</w:t>
            </w:r>
          </w:p>
        </w:tc>
        <w:tc>
          <w:tcPr>
            <w:tcW w:type="dxa" w:w="1872"/>
            <w:shd w:fill="DDE4EF"/>
          </w:tcPr>
          <w:p>
            <w:r/>
            <w:r>
              <w:rPr>
                <w:rFonts w:ascii="Times New Roman" w:hAnsi="Times New Roman" w:cs="Times New Roman" w:eastAsia="Times New Roman"/>
                <w:b/>
                <w:i w:val="0"/>
                <w:sz w:val="22"/>
              </w:rPr>
              <w:t>Calmangafodipir</w:t>
            </w:r>
          </w:p>
        </w:tc>
        <w:tc>
          <w:tcPr>
            <w:tcW w:type="dxa" w:w="1872"/>
            <w:shd w:fill="DDE4EF"/>
          </w:tcPr>
          <w:p>
            <w:r/>
            <w:r>
              <w:rPr>
                <w:rFonts w:ascii="Times New Roman" w:hAnsi="Times New Roman" w:cs="Times New Roman" w:eastAsia="Times New Roman"/>
                <w:b/>
                <w:i w:val="0"/>
                <w:sz w:val="22"/>
              </w:rPr>
              <w:t>mTPO</w:t>
            </w:r>
          </w:p>
        </w:tc>
      </w:tr>
      <w:tr>
        <w:tc>
          <w:tcPr>
            <w:tcW w:type="dxa" w:w="1872"/>
          </w:tcPr>
          <w:p>
            <w:r/>
            <w:r>
              <w:rPr>
                <w:rFonts w:ascii="Times New Roman" w:hAnsi="Times New Roman" w:cs="Times New Roman" w:eastAsia="Times New Roman"/>
                <w:b w:val="0"/>
                <w:i w:val="0"/>
                <w:sz w:val="22"/>
              </w:rPr>
              <w:t>Efficiency with Early Treatment</w:t>
            </w:r>
          </w:p>
        </w:tc>
        <w:tc>
          <w:tcPr>
            <w:tcW w:type="dxa" w:w="1872"/>
          </w:tcPr>
          <w:p>
            <w:r/>
            <w:r>
              <w:rPr>
                <w:rFonts w:ascii="Times New Roman" w:hAnsi="Times New Roman" w:cs="Times New Roman" w:eastAsia="Times New Roman"/>
                <w:b w:val="0"/>
                <w:i w:val="0"/>
                <w:sz w:val="22"/>
              </w:rPr>
              <w:t>++++</w:t>
            </w:r>
          </w:p>
        </w:tc>
        <w:tc>
          <w:tcPr>
            <w:tcW w:type="dxa" w:w="1872"/>
          </w:tcPr>
          <w:p>
            <w:r/>
            <w:r>
              <w:rPr>
                <w:rFonts w:ascii="Times New Roman" w:hAnsi="Times New Roman" w:cs="Times New Roman" w:eastAsia="Times New Roman"/>
                <w:b w:val="0"/>
                <w:i w:val="0"/>
                <w:sz w:val="22"/>
              </w:rPr>
              <w:t>++++</w:t>
            </w:r>
          </w:p>
        </w:tc>
        <w:tc>
          <w:tcPr>
            <w:tcW w:type="dxa" w:w="1872"/>
          </w:tcPr>
          <w:p>
            <w:r/>
            <w:r>
              <w:rPr>
                <w:rFonts w:ascii="Times New Roman" w:hAnsi="Times New Roman" w:cs="Times New Roman" w:eastAsia="Times New Roman"/>
                <w:b w:val="0"/>
                <w:i w:val="0"/>
                <w:sz w:val="22"/>
              </w:rPr>
              <w:t>ND</w:t>
            </w:r>
          </w:p>
        </w:tc>
        <w:tc>
          <w:tcPr>
            <w:tcW w:type="dxa" w:w="1872"/>
          </w:tcPr>
          <w:p>
            <w:r/>
            <w:r>
              <w:rPr>
                <w:rFonts w:ascii="Times New Roman" w:hAnsi="Times New Roman" w:cs="Times New Roman" w:eastAsia="Times New Roman"/>
                <w:b w:val="0"/>
                <w:i w:val="0"/>
                <w:sz w:val="22"/>
              </w:rPr>
              <w:t>----</w:t>
            </w:r>
          </w:p>
        </w:tc>
      </w:tr>
      <w:tr>
        <w:tc>
          <w:tcPr>
            <w:tcW w:type="dxa" w:w="1872"/>
          </w:tcPr>
          <w:p>
            <w:r/>
            <w:r>
              <w:rPr>
                <w:rFonts w:ascii="Times New Roman" w:hAnsi="Times New Roman" w:cs="Times New Roman" w:eastAsia="Times New Roman"/>
                <w:b w:val="0"/>
                <w:i w:val="0"/>
                <w:sz w:val="22"/>
              </w:rPr>
              <w:t>Efficiency with Late Treatment</w:t>
            </w:r>
          </w:p>
        </w:tc>
        <w:tc>
          <w:tcPr>
            <w:tcW w:type="dxa" w:w="1872"/>
          </w:tcPr>
          <w:p>
            <w:r/>
            <w:r>
              <w:rPr>
                <w:rFonts w:ascii="Times New Roman" w:hAnsi="Times New Roman" w:cs="Times New Roman" w:eastAsia="Times New Roman"/>
                <w:b w:val="0"/>
                <w:i w:val="0"/>
                <w:sz w:val="22"/>
              </w:rPr>
              <w:t>+</w:t>
            </w:r>
          </w:p>
        </w:tc>
        <w:tc>
          <w:tcPr>
            <w:tcW w:type="dxa" w:w="1872"/>
          </w:tcPr>
          <w:p>
            <w:r/>
            <w:r>
              <w:rPr>
                <w:rFonts w:ascii="Times New Roman" w:hAnsi="Times New Roman" w:cs="Times New Roman" w:eastAsia="Times New Roman"/>
                <w:b w:val="0"/>
                <w:i w:val="0"/>
                <w:sz w:val="22"/>
              </w:rPr>
              <w:t>++</w:t>
            </w:r>
          </w:p>
        </w:tc>
        <w:tc>
          <w:tcPr>
            <w:tcW w:type="dxa" w:w="1872"/>
          </w:tcPr>
          <w:p>
            <w:r/>
            <w:r>
              <w:rPr>
                <w:rFonts w:ascii="Times New Roman" w:hAnsi="Times New Roman" w:cs="Times New Roman" w:eastAsia="Times New Roman"/>
                <w:b w:val="0"/>
                <w:i w:val="0"/>
                <w:sz w:val="22"/>
              </w:rPr>
              <w:t>++ ?</w:t>
            </w:r>
          </w:p>
        </w:tc>
        <w:tc>
          <w:tcPr>
            <w:tcW w:type="dxa" w:w="1872"/>
          </w:tcPr>
          <w:p>
            <w:r/>
            <w:r>
              <w:rPr>
                <w:rFonts w:ascii="Times New Roman" w:hAnsi="Times New Roman" w:cs="Times New Roman" w:eastAsia="Times New Roman"/>
                <w:b w:val="0"/>
                <w:i w:val="0"/>
                <w:sz w:val="22"/>
              </w:rPr>
              <w:t>+</w:t>
            </w:r>
          </w:p>
        </w:tc>
      </w:tr>
      <w:tr>
        <w:tc>
          <w:tcPr>
            <w:tcW w:type="dxa" w:w="1872"/>
          </w:tcPr>
          <w:p>
            <w:r/>
            <w:r>
              <w:rPr>
                <w:rFonts w:ascii="Times New Roman" w:hAnsi="Times New Roman" w:cs="Times New Roman" w:eastAsia="Times New Roman"/>
                <w:b w:val="0"/>
                <w:i w:val="0"/>
                <w:sz w:val="22"/>
              </w:rPr>
              <w:t>Promotes Biogenesis and Regeneration</w:t>
            </w:r>
          </w:p>
        </w:tc>
        <w:tc>
          <w:tcPr>
            <w:tcW w:type="dxa" w:w="1872"/>
          </w:tcPr>
          <w:p>
            <w:r/>
            <w:r>
              <w:rPr>
                <w:rFonts w:ascii="Times New Roman" w:hAnsi="Times New Roman" w:cs="Times New Roman" w:eastAsia="Times New Roman"/>
                <w:b w:val="0"/>
                <w:i w:val="0"/>
                <w:sz w:val="22"/>
              </w:rPr>
              <w:t>----</w:t>
            </w:r>
          </w:p>
        </w:tc>
        <w:tc>
          <w:tcPr>
            <w:tcW w:type="dxa" w:w="1872"/>
          </w:tcPr>
          <w:p>
            <w:r/>
            <w:r>
              <w:rPr>
                <w:rFonts w:ascii="Times New Roman" w:hAnsi="Times New Roman" w:cs="Times New Roman" w:eastAsia="Times New Roman"/>
                <w:b w:val="0"/>
                <w:i w:val="0"/>
                <w:sz w:val="22"/>
              </w:rPr>
              <w:t>+</w:t>
            </w:r>
          </w:p>
        </w:tc>
        <w:tc>
          <w:tcPr>
            <w:tcW w:type="dxa" w:w="1872"/>
          </w:tcPr>
          <w:p>
            <w:r/>
            <w:r>
              <w:rPr>
                <w:rFonts w:ascii="Times New Roman" w:hAnsi="Times New Roman" w:cs="Times New Roman" w:eastAsia="Times New Roman"/>
                <w:b w:val="0"/>
                <w:i w:val="0"/>
                <w:sz w:val="22"/>
              </w:rPr>
              <w:t>ND</w:t>
            </w:r>
          </w:p>
        </w:tc>
        <w:tc>
          <w:tcPr>
            <w:tcW w:type="dxa" w:w="1872"/>
          </w:tcPr>
          <w:p>
            <w:r/>
            <w:r>
              <w:rPr>
                <w:rFonts w:ascii="Times New Roman" w:hAnsi="Times New Roman" w:cs="Times New Roman" w:eastAsia="Times New Roman"/>
                <w:b w:val="0"/>
                <w:i w:val="0"/>
                <w:sz w:val="22"/>
              </w:rPr>
              <w:t>++++</w:t>
            </w:r>
          </w:p>
        </w:tc>
      </w:tr>
      <w:tr>
        <w:tc>
          <w:tcPr>
            <w:tcW w:type="dxa" w:w="1872"/>
          </w:tcPr>
          <w:p>
            <w:r/>
            <w:r>
              <w:rPr>
                <w:rFonts w:ascii="Times New Roman" w:hAnsi="Times New Roman" w:cs="Times New Roman" w:eastAsia="Times New Roman"/>
                <w:b w:val="0"/>
                <w:i w:val="0"/>
                <w:sz w:val="22"/>
              </w:rPr>
              <w:t>Protects against Acute Kidney Injury</w:t>
            </w:r>
          </w:p>
        </w:tc>
        <w:tc>
          <w:tcPr>
            <w:tcW w:type="dxa" w:w="1872"/>
          </w:tcPr>
          <w:p>
            <w:r/>
            <w:r>
              <w:rPr>
                <w:rFonts w:ascii="Times New Roman" w:hAnsi="Times New Roman" w:cs="Times New Roman" w:eastAsia="Times New Roman"/>
                <w:b w:val="0"/>
                <w:i w:val="0"/>
                <w:sz w:val="22"/>
              </w:rPr>
              <w:t>----</w:t>
            </w:r>
          </w:p>
        </w:tc>
        <w:tc>
          <w:tcPr>
            <w:tcW w:type="dxa" w:w="1872"/>
          </w:tcPr>
          <w:p>
            <w:r/>
            <w:r>
              <w:rPr>
                <w:rFonts w:ascii="Times New Roman" w:hAnsi="Times New Roman" w:cs="Times New Roman" w:eastAsia="Times New Roman"/>
                <w:b w:val="0"/>
                <w:i w:val="0"/>
                <w:sz w:val="22"/>
              </w:rPr>
              <w:t>+++</w:t>
            </w:r>
          </w:p>
        </w:tc>
        <w:tc>
          <w:tcPr>
            <w:tcW w:type="dxa" w:w="1872"/>
          </w:tcPr>
          <w:p>
            <w:r/>
            <w:r>
              <w:rPr>
                <w:rFonts w:ascii="Times New Roman" w:hAnsi="Times New Roman" w:cs="Times New Roman" w:eastAsia="Times New Roman"/>
                <w:b w:val="0"/>
                <w:i w:val="0"/>
                <w:sz w:val="22"/>
              </w:rPr>
              <w:t>ND</w:t>
            </w:r>
          </w:p>
        </w:tc>
        <w:tc>
          <w:tcPr>
            <w:tcW w:type="dxa" w:w="1872"/>
          </w:tcPr>
          <w:p>
            <w:r/>
            <w:r>
              <w:rPr>
                <w:rFonts w:ascii="Times New Roman" w:hAnsi="Times New Roman" w:cs="Times New Roman" w:eastAsia="Times New Roman"/>
                <w:b w:val="0"/>
                <w:i w:val="0"/>
                <w:sz w:val="22"/>
              </w:rPr>
              <w:t>ND</w:t>
            </w:r>
          </w:p>
        </w:tc>
      </w:tr>
      <w:tr>
        <w:tc>
          <w:tcPr>
            <w:tcW w:type="dxa" w:w="1872"/>
          </w:tcPr>
          <w:p>
            <w:r/>
            <w:r>
              <w:rPr>
                <w:rFonts w:ascii="Times New Roman" w:hAnsi="Times New Roman" w:cs="Times New Roman" w:eastAsia="Times New Roman"/>
                <w:b w:val="0"/>
                <w:i w:val="0"/>
                <w:sz w:val="22"/>
              </w:rPr>
              <w:t>Side Effects of Treatment</w:t>
            </w:r>
          </w:p>
        </w:tc>
        <w:tc>
          <w:tcPr>
            <w:tcW w:type="dxa" w:w="1872"/>
          </w:tcPr>
          <w:p>
            <w:r/>
            <w:r>
              <w:rPr>
                <w:rFonts w:ascii="Times New Roman" w:hAnsi="Times New Roman" w:cs="Times New Roman" w:eastAsia="Times New Roman"/>
                <w:b w:val="0"/>
                <w:i w:val="0"/>
                <w:sz w:val="22"/>
              </w:rPr>
              <w:t>+</w:t>
            </w:r>
          </w:p>
        </w:tc>
        <w:tc>
          <w:tcPr>
            <w:tcW w:type="dxa" w:w="1872"/>
          </w:tcPr>
          <w:p>
            <w:r/>
            <w:r>
              <w:rPr>
                <w:rFonts w:ascii="Times New Roman" w:hAnsi="Times New Roman" w:cs="Times New Roman" w:eastAsia="Times New Roman"/>
                <w:b w:val="0"/>
                <w:i w:val="0"/>
                <w:sz w:val="22"/>
              </w:rPr>
              <w:t>----</w:t>
            </w:r>
          </w:p>
        </w:tc>
        <w:tc>
          <w:tcPr>
            <w:tcW w:type="dxa" w:w="1872"/>
          </w:tcPr>
          <w:p>
            <w:r/>
            <w:r>
              <w:rPr>
                <w:rFonts w:ascii="Times New Roman" w:hAnsi="Times New Roman" w:cs="Times New Roman" w:eastAsia="Times New Roman"/>
                <w:b w:val="0"/>
                <w:i w:val="0"/>
                <w:sz w:val="22"/>
              </w:rPr>
              <w:t>----</w:t>
            </w:r>
          </w:p>
        </w:tc>
        <w:tc>
          <w:tcPr>
            <w:tcW w:type="dxa" w:w="1872"/>
          </w:tcPr>
          <w:p>
            <w:r/>
            <w:r>
              <w:rPr>
                <w:rFonts w:ascii="Times New Roman" w:hAnsi="Times New Roman" w:cs="Times New Roman" w:eastAsia="Times New Roman"/>
                <w:b w:val="0"/>
                <w:i w:val="0"/>
                <w:sz w:val="22"/>
              </w:rPr>
              <w:t>----</w:t>
            </w:r>
          </w:p>
        </w:tc>
      </w:tr>
    </w:tbl>
    <w:p>
      <w:pPr>
        <w:spacing w:after="80"/>
        <w:jc w:val="both"/>
      </w:pPr>
    </w:p>
    <w:p>
      <w:pPr>
        <w:keepNext/>
        <w:spacing w:before="160" w:after="40"/>
        <w:outlineLvl w:val="2"/>
      </w:pPr>
      <w:r>
        <w:rPr>
          <w:rFonts w:ascii="Times New Roman" w:hAnsi="Times New Roman" w:cs="Times New Roman" w:eastAsia="Times New Roman"/>
          <w:b/>
          <w:i w:val="0"/>
          <w:color w:val="404040"/>
          <w:sz w:val="24"/>
        </w:rPr>
        <w:t>Verbatim body-text paragraphs from PMC11315809</w:t>
      </w:r>
    </w:p>
    <w:p>
      <w:pPr>
        <w:spacing w:after="120"/>
        <w:jc w:val="both"/>
      </w:pPr>
      <w:r>
        <w:rPr>
          <w:rFonts w:ascii="Times New Roman" w:hAnsi="Times New Roman" w:cs="Times New Roman" w:eastAsia="Times New Roman"/>
          <w:b w:val="0"/>
          <w:i w:val="0"/>
          <w:sz w:val="24"/>
        </w:rPr>
        <w:t>“With the introduction of the mouse model of APAP hepatotoxicity in the 1970s, fundamental mechanisms of cell death were discovered. This included the recognition that part of the APAP dose is metabolized by cytochrome P450 generating a reactive metabolite that is detoxified by glutathione. After the partial depletion of glutathione, the reactive metabolite will covalently bind to sulfhydryl groups of proteins, which is the initiating event of the toxicity. This insight led to the introduction of N-acetyl-L-cysteine, a glutathione precursor, as antidote against APAP overdose in the clinic. Despite substantial progress in our understanding of the pathomechanisms over the last decades viable new antidotes only emerged recently. This review will discuss the background, mechanisms of action, and the clinical prospects of the existing FDA-approved antidote N-acetylcysteine, of several new drug candidates under clinical development [4-methylpyrazole (fomepizole), calmangafodipir] and examples of additional therapeutic targets (Nrf2 activators) and regeneration promoting agents (thrombopoietin mimetics, adenosine A2B receptor agonists, Wharton\u2019s Jelly mesenchymal stem cells).”  [PMC11315809 ¶1]</w:t>
      </w:r>
    </w:p>
    <w:p>
      <w:pPr>
        <w:spacing w:after="120"/>
        <w:jc w:val="both"/>
      </w:pPr>
      <w:r>
        <w:rPr>
          <w:rFonts w:ascii="Times New Roman" w:hAnsi="Times New Roman" w:cs="Times New Roman" w:eastAsia="Times New Roman"/>
          <w:b w:val="0"/>
          <w:i w:val="0"/>
          <w:sz w:val="24"/>
        </w:rPr>
        <w:t>“Although there are clear limitations of certain therapeutic approaches, there is reason to be optimistic. The substantial progress in the understanding of the pathophysiology of APAP hepatotoxicity led to the consideration of several drugs for development as clinical antidotes against APAP overdose in recent years. Based on the currently available information, it is likely that this will result in additional drugs that could be used as adjunct treatment for N-acetylcysteine.", "body_text": "1. Introduction Acetaminophen (APAP) is a worldwide used analgesic and antipyretic drug, which is safe at therapeutic doses. However, due to its wide availability and low cost, intentional or accidental overdoses are relatively common, especially in western countries. For example, there are roughly 80,000 APAP overdose cases annually presenting to emergency departments with 25,000 patients requiring hospitalization in the United States [ 1 ], more than 80,000 cases in the United Kingdom [ 2 ] and about 11,000 cases in Australia [ 3 ].”  [PMC11315809 ¶2]</w:t>
      </w:r>
    </w:p>
    <w:p>
      <w:pPr>
        <w:spacing w:after="120"/>
        <w:jc w:val="both"/>
      </w:pPr>
      <w:r>
        <w:rPr>
          <w:rFonts w:ascii="Times New Roman" w:hAnsi="Times New Roman" w:cs="Times New Roman" w:eastAsia="Times New Roman"/>
          <w:b w:val="0"/>
          <w:i w:val="0"/>
          <w:sz w:val="24"/>
        </w:rPr>
        <w:t>“APAP overdose is the single most frequent cause of liver injury and acute liver failure in the U.S., UK [ 4 ] and Australia [ 5 ] and is at least a significant etiology of acute liver failure in many other western countries [ 4 ]. As a dose-dependent hepatotoxin, the injury process of APAP toxicity in patients can be accurately reproduced in animals [ 6 , 7 ], especially in mice [ 8 ]. Since the introduction of the mouse model in the 1970s [ 9 , 10 ], the mechanisms of cell death and liver injury have been extensively studied and today many key aspects of the injury mechanism are known [ 11 \u2013 13 ]. Based on the early mechanistic insight, limited to recognition of hepatotoxicity resulting from reactive metabolite formation causing GSH depletion and subsequent protein adduct formation [ 9 , 10 ], N-acetylcysteine (NAC) was discovered to be an effective antidote in animals and patients [ 14 ].”  [PMC11315809 ¶3]</w:t>
      </w:r>
    </w:p>
    <w:p>
      <w:pPr>
        <w:spacing w:after="120"/>
        <w:jc w:val="both"/>
      </w:pPr>
      <w:r>
        <w:rPr>
          <w:rFonts w:ascii="Times New Roman" w:hAnsi="Times New Roman" w:cs="Times New Roman" w:eastAsia="Times New Roman"/>
          <w:b w:val="0"/>
          <w:i w:val="0"/>
          <w:sz w:val="24"/>
        </w:rPr>
        <w:t>“This led to its approval as a clinical antidote in the 1980s [ 15 , 16 ]. Importantly, NAC is still the only clinically approved antidote against APAP overdose in patients more than 40 years later. However, despite its efficacy in most overdose cases, NAC has limited beneficial effects in late-presenting patients and after massive overdoses, and it does not promote regeneration. These limitations drive the continuous search for additional therapeutics that could complement and improve the therapeutic efficacy of NAC. The extensive research into the mechanisms of APAP-induced liver injury resulted in significant progress and identification of novel therapeutic targets. In addition, the dramatically increased number of compounds, especially natural products, being tested in the APAP hepatotoxicity model has led to identification of numerous chemicals said to be putative antidotes [ 17 \u2013 19 ].”  [PMC11315809 ¶4]</w:t>
      </w:r>
    </w:p>
    <w:p>
      <w:pPr>
        <w:spacing w:after="120"/>
        <w:jc w:val="both"/>
      </w:pPr>
      <w:r>
        <w:rPr>
          <w:rFonts w:ascii="Times New Roman" w:hAnsi="Times New Roman" w:cs="Times New Roman" w:eastAsia="Times New Roman"/>
          <w:b w:val="0"/>
          <w:i w:val="0"/>
          <w:sz w:val="24"/>
        </w:rPr>
        <w:t>“In fact, most recently it was suggested to plan for clinical trials using these compounds [ 20 ]. However, despite this extensive research activity, translation of new antidotes to the clinic is constrained. One reason for this limited progress is that the protective mechanisms proposed by these studies are questionable or wrong in most cases as they are mainly based on correlations and not causality assessment [ 21 ]. However, the most serious problem is the fact that almost all compounds are being used in the APAP model as pretreatment, which is a clinically irrelevant scenario [ 21 ]. Any compound with a realistic chance to be considered as an antidote must be effective when administered only after APAP treatment. The limited mechanistic understanding and in particular the absence of a clearly documented therapeutic effect in preclinical models leads to limited confidence that these interventions may work in APAP overdose patients under clinically realistic conditions.”  [PMC11315809 ¶5]</w:t>
      </w:r>
    </w:p>
    <w:p>
      <w:pPr>
        <w:spacing w:after="120"/>
        <w:jc w:val="both"/>
      </w:pPr>
      <w:r>
        <w:rPr>
          <w:rFonts w:ascii="Times New Roman" w:hAnsi="Times New Roman" w:cs="Times New Roman" w:eastAsia="Times New Roman"/>
          <w:b w:val="0"/>
          <w:i w:val="0"/>
          <w:sz w:val="24"/>
        </w:rPr>
        <w:t>“In addition, the costs of safety studies and clinical efficacy trials are too high of a risk for the limited reward, considering the smaller patient numbers. Thus, the main conclusions of most of these intervention studies that compound X acting through Y mechanism may be a promising therapeutic approach for APAP overdose patients are not supported by solid scientific evidence. Nevertheless, in recent years new developments give some hope that there can be progress with emerging novel therapeutics approaches. However, the key to advancing any potential therapeutic is to understand the molecular mechanisms of the disease and have a clear understanding of what the new intervention is targeting. 2. Mechanisms of APAP-induced Liver Injury Mechanistic studies of APAP hepatotoxicity started with the recognition that a part of the dose of APAP is metabolized by cytochrome P450 (Cyp) enzymes [ 6 ], now known to be mainly Cyp2E1 [ 22 ], which generates a reactive metabolite that can be detoxified by GSH [ 9 ].”  [PMC11315809 ¶6]</w:t>
      </w:r>
    </w:p>
    <w:p>
      <w:pPr>
        <w:spacing w:after="120"/>
        <w:jc w:val="both"/>
      </w:pPr>
      <w:r>
        <w:rPr>
          <w:rFonts w:ascii="Times New Roman" w:hAnsi="Times New Roman" w:cs="Times New Roman" w:eastAsia="Times New Roman"/>
          <w:b w:val="0"/>
          <w:i w:val="0"/>
          <w:sz w:val="24"/>
        </w:rPr>
        <w:t>“This reactive metabolite was identified as N-acetyl-p-benzoquinone imine (NAPQI), which after GSH depletion, preferably reacts with sulfhydryl groups of cysteine in proteins [ 23 ]. Although extensive formation of protein adducts is the initiating event in the toxicity, it is protein adducts in mitochondria that are most critical [ 24 , 25 ]. Mitochondrial adducts trigger a limited electron leak from complex III of the mitochondrial electron transport chain into the cytosol [ 26 ]. This mild oxidant stress activates a redox-sensitive mitogen-activated protein kinase cascade, resulting in activation (phosphorylation) of c-jun N-terminal kinase (JNK) [ 26 ]. P-JNK translocates to the mitochondria [ 27 ] and binds to the anchor protein Sab [ 28 ], which triggers further impairment of the electron transport chain with exaggerated oxidant stress [ 29 ], mainly through leakage of electrons of complex I into the mitochondrial matrix [ 26 ].”  [PMC11315809 ¶7]</w:t>
      </w:r>
    </w:p>
    <w:p>
      <w:pPr>
        <w:spacing w:after="120"/>
        <w:jc w:val="both"/>
      </w:pPr>
      <w:r>
        <w:rPr>
          <w:rFonts w:ascii="Times New Roman" w:hAnsi="Times New Roman" w:cs="Times New Roman" w:eastAsia="Times New Roman"/>
          <w:b w:val="0"/>
          <w:i w:val="0"/>
          <w:sz w:val="24"/>
        </w:rPr>
        <w:t>“Superoxide radicals formed in the matrix readily react with nitric oxide radicals to form peroxynitrite in mitochondria [ 30 ]. Peroxynitrite, a powerful oxidant and nitrating species, which causes nitrotyrosine protein adducts in mitochondria, triggers the mitochondrial permeability transition pore (MPTP) opening [ 31 ] and cell necrosis [ 32 ] ( Figure 1 ). These signaling events represent the basic mechanisms of cell death after APAP overdose that also apply to humans [ 33 , 34 ]. They also reveal realistic therapeutic targets that could be exploited with a high probability of success in humans. 3. Antidotes and Emerging Therapeutic Approaches 3.1 N-Acetylcysteine NAC is the only FDA approved antidote for clinical use against APAP overdose in humans. The discovery of NAC was related to the initial mechanistic understanding that the toxicity was caused by a cytochrome P450-mediated formation of a reactive metabolite, which can covalently bind to proteins as the cause of cell death [ 10 ].”  [PMC11315809 ¶8]</w:t>
      </w:r>
    </w:p>
    <w:p>
      <w:pPr>
        <w:spacing w:after="120"/>
        <w:jc w:val="both"/>
      </w:pPr>
      <w:r>
        <w:rPr>
          <w:rFonts w:ascii="Times New Roman" w:hAnsi="Times New Roman" w:cs="Times New Roman" w:eastAsia="Times New Roman"/>
          <w:b w:val="0"/>
          <w:i w:val="0"/>
          <w:sz w:val="24"/>
        </w:rPr>
        <w:t>“Importantly, the recognition that the reactive metabolite could be detoxified by glutathione [ 9 ] was the incentive to test glutathione precursors, leading to the discovery of NAC as an effective drug in preclinical models [ 35 ]. Today, we know that NAC works mainly through supporting the synthesis of hepatic GSH [ 36 ] ( Figure 1 ); GSH can scavenge NAPQI during the metabolism phase [ 37 ], and later, after import into mitochondria, can scavenge peroxynitrite [ 38 ]. However, excess NAC can also be converted to Krebs cycle intermediates and support the mitochondrial bioenergetics [ 39 ]. Together these mechanisms explain why NAC can effectively prevent cell death. Because of the high efficacy of NAC in several pilot trials in humans in the 1970s [ 40 , 41 ], large scale clinical studies were initiated, but due to ethical reasons, the FDA denied the originally proposed randomized controlled trials [ 14 , 16 ].”  [PMC11315809 ¶9]</w:t>
      </w:r>
    </w:p>
    <w:p>
      <w:pPr>
        <w:spacing w:after="120"/>
        <w:jc w:val="both"/>
      </w:pPr>
      <w:r>
        <w:rPr>
          <w:rFonts w:ascii="Times New Roman" w:hAnsi="Times New Roman" w:cs="Times New Roman" w:eastAsia="Times New Roman"/>
          <w:b w:val="0"/>
          <w:i w:val="0"/>
          <w:sz w:val="24"/>
        </w:rPr>
        <w:t>“However, the then approved prospective multicenter open trials demonstrated the beneficial effect of NAC when administered within 8\u201310 h after the ingestion of an APAP overdose and the gradual loss of this protection in later presenting patients [ 42 . 43 ]. This led to the approval of NAC as a clinical antidote against APAP overdose in the 1980s [ 16 ]. After almost 40 years, no new antidote has been developed. Despite the absence of a randomized control trial, there are officially approved dosing of NAC. However, different doses and potential shorter treatment regimen are regularly being discussed [ 44 \u2013 47 ]. Although NAC is considered highly efficacious in most overdose cases, there are also concerns with patients taking very large overdoses and presenting late for treatment. Changing the NAC doses alone may not be the optimal solution as side effects may become a bigger issue [ 48 ]; it may require adjunct therapies with a wider therapeutic window (e.g., fomepizole) and agents that promote regeneration as discussed in the next sections. 3.2 Fomepizole (4-methylpyrazole) Fomepizole is a clinically approved antidote against methanol and ethylene glycol poisoning due to its property as an alcohol dehydrogenase (ADH) inhibitor [ 49 ].”  [PMC11315809 ¶10]</w:t>
      </w:r>
    </w:p>
    <w:p>
      <w:pPr>
        <w:spacing w:after="120"/>
        <w:jc w:val="both"/>
      </w:pPr>
      <w:r>
        <w:rPr>
          <w:rFonts w:ascii="Times New Roman" w:hAnsi="Times New Roman" w:cs="Times New Roman" w:eastAsia="Times New Roman"/>
          <w:b w:val="0"/>
          <w:i w:val="0"/>
          <w:sz w:val="24"/>
        </w:rPr>
        <w:t>“Introduced more than 20 years ago, it has an excellent safety record, and treatment of poisoned patients with fomepizole causes very limited, minor side effects such as injection site burning (13 out of 536 Patients) or nausea (5 out of 536 Patients) [ 50 ]. Thus, highly effective in patients with toxic alcohol poisoning and generally well tolerated, it is widely used in the clinic for these indications. In 2013, a case report was published indicating that a patient presenting to the emergency department with extremely high blood APAP levels (&gt;1,100 \u03bcg/ml = &gt;7.3 mM) and suspected of a toxic alcohol poisoning was treated with both NAC and fomepizole and survived [ 51 ]. Because in vitro studies had previously shown that 4-methylpyrazole is a competitive Cyp2E1 inhibitor binding to the substrate binding site of the enzyme [ 52 , 53 ], Yip and Heard [ 54 ] hypothesized a few years later that the positive outcome of the patient described in the case report may be related to a combined effect of NAC and fomepizole.”  [PMC11315809 ¶11]</w:t>
      </w:r>
    </w:p>
    <w:p>
      <w:pPr>
        <w:spacing w:after="120"/>
        <w:jc w:val="both"/>
      </w:pPr>
      <w:r>
        <w:rPr>
          <w:rFonts w:ascii="Times New Roman" w:hAnsi="Times New Roman" w:cs="Times New Roman" w:eastAsia="Times New Roman"/>
          <w:b w:val="0"/>
          <w:i w:val="0"/>
          <w:sz w:val="24"/>
        </w:rPr>
        <w:t>“This encouraged us to study the effect of fomepizole in the mouse model in vivo . The first study was designed to test the hypothesis that fomepizole can protect against APAP hepatotoxicity in mice by inhibiting cyp2e1 [ 55 ]. Given the short metabolism phase of a 300 mg/kg dose of APAP in mice [ 56 ], fomepizole was administered immediately after APAP to ensure that an effect on P450-mediated metabolism was covered. Co-treatment of fomepizole (50 mg/kg, which represents a human equivalent dose of 4 mg/kg) and a toxic dose of APAP (300 mg/kg) resulted in protection as indicated by &gt;95% reduction of plasma ALT elevations and almost complete prevention of centrilobular necrosis. The fact that fomepizole attenuated formation of the cyp2e1-derived oxidative metabolites and the protein adduct the formation of the reactive metabolite by &gt;90% suggested that the protection was caused by the inhibition of cyp2e1 [ 55 ] ( Figure 1 ).”  [PMC11315809 ¶12]</w:t>
      </w:r>
    </w:p>
    <w:p>
      <w:pPr>
        <w:spacing w:after="120"/>
        <w:jc w:val="both"/>
      </w:pPr>
      <w:r>
        <w:rPr>
          <w:rFonts w:ascii="Times New Roman" w:hAnsi="Times New Roman" w:cs="Times New Roman" w:eastAsia="Times New Roman"/>
          <w:b w:val="0"/>
          <w:i w:val="0"/>
          <w:sz w:val="24"/>
        </w:rPr>
        <w:t>“The complete protection against APAP toxicity was also confirmed when APAP exposed primary human hepatocytes were co-treated with fomepizole, indicating that a similar beneficial effect can also be achieved in a human in vitro system [ 55 ]. This was further investigated in human volunteers [ 57 ]. In a cross-over study design, 5 healthy volunteers ingested a mild overdose of 80 mg/kg APAP orally with or without iv co-treatment of fomepizole using the clinically approved regimen (15 mg/kg as the first dose and 10 mg/kg as a second dose 12 h later) [ 57 ]. Measurement of oxidative metabolites of APAP that were detectable (APAP-NAC, APAP-Cys) over 24 h after APAP showed that fomepizole reduced the levels of CYP2E1-derived metabolites by &gt;90% in these volunteers. This suggested that the clinically approved dose of fomepizole effectively inhibits CYP2E1 and would prevent reactive metabolite formation in patients who have overdosed on APAP [ 49 ].”  [PMC11315809 ¶13]</w:t>
      </w:r>
    </w:p>
    <w:p>
      <w:pPr>
        <w:spacing w:after="120"/>
        <w:jc w:val="both"/>
      </w:pPr>
      <w:r>
        <w:rPr>
          <w:rFonts w:ascii="Times New Roman" w:hAnsi="Times New Roman" w:cs="Times New Roman" w:eastAsia="Times New Roman"/>
          <w:b w:val="0"/>
          <w:i w:val="0"/>
          <w:sz w:val="24"/>
        </w:rPr>
        <w:t>“Interestingly, inhibiting metabolism by CYP2E1 did not result in higher APAP levels in circulation, but a trend to higher glucuronide and sulfate metabolites [ 57 ]. This indicates that, consistent with previous human data [ 50 ], the phase II detoxification pathways, especially glucuronidation, are flexible and can respond with a shift to higher APAP conjugation when one of the other pathways is blocked [ 57 ]. Since fomepizole cotreatment did not cause any evidence of liver injury in the volunteers and eliminated liver injury in mice, it appears unlikely that blocking metabolism through the P450 pathway leads to higher plasma levels of APAP and potential direct detrimental effects of APAP. Although fomepizole proved to be an effective Cyp2E1 inhibitor in both mice and humans, this mechanism alone would not make it competitive with NAC. Therefore, we assessed if fomepizole can also be effective when administered after the metabolism phase of APAP.”  [PMC11315809 ¶14]</w:t>
      </w:r>
    </w:p>
    <w:p>
      <w:pPr>
        <w:spacing w:after="120"/>
        <w:jc w:val="both"/>
      </w:pPr>
      <w:r>
        <w:rPr>
          <w:rFonts w:ascii="Times New Roman" w:hAnsi="Times New Roman" w:cs="Times New Roman" w:eastAsia="Times New Roman"/>
          <w:b w:val="0"/>
          <w:i w:val="0"/>
          <w:sz w:val="24"/>
        </w:rPr>
        <w:t>“A dose of 300 mg/kg APAP is mostly metabolized by 90 min after ip injection in mice [ 38 , 56 ]. When mice were treated with fomepizole 90 min after 300 mg/kg APAP, the animals were again almost completely protected against APAP toxicity, even though there was no reduction of protein adduct formation [ 59 ]. This suggested that the effect was not mediated by cyp2e1 inhibition. Follow-up measurements demonstrated that fomepizole was also an inhibitor of JNK by binding to the ATP binding site of the enzyme, and, as such, eliminated the mitochondrial oxidant stress and its amplification [ 59 ]. The combined effect of cyp2e1 and JNK inhibition makes fomepizole an effective antidote against APAP overdose ( Figure 1 ). In fact, one could assume that, mechanistically, fomepizole would be superior to NAC if given before APAP metabolism because preventing NAPQI formation is more effective than synthesizing GSH.”  [PMC11315809 ¶15]</w:t>
      </w:r>
    </w:p>
    <w:p>
      <w:pPr>
        <w:spacing w:after="120"/>
        <w:jc w:val="both"/>
      </w:pPr>
      <w:r>
        <w:rPr>
          <w:rFonts w:ascii="Times New Roman" w:hAnsi="Times New Roman" w:cs="Times New Roman" w:eastAsia="Times New Roman"/>
          <w:b w:val="0"/>
          <w:i w:val="0"/>
          <w:sz w:val="24"/>
        </w:rPr>
        <w:t>“Similarly, inhibiting ROS and peroxynitrite formation by inhibiting JNK is more effective than importing the newly synthesized GSH into mitochondria, where it can partly scavenge peroxynitrite. Consistent with this hypothesis, it was shown that fomepizole was indeed more effective when human hepatocytes exposed to 10 mM APAP, which is at the high end of plasma APAP levels observed after a massive overdose [ 51 ], were treated with fomepizole or NAC 16 h after APAP [ 60 ]. In support of these findings, it was shown that treatment with fomepizole beginning at 9 h after APAP in mice reduced liver injury by 45% based on plasma levels of ALT at 24 h and promoted mitochondrial biogenesis and recovery at 48 h [ 60 ]. In contrast, NAC is generally ineffective when given to mice at \u2265 3 h after APAP [ 38 , 60 , 61 ]. Although there is no exact translation of the injury progression from mice to humans, the 3 h time point represents the beginning of the injury phase in mice with completed drug metabolism, early oxidant stress, JNK activation and mitochondrial JNK translocation in mice.”  [PMC11315809 ¶16]</w:t>
      </w:r>
    </w:p>
    <w:p>
      <w:pPr>
        <w:spacing w:after="120"/>
        <w:jc w:val="both"/>
      </w:pPr>
      <w:r>
        <w:rPr>
          <w:rFonts w:ascii="Times New Roman" w:hAnsi="Times New Roman" w:cs="Times New Roman" w:eastAsia="Times New Roman"/>
          <w:b w:val="0"/>
          <w:i w:val="0"/>
          <w:sz w:val="24"/>
        </w:rPr>
        <w:t>“This translates to 16\u201324 h in human hepatocytes and potentially patients. The 9 h time point is in the middle of the injury phase in mice equivalent to 24\u201336 h in patients. There are additional differences between fomepizole and NAC that are not as prominently recognized but may be also important to give the edge to fomepizole over NAC at least in animals. Although fomepizole may also theoretically be more effective than NAC in humans, no comparative studies have been done or are planned in the near future. The main objective is to potentially use fomepizole as an adjunct treatment to NAC. The first issue is that fomepizole is also very effective in protecting against APAP-induced acute kidney injury (AKI) in mice, which is common among severe APAP overdose patients [ 62 ]. Kidney injury is dependent on cyp2e1-induced reactive metabolite and protein adduct formation [ 63 ] and, in contrast to NAC [ 64 ], fomepizole effectively protects mice against APAP-induced AKI [ 62 ].”  [PMC11315809 ¶17]</w:t>
      </w:r>
    </w:p>
    <w:p>
      <w:pPr>
        <w:spacing w:after="120"/>
        <w:jc w:val="both"/>
      </w:pPr>
      <w:r>
        <w:rPr>
          <w:rFonts w:ascii="Times New Roman" w:hAnsi="Times New Roman" w:cs="Times New Roman" w:eastAsia="Times New Roman"/>
          <w:b w:val="0"/>
          <w:i w:val="0"/>
          <w:sz w:val="24"/>
        </w:rPr>
        <w:t>“Although the initiation of the injury process in the kidney is like the liver, there is no protein binding on mitochondria or JNK activation [ 62 ]. APAP-induced AKI is caused by ER stress-induced apoptosis that is triggered by protein adduct formation in the ER [ 65 ]. More detailed studies are necessary to assess whether fomepizole can affect more downstream events in the pathophysiology of APAP-induced kidney injury. Another issue is that prolonged NAC treatment beyond the injury process may be detrimental for liver regeneration [ 60 , 66 ]. Although the molecular mechanism of this effect is not clear, it may be related to the fact that hepatocytes located around the area of necrosis are the ones surviving and proliferating [ 67 ]. Late NAC treatment, but not fomepizole, appears to interfere with this process [ 60 ]. This effect is well documented in the mouse model, but its importance in people remains unclear.”  [PMC11315809 ¶18]</w:t>
      </w:r>
    </w:p>
    <w:p>
      <w:pPr>
        <w:spacing w:after="120"/>
        <w:jc w:val="both"/>
      </w:pPr>
      <w:r>
        <w:rPr>
          <w:rFonts w:ascii="Times New Roman" w:hAnsi="Times New Roman" w:cs="Times New Roman" w:eastAsia="Times New Roman"/>
          <w:b w:val="0"/>
          <w:i w:val="0"/>
          <w:sz w:val="24"/>
        </w:rPr>
        <w:t>“It may not be such a dramatic detriment in patients because NAC treatment is stopped when ALT levels decline and is generally only continued beyond the standard duration of administration when the patient does not improve. Given this extensive mechanistic understanding of drug action in preclinical models (mice, human hepatocytes) and the confirmation of one mechanistic aspect (P450 inhibition) in human volunteers, it is justified to conduct a clinical trial assessing the efficacy of fomepizole as an adjunct treatment to standard of care NAC in patients with very high overdose of APAP (trial # NCT05517668 ). Although fomepizole has already been extensively used off label with generally positive outcomes in individual patients [ 68 ], the absence of controls and the bias towards reporting positive data, do not prove clinical efficacy. However, case reports indicate that it is safe to treat APAP overdose patients with standard doses of fomepizole.”  [PMC11315809 ¶19]</w:t>
      </w:r>
    </w:p>
    <w:p>
      <w:pPr>
        <w:spacing w:after="120"/>
        <w:jc w:val="both"/>
      </w:pPr>
      <w:r>
        <w:rPr>
          <w:rFonts w:ascii="Times New Roman" w:hAnsi="Times New Roman" w:cs="Times New Roman" w:eastAsia="Times New Roman"/>
          <w:b w:val="0"/>
          <w:i w:val="0"/>
          <w:sz w:val="24"/>
        </w:rPr>
        <w:t>“Consequently, it has been suggested to use fomepizole more frequently in APAP overdose patients with risk of NAC failure [ 69 ], though not all clinicians agree with that view [ 70 ]. Nevertheless, the preponderance of experimental evidence in preclinical models (mice, human hepatocytes) clearly indicates that fomepizole is highly effective against APAP hepatotoxicity; in fact, it may have a wider therapeutic window, may offer protective effects on the kidney, and with no detrimental effects on liver recovery, fomepizole is superior to NAC in animals. Hence, fomepizole could be an effective adjunct treatment to the standard of care NAC in humans because it does not interfere with regeneration and provides a degree of safety that extending the use of NAC does not. 3.3 Calmangafodipir [Ca4Mn(DPDP)5] Mechanistic studies demonstrated that APAP overdose produces oxidant stress in the mitochondrial matrix [ 71 , 72 ], where peroxynitrite is also formed [ 30 ].”  [PMC11315809 ¶20]</w:t>
      </w:r>
    </w:p>
    <w:p>
      <w:pPr>
        <w:spacing w:after="120"/>
        <w:jc w:val="both"/>
      </w:pPr>
      <w:r>
        <w:rPr>
          <w:rFonts w:ascii="Times New Roman" w:hAnsi="Times New Roman" w:cs="Times New Roman" w:eastAsia="Times New Roman"/>
          <w:b w:val="0"/>
          <w:i w:val="0"/>
          <w:sz w:val="24"/>
        </w:rPr>
        <w:t>“Peroxynitrite is the critical oxidant and nitrating species in the pathophysiology of hepatocyte necrosis, as shown by the aggravation of nitrotyrosine formation and APAP hepatotoxicity in Mn-SOD partial deficient mice [ 73 ] and the elimination of nitrotyrosine adducts and hepatotoxicity by the Mn-SOD mimetics Mito-Tempo [ 74 , 75 ] and mito-Q [ 76 ]. Importantly, the mitochondria-targeted Mito-Tempo is much more effective than Tempo, which does not enter mitochondria [ 74 ]. The efficacy of Mn-SOD mimetics as therapeutic agents may also be assisted by the fact that endogenous Mn-SOD activity is partially inactivated due to attack by peroxynitrite [ 77 ]. Thus, strengthening the mitochondrial Mn-SOD capacity can be an effective therapeutic strategy against APAP toxicity. Mangafodipir (manganese dipyridoxyl diphosphate; MnDPDP) is clinically used as a magnetic resonance imaging (MRI) contrast agent [ 78 ].”  [PMC11315809 ¶21]</w:t>
      </w:r>
    </w:p>
    <w:p>
      <w:pPr>
        <w:spacing w:after="120"/>
        <w:jc w:val="both"/>
      </w:pPr>
      <w:r>
        <w:rPr>
          <w:rFonts w:ascii="Times New Roman" w:hAnsi="Times New Roman" w:cs="Times New Roman" w:eastAsia="Times New Roman"/>
          <w:b w:val="0"/>
          <w:i w:val="0"/>
          <w:sz w:val="24"/>
        </w:rPr>
        <w:t>“However, mangafodipir has also been shown to protect against side effects of chemotherapeutic agents in patients [ 79 , 80 ] and acetaminophen hepatotoxicity in mice [ 81 ]. It was also reported that 80% of the Mn 2+ is released from mangafodipir into the circulation after intravenous injection [ 82 ]. Although this is important for its efficacy as an MRI contrast agent, there may be a theoretical risk of neurological damage from Mn 2+ after multiple treatments over a short period of time [ 78 ], though such toxicity has not been observed. However, the SOD activity, which may be responsible for the therapeutic effect, is dependent on an intact mangafodipir complex [ 78 ]. Therefore, calmangafodipir [Ca 4 Mn(DPDP) 5 ] was generated in which about 80% of the Mn 2+ was replaced by Ca 2+ , thereby reducing the body burden and theoretical toxicity of excess Mn 2+ while maintaining or even improving therapeutic effects against chemotherapy-induced peripheral neuropathy [ 80 ].”  [PMC11315809 ¶22]</w:t>
      </w:r>
    </w:p>
    <w:p>
      <w:pPr>
        <w:spacing w:after="120"/>
        <w:jc w:val="both"/>
      </w:pPr>
      <w:r>
        <w:rPr>
          <w:rFonts w:ascii="Times New Roman" w:hAnsi="Times New Roman" w:cs="Times New Roman" w:eastAsia="Times New Roman"/>
          <w:b w:val="0"/>
          <w:i w:val="0"/>
          <w:sz w:val="24"/>
        </w:rPr>
        <w:t>“The mechanism of action of mangafodipir or calmangafodipir against neuropathy involves dephosphorylation to yield manganese pyridoxyl ethyldiamine (MnPLED), which has an SOD mimetic activity and, because of its high affinity for iron and copper, also acts as an iron chelator [ 80 ]. Mangafodipir and calmangafodipir are water-soluble and can easily be injected, but the dephosphorylated compound MnPLED is more lipid soluble and, therefore, can cross the membranes of target cells [ 80 ]. Given the effective protection with Mito-Tempo [ 74 ] and iron chelation [ 83 ] in the APAP model, mangafodipir and calmangafodipir could theoretically be promising candidates as antidotes against APAP hepatotoxicity. Despite the compelling theoretical evidence for mangafodipir and calmangafodipir to be a potential antidote against APAP overdose, there exists very limited experimental or clinical evidence to suggest that these compounds actually work in biological systems of APAP toxicity.”  [PMC11315809 ¶23]</w:t>
      </w:r>
    </w:p>
    <w:p>
      <w:pPr>
        <w:spacing w:after="120"/>
        <w:jc w:val="both"/>
      </w:pPr>
      <w:r>
        <w:rPr>
          <w:rFonts w:ascii="Times New Roman" w:hAnsi="Times New Roman" w:cs="Times New Roman" w:eastAsia="Times New Roman"/>
          <w:b w:val="0"/>
          <w:i w:val="0"/>
          <w:sz w:val="24"/>
        </w:rPr>
        <w:t>“First, mangafodipir was used in HuH7 cells and in mice in vivo many years ago [ 81 ]. Although mangafodipir appears to provide partial protection against loss of cell viability after APAP, HuH7 cells are hepatoma cells, which generally express only low levels of drug-metabolizing enzymes. Therefore, results obtained with hepatoma cell lines are not considered relevant for mechanisms of toxicity in primary hepatocytes. The authors also treated balb/c mice with 500 mg/kg APAP, which resulted in high levels of plasma AST activities and 75% necrosis at 24 h. Pretreatment with mangafodipir 2 h before APAP virtually eliminated the injury (&lt;5% necrosis) [ 81 ]. However, no follow-up studies were performed to assess the actual mechanism of this protection, and no experiments were performed with posttreatment of the drug. Instead, the authors performed survival experiments (without assessment of hepatotoxicity) after 1000 mg/kg APAP and treatment with mangafodipir at 2 h before or 6 h after APAP [ 74 ].”  [PMC11315809 ¶24]</w:t>
      </w:r>
    </w:p>
    <w:p>
      <w:pPr>
        <w:spacing w:after="120"/>
        <w:jc w:val="both"/>
      </w:pPr>
      <w:r>
        <w:rPr>
          <w:rFonts w:ascii="Times New Roman" w:hAnsi="Times New Roman" w:cs="Times New Roman" w:eastAsia="Times New Roman"/>
          <w:b w:val="0"/>
          <w:i w:val="0"/>
          <w:sz w:val="24"/>
        </w:rPr>
        <w:t>“Interestingly, mangafodipir similarly increased survival as pre- or posttreatment. The caveat here is that mortality after severe overdose of APAP in mice depends on endothelial cell damage and hemorrhage, which is observed in certain mouse strains parallel to hepatocellular injury, and less on hepatotoxicity [ 84 ]. In addition, although pretreatment may attenuate liver injury, the 6 h posttreatment is in the middle of the injury phase of both hepatocytes and endothelial cells resulting in severe hemorrhage in this mouse strain [ 85 ]. It is unexplained why mortality as early as 8 h and beyond is equally attenuated with both pre- and posttreatment [ 81 ]. Thus, this study assumes that SOD mimetic effects with mangafodipir observed in the test tube are responsible for the in vivo effects without any data to support this conclusion. The only data available with calmangafodipir in the APAP hepatotoxicity model are published in an abstract [ 86 ].”  [PMC11315809 ¶25]</w:t>
      </w:r>
    </w:p>
    <w:p>
      <w:pPr>
        <w:spacing w:after="120"/>
        <w:jc w:val="both"/>
      </w:pPr>
      <w:r>
        <w:rPr>
          <w:rFonts w:ascii="Times New Roman" w:hAnsi="Times New Roman" w:cs="Times New Roman" w:eastAsia="Times New Roman"/>
          <w:b w:val="0"/>
          <w:i w:val="0"/>
          <w:sz w:val="24"/>
        </w:rPr>
        <w:t>“Here it is reported that in B6C3F1 mice treated with 300 mg/kg APAP, severe liver injury (8,000\u201318,000 U/L of plasma ALT) was observed 12 h after APAP. NAC treatment effectively protected when administered 1 h after APAP, but lost protection when injected at 2.5 h after APAP [ 86 ]. Interestingly, 10 mg/kg calmangafodipir almost completely protected (60\u2013177 U/L of plasma ALT), even when administered 6 h after APAP, which led to the conclusion that calmangafodipir may be effective in late presenting patients when NAC would not be as effective [ 86 ]. Although the NAC data in this abstract on delayed protection are consistent with the published literature [ 38 , 61 ], there are serious concerns regarding the calmangafodipir results in this preclinical model. The B6C3F1 strain is very susceptible to APAP-induced liver injury and hemorrhage. A dose of 300 mg/kg has produced AST levels between 2,000\u20134,000 U/L at 4\u20138 h after APAP [ 61 ] along with hemorrhage [ 72 ].”  [PMC11315809 ¶26]</w:t>
      </w:r>
    </w:p>
    <w:p>
      <w:pPr>
        <w:spacing w:after="120"/>
        <w:jc w:val="both"/>
      </w:pPr>
      <w:r>
        <w:rPr>
          <w:rFonts w:ascii="Times New Roman" w:hAnsi="Times New Roman" w:cs="Times New Roman" w:eastAsia="Times New Roman"/>
          <w:b w:val="0"/>
          <w:i w:val="0"/>
          <w:sz w:val="24"/>
        </w:rPr>
        <w:t>“Given a plasma half-life of ALT in mice of approximately 25 h [ 87 ], it is virtually impossible that ALT levels of several thousand U/L can be reduced by &gt;95% within 6 h with concurrent repair of hemorrhage. In addition, Mito-Tempo and mito-Q are highly effective, even after the metabolism phase is over, but ineffective when administered after 6 h in the middle of the injury phase [ 74 \u2013 76 ]. Thus, it is difficult to reconcile the findings reported in the abstract with the published literature and the current understanding of the mechanisms of APAP hepatotoxicity. The only clinical data available for calmangafodipir use are from a phase I study comparing APAP overdose patients treated with NAC versus NAC and one of 3 different doses of calmangafodipir [ 88 ]. The NAC-treated group did not develop any injury based on plasma ALT activities, and calmangafodipir did not have a negative impact.”  [PMC11315809 ¶27]</w:t>
      </w:r>
    </w:p>
    <w:p>
      <w:pPr>
        <w:spacing w:after="120"/>
        <w:jc w:val="both"/>
      </w:pPr>
      <w:r>
        <w:rPr>
          <w:rFonts w:ascii="Times New Roman" w:hAnsi="Times New Roman" w:cs="Times New Roman" w:eastAsia="Times New Roman"/>
          <w:b w:val="0"/>
          <w:i w:val="0"/>
          <w:sz w:val="24"/>
        </w:rPr>
        <w:t>“Although the number of patients in the trial was limited (n=6 per group), the results indicate that a single dose of calmangafodipir can be safely administered to APAP overdose patients [ 88 ]. The authors also measured additional parameters of liver injury like full-length cytokeratin 18 and miRNA-122, which are considered more sensitive biomarkers of liver injury [ 89 ]. However, the increase of these parameters was minimal. For example, cytokeratin 18 rose from 158 U/L at 2 h (baseline) to 306 U/L at 20 h in NAC-only-treated patients; the highest dose of calmangofodipir reduced these levels to 155 U/L [ 88 ]. This compares to cytokeratin 18 levels of 40,000 \u2013 60,000 U/L in patients with severe APAP hepatotoxicity [ 90 ]. Given the few patients per group and the minute increase in these more sensitive parameters, it is questionable whether the effect of calmangafodipir can be considered evidence of efficacy.”  [PMC11315809 ¶28]</w:t>
      </w:r>
    </w:p>
    <w:p>
      <w:pPr>
        <w:spacing w:after="120"/>
        <w:jc w:val="both"/>
      </w:pPr>
      <w:r>
        <w:rPr>
          <w:rFonts w:ascii="Times New Roman" w:hAnsi="Times New Roman" w:cs="Times New Roman" w:eastAsia="Times New Roman"/>
          <w:b w:val="0"/>
          <w:i w:val="0"/>
          <w:sz w:val="24"/>
        </w:rPr>
        <w:t>“A planned phase III clinical trial may reveal whether calmangafodipir can be effective as adjunct therapy to NAC in late-presenting patients. In summary, the case for using calmangafodipir as an antidote against APAP toxicity in patients remains unconvincing. Preclinical data are very scarce, and the results are questionable and would need to be reproduced. In addition, the mechanism of protection would have to be investigated in vivo and not just extrapolated from in vitro experiments. Clinically, it appears that calmangafodipir is safe when administered as a single dose in APAP overdose patients treated with NAC, however, efficacy will have to be convincingly established through a clinical trial. Another concern is that clinical trials using multiple dosing of calmangafodipir for the prevention of oxaliplatin-induced peripheral neuropathy were terminated early due to hypersensitivity reactions in 3.6% of patients compared with 0.8% in placebo controls [ 91 ].”  [PMC11315809 ¶29]</w:t>
      </w:r>
    </w:p>
    <w:p>
      <w:pPr>
        <w:spacing w:after="120"/>
        <w:jc w:val="both"/>
      </w:pPr>
      <w:r>
        <w:rPr>
          <w:rFonts w:ascii="Times New Roman" w:hAnsi="Times New Roman" w:cs="Times New Roman" w:eastAsia="Times New Roman"/>
          <w:b w:val="0"/>
          <w:i w:val="0"/>
          <w:sz w:val="24"/>
        </w:rPr>
        <w:t>“This may need to be considered for the planned treatment regimen in APAP overdose patients. 3.4 Nrf2 activators Nuclear factor erythroid 2\u2013related factor 2 (Nrf2) is a transcription factor bound to Kelch-like erythroid cell-derived protein with CNC homology-associated protein 1 (Keap 1) in the cytosol [ 92 ]. Upon cellular stress such as oxidant stress or formation of reactive metabolites, Keap1 is oxidized, leading to liberation of Nrf2, which is then able to move into the nucleus, where it binds to a DNA sequence named antioxidant response element (ARE) and induces transcription of several genes mostly related to cellular defense mechanisms. Target genes of Nrf2 include glutathione S-transferase, NAD(P)H: quinone oxidoreductase 1 (Nqo1), glutamate-cysteine ligase catalytic subunit (Gclc) and regulatory subunit (Gclm), both of which regulate GSH synthesis, UDP-glucuronosyltransferase A6, which catalyzes the glucuronidation of APAP, and the multidrug resistance-associated protein 3 (Mrp3), which facilitates the basolateral excretion of APAP metabolites [ 93 ].”  [PMC11315809 ¶30]</w:t>
      </w:r>
    </w:p>
    <w:p>
      <w:pPr>
        <w:spacing w:after="120"/>
        <w:jc w:val="both"/>
      </w:pPr>
      <w:r>
        <w:rPr>
          <w:rFonts w:ascii="Times New Roman" w:hAnsi="Times New Roman" w:cs="Times New Roman" w:eastAsia="Times New Roman"/>
          <w:b w:val="0"/>
          <w:i w:val="0"/>
          <w:sz w:val="24"/>
        </w:rPr>
        <w:t>“In addition, Nrf2 induces antioxidant enzymes including thioredoxin, peroxiredoxin, superoxide dismutase and glutathione peroxidase, as well as stress response proteins such as heme oxygenase and metal-binding proteins such as ferritin and metallothionein [ 93 ]. Thus, Nrf2 activation, in general, can be considered an adaptive response to stress that broadly improves the capacity of the cell to handle exogenous or endogenous insults. Given these effects of Nrf2 activation, it is not surprising that APAP overdose with its electrophilic metabolite formation and the generation of an oxidant stress can trigger Nrf2 activation in mouse livers [ 95 , 96 ]. The induction of most Nrf2 target genes has been associated with reduced APAP hepatotoxicity [ 11 , 12 , 96 ]. Consequently, a Nrf2-deficient mouse is much more susceptible to APAP overdose compared to a wildtype animal due to the limited capacity to adapt to the oxidant stress [ 94 , 95 ].”  [PMC11315809 ¶31]</w:t>
      </w:r>
    </w:p>
    <w:p>
      <w:pPr>
        <w:spacing w:after="120"/>
        <w:jc w:val="both"/>
      </w:pPr>
      <w:r>
        <w:rPr>
          <w:rFonts w:ascii="Times New Roman" w:hAnsi="Times New Roman" w:cs="Times New Roman" w:eastAsia="Times New Roman"/>
          <w:b w:val="0"/>
          <w:i w:val="0"/>
          <w:sz w:val="24"/>
        </w:rPr>
        <w:t>“In contrast, the permanent Nrf2 activation in Keap1-deficient mice makes the animals much more resistant to an APAP overdose compared to wildtype animals [ 97 ]. The enhanced and reduced APAP hepatotoxicity in Nrf2- and Keap-1-deficient mice, respectively, was attributed to reduced glucuronidation and Mrp3-dependent metabolite export, resulting in more reactive metabolite formation in Nrf2-deficient mice and opposite effects in Keap-1-deficient mice [ 98 ]. Consistent with these findings, it was shown that treatment with specific Nrf2 activators such as the triterpenoid, 2-cyano-3,12 dioxooleana-1,9 diene-28-imidazolide (CDDO-I) [ 99 ] and oleanolic acid [ 100 ] can effectively protect against APAP hepatotoxicity, although off-target effects such as metallothionein induction may also contribute to the hepatoprotection [ 100 ]. Importantly, chronic stress, e.g., in autophagy-deficient mice, can lead to chronic activation of Nrf2 with elevated hepatic GSH levels that make the animals less susceptible to an APAP overdose [ 101 ].”  [PMC11315809 ¶32]</w:t>
      </w:r>
    </w:p>
    <w:p>
      <w:pPr>
        <w:spacing w:after="120"/>
        <w:jc w:val="both"/>
      </w:pPr>
      <w:r>
        <w:rPr>
          <w:rFonts w:ascii="Times New Roman" w:hAnsi="Times New Roman" w:cs="Times New Roman" w:eastAsia="Times New Roman"/>
          <w:b w:val="0"/>
          <w:i w:val="0"/>
          <w:sz w:val="24"/>
        </w:rPr>
        <w:t>“Therefore, activation of Nrf2 and its target genes may be an important therapeutic approach to limit APAP hepatotoxicity. Hence, many natural products are considered Nrf2 activators, and it was concluded that this mechanism was responsible for the protective effect observed with many of these compounds in the APAP overdose model [ 17 \u2013 20 ]. Although the potential of Nrf2 activators to protect against APAP toxicity are undisputed ( Figure 1 ), there are caveats that need to be considered when proposing Nrf2 activators as antidotes against APAP hepatotoxicity [ 102 ]. First, a compound needs to generate sufficient stress in the cell to activate Nrf2, which, after translocation to the nucleus, will induce gene activation through promotion of gene transcription. However, not all genes are upregulated at the same time [ 99 ]. After a single dose of CDDO-I mRNA levels of Ho-1, Gclc and Nqo1 peaked at 6, 12, and 24 h, respectively, in mouse livers [ 99 ].”  [PMC11315809 ¶33]</w:t>
      </w:r>
    </w:p>
    <w:p>
      <w:pPr>
        <w:spacing w:after="120"/>
        <w:jc w:val="both"/>
      </w:pPr>
      <w:r>
        <w:rPr>
          <w:rFonts w:ascii="Times New Roman" w:hAnsi="Times New Roman" w:cs="Times New Roman" w:eastAsia="Times New Roman"/>
          <w:b w:val="0"/>
          <w:i w:val="0"/>
          <w:sz w:val="24"/>
        </w:rPr>
        <w:t>“Thus, this process not only takes more time than a direct-acting antidote such as fomepizole, but individual genes have their own time-dependent induction schedule which does not guarantee that the most relevant defense genes for a particular stress are upregulated on time. Second, because Nrf2 activation requires triggering a cellular stress, the activating agent has the potential to produce detrimental effects in the presence of APAP toxicity. This may be the reason why most Nrf2 activators are being used as a pretreatment for several days where the cellular stress does not cause harm in healthy cells. However, because APAP overdose by itself causes Nrf2 activation [ 94 , 95 ], the proposed antidote will have to trigger additional Nrf2 activation that makes a difference on top of the already extensive stress caused by APAP alone. This requirement, in addition to the time delay of effects, may make Nrf2 activation less effective than the currently used antidotes NAC and, potentially, fomepizole.”  [PMC11315809 ¶34]</w:t>
      </w:r>
    </w:p>
    <w:p>
      <w:pPr>
        <w:spacing w:after="120"/>
        <w:jc w:val="both"/>
      </w:pPr>
      <w:r>
        <w:rPr>
          <w:rFonts w:ascii="Times New Roman" w:hAnsi="Times New Roman" w:cs="Times New Roman" w:eastAsia="Times New Roman"/>
          <w:b w:val="0"/>
          <w:i w:val="0"/>
          <w:sz w:val="24"/>
        </w:rPr>
        <w:t>“Third, in a potential clinical trial, therapeutic administration of a Nrf2 activator would have to be tested in the presence of the standard of care, NAC, in a patient population where NAC is likely to fail. Taken together, the discussed concerns make it unlikely that a Nrf2 activator will be able to effectively compete against the existing or currently considered antidotes against APAP hepatotoxicity. 3.5 Activators of Regeneration In the past, the focus of assessing antidotes against APAP overdose was injury prevention. This approach was reasonable when detailed mechanisms of APAP-induced liver injury were unknown and an understanding of the sequence of pathophysiological events was lacking. However, extensive research over the last decades have provided significant insight into cell signaling events driving hepatocyte necrosis after an APAP overdose. It is now evident that the injury phase is followed by a recovery phase, which is what dictates patient prognosis.”  [PMC11315809 ¶35]</w:t>
      </w:r>
    </w:p>
    <w:p>
      <w:pPr>
        <w:spacing w:after="120"/>
        <w:jc w:val="both"/>
      </w:pPr>
      <w:r>
        <w:rPr>
          <w:rFonts w:ascii="Times New Roman" w:hAnsi="Times New Roman" w:cs="Times New Roman" w:eastAsia="Times New Roman"/>
          <w:b w:val="0"/>
          <w:i w:val="0"/>
          <w:sz w:val="24"/>
        </w:rPr>
        <w:t>“Once liver injury has occurred, necrotic hepatocytes are removed by components of the sterile inflammatory response [ 103 ], which also induce hepatocyte proliferation to regenerate areas of necrosis [ 104 ], enabling a return to homeostasis. The recognition that induction of liver regeneration - or the lack thereof - is an important consideration in whether the patient recovers spontaneously or goes into liver failure, is now driving research focused on therapeutic agents which promote regeneration ( Figure 1 ). Our earlier work had demonstrated that the neuronal guidance cue netrin-1 provided delayed protection against APAP hepatotoxicity by enhancing the innate immune response and inducing hepatocyte regeneration, an effect mediated through the Adenosine A2B receptor (A2BAR) [ 105 ]. We subsequently demonstrated that pharmacological activation of the A2BAR through administration of its agonist, BAY 60\u20136583, also provided protection against APAP-induced injury [ 106 ].”  [PMC11315809 ¶36]</w:t>
      </w:r>
    </w:p>
    <w:p>
      <w:pPr>
        <w:spacing w:after="120"/>
        <w:jc w:val="both"/>
      </w:pPr>
      <w:r>
        <w:rPr>
          <w:rFonts w:ascii="Times New Roman" w:hAnsi="Times New Roman" w:cs="Times New Roman" w:eastAsia="Times New Roman"/>
          <w:b w:val="0"/>
          <w:i w:val="0"/>
          <w:sz w:val="24"/>
        </w:rPr>
        <w:t>“Most importantly, delayed treatment with BAY 60\u20136583 at time points when the standard of care, NAC, was ineffective also provided protection with a decrease in areas of necrosis and enhanced infiltration of macrophages with a reparative, anti-inflammatory phenotype [ 106 ]. These data suggest that activation of the A2BAR receptor could be an approach, which would be effective in a delayed fashion to enhance liver recovery and regeneration, even when NAC may be ineffective. Investigating additional late-acting therapeutic options, we also demonstrated the beneficial effect of Whartons Jelly Mesenchymal Stem Cell (WJMSC) preparations against APAP-induced liver injury [ 107 ]. These cells are cleared for human use and were shown to enhance liver recovery by accelerating regeneration of pericentral hepatocytes to re-establish liver zonation and promote liver homeostasis when administered 90 minutes after APAP overdose in the mouse model [ 107 ].”  [PMC11315809 ¶37]</w:t>
      </w:r>
    </w:p>
    <w:p>
      <w:pPr>
        <w:spacing w:after="120"/>
        <w:jc w:val="both"/>
      </w:pPr>
      <w:r>
        <w:rPr>
          <w:rFonts w:ascii="Times New Roman" w:hAnsi="Times New Roman" w:cs="Times New Roman" w:eastAsia="Times New Roman"/>
          <w:b w:val="0"/>
          <w:i w:val="0"/>
          <w:sz w:val="24"/>
        </w:rPr>
        <w:t>“The Wnt/beta catenin pathway is critical for liver regeneration and maintenance of liver zonation, and administration of a tetravalent antibody to activate Wnt signaling was shown to overcome the impaired regeneration seen after a severe APAP overdose and promoted recovery through Cyclin D1 [ 108 ]. Our more recent studies on WJMSC treatment indicate that further delaying WJMSC treatment to 6 h post APAP also provided a beneficial effect, enhancing the innate immune response and accelerating reconstruction of the sinusoidal endothelial network (Ramachandran, unpublished data). Again, it is noteworthy that these interventions showed significant benefit even when administered at time points when NAC is ineffective in this mouse model [ 106 ], highlighting the benefit of targeting liver recovery and regeneration in translating interventions to the clinic. More recently, we have investigated the benefit of JNJ-26366821, a novel thrombopoietin mimetic peptide (TPOm) with no sequence homology to endogenous thrombopoietin (TPO), in APAP hepatotoxicity.”  [PMC11315809 ¶38]</w:t>
      </w:r>
    </w:p>
    <w:p>
      <w:pPr>
        <w:spacing w:after="120"/>
        <w:jc w:val="both"/>
      </w:pPr>
      <w:r>
        <w:rPr>
          <w:rFonts w:ascii="Times New Roman" w:hAnsi="Times New Roman" w:cs="Times New Roman" w:eastAsia="Times New Roman"/>
          <w:b w:val="0"/>
          <w:i w:val="0"/>
          <w:sz w:val="24"/>
        </w:rPr>
        <w:t>“We demonstrated that TPOm treatment did not influence formation of protein adducts, oxidative stress or hepatic necrosis early after APAP, but reduced injury parameters in a delayed fashion [ 109 ]. Importantly, TPOm enhanced hepatocyte proliferation, and this beneficial effect was sustained even when TPOm treatment was delayed by 6h, when NAC is ineffective. Additional approaches have targeted mitogens involved in liver regeneration, including primary mitogens such as hepatocyte growth factor (HGF) and epidermal growth factor (EGF), which regulate hepatocyte proliferation. It was recently demonstrated that administration of lipid-nanoparticle-encapsulated mRNA of HGF and EGF 24 hours after a 550mg/kg APAP overdose in the mouse model enhanced liver recovery and regeneration [ 110 ]. Further investigation of the mechanisms of liver regeneration after APAP overdose also holds the promise of uncovering additional targets for therapeutic intervention.”  [PMC11315809 ¶39]</w:t>
      </w:r>
    </w:p>
    <w:p>
      <w:pPr>
        <w:spacing w:after="120"/>
        <w:jc w:val="both"/>
      </w:pPr>
      <w:r>
        <w:rPr>
          <w:rFonts w:ascii="Times New Roman" w:hAnsi="Times New Roman" w:cs="Times New Roman" w:eastAsia="Times New Roman"/>
          <w:b w:val="0"/>
          <w:i w:val="0"/>
          <w:sz w:val="24"/>
        </w:rPr>
        <w:t>“Targeting factors such as secreted phosphoprotein-2 (SPP2), which was identified as a negative regulator of liver regeneration, could be considered in this context [ 111 ]. It was also shown that inhibition of Yap in hepatocytes results in rapid recovery from APAP overdose due to an earlier activation of liver regeneration [ 112 ]. Alternatively, the maintenance of factors such as HNF4\u03b1, which is critical for liver regeneration [ 113 ], could be another approach to be considered. Thus, the focus on interventions targeting liver regeneration and recovery have introduced several novel candidates for consideration, and research in this area have revealed new avenues of investigations, which are poised to uncover new therapeutics for translation into the clinic. Despite these encouraging results, a significant caveat which should be noted while testing putative agents for the promotion of regeneration is the fact that effects on injury should also be documented.”  [PMC11315809 ¶40]</w:t>
      </w:r>
    </w:p>
    <w:p>
      <w:pPr>
        <w:spacing w:after="120"/>
        <w:jc w:val="both"/>
      </w:pPr>
      <w:r>
        <w:rPr>
          <w:rFonts w:ascii="Times New Roman" w:hAnsi="Times New Roman" w:cs="Times New Roman" w:eastAsia="Times New Roman"/>
          <w:b w:val="0"/>
          <w:i w:val="0"/>
          <w:sz w:val="24"/>
        </w:rPr>
        <w:t>“This is because the regenerative response is dependent on the extent of injury and is typically only compromised with severe liver injury. Thus, it is critical to determine the detailed mechanism of action of the intervention and confirm that it does not reduce the extent of injury, which would then indirectly result in a robust regenerative response, which may not be relevant in the clinic when the patient is treated in a delayed fashion. 4. Summary and Conclusion After the discovery of NAC as effective antidote against APAP hepatotoxicity almost 50 years ago, little progress was made to advance any of the numerous agents that showed protection in various animal or cell models to the clinic. Limitations in the mechanistic understanding of APAP toxicity, clinically irrelevant treatment schedules reported in studies, and uncertainty about the translatability of the findings to humans were some of the reasons why there was hesitation to invest money into safety and efficacy studies of various agents, especially if the compound had no patent protection.”  [PMC11315809 ¶41]</w:t>
      </w:r>
    </w:p>
    <w:p>
      <w:pPr>
        <w:spacing w:after="120"/>
        <w:jc w:val="both"/>
      </w:pPr>
      <w:r>
        <w:rPr>
          <w:rFonts w:ascii="Times New Roman" w:hAnsi="Times New Roman" w:cs="Times New Roman" w:eastAsia="Times New Roman"/>
          <w:b w:val="0"/>
          <w:i w:val="0"/>
          <w:sz w:val="24"/>
        </w:rPr>
        <w:t>“More recently, however, significant progress has been made. First, additional insight into the pathophysiology of APAP toxicity revealed more reliable therapeutic targets. Second, it was documented that the signaling mechanisms of APAP-induced cell death in mouse hepatocytes and liver injury in mice accurately translate to human hepatocytes and overdose patients, except for a longer time frame in humans. As a result of these developments, several clinically viable drug candidates have emerged ( Table 1 ). Most advanced is fomepizole, a safe, repurposed drug, that has shown high efficacy against APAP hepatotoxicity in preclinical models, and the protective effect of fomepizole is mechanistically well understood ( Figure 1 ). Consequently, a limited phase III efficacy trial is in progress. A second drug against APAP-induced liver injury under clinical development is calmangafodipir, which appears to be safe for use in APAP overdose patients.”  [PMC11315809 ¶42]</w:t>
      </w:r>
    </w:p>
    <w:p>
      <w:pPr>
        <w:spacing w:after="120"/>
        <w:jc w:val="both"/>
      </w:pPr>
      <w:r>
        <w:rPr>
          <w:rFonts w:ascii="Times New Roman" w:hAnsi="Times New Roman" w:cs="Times New Roman" w:eastAsia="Times New Roman"/>
          <w:b w:val="0"/>
          <w:i w:val="0"/>
          <w:sz w:val="24"/>
        </w:rPr>
        <w:t>“However, there currently exists only limited mechanistic understanding of the mode of action in preclinical models and in humans, and clear, reproducible preclinical efficacy is missing. A phase III clinical trial is being planned. A third potential drug in clinical development and a first in class is TPOm, which has a limited effect on the injury, but may be more relevant as a regeneration-promoting agent. A2B receptor agonists and WJMSC are also promising agents that support recovery after APAP-induced necrosis and are effective, even when treatment is severely delayed ( Figure 1 ). However, the lack of patent protection is a hurdle in their further development. Other approaches such as Nrf2 activators are promising as prophylactic agents but may have limited utility as antidotes. We are hopeful that the substantial progress in the development of additional clinically relevant antidotes against APAP-induced liver injury and acute liver failure in recent years will result in additional therapeutics for clinical use soon.", "tables": [ { "label": "Table 1:", "caption": "Characteristics of New Antidotes in Clinical Development compared to N-Acetylcysteine", "html": "&lt;table frame=\"below\" rules=\"none\"&gt;&lt;colgroup span=\"1\"&gt;&lt;col align=\"left\" valign=\"middle\" span=\"1\"&gt;&lt;col align=\"left\" valign=\"middle\" span=\"1\"&gt;&lt;col align=\"left\" valign=\"middle\" span=\"1\"&gt;&lt;col align=\"left\" valign=\"middle\" span=\"1\"&gt;&lt;col align=\"left\" valign=\"middle\" span=\"1\"&gt;&lt;/colgroup&gt;&lt;thead&gt;&lt;tr&gt;&lt;th align=\"left\" valign=\"top\" rowspan=\"1\" colspan=\"1\"&gt;Liver Injury:&lt;/th&gt;&lt;th align=\"center\" valign=\"top\" rowspan=\"1\" colspan=\"1\"&gt;N-Acetylcysteine&lt;/th&gt;&lt;th align=\"center\" valign=\"top\" rowspan=\"1\" colspan=\"1\"&gt;Fomepizole&lt;/th&gt;&lt;th align=\"center\" valign=\"top\" rowspan=\"1\" colspan=\"1\"&gt;Calmangafodipir&lt;/th&gt;&lt;th align=\"center\" valign=\"top\" rowspan=\"1\" colspan=\"1\"&gt;mTPO&lt;/th&gt;&lt;/tr&gt;&lt;/thead&gt;&lt;tbody&gt;&lt;tr&gt;&lt;td align=\"left\" valign=\"top\" rowspan=\"1\" colspan=\"1\"&gt;Efficiency with Early Treatment&lt;/td&gt;&lt;td align=\"center\" valign=\"top\" rowspan=\"1\" colspan=\"1\"&gt;++++&lt;/td&gt;&lt;td align=\"center\" valign=\"top\" rowspan=\"1\" colspan=\"1\"&gt;++++&lt;/td&gt;&lt;td align=\"center\" valign=\"top\" rowspan=\"1\" colspan=\"1\"&gt;ND&lt;/td&gt;&lt;td align=\"center\" valign=\"top\" rowspan=\"1\" colspan=\"1\"&gt;----&lt;/td&gt;&lt;/tr&gt;&lt;tr&gt;&lt;td align=\"left\" valign=\"top\" rowspan=\"1\" colspan=\"1\"&gt;Efficiency with Late Treatment&lt;/td&gt;&lt;td align=\"center\" valign=\"top\" rowspan=\"1\" colspan=\"1\"&gt;+&lt;/td&gt;&lt;td align=\"center\" valign=\"top\" rowspan=\"1\" colspan=\"1\"&gt;++&lt;/td&gt;&lt;td align=\"center\" valign=\"top\" rowspan=\"1\" colspan=\"1\"&gt;++ ?&lt;/td&gt;&lt;td align=\"center\" valign=\"top\" rowspan=\"1\" colspan=\"1\"&gt;+&lt;/td&gt;&lt;/tr&gt;&lt;tr&gt;&lt;td align=\"left\" valign=\"top\" rowspan=\"1\" colspan=\"1\"&gt;Promotes Biogenesis and Regeneration&lt;/td&gt;&lt;td align=\"center\" valign=\"top\" rowspan=\"1\" colspan=\"1\"&gt;----&lt;/td&gt;&lt;td align=\"center\" valign=\"top\" rowspan=\"1\" colspan=\"1\"&gt;+&lt;/td&gt;&lt;td align=\"center\" valign=\"top\" rowspan=\"1\" colspan=\"1\"&gt;ND&lt;/td&gt;&lt;td align=\"center\" valign=\"top\" rowspan=\"1\" colspan=\"1\"&gt;++++&lt;/td&gt;&lt;/tr&gt;&lt;tr&gt;&lt;td align=\"left\" valign=\"top\" rowspan=\"1\" colspan=\"1\"&gt;Protects against Acute Kidney Injury&lt;/td&gt;&lt;td align=\"center\" valign=\"top\" rowspan=\"1\" colspan=\"1\"&gt;----&lt;/td&gt;&lt;td align=\"center\" valign=\"top\" rowspan=\"1\" colspan=\"1\"&gt;+++&lt;/td&gt;&lt;td align=\"center\" valign=\"top\" rowspan=\"1\" colspan=\"1\"&gt;ND&lt;/td&gt;&lt;td align=\"center\" valign=\"top\" rowspan=\"1\" colspan=\"1\"&gt;ND&lt;/td&gt;&lt;/tr&gt;&lt;tr&gt;&lt;td align=\"left\" valign=\"top\" rowspan=\"1\" colspan=\"1\"&gt;Side Effects of Treatment&lt;/td&gt;&lt;td align=\"center\" valign=\"top\" rowspan=\"1\" colspan=\"1\"&gt;+&lt;/td&gt;&lt;td align=\"center\" valign=\"top\" rowspan=\"1\" colspan=\"1\"&gt;----&lt;/td&gt;&lt;td align=\"center\" valign=\"top\" rowspan=\"1\" colspan=\"1\"&gt;----&lt;/td&gt;&lt;td align=\"center\" valign=\"top\" rowspan=\"1\" colspan=\"1\"&gt;----&lt;/td&gt;&lt;/tr&gt;&lt;/tbody&gt;&lt;/table&gt;", "rows": [ [ "Liver Injury:", "N-Acetylcysteine", "Fomepizole", "Calmangafodipir", "mTPO" ], [ "Efficiency with Early Treatment", "++++", "++++", "ND", "----" ], [ "Efficiency with Late Treatment", "+", "++", "++ ?", "+" ], [ "Promotes Biogenesis and Regeneration", "----", "+", "ND", "++++" ], [ "Protects against Acute Kidney Injury", "----", "+++", "ND", "ND" ], [ "Side Effects of Treatment", "+", "----", "----", "----" ] ] } ], "figures": [ { "label": "Figure 1:", "caption": "Clinically relevant therapeutic targets in acetaminophen hepatotoxicity.”  [PMC11315809 ¶43]</w:t>
      </w:r>
    </w:p>
    <w:p>
      <w:pPr>
        <w:spacing w:after="120"/>
        <w:jc w:val="both"/>
      </w:pPr>
      <w:r>
        <w:rPr>
          <w:rFonts w:ascii="Times New Roman" w:hAnsi="Times New Roman" w:cs="Times New Roman" w:eastAsia="Times New Roman"/>
          <w:b w:val="0"/>
          <w:i w:val="0"/>
          <w:sz w:val="24"/>
        </w:rPr>
        <w:t>“Acetaminophen (APAP) toxicity is initiated by cytochrome P450 2E1 (Cyp2E1)-mediated formation of the reactive metabolite, NAPQI, which depletes cellular glutathione and subsequently forms protein adducts in mitochondria. This induces a mild oxidant stress, which activates the MAP kinase JNK in the cytosol, which translocates to mitochondria and amplifies the mitochondrial oxidative/nitrosative stress. These insults ultimately cause induction of the mitochondrial permeability transition and translocation of mitochondrial proteins to the nucleus where they produce subsequent DNA fragmentation. The resulting hepatocyte necrosis occurs in centrilobular cells surrounding the central vein and induces an innate immune response, which facilitates liver recovery and hepatocyte regeneration to repopulate areas of necrosis. Therapeutics such as N-acetylcysteine (NAC) allow the rapid resynthesis of hepatic glutathione stores ", "graphic_href": "nihms-2004123-f0001.jpg" } ], "references": [ { "title": "Emergency department visits for overdoses of acetaminophen-containing products", "year": "2011", "source": "Am.”  [PMC11315809 ¶44]</w:t>
      </w:r>
    </w:p>
    <w:p>
      <w:pPr>
        <w:spacing w:after="120"/>
        <w:jc w:val="both"/>
      </w:pPr>
      <w:r>
        <w:rPr>
          <w:rFonts w:ascii="Times New Roman" w:hAnsi="Times New Roman" w:cs="Times New Roman" w:eastAsia="Times New Roman"/>
          <w:b w:val="0"/>
          <w:i w:val="0"/>
          <w:sz w:val="24"/>
        </w:rPr>
        <w:t>“J. Prev. Med", "pmid": "21565648", "doi": "10.1016/j.amepre.2011.02.026" }, { "title": "Effect of the UK\u2019s revised paracetamol poisoning management guidelines on admissions, adverse reactions and costs of treatment", "year": "2014", "source": "Br. J. Clin. Pharmacol", "pmid": "24666324", "doi": "10.1111/bcp.12362", "pmcid": "PMC4243911" }, { "title": "Paracetamol poisoning-related hospital admissions and deaths in Australia, 2004\u20132017", "year": "2019", "source": "Med. J. Aust", "pmid": "31389025", "doi": "10.5694/mja2.50296" }, { "title": "Acute liver failure", "year": "2013", "source": "N. Engl. J. Med", "pmid": "24369077", "doi": "10.1056/NEJMra1208937" }, { "title": "Epidemiology and outcomes of acute liver failure in Australia", "year": "2019", "source": "World J. Hepatol", "pmid": "31388400", "doi": "10.4254/wjh.v11.i7.586", "pmcid": "PMC6669190" }, { "title": "Acetaminophen: Dose-Dependent Drug Hepatotoxicity and Acute Liver Failure in Patients", "year": "2015", "source": "Dig.”  [PMC11315809 ¶45]</w:t>
      </w:r>
    </w:p>
    <w:p>
      <w:pPr>
        <w:spacing w:after="120"/>
        <w:jc w:val="both"/>
      </w:pPr>
      <w:r>
        <w:rPr>
          <w:rFonts w:ascii="Times New Roman" w:hAnsi="Times New Roman" w:cs="Times New Roman" w:eastAsia="Times New Roman"/>
          <w:b w:val="0"/>
          <w:i w:val="0"/>
          <w:sz w:val="24"/>
        </w:rPr>
        <w:t>“Dis", "pmid": "26159260", "doi": "10.1159/000374090", "pmcid": "PMC4520394" }, { "title": "Mechanisms of acetaminophen hepatotoxicity and their translation to the human pathophysiology", "year": "2017", "source": "J. Clin. Transl. Res", "pmid": "28670625", "doi": "10.18053/jctres.03.2017S1.002", "pmcid": "PMC5489132" }, { "title": "Acetaminophen-induced liver injury in rats and mice: comparison of protein adducts, mitochondrial dysfunction, and oxidative stress in the mechanism of toxicity", "year": "2012", "source": "Toxicol. Appl. Pharmacol",”  [PMC11315809 ¶46]</w:t>
      </w:r>
    </w:p>
    <w:p>
      <w:pPr>
        <w:keepNext/>
        <w:spacing w:before="280" w:after="80"/>
        <w:outlineLvl w:val="1"/>
      </w:pPr>
      <w:r>
        <w:rPr>
          <w:rFonts w:ascii="Times New Roman" w:hAnsi="Times New Roman" w:cs="Times New Roman" w:eastAsia="Times New Roman"/>
          <w:b/>
          <w:i w:val="0"/>
          <w:color w:val="335588"/>
          <w:sz w:val="28"/>
        </w:rPr>
        <w:t>11.7  [7] Protective Effects of L-Cysteine Against Cisplatin-Induced Oxidative Stress-Mediated Reproductive Damage</w:t>
      </w:r>
    </w:p>
    <w:p>
      <w:pPr>
        <w:spacing w:after="80"/>
        <w:jc w:val="both"/>
      </w:pPr>
      <w:r>
        <w:rPr>
          <w:rFonts w:ascii="Times New Roman" w:hAnsi="Times New Roman" w:cs="Times New Roman" w:eastAsia="Times New Roman"/>
          <w:b w:val="0"/>
          <w:i/>
          <w:sz w:val="22"/>
        </w:rPr>
        <w:t>Bibliographic identifiers — PMCID: PMC11672833; PMID: 39765772; DOI: 10.3390/antiox13121443; Journal: Antioxidants; Year: 2024.</w:t>
      </w:r>
    </w:p>
    <w:p>
      <w:pPr>
        <w:spacing w:after="80"/>
        <w:jc w:val="both"/>
      </w:pPr>
      <w:r>
        <w:rPr>
          <w:rFonts w:ascii="Times New Roman" w:hAnsi="Times New Roman" w:cs="Times New Roman" w:eastAsia="Times New Roman"/>
          <w:b w:val="0"/>
          <w:i w:val="0"/>
          <w:sz w:val="22"/>
        </w:rPr>
        <w:t>Retrieval — full JATS XML via NCBI efetch db=pmc rettype=xml. Body text length: 42,612 characters; structured tables: 0; figures: 10; references: 74. Supplementary body text also harvested via MCP fetch_pmc_article: 0 characters, 0 verbatim paragraphs reproduced below.</w:t>
      </w:r>
    </w:p>
    <w:p>
      <w:pPr>
        <w:spacing w:after="80"/>
        <w:jc w:val="both"/>
      </w:pPr>
      <w:r>
        <w:rPr>
          <w:rFonts w:ascii="Times New Roman" w:hAnsi="Times New Roman" w:cs="Times New Roman" w:eastAsia="Times New Roman"/>
          <w:b/>
          <w:i w:val="0"/>
          <w:sz w:val="22"/>
        </w:rPr>
        <w:t>Verbatim abstract (from JATS XML):</w:t>
      </w:r>
    </w:p>
    <w:p>
      <w:pPr>
        <w:spacing w:after="80"/>
        <w:jc w:val="both"/>
      </w:pPr>
      <w:r>
        <w:rPr>
          <w:rFonts w:ascii="Times New Roman" w:hAnsi="Times New Roman" w:cs="Times New Roman" w:eastAsia="Times New Roman"/>
          <w:b w:val="0"/>
          <w:i/>
          <w:sz w:val="24"/>
        </w:rPr>
        <w:t>“Cisplatin (CIS) is a widely used chemotherapeutic agent, but its side effects, such as oxidative stress, inflammation, and apoptosis, often lead to male reproductive damage. Oxidative stress, primarily caused by the excessive generation of reactive oxygen species (ROS), plays a critical role in disrupting testicular homeostasis, resulting in spermatogenic impairment and tissue injury. L-cysteine (CYS), a semi-essential amino acid with potent antioxidant and anti-inflammatory properties, may offer protection against CIS-induced oxidative damage. This study aimed to assess the protective potential of CYS against CIS-induced male reproductive toxicity using in vivo and in vitro models. In vitro, treatment of TM3 (Leydig) and TM4 (Sertoli) cells with CIS led to increased ROS levels, reduced cell viability, and elevated apoptosis and inflammation, all of which were significantly ameliorated by subsequent CYS exposure. In vivo, CIS-treated male rats displayed heightened oxidative stress, impaired spermatogenesis, and histopathological damage in reproductive organs. However, CYS administration for 21 days significantly reduced oxidative stress, improved sperm viability, and protected testicular tissues from damage. These findings suggest that CYS has a protective effect against CIS-induced oxidative stress and male reproductive damage, making it a promising therapeutic agent for mitigating CIS-induced reproductive toxicity.”</w:t>
      </w:r>
    </w:p>
    <w:p>
      <w:pPr>
        <w:spacing w:after="80"/>
        <w:jc w:val="both"/>
      </w:pPr>
      <w:r>
        <w:rPr>
          <w:rFonts w:ascii="Times New Roman" w:hAnsi="Times New Roman" w:cs="Times New Roman" w:eastAsia="Times New Roman"/>
          <w:b w:val="0"/>
          <w:i/>
          <w:sz w:val="24"/>
        </w:rPr>
        <w:t>Figure 1 (verbatim caption): “Effect of L-cysteine (CYS) and cisplatin (CIS) on TM3 and TM4 cell viability. TM3 (5000 cells/well) (n = 7) and TM4 cells (3000 cells/well) (n = 7) were cultured in a 96-well plate for cell viability assays. Cells were treated with different concentrations of ( A , B ) CYS (0.1, 0.2, 0.5, 1, and 2 mM) or ( D , F ) CIS (5, 7.5, 10, 15, and 20 µM) for 24 or 16 h and stained with MTS assay. ( C ) TM3</w:t>
        <w:br/>
        <w:t xml:space="preserve">   graphic: `antioxidants-13-01443-g001.jpg`”</w:t>
      </w:r>
    </w:p>
    <w:p>
      <w:pPr>
        <w:spacing w:after="80"/>
        <w:jc w:val="both"/>
      </w:pPr>
      <w:r>
        <w:rPr>
          <w:rFonts w:ascii="Times New Roman" w:hAnsi="Times New Roman" w:cs="Times New Roman" w:eastAsia="Times New Roman"/>
          <w:b w:val="0"/>
          <w:i/>
          <w:sz w:val="24"/>
        </w:rPr>
        <w:t>Figure 2 (verbatim caption): “L-cysteine (CYS) attenuates cisplatin (CIS)-induced reduction in TM3 and TM4 cell viability. TM3 (5000 cell/well) (n = 7) and TM4 cells (3000 cell/well) (n = 7) were cultured in a 96-well plate for cell viability. TM3 (n = 7) and TM4 (n = 7) cells (4 × 10 4 cell/well) were cultured in a 12-well plate for cell morphology and composition. They were co-treated with different concentrations of CYS (0.</w:t>
        <w:br/>
        <w:t xml:space="preserve">   graphic: `antioxidants-13-01443-g002.jpg`”</w:t>
      </w:r>
    </w:p>
    <w:p>
      <w:pPr>
        <w:spacing w:after="80"/>
        <w:jc w:val="both"/>
      </w:pPr>
      <w:r>
        <w:rPr>
          <w:rFonts w:ascii="Times New Roman" w:hAnsi="Times New Roman" w:cs="Times New Roman" w:eastAsia="Times New Roman"/>
          <w:b w:val="0"/>
          <w:i/>
          <w:sz w:val="24"/>
        </w:rPr>
        <w:t>Figure 3 (verbatim caption): “Effect of L-cysteine (CYS) on reactive oxygen species production in cisplatin (CIS)-induced TM3 and TM4 cells. The cells (1.2 × 10 5 cells/well) were cultured in a 6-well plate. They were co-treated with different concentrations of CYS (0.1, 0.2, 0.5, and 1 mM) and, respectively, induced by CIS (7.5 or 10 µM) for 24 and 16 h (n = 7). ( A , B ) ROS measurements were conducted by incubating the cell</w:t>
        <w:br/>
        <w:t xml:space="preserve">   graphic: `antioxidants-13-01443-g003.jpg`”</w:t>
      </w:r>
    </w:p>
    <w:p>
      <w:pPr>
        <w:spacing w:after="80"/>
        <w:jc w:val="both"/>
      </w:pPr>
      <w:r>
        <w:rPr>
          <w:rFonts w:ascii="Times New Roman" w:hAnsi="Times New Roman" w:cs="Times New Roman" w:eastAsia="Times New Roman"/>
          <w:b w:val="0"/>
          <w:i/>
          <w:sz w:val="24"/>
        </w:rPr>
        <w:t xml:space="preserve">Figure 4 (verbatim caption): “Effect of L-cysteine (CYS) on apoptosis-related protein expression in cisplatin (CIS)-induced TM3 and TM4 cells. ( A ) TM3 and ( C ) TM4 cells (1 × 10 5 cells) were cultured in a 6 cm dish. Cells were co-treated with different concentrations of CYS (0.1, 0.2, 0.5, and 1 mM) and induced with CIS (7.5 or 10 µM) for 24 and 16 h, respectively (n = 4). The protein expression of PARP, Caspase 3, Bcl-2, </w:t>
        <w:br/>
        <w:t xml:space="preserve">   graphic: `antioxidants-13-01443-g004.jpg`”</w:t>
      </w:r>
    </w:p>
    <w:p>
      <w:pPr>
        <w:spacing w:after="80"/>
        <w:jc w:val="both"/>
      </w:pPr>
      <w:r>
        <w:rPr>
          <w:rFonts w:ascii="Times New Roman" w:hAnsi="Times New Roman" w:cs="Times New Roman" w:eastAsia="Times New Roman"/>
          <w:b w:val="0"/>
          <w:i/>
          <w:sz w:val="24"/>
        </w:rPr>
        <w:t>Figure 5 (verbatim caption): “Effect of L-cysteine (CYS) on testosterone secretion-related modulators in cisplatin (CIS)-induced TM3 cells. TM3 cells (1 × 10 5 cell/well) were cultured in a 6 cm dish. Cells were co-treated with different concentrations of CYS (0.1, 0.2, 0.5, 1 mM) and induced with CIS (7.5 µM) for 24 h (n = 4). ( A ) The inflammatory protein expressions were determined by Western blot. ( B ) iNOS and ( C ) COX</w:t>
        <w:br/>
        <w:t xml:space="preserve">   graphic: `antioxidants-13-01443-g005.jpg`”</w:t>
      </w:r>
    </w:p>
    <w:p>
      <w:pPr>
        <w:spacing w:after="80"/>
        <w:jc w:val="both"/>
      </w:pPr>
      <w:r>
        <w:rPr>
          <w:rFonts w:ascii="Times New Roman" w:hAnsi="Times New Roman" w:cs="Times New Roman" w:eastAsia="Times New Roman"/>
          <w:b w:val="0"/>
          <w:i/>
          <w:sz w:val="24"/>
        </w:rPr>
        <w:t>Figure 6 (verbatim caption): “Effect of L-cysteine (CYS) on blood–testis barrier (BTB)-related protein expression in cisplatin (CIS)-induced TM4 cells. The cells (1 × 10 5 cell/well) were cultured in a 6 cm dish. Cells were co-treated with different concentrations of CYS (0.1, 0.2, 0.5, and 1 mM) and induced with CIS (10 µM) for 24 h (n = 4). ( A ) The BTB protein expressions were determined by Western blot. ( B ) ZO-1 and ( C</w:t>
        <w:br/>
        <w:t xml:space="preserve">   graphic: `antioxidants-13-01443-g006.jpg`”</w:t>
      </w:r>
    </w:p>
    <w:p>
      <w:pPr>
        <w:spacing w:after="80"/>
        <w:jc w:val="both"/>
      </w:pPr>
      <w:r>
        <w:rPr>
          <w:rFonts w:ascii="Times New Roman" w:hAnsi="Times New Roman" w:cs="Times New Roman" w:eastAsia="Times New Roman"/>
          <w:b w:val="0"/>
          <w:i/>
          <w:sz w:val="24"/>
        </w:rPr>
        <w:t>Figure 7 (verbatim caption): “Effect of L-cysteine (CYS) on cisplatin (CIS)-induced weight and organ changes in in vivo model. ( A ) Body weight and ( B ) body weight changes, and the relative weight changes of the ( C ) testis, ( D ) epididymis, ( E ) heart, ( F ) liver, and ( G ) kidney in a CIS-induced animal model after CYS pretreatment (n = 8). Data are represented as mean ± SEM. Different groups were analyzed using Stude</w:t>
        <w:br/>
        <w:t xml:space="preserve">   graphic: `antioxidants-13-01443-g007.jpg`”</w:t>
      </w:r>
    </w:p>
    <w:p>
      <w:pPr>
        <w:spacing w:after="80"/>
        <w:jc w:val="both"/>
      </w:pPr>
      <w:r>
        <w:rPr>
          <w:rFonts w:ascii="Times New Roman" w:hAnsi="Times New Roman" w:cs="Times New Roman" w:eastAsia="Times New Roman"/>
          <w:b w:val="0"/>
          <w:i/>
          <w:sz w:val="24"/>
        </w:rPr>
        <w:t>Figure 8 (verbatim caption): “Protective role of L-cysteine (CYS) treatment for the biochemical indicators in cisplatin-induced in vivo model. ( A ) Testosterone and P450scc protein expression were evaluated by Western blot; ( B ) SGOT, ( C ) SGPT, ( D ) BUN, ( E ) creatinine, ( F ) LDH, and ( G ) CPK levels in a cisplatin-induced animal model after CYS pretreatment (n = 8). Data are represented as mean ± SEM. Different groups</w:t>
        <w:br/>
        <w:t xml:space="preserve">   graphic: `antioxidants-13-01443-g008.jpg`”</w:t>
      </w:r>
    </w:p>
    <w:p>
      <w:pPr>
        <w:spacing w:after="80"/>
        <w:jc w:val="both"/>
      </w:pPr>
      <w:r>
        <w:rPr>
          <w:rFonts w:ascii="Times New Roman" w:hAnsi="Times New Roman" w:cs="Times New Roman" w:eastAsia="Times New Roman"/>
          <w:b w:val="0"/>
          <w:i/>
          <w:sz w:val="24"/>
        </w:rPr>
        <w:t>Figure 9 (verbatim caption): “Effect of L-cysteine (CYS) on testicular damage in cisplatin (CIS)-induced male rats. ( A ) The appearance of the testis and epididymis. ( B ) Hematoxylin-and-eosin-stained sections of the testis, observed under magnification at ×100, ×200, and ×400. Observations were made on multiple sections (2–3) from each testicular fragment to ensure consistent and representative assessment. Labels in the fig</w:t>
        <w:br/>
        <w:t xml:space="preserve">   graphic: `antioxidants-13-01443-g009.jpg`”</w:t>
      </w:r>
    </w:p>
    <w:p>
      <w:pPr>
        <w:spacing w:after="80"/>
        <w:jc w:val="both"/>
      </w:pPr>
      <w:r>
        <w:rPr>
          <w:rFonts w:ascii="Times New Roman" w:hAnsi="Times New Roman" w:cs="Times New Roman" w:eastAsia="Times New Roman"/>
          <w:b w:val="0"/>
          <w:i/>
          <w:sz w:val="24"/>
        </w:rPr>
        <w:t>Figure 10 (verbatim caption): “Effect of L-cysteine (CYS) on sperm morphology and viability in cisplatin (CIS)-induced animal model. ( A ) Sperm morphology stained with eosin Y and crystal violet, observed at 400× magnification. Black arrows indicate abnormal sperm, including (a) bent neck and (b) bent tail. ( B ) Sperm viability was assessed by counting the number of live and dead sperm. Data are represented as mean ± SEM. Dif</w:t>
        <w:br/>
        <w:t xml:space="preserve">   graphic: `antioxidants-13-01443-g010.jpg`”</w:t>
      </w:r>
    </w:p>
    <w:p>
      <w:pPr>
        <w:keepNext/>
        <w:spacing w:before="160" w:after="40"/>
        <w:outlineLvl w:val="2"/>
      </w:pPr>
      <w:r>
        <w:rPr>
          <w:rFonts w:ascii="Times New Roman" w:hAnsi="Times New Roman" w:cs="Times New Roman" w:eastAsia="Times New Roman"/>
          <w:b/>
          <w:i w:val="0"/>
          <w:color w:val="404040"/>
          <w:sz w:val="24"/>
        </w:rPr>
        <w:t>Verbatim body-text paragraphs from PMC11672833</w:t>
      </w:r>
    </w:p>
    <w:p>
      <w:pPr>
        <w:spacing w:after="120"/>
        <w:jc w:val="both"/>
      </w:pPr>
      <w:r>
        <w:rPr>
          <w:rFonts w:ascii="Times New Roman" w:hAnsi="Times New Roman" w:cs="Times New Roman" w:eastAsia="Times New Roman"/>
          <w:b w:val="0"/>
          <w:i w:val="0"/>
          <w:sz w:val="24"/>
        </w:rPr>
        <w:t>“## Figure captions (10) 1. **Figure 1** — Effect of L-cysteine (CYS) and cisplatin (CIS) on TM3 and TM4 cell viability. TM3 (5000 cells/well) (n = 7) and TM4 cells (3000 cells/well) (n = 7) were cultured in a 96-well plate for cell viability assays. Cells were treated with different concentrations of ( A , B ) CYS (0.1, 0.2, 0.5, 1, and 2 mM) or ( D , F ) CIS (5, 7.5, 10, 15, and 20 µM) for 24 or 16 h and stained with MTS assay. ( C ) TM3 graphic: `antioxidants-13-01443-g001.jpg` 2. **Figure 2** — L-cysteine (CYS) attenuates cisplatin (CIS)-induced reduction in TM3 and TM4 cell viability. TM3 (5000 cell/well) (n = 7) and TM4 cells (3000 cell/well) (n = 7) were cultured in a 96-well plate for cell viability. TM3 (n = 7) and TM4 (n = 7) cells (4 × 10 4 cell/well) were cultured in a 12-well plate for cell morphology and composition. They were co-treated with different concentrations of CYS (0. graphic: `antioxidants-13-01443-g002.jpg` 3. **Figure 3** — Effect of L-cysteine (CYS) on reactive oxygen species production in cisplatin (CIS)-induced TM3 and TM4 cells.”  [PMC11672833 ¶1]</w:t>
      </w:r>
    </w:p>
    <w:p>
      <w:pPr>
        <w:spacing w:after="120"/>
        <w:jc w:val="both"/>
      </w:pPr>
      <w:r>
        <w:rPr>
          <w:rFonts w:ascii="Times New Roman" w:hAnsi="Times New Roman" w:cs="Times New Roman" w:eastAsia="Times New Roman"/>
          <w:b w:val="0"/>
          <w:i w:val="0"/>
          <w:sz w:val="24"/>
        </w:rPr>
        <w:t>“The cells (1.2 × 10 5 cells/well) were cultured in a 6-well plate. They were co-treated with different concentrations of CYS (0.1, 0.2, 0.5, and 1 mM) and, respectively, induced by CIS (7.5 or 10 µM) for 24 and 16 h (n = 7). ( A , B ) ROS measurements were conducted by incubating the cell graphic: `antioxidants-13-01443-g003.jpg` 4. **Figure 4** — Effect of L-cysteine (CYS) on apoptosis-related protein expression in cisplatin (CIS)-induced TM3 and TM4 cells. ( A ) TM3 and ( C ) TM4 cells (1 × 10 5 cells) were cultured in a 6 cm dish. Cells were co-treated with different concentrations of CYS (0.1, 0.2, 0.5, and 1 mM) and induced with CIS (7.5 or 10 µM) for 24 and 16 h, respectively (n = 4). The protein expression of PARP, Caspase 3, Bcl-2, graphic: `antioxidants-13-01443-g004.jpg` 5. **Figure 5** — Effect of L-cysteine (CYS) on testosterone secretion-related modulators in cisplatin (CIS)-induced TM3 cells.”  [PMC11672833 ¶2]</w:t>
      </w:r>
    </w:p>
    <w:p>
      <w:pPr>
        <w:spacing w:after="120"/>
        <w:jc w:val="both"/>
      </w:pPr>
      <w:r>
        <w:rPr>
          <w:rFonts w:ascii="Times New Roman" w:hAnsi="Times New Roman" w:cs="Times New Roman" w:eastAsia="Times New Roman"/>
          <w:b w:val="0"/>
          <w:i w:val="0"/>
          <w:sz w:val="24"/>
        </w:rPr>
        <w:t>“TM3 cells (1 × 10 5 cell/well) were cultured in a 6 cm dish. Cells were co-treated with different concentrations of CYS (0.1, 0.2, 0.5, 1 mM) and induced with CIS (7.5 µM) for 24 h (n = 4). ( A ) The inflammatory protein expressions were determined by Western blot. ( B ) iNOS and ( C ) COX graphic: `antioxidants-13-01443-g005.jpg` 6. **Figure 6** — Effect of L-cysteine (CYS) on blood–testis barrier (BTB)-related protein expression in cisplatin (CIS)-induced TM4 cells. The cells (1 × 10 5 cell/well) were cultured in a 6 cm dish. Cells were co-treated with different concentrations of CYS (0.1, 0.2, 0.5, and 1 mM) and induced with CIS (10 µM) for 24 h (n = 4). ( A ) The BTB protein expressions were determined by Western blot. ( B ) ZO-1 and ( C graphic: `antioxidants-13-01443-g006.jpg` 7. **Figure 7** — Effect of L-cysteine (CYS) on cisplatin (CIS)-induced weight and organ changes in in vivo model.”  [PMC11672833 ¶3]</w:t>
      </w:r>
    </w:p>
    <w:p>
      <w:pPr>
        <w:spacing w:after="120"/>
        <w:jc w:val="both"/>
      </w:pPr>
      <w:r>
        <w:rPr>
          <w:rFonts w:ascii="Times New Roman" w:hAnsi="Times New Roman" w:cs="Times New Roman" w:eastAsia="Times New Roman"/>
          <w:b w:val="0"/>
          <w:i w:val="0"/>
          <w:sz w:val="24"/>
        </w:rPr>
        <w:t>“( A ) Body weight and ( B ) body weight changes, and the relative weight changes of the ( C ) testis, ( D ) epididymis, ( E ) heart, ( F ) liver, and ( G ) kidney in a CIS-induced animal model after CYS pretreatment (n = 8). Data are represented as mean ± SEM. Different groups were analyzed using Stude graphic: `antioxidants-13-01443-g007.jpg` 8. **Figure 8** — Protective role of L-cysteine (CYS) treatment for the biochemical indicators in cisplatin-induced in vivo model. ( A ) Testosterone and P450scc protein expression were evaluated by Western blot; ( B ) SGOT, ( C ) SGPT, ( D ) BUN, ( E ) creatinine, ( F ) LDH, and ( G ) CPK levels in a cisplatin-induced animal model after CYS pretreatment (n = 8). Data are represented as mean ± SEM. Different groups graphic: `antioxidants-13-01443-g008.jpg` 9. **Figure 9** — Effect of L-cysteine (CYS) on testicular damage in cisplatin (CIS)-induced male rats.”  [PMC11672833 ¶4]</w:t>
      </w:r>
    </w:p>
    <w:p>
      <w:pPr>
        <w:spacing w:after="120"/>
        <w:jc w:val="both"/>
      </w:pPr>
      <w:r>
        <w:rPr>
          <w:rFonts w:ascii="Times New Roman" w:hAnsi="Times New Roman" w:cs="Times New Roman" w:eastAsia="Times New Roman"/>
          <w:b w:val="0"/>
          <w:i w:val="0"/>
          <w:sz w:val="24"/>
        </w:rPr>
        <w:t>“( A ) The appearance of the testis and epididymis. ( B ) Hematoxylin-and-eosin-stained sections of the testis, observed under magnification at ×100, ×200, and ×400. Observations were made on multiple sections (2–3) from each testicular fragment to ensure consistent and representative assessment. Labels in the fig graphic: `antioxidants-13-01443-g009.jpg` 10. **Figure 10** — Effect of L-cysteine (CYS) on sperm morphology and viability in cisplatin (CIS)-induced animal model. ( A ) Sperm morphology stained with eosin Y and crystal violet, observed at 400× magnification. Black arrows indicate abnormal sperm, including (a) bent neck and (b) bent tail. ( B ) Sperm viability was assessed by counting the number of live and dead sperm. Data are represented as mean ± SEM. Dif graphic: `antioxidants-13-01443-g010.jpg` ```json { "pmcid": "PMC11672833", "pmid": "39765772", "doi": "10.3390/antiox13121443", "title": "Protective Effects of L-Cysteine Against Cisplatin-Induced Oxidative Stress-Mediated Reproductive Damage", "journal": "Antioxidants", "year": "2024", "abstract": "Cisplatin (CIS) is a widely used chemotherapeutic agent, but its side effects, such as oxidative stress, inflammation, and apoptosis, often lead to male reproductive damage.”  [PMC11672833 ¶5]</w:t>
      </w:r>
    </w:p>
    <w:p>
      <w:pPr>
        <w:spacing w:after="120"/>
        <w:jc w:val="both"/>
      </w:pPr>
      <w:r>
        <w:rPr>
          <w:rFonts w:ascii="Times New Roman" w:hAnsi="Times New Roman" w:cs="Times New Roman" w:eastAsia="Times New Roman"/>
          <w:b w:val="0"/>
          <w:i w:val="0"/>
          <w:sz w:val="24"/>
        </w:rPr>
        <w:t>“Oxidative stress, primarily caused by the excessive generation of reactive oxygen species (ROS), plays a critical role in disrupting testicular homeostasis, resulting in spermatogenic impairment and tissue injury. L-cysteine (CYS), a semi-essential amino acid with potent antioxidant and anti-inflammatory properties, may offer protection against CIS-induced oxidative damage. This study aimed to assess the protective potential of CYS against CIS-induced male reproductive toxicity using in vivo and in vitro models. In vitro, treatment of TM3 (Leydig) and TM4 (Sertoli) cells with CIS led to increased ROS levels, reduced cell viability, and elevated apoptosis and inflammation, all of which were significantly ameliorated by subsequent CYS exposure. In vivo, CIS-treated male rats displayed heightened oxidative stress, impaired spermatogenesis, and histopathological damage in reproductive organs.”  [PMC11672833 ¶6]</w:t>
      </w:r>
    </w:p>
    <w:p>
      <w:pPr>
        <w:spacing w:after="120"/>
        <w:jc w:val="both"/>
      </w:pPr>
      <w:r>
        <w:rPr>
          <w:rFonts w:ascii="Times New Roman" w:hAnsi="Times New Roman" w:cs="Times New Roman" w:eastAsia="Times New Roman"/>
          <w:b w:val="0"/>
          <w:i w:val="0"/>
          <w:sz w:val="24"/>
        </w:rPr>
        <w:t>“However, CYS administration for 21 days significantly reduced oxidative stress, improved sperm viability, and protected testicular tissues from damage. These findings suggest that CYS has a protective effect against CIS-induced oxidative stress and male reproductive damage, making it a promising therapeutic agent for mitigating CIS-induced reproductive toxicity.", "body_text": "1. Introduction According to the World Health Organization (WHO) and American Medical Association (AMA) definitions of infertility, it is defined by the failure to conceive after more than 12 months of regular unprotected sexual intercourse [ 1 ]. Approximately 48.5 million couples have this problem and 20\u201330% of male infertility contributes to 50% of cases around the world [ 2 ]. The testis plays a crucial role in the male reproductive system, and several studies have suggested that a wide variety of endogenous and exogenous factors can disrupt male reproductive function.”  [PMC11672833 ¶7]</w:t>
      </w:r>
    </w:p>
    <w:p>
      <w:pPr>
        <w:spacing w:after="120"/>
        <w:jc w:val="both"/>
      </w:pPr>
      <w:r>
        <w:rPr>
          <w:rFonts w:ascii="Times New Roman" w:hAnsi="Times New Roman" w:cs="Times New Roman" w:eastAsia="Times New Roman"/>
          <w:b w:val="0"/>
          <w:i w:val="0"/>
          <w:sz w:val="24"/>
        </w:rPr>
        <w:t>“Approximately 70\u201380% of cases are caused by testicular defects, including chromosomal/genetic abnormalities (e.g., Klinefelter syndrome), cryptorchidism, varicocele, orchitis, cancer treatments (chemotherapy/radiotherapy), environmental factors (such as environmental toxins, high temperature, radiation, and smoking), autoimmune diseases (antisperm antibodies), and testicular torsion and trauma [ 3 ]. Several studies have suggested that oxidative stress and apoptosis are key mediators of male infertility by causing sperm dysfunction [ 4 ]. Oxidative stress is a disturbance in the balance between the production of reactive oxygen species (free radicals) and antioxidant defenses. Cisplatin (CIS), or cis-diamminedichloroplatinum (II), is an effective anticancer chemotherapy agent widely used to treat various cancer types. However, cisplatin is often accompanied by numerous toxicities as it reacts with the N7 reactive center of DNA, leading to DNA\u2013DNA crosslinks and the inhibition of DNA replication or transcription [ 5 ].”  [PMC11672833 ¶8]</w:t>
      </w:r>
    </w:p>
    <w:p>
      <w:pPr>
        <w:spacing w:after="120"/>
        <w:jc w:val="both"/>
      </w:pPr>
      <w:r>
        <w:rPr>
          <w:rFonts w:ascii="Times New Roman" w:hAnsi="Times New Roman" w:cs="Times New Roman" w:eastAsia="Times New Roman"/>
          <w:b w:val="0"/>
          <w:i w:val="0"/>
          <w:sz w:val="24"/>
        </w:rPr>
        <w:t>“Subsequently, CIS causes reproductive toxicity, resulting in the production of free reactive oxygen species (ROS), pro-inflammatory cytokines, mitochondrial dysfunction, and apoptosis. The testis is the target of chemotherapeutic agents due to spermatogenesis and spermiogenesis, in which testicular cell division and morphological changes occur [ 6 , 7 , 8 ]. Leydig cells are interstitial cells located adjacent to the seminiferous tubules in the testis [ 9 ].The mature function of Leydig cells is mainly to produce testosterone under the control of pituitary luteinizing hormone (LH) by action on steroidogenesis. Sertoli cells are the epithelial supporting cells of the seminiferous tubules. Sertoli cells are mainly regulators of spermatogenesis in the adult testis and express functional receptors for follicle-stimulating hormone (FSH) [ 10 , 11 ]. They support fetal germ cell changing in the adult male pathway and are essential for germ cell development.”  [PMC11672833 ¶9]</w:t>
      </w:r>
    </w:p>
    <w:p>
      <w:pPr>
        <w:spacing w:after="120"/>
        <w:jc w:val="both"/>
      </w:pPr>
      <w:r>
        <w:rPr>
          <w:rFonts w:ascii="Times New Roman" w:hAnsi="Times New Roman" w:cs="Times New Roman" w:eastAsia="Times New Roman"/>
          <w:b w:val="0"/>
          <w:i w:val="0"/>
          <w:sz w:val="24"/>
        </w:rPr>
        <w:t>“CIS causes Leydig cell dysfunction, leading to impaired testosterone secretion and disruption of the Sertoli cells in seminiferous epithelium, which results in the impairment of spermatogenesis. In addition, cisplatin induces epididymal toxicity by decreasing epididymal sperm count [ 12 , 13 ]. Because the concomitant use of antioxidants with CIS may reduce the efficacy of cytotoxic drugs, it is essential to identify a potential substance specifically for the treatment of testicular damage. The semi-essential amino acid L-cysteine (CYS), which contains a thiol side chain that modulates enzymatic reactions, plays diverse roles within cells, including maintaining antioxidant homeostasis [ 14 ]. It is naturally found in meat, fish, grains, dairy, soybeans, and eggs [ 15 , 16 ]. CYS serves as a precursor to inorganic sulfates, coenzyme A, and glutathione [ 17 ]. Its primary functions include antioxidation and contributing to the stability of structural proteins [ 18 ].”  [PMC11672833 ¶10]</w:t>
      </w:r>
    </w:p>
    <w:p>
      <w:pPr>
        <w:spacing w:after="120"/>
        <w:jc w:val="both"/>
      </w:pPr>
      <w:r>
        <w:rPr>
          <w:rFonts w:ascii="Times New Roman" w:hAnsi="Times New Roman" w:cs="Times New Roman" w:eastAsia="Times New Roman"/>
          <w:b w:val="0"/>
          <w:i w:val="0"/>
          <w:sz w:val="24"/>
        </w:rPr>
        <w:t>“Therefore, this study aimed to investigate the protective effects of CYS on CIS-induced testicular damage through comprehensive in vivo and in vitro experiments. We assess the potential of CYS to mitigate oxidative stress, reduce apoptosis, and preserve the structural integrity and function of testicular cells in the presence of CIS. We explore the mechanisms by which CYS may counteract the adverse effects of CIS on male reproductive health. 2. Materials and Methods 2.1. Chemicals, Reagents, and Antibodies The materials used include Dulbecco\u2019s modified Eagle\u2019s medium (DMEM)/Ham\u2019s F-12 (12500062, Gibco (Grand Island, NY, USA)), Penicillin streptomycin solution, 100\u00d7 (30-002-CI, CORNING (Manassas, VA, USA)), fetal bovine serum (FBS, MT-35-010-CV, CORNING), Horse serum (HS, 16050114, Thermo fisher (Waltham, MA, USA)), vitamin C (VITC, A4544, Sigma (St. Louis, MO, USA)), gallic acid (GA, G7384, Sigma), L-cysteine (CYS, 168149, Sigma), cisplatin (CIS, 13119, Cayman (Ann Arbor, MI, USA)), a 2\u2032, 7\u2032-dichlorodihydrofluorescein diacetate (DCFDA, 601520, Cayman), 3-(4,5-dimethylthiazol-2-yl)-5-(3-carboxymethoxyphenyl)-2-(4-sulfophenyl)-2H-tetrazolium (MTS) assay kit (ab197010, Abcam (Cambridge, MA, USA)), and a 2,2-Diphenyl-1-Picrylhydrazyl (DPPH) Commercial kit (D678, Dojindo, Kumamoto, Japan). 2.2.”  [PMC11672833 ¶11]</w:t>
      </w:r>
    </w:p>
    <w:p>
      <w:pPr>
        <w:spacing w:after="120"/>
        <w:jc w:val="both"/>
      </w:pPr>
      <w:r>
        <w:rPr>
          <w:rFonts w:ascii="Times New Roman" w:hAnsi="Times New Roman" w:cs="Times New Roman" w:eastAsia="Times New Roman"/>
          <w:b w:val="0"/>
          <w:i w:val="0"/>
          <w:sz w:val="24"/>
        </w:rPr>
        <w:t>“Experimental Cell Model The TM3 mouse Leydig cell line and the TM4 mouse Sertoli cell line were used as experimental models and were obtained from the American Type Culture Collection (ATCC, Manassas, VA, USA). Cells were maintained within passages 3 to 15. The TM3 and TM4 cells were cultured in Dulbecco\u2019s modified Eagle\u2019s medium/Ham\u2019s F-12 supplemented with 5% horse serum, 2.5% fetal bovine serum, 100 \u03bcg/mL streptomycin, and 100 U/mL penicillin at 37 \u00b0C in an atmosphere containing 5% CO 2 . The cells were passaged every 3 days once they grew to approximately 90% confluence. 2.3. Cell Viability Analysis The cytotoxicity of CIS and CYS was determined by MTS. TM3 and TM4 cells were, respectively, seeded in 96-well plates at a density of 5 \u00d7 10 3 and 3 \u00d7 10 3 cells per well for 48 h. TM3 and TM4 cells were co-treated with different concentrations of CYS (0.1, 0.2, 0.5, 1, and 2 mM) or CIS (5, 7.5, 10, 15, and 20 \u00b5M) for 24 or 16 h.”  [PMC11672833 ¶12]</w:t>
      </w:r>
    </w:p>
    <w:p>
      <w:pPr>
        <w:spacing w:after="120"/>
        <w:jc w:val="both"/>
      </w:pPr>
      <w:r>
        <w:rPr>
          <w:rFonts w:ascii="Times New Roman" w:hAnsi="Times New Roman" w:cs="Times New Roman" w:eastAsia="Times New Roman"/>
          <w:b w:val="0"/>
          <w:i w:val="0"/>
          <w:sz w:val="24"/>
        </w:rPr>
        <w:t>“After the treatment, 20 \u00b5L MTS was added, followed by incubation at 37 \u00b0C for 2.5 h protected from light. The absorbance of each well was measured using a VersaMax microplate reader (Molecular Devices, San Jose, CA, USA) at a wavelength of 490 nm. The cell morphology and survival following CIS and CYS treatments were determined using crystal violet staining. TM3 and TM4 cells were seeded in 12-well plates at a density of 4 \u00d7 10 4 cell per well for 48 h. The cells were then co-treated with varying concentrations of CYS (0.1, 0.2, 0.5, and 1 mM) and induced with CIS (7.5 or 10 \u00b5M) for 24 and 16 h, respectively. After treatment, the cells were fixed in methanol and stained with 0.01% crystal violet at room temperature for 20 min. The excess dye was removed, and the stained cells were photographed. The dye was then dissolved in DMSO with shaking until completely dissolved.”  [PMC11672833 ¶13]</w:t>
      </w:r>
    </w:p>
    <w:p>
      <w:pPr>
        <w:spacing w:after="120"/>
        <w:jc w:val="both"/>
      </w:pPr>
      <w:r>
        <w:rPr>
          <w:rFonts w:ascii="Times New Roman" w:hAnsi="Times New Roman" w:cs="Times New Roman" w:eastAsia="Times New Roman"/>
          <w:b w:val="0"/>
          <w:i w:val="0"/>
          <w:sz w:val="24"/>
        </w:rPr>
        <w:t>“The absorbance of each well was measured using a VersaMax microplate reader at a wavelength of 570 nm. 2.4. Testosterone Evaluation in the Culture Medium After treatment, the TM3 cell supernatant was collected, and testosterone concentration was measured using a testosterone ELISA kit (582701, Cayman) according to the manufacturer\u2019s instructions. The concentration was normalized to the cell count. 2.5. 2,2-Diphenyl-1-Picrylhydrazyl (DPPH) Assay The scavenging activity of CYS was determined by a DPPH Commercial Kit. The different concentrations of CYS (20, 30, 50, 75, and 150 \u03bcg/mL) were mixed with 100 \u03bcL DPPH solution in 96-well plates and then incubated at room temperature in the dark for 30 min. The absorbance of each well was measured using a VersaMax microplate reader at the wavelength of 517 nm and using the following formula: Scavenging activity (%) = [control \u2212 sample/control] \u00d7 100. 2.6.”  [PMC11672833 ¶14]</w:t>
      </w:r>
    </w:p>
    <w:p>
      <w:pPr>
        <w:spacing w:after="120"/>
        <w:jc w:val="both"/>
      </w:pPr>
      <w:r>
        <w:rPr>
          <w:rFonts w:ascii="Times New Roman" w:hAnsi="Times New Roman" w:cs="Times New Roman" w:eastAsia="Times New Roman"/>
          <w:b w:val="0"/>
          <w:i w:val="0"/>
          <w:sz w:val="24"/>
        </w:rPr>
        <w:t>“Reactive Oxygen Species Measurement The intracellular level of ROS was determined by the indicator 6-carboxy-2\u2032,7\u2032-dichlorodihydrofluorescein diacetate (DCFDA), while mitochondria oxidative stress was evaluated by MitoSOX (Thermo fisher). After the treatment, the medium was removed, and the cells were incubated with 20 \u00b5M carboxy-DCFDA and 500 nM MitoSOX at 37 \u00b0C in the dark for 30 min. The fluorescence intensity was measured using Thermo Varioskan Flash (Thermo Electron Corporation, Vantaa, Finland) with excitation/emission settings of 492/515 nm (ROS) and 392/610 nm (MitoSOX), respectively. 2.7. Experimental Animal Model Forty male Sprague Dawley (SD) rats (5 weeks old) were acclimatized for one week before the experimental study. All animal care and experimental procedures strictly adhered to guidelines and regulations approved by the Institutional Animal Care and Use Committee at Taipei Medical University (LAC-2022-0148).”  [PMC11672833 ¶15]</w:t>
      </w:r>
    </w:p>
    <w:p>
      <w:pPr>
        <w:spacing w:after="120"/>
        <w:jc w:val="both"/>
      </w:pPr>
      <w:r>
        <w:rPr>
          <w:rFonts w:ascii="Times New Roman" w:hAnsi="Times New Roman" w:cs="Times New Roman" w:eastAsia="Times New Roman"/>
          <w:b w:val="0"/>
          <w:i w:val="0"/>
          <w:sz w:val="24"/>
        </w:rPr>
        <w:t>“The rats were exposed to 12 h light/12 h dark natural day and night cycles and allowed ad libitum access to a standard chow diet and water. They were randomly divided into 4 groups of 8\u201310 rats each, comprising the control group (CON): treated with vehicle; cisplatin group (CIS): treated with CIS (10 mg/kg bw, i.p.); low-L-cysteine group (LC): treated with CYS 100 mg/kg bw/day by gavage + CIS (10 mg/kg bw, i.p.); and high-L-cysteine group (HC): treated with CYS 300 mg/kg bw/day by gavage + CIS (10 mg/kg bw, i.p.) [ 19 ]. CYS administrations were conducted for 21 consecutive days; CIS (10 mg/kg body weight, intraperitoneal) was injected to establish a reproductive damage model at day 17 [ 20 ]. After the treatment, the SD rats were weighed and anesthetized. A combination of Zoletil (20 mg/kg) and xylazine (5 mg/kg) was administered to induce anesthesia, ensuring unconsciousness while maintaining cardiac activity.”  [PMC11672833 ¶16]</w:t>
      </w:r>
    </w:p>
    <w:p>
      <w:pPr>
        <w:spacing w:after="120"/>
        <w:jc w:val="both"/>
      </w:pPr>
      <w:r>
        <w:rPr>
          <w:rFonts w:ascii="Times New Roman" w:hAnsi="Times New Roman" w:cs="Times New Roman" w:eastAsia="Times New Roman"/>
          <w:b w:val="0"/>
          <w:i w:val="0"/>
          <w:sz w:val="24"/>
        </w:rPr>
        <w:t>“Serum, testis, and sperm collection was performed for analysis. 2.8. Hematoxylin and Eosin (H&amp;E) Staining The testes were fixed in 10% buffered formalin solution, dehydrated, and then embedded in paraffin. The embedding and Hematoxylin and Eosin (H&amp;E) staining processes were outsourced to BIO-CHECK LABORATORIES LTD (New Taipei City, Taiwan). The testis sections were then assessed using H&amp;E staining for histopathological investigations. 2.9. Sperm Analysis The epididymis was tested to determine the sperm parameters. Initially, the epididymis was cut twice in 4 mL DMEM/F12 (phenol red free) and then incubated at 37 \u00b0C for 5 min. A 10 \u03bcL aliquot of the sperm suspension was introduced into a Neubauer chamber and examined under a 100\u00d7 light microscope to assess sperm count. This chamber was also utilized to evaluate sperm viability, expressed as viability percentages (%), where non-motile, immotile sperms were classified as dead.”  [PMC11672833 ¶17]</w:t>
      </w:r>
    </w:p>
    <w:p>
      <w:pPr>
        <w:spacing w:after="120"/>
        <w:jc w:val="both"/>
      </w:pPr>
      <w:r>
        <w:rPr>
          <w:rFonts w:ascii="Times New Roman" w:hAnsi="Times New Roman" w:cs="Times New Roman" w:eastAsia="Times New Roman"/>
          <w:b w:val="0"/>
          <w:i w:val="0"/>
          <w:sz w:val="24"/>
        </w:rPr>
        <w:t>“For the analysis of sperm morphological abnormality, the 5\u201320 \u03bcL sperm suspension was placed on the slides and smeared. After the slides dried naturally, they were stained with the modified Diff-Quik (Eosin Y and crystal violet) method [ 21 , 22 ] and examined under a 400\u00d7 light microscope to assess morphological abnormalities [ 23 ]. 2.10. Hormonal and Biochemical Estimations Blood serum was collected from the cardiac puncture after the treatment and then centrifuged (3500\u00d7 g , 4 \u00b0C) for 10 min to obtain serum. The serum levels of testosterone, serum glutamic-oxalocetic transaminase (SGOT), serum glutamic-pyruvic transaminase (SGPT), blood urea nitrogen (BUN), creatinine, uric acid (UA), lactate dehydrogenase (LDH), and creatine kinase (CPK) were delivered on the day to Le Zen Reference Lab (Taipei, Taiwan) for hormonal and biochemical examinations. 2.11. Western Blot Analysis The cells and testis tissues were lysed in lysis buffer containing radioimmunoprecipitation assay (RIPA) buffer and protease and phosphatase inhibitors.”  [PMC11672833 ¶18]</w:t>
      </w:r>
    </w:p>
    <w:p>
      <w:pPr>
        <w:spacing w:after="120"/>
        <w:jc w:val="both"/>
      </w:pPr>
      <w:r>
        <w:rPr>
          <w:rFonts w:ascii="Times New Roman" w:hAnsi="Times New Roman" w:cs="Times New Roman" w:eastAsia="Times New Roman"/>
          <w:b w:val="0"/>
          <w:i w:val="0"/>
          <w:sz w:val="24"/>
        </w:rPr>
        <w:t>“Sample protein quantification in the supernatant was determined using a T-Pro bicinchoninic acid (BCA) Assay Kit. The cell (30 \u00b5g) and tissue (60 \u00b5g) proteins were separated by sodium dodecyl sulfate polyacrylamide gel electrophoresis (SDS-PAGE) and electrotransferred to a polyvinylidene fluoride (PVDF) membrane. After the membranes were blocked for 1 h with blocking buffer (5% BSA) at room temperature, the membranes were incubated with primary antibodies at 4 \u00b0C overnight, including Glyceraldehyde 3-phosphate dehydrogenase (GAPDH) (HRP-60004, Proteintech (Rosemont, IL, USA)), HO-1 (10701-1-AP, Proteintech), Bcl-2 associated X (Bax) (2772, Cell Signaling (Danvers, MA, USA)), B-cell lymphoma-2 (Bcl-2) (68103-1-lg, Proteintech), Caspase 3 (9662, Cell Signaling), poly ADP-ribose polymerase (PARP) (9542, Cell signaling), Inducible nitric oxide synthase (iNOS) (18985-1-AP, Proteintech), Cyclooxygenase 2 (COX2) (160106, Cayman), Zonula occludens-1 (ZO-1) (AF5145, Affinity (Cincinnati, OH, USA)), Occludin (DF7504, Affinity), and P450scc (13363-1-AP, Proteintech).”  [PMC11672833 ¶19]</w:t>
      </w:r>
    </w:p>
    <w:p>
      <w:pPr>
        <w:spacing w:after="120"/>
        <w:jc w:val="both"/>
      </w:pPr>
      <w:r>
        <w:rPr>
          <w:rFonts w:ascii="Times New Roman" w:hAnsi="Times New Roman" w:cs="Times New Roman" w:eastAsia="Times New Roman"/>
          <w:b w:val="0"/>
          <w:i w:val="0"/>
          <w:sz w:val="24"/>
        </w:rPr>
        <w:t>“Subsequently, the membranes were incubated with a horseradish peroxidase (HRP)-conjugated secondary antibody (1:5000\u201310,000) at room temperature for 2 h and then washed three times with Tris-buffered saline with Tween 20 (TBST). The bands were visualized using enhanced chemiluminescence (ECL) reagent and captured by an image analysis system [ 24 ] (eBLOT Touch Imager (eBlot Photoelectric Technology, Shanghai, China)). The densitometric values were normalized to the internal control GAPDH and quantified by ImageJ software (Version 1.54f). 2.12. Statistical Analysis All results are expressed as mean \u00b1 standard deviation (SD) for in vitro data or standard error of the mean (SEM) for animal data. Data were normalized where appropriate and analyzed using GraphPad Prism 9.0. Differences among multiple groups were analyzed using one-way ANOVA followed by Tukey\u2019s multiple comparison test, while differences between two groups were tested using a two-tailed Student\u2019s t -test.”  [PMC11672833 ¶20]</w:t>
      </w:r>
    </w:p>
    <w:p>
      <w:pPr>
        <w:spacing w:after="120"/>
        <w:jc w:val="both"/>
      </w:pPr>
      <w:r>
        <w:rPr>
          <w:rFonts w:ascii="Times New Roman" w:hAnsi="Times New Roman" w:cs="Times New Roman" w:eastAsia="Times New Roman"/>
          <w:b w:val="0"/>
          <w:i w:val="0"/>
          <w:sz w:val="24"/>
        </w:rPr>
        <w:t>“The Shapiro\u2013Wilk test was used to confirm normality [ 25 ]. A p value &lt; 0.05 was considered statistically significant. 3. Results 3.1. Effect of L-Cysteine and Cisplatin on TM3 and TM4 Cell Viability To explore the modulatory role of CYS in Leydig and Sertoli cells, we conducted experiments using TM3 and TM4 cell models. Cell viability was evaluated using the MTS Assay Kit. TM3 and TM4 cells were treated with different concentrations of CYS (0.1, 0.2, 0.5, 1, and 2 mM) for 24 h (0.1 mM: 97.00 \u00b1 1.51 ( p value = 0.36 compared with control group); 0.2 mM: 95.71 \u00b1 2.05 ( p value = 0.07 compared with control group); 0.5 mM: 95.57 \u00b1 1.76 ( p value = 0.056 compared with control group); 1 mM: 95.83 \u00b1 3.02 ( p value = 0.11 compared with control group); 2 mM: 97.14 \u00b1 6.03 ( p value = 0.42 compared with control group)) or 16 h (0.1 mM: 99.21 \u00b1 2.04 ( p value = 0.94 compared with control group); 0.2 mM: 98.42 \u00b1 2.29 ( p value = 0.44 compared with control group); 0.5 mM: 98.86 \u00b1 1.81 ( p value = 0.76 compared with control group); 1 mM: 99.00 \u00b1 2.83 ( p value = 0.85 compared with control group); 2 mM: 101.5 \u00b1 2.75 ( p value = 0.50 compared with control group)).”  [PMC11672833 ¶21]</w:t>
      </w:r>
    </w:p>
    <w:p>
      <w:pPr>
        <w:spacing w:after="120"/>
        <w:jc w:val="both"/>
      </w:pPr>
      <w:r>
        <w:rPr>
          <w:rFonts w:ascii="Times New Roman" w:hAnsi="Times New Roman" w:cs="Times New Roman" w:eastAsia="Times New Roman"/>
          <w:b w:val="0"/>
          <w:i w:val="0"/>
          <w:sz w:val="24"/>
        </w:rPr>
        <w:t>“The results showed that CYS did not affect the cell viability of TM3 and TM4 cells ( Figure 1 A,B), indicating that CYS is generally safe for both reproductive cell types. To establish the damage condition of cisplatin on TM3 and TM4 cells, we observed that cell morphology significantly shrank compared to the control group ( Figure 1 C,E). TM3 and TM4 cells were treated with different concentrations of CIS (5, 7.5, 10, 15, and 20 \u00b5M) for 24 h (5 \u00b5M: 67.64 \u00b1 13.25; 7.5 \u00b5M: 56.91 \u00b1 11.04; 10 \u00b5M: 51.55 \u00b1 11.58; 15 \u00b5M: 49.45 \u00b1 12.15; 20 \u00b5M: 49.73 \u00b1 11.74. p value less than 0.001) or 16 h (5 \u00b5M: 62.00 \u00b1 6.02; 7.5 \u00b5M: 55.36 \u00b1 4.15; 10 \u00b5M: 50.64 \u00b1 5.78; 15 \u00b5M: 49.00 \u00b1 3.41; 20 \u00b5M: 48.09 \u00b1 4.68. p value less than 0.001). The results showed a significant reduction in cell viability, with 50% viability loss observed in TM3 cells and in TM4 cells, demonstrating a dose-dependent effect ( Figure 1 D,F).”  [PMC11672833 ¶22]</w:t>
      </w:r>
    </w:p>
    <w:p>
      <w:pPr>
        <w:spacing w:after="120"/>
        <w:jc w:val="both"/>
      </w:pPr>
      <w:r>
        <w:rPr>
          <w:rFonts w:ascii="Times New Roman" w:hAnsi="Times New Roman" w:cs="Times New Roman" w:eastAsia="Times New Roman"/>
          <w:b w:val="0"/>
          <w:i w:val="0"/>
          <w:sz w:val="24"/>
        </w:rPr>
        <w:t>“These findings suggest that the effective concentrations of CYS and CIS induced harmfulness. 3.2. L-Cysteine Attenuates Cisplatin-Induced Reduction in TM3 and TM4 Cell Viability To understand the effect of CYS on cell viability and morphology in cisplatin-induced cell damage. We used the MTS assay kit and crystal violet staining to evaluate cell viability and composition. TM3 and TM4 cells were co-treated with different concentrations of CYS (0.1, 0.2, 0.5, and1 mM) and induced with CIS (7.5 or 10 \u00b5M) for 24 h (CIS group: 67.80 \u00b1 5.29 ( p value &lt; 0.0001 compared with the control group); 0.1 mM: 69.70 \u00b1 4.69 ( p value = 0.93 compared with CIS group); 0.2 mM: 71.50 \u00b1 5.28 ( p value = 0.49 compared with CIS group); 0.5 mM: 75.70 \u00b1 4.99 ( p value = 0.003 compared with CIS group); 1 mM: 80.00 \u00b1 4.29 ( p value &lt; 0.0001 compared with CIS group)) and 16 h (CIS group: 55.93 \u00b1 3.89 ( p value &lt; 0.0001 compared with the control group); 0.1 mM: 59.50 \u00b1 3.18 ( p value = 0.95 compared with CIS group); 0.2 mM: 59.50 \u00b1 3.18 ( p value = 0.95 compared with CIS group); 0.5 mM: 63.86 \u00b1 5.56 ( p value = 0.35 compared with CIS group); 1 mM: 69.14 \u00b1 5.75 ( p value = 0.0093 compared with CIS group)), respectively.”  [PMC11672833 ¶23]</w:t>
      </w:r>
    </w:p>
    <w:p>
      <w:pPr>
        <w:spacing w:after="120"/>
        <w:jc w:val="both"/>
      </w:pPr>
      <w:r>
        <w:rPr>
          <w:rFonts w:ascii="Times New Roman" w:hAnsi="Times New Roman" w:cs="Times New Roman" w:eastAsia="Times New Roman"/>
          <w:b w:val="0"/>
          <w:i w:val="0"/>
          <w:sz w:val="24"/>
        </w:rPr>
        <w:t>“The results showed that 0.5 and 1 mM CYS significantly restored cell morphology ( Figure 2 A) and cell viability ( Figure 2 B,C). Crystal violet staining revealed consistent results in both cell types ( Figure 2 D,E) (TM3: CIS group: 57.64 \u00b1 11.19 ( p value &lt; 0.0001 compared with the control group); 0.1 mM: 61.71 \u00b1 8.34 ( p value = 0.81 compared with CIS group); 0.2 mM: 66.28 \u00b1 10.67 ( p value = 0.09 compared with CIS group); 0.5 mM: 71.57 \u00b1 6.79 ( p value = 0.0007 compared with CIS group); 1 mM: 75.71 \u00b1 8.99 ( p value &lt; 0.0001 compared with CIS group)) (TM4: CIS group: 59.58 \u00b1 7.17 ( p value &lt; 0.0001 compared with the control group); 0.1 mM: 63.42 \u00b1 5.60 ( p value = 0.79 compared with CIS group); 0.2 mM: 76.58 \u00b1 9.04 ( p value &lt; 0.0001 compared with CIS group); 0.5 mM: 74.00 \u00b1 6.63 ( p value &lt; 0.0001 compared with CIS group); 1 mM: 82.92 \u00b1 10.26 ( p value &lt; 0.0001 compared with CIS group).”  [PMC11672833 ¶24]</w:t>
      </w:r>
    </w:p>
    <w:p>
      <w:pPr>
        <w:spacing w:after="120"/>
        <w:jc w:val="both"/>
      </w:pPr>
      <w:r>
        <w:rPr>
          <w:rFonts w:ascii="Times New Roman" w:hAnsi="Times New Roman" w:cs="Times New Roman" w:eastAsia="Times New Roman"/>
          <w:b w:val="0"/>
          <w:i w:val="0"/>
          <w:sz w:val="24"/>
        </w:rPr>
        <w:t>“These findings indicate the protective potential of CYS on CIS-induced cell damage. 3.3. Antioxidative Ability of L-Cysteine Suppresses Reactive Oxygen Species Production in Cisplatin-Induced TM3 and TM4 Cells To explore the mechanism leading to cell damage, we examined the relationship between cisplatin-induced cytotoxicity and reactive oxygen species (ROS) generation using the indicator 2\u2032,7\u2032-dichlorodihydrofluorescein diacetate (DCFDA). The results showed that CIS treatment significantly increased ROS fluorescence unit values. Moreover, CYS partially reduced ROS production in both cisplatin-induced cell types ( Figure 3 A,B) (TM3: CIS group: 228.56 \u00b1 84.01 ( p value = 0.0047 compared with the control group); 0.1 mM: 210.00 \u00b1 81.18 ( p value = 0.99 compared with CIS group); 0.2 mM: 206.44 \u00b1 100.72 ( p value = 0.99 compared with CIS group); 0.5 mM: 189.33 \u00b1 65.34 ( p value = 0.85 compared with CIS group); 1 mM: 181.67 \u00b1 47.90 ( p value = 0.73 compared with CIS group))(TM4: CIS group: 148.55 \u00b1 43.75 ( p value &lt; 0.0001 compared with the control group); 0.1 mM: 122.55 \u00b1 18.92 ( p value = 0.18 compared with CIS group); 0.2 mM: 113.64 \u00b1 20.76 ( p value = 0.03 compared with CIS group); 0.5 mM: 116.36 \u00b1 16.50 ( p value = 0.049 compared with CIS group); 1 mM: 126.91 \u00b1 30.66 ( p value = 0.36 compared with CIS group) and decreased the expression of activated HO-1 ( Figure 3 C,D).”  [PMC11672833 ¶25]</w:t>
      </w:r>
    </w:p>
    <w:p>
      <w:pPr>
        <w:spacing w:after="120"/>
        <w:jc w:val="both"/>
      </w:pPr>
      <w:r>
        <w:rPr>
          <w:rFonts w:ascii="Times New Roman" w:hAnsi="Times New Roman" w:cs="Times New Roman" w:eastAsia="Times New Roman"/>
          <w:b w:val="0"/>
          <w:i w:val="0"/>
          <w:sz w:val="24"/>
        </w:rPr>
        <w:t>“We used the DPPH assay to examine the antioxidant activity of CYS. Our data revealed that the DPPH antioxidant activity of CYS had an IC50 value of 104.3 \u03bcg/mL, demonstrating its antioxidative capacity, especially when compared with the reference antioxidants gallic acid and vitamin C ( Figure 3 E). 3.4. L-Cysteine Attenuates Apoptosis in Cisplatin-Induced TM3 and TM4 Cells Oxidative stress-induced apoptosis occurs in CIS-induced testicular damage [ 26 ]. Treatment with 1 mM CYS significantly alleviated CIS-induced expression of PARP (TM3: CIS group: 3.92 \u00b1 0.85 ( p value = 0.0002 compared with the control group); 0.1 mM: 3.69 \u00b1 1.14 ( p value = 0.99 compared with CIS group); 0.2 mM: 3.26 \u00b1 1.10 ( p value = 0.82 compared with CIS group); 0.5 mM: 2.26 \u00b1 0.58 ( p value = 0.049 compared with CIS group); 1 mM: 1.95 \u00b1 0.86 ( p value = 0.013 compared with CIS group)) (TM4: CIS group: 6.12 \u00b1 0.57 ( p value &lt; 0.0001 compared with the control group); 0.1 mM: 5.54 \u00b1 0.39 ( p value = 0.77 compared with CIS group); 0.2 mM: 6.00 \u00b1 0.31 ( p value = 0.99 compared with CIS group); 0.5 mM: 6.15 \u00b1 1.07 ( p value = 0.99 compared with CIS group); 1 mM: 4.60 \u00b1 0.78 ( p value = 0.03 compared with CIS group)), Caspase 3 (TM3: CIS group: 2.69 \u00b1 0.82 ( p value = 0.0002 compared with the control group); 0.1 mM: 2.68 \u00b1 0.92 ( p value = 0.99 compared with CIS group); 0.2 mM: 2.20 \u00b1 0.50 ( p value = 0.70 compared with CIS group); 0.5 mM: 1.78 \u00b1 0.26 ( p value = 0.11 compared with CIS group); 1 mM: 1.28 \u00b1 0.29 ( p value = 0.002 compared with CIS group)) (TM4: CIS group: 6.19 \u00b1 1.55 ( p value &lt; 0.0001 compared with the control group); 0.1 mM: 4.62 \u00b1 1.37 ( p value = 0.26 compared with CIS group); 0.2 mM: 5.35 \u00b1 1.27 ( p value = 0.83 compared with CIS group); 0.5 mM: 4.93 \u00b1 0.88 ( p value = 0.49 compared with CIS group); 1 mM: 3.79 \u00b1 0.38 ( p value = 0.017 compared with CIS group)), Bcl-2 (TM3: CIS group: 0.81 \u00b1 0.12 ( p value = 0.49 compared with the control group); 0.1 mM: 1.09 \u00b1 0.22 ( p value = 0.14 compared with CIS group); 0.2 mM: 1.03 \u00b1 0.12 ( p value = 0.35 compared with CIS group); 0.5 mM: 1.05 \u00b1 0.22 ( p value = 0.24 compared with CIS group); 1 mM: 0.85 \u00b1 0.05 ( p value = 0.99 compared with CIS group)) (TM4: CIS group: 0.80 \u00b1 0.08 ( p value = 0.23 compared with the control group); 0.1 mM: 0.82 \u00b1 0.13 ( p value = 0.99 compared with CIS group); 0.2 mM: 0.77 \u00b1 0.11 ( p value = 0.99 compared with CIS group); 0.5 mM: 0.85 \u00b1 0.14 ( p value = 0.99 compared with CIS group); 1 mM: 0.83 \u00b1 0.24 ( p value = 0.99 compared with CIS group)), and Bax (TM3: CIS group: 2.39 \u00b1 0.48 ( p value = 0.001 compared with the control group); 0.1 mM: 1.00 \u00b1 0.00 ( p value = 0.94 compared with CIS group); 0.2 mM: 1.00 \u00b1 0.00 ( p value = 0.52 compared with CIS group); 0.5 mM: 1.78 \u00b1 0.53 ( p value = 0.51 compared with CIS group); 1 mM: 1.00 \u00b1 0.00 ( p value = 0.16 compared with CIS group)) (TM4: CIS group: 1.30 \u00b1 0.21 ( p value = 0.012 compared with the control group); 0.1 mM: 1.23 \u00b1 0.17 ( p value = 0.95 compared with CIS group); 0.2 mM: 1.19 \u00b1 0.20 ( p value = 0.75 compared with CIS group); 0.5 mM: 1.17 \u00b1 0.19 ( p value = 0.63 compared with CIS group); 1 mM: 1.03 \u00b1 0.15 ( p value = 0.03 compared with CIS group)) proteins ( Figure 4 ).”  [PMC11672833 ¶26]</w:t>
      </w:r>
    </w:p>
    <w:p>
      <w:pPr>
        <w:spacing w:after="120"/>
        <w:jc w:val="both"/>
      </w:pPr>
      <w:r>
        <w:rPr>
          <w:rFonts w:ascii="Times New Roman" w:hAnsi="Times New Roman" w:cs="Times New Roman" w:eastAsia="Times New Roman"/>
          <w:b w:val="0"/>
          <w:i w:val="0"/>
          <w:sz w:val="24"/>
        </w:rPr>
        <w:t>“These results suggest that CYS may reverse cisplatin-induced cell apoptosis and thereby restore testicular function. 3.5. L-Cysteine Reduces Inflammatory Responses in Cisplatin-Induced TM3 Cells Given the significant cell damage and apoptosis observed, we further evaluated the expression of inflammation-related proteins. The results showed that TM3 cells were more sensitive to inflammation in the cisplatin group, which significantly activated iNOS (CIS group: 1.85 \u00b1 0.28 ( p value = 0.01 compared with the control group); 0.1 mM: 1.86 \u00b1 0.29 ( p value = 0.99 compared with CIS group); 0.2 mM: 2.16 \u00b1 0.05 ( p value = 0.73 compared with CIS group); 0.5 mM: 1.37 \u00b1 0.46 ( p value = 0.29 compared with CIS group); 1 mM: 1.06 \u00b1 0.22 ( p value = 0.03 compared with CIS group)) and COX2 (CIS group: 2.61 \u00b1 0.91 ( p value = 0.014 compared with the control group); 0.1 mM: 2.30 \u00b1 0.27 ( p value = 0.98 compared with CIS group); 0.2 mM: 1.92 \u00b1 0.86 ( p value = 0.65 compared with CIS group); 0.5 mM: 1.74 \u00b1 0.51 ( p value = 0.33 compared with CIS group); 1 mM: 1.12 \u00b1 0.32 ( p value = 0.04 compared with CIS group)) protein expression compared to the control group.”  [PMC11672833 ¶27]</w:t>
      </w:r>
    </w:p>
    <w:p>
      <w:pPr>
        <w:spacing w:after="120"/>
        <w:jc w:val="both"/>
      </w:pPr>
      <w:r>
        <w:rPr>
          <w:rFonts w:ascii="Times New Roman" w:hAnsi="Times New Roman" w:cs="Times New Roman" w:eastAsia="Times New Roman"/>
          <w:b w:val="0"/>
          <w:i w:val="0"/>
          <w:sz w:val="24"/>
        </w:rPr>
        <w:t>“Additionally, 1 mM CYS significantly decreased the expression of these inflammation-related proteins ( Figure 5 ). This indicates that CYS can significantly reduce the risk of inflammation in CIS-induced TM3 cells. Accompanied by the recovery of mitochondrial oxidative stress (MitoSOX) (CIS group: 154.91 \u00b1 30.50 ( p value &lt; 0.0001 compared with the control group); 0.1 mM: 125.91 \u00b1 17.84 ( p value = 0.009 compared with CIS group); 0.2 mM: 121.455 \u00b1 16.90 ( p value = 0.0017 compared with CIS group); 0.5 mM: 117.73 \u00b1 14.36 ( p value = 0.004 compared with CIS group); 1 mM: 109.55 \u00b1 16.47 ( p value &lt; 0.0001 compared with CIS group))and testosterone secretion (CIS group: 32.85 \u00b1 8.51 ( p value &lt; 0.0001 compared with the control group); 0.1 mM: 24.17 \u00b1 9.53 ( p value = 0.92 compared with CIS group); 0.2 mM: 33.25 \u00b1 10.53 ( p value = 0.99 compared with CIS group); 0.5 mM: 66.55 \u00b1 3.25 ( p value = 0.023 compared with CIS group); 1 mM: 48.98 \u00b1 18.04 ( p value = 0.45 compared with CIS group)), these results indicate the protective role of CYS in the improvement in reproductive function. 3.6.”  [PMC11672833 ¶28]</w:t>
      </w:r>
    </w:p>
    <w:p>
      <w:pPr>
        <w:spacing w:after="120"/>
        <w:jc w:val="both"/>
      </w:pPr>
      <w:r>
        <w:rPr>
          <w:rFonts w:ascii="Times New Roman" w:hAnsi="Times New Roman" w:cs="Times New Roman" w:eastAsia="Times New Roman"/>
          <w:b w:val="0"/>
          <w:i w:val="0"/>
          <w:sz w:val="24"/>
        </w:rPr>
        <w:t>“L-Cysteine Restored Blood\u2013Testis Barrier Functional Protein Expression in Cisplatin-Induced TM4 Cells The blood\u2013testis barrier (BTB) can confer protective effects that decrease cisplatin toxicity to the testicles [ 27 ]. To examine the integrity of the BTB structure, we evaluated the expression of tight-junction-related proteins by Western blotting. The results showed that CYS treatment significantly recovered ZO-1 protein expression (CIS group: 0.61 \u00b1 0.13 ( p value = 0.001 compared with the control group); 0.1 mM: 0.78 \u00b1 0.12 ( p value = 0.58 compared with CIS group); 0.2 mM: 0.75 \u00b1 0.24 ( p value = 0.75 compared with CIS group); 0.5 mM: 0.87 \u00b1 0.23 ( p value = 0.11 compared with CIS group); 1 mM: 0.95 \u00b1 0.31 ( p value = 0.017 compared with CIS group)) ( Figure 6 ). However, neither CIS nor CYS affected Occludin protein expression (CIS group: 1.05 \u00b1 0.22 ( p value = 0.99 compared with the control group); 0.1 mM: 1.05 \u00b1 0.12 ( p value = 0.99 compared with CIS group); 0.2 mM: 1.10 \u00b1 0.14 ( p value = 0.99 compared with CIS group); 0.5 mM: 1.08 \u00b1 0.18 ( p value = 0.99 compared with CIS group); 1 mM: 1.07 \u00b1 0.87 ( p value = 0.50 compared with CIS group)).”  [PMC11672833 ¶29]</w:t>
      </w:r>
    </w:p>
    <w:p>
      <w:pPr>
        <w:spacing w:after="120"/>
        <w:jc w:val="both"/>
      </w:pPr>
      <w:r>
        <w:rPr>
          <w:rFonts w:ascii="Times New Roman" w:hAnsi="Times New Roman" w:cs="Times New Roman" w:eastAsia="Times New Roman"/>
          <w:b w:val="0"/>
          <w:i w:val="0"/>
          <w:sz w:val="24"/>
        </w:rPr>
        <w:t>“These results suggest that CYS only partially reverses the impairment in BTB structure (ZO-1) in CIS-induced TM4 cells. 3.7. Effect of L-Cysteine on Cisplatin-Induced Testicular Toxicity in In Vivo Study To investigate the effect of CYS on CIS-induced testicular toxicity in an animal model, we used a single dose of 10 mg/kg of CIS injected into rats to define the testicular toxicity model [ 28 , 29 , 30 ]. The SD rats were administered low CYS (LC, 100 mg/kg bw/day) or high CYS (HC, 300 mg/kg bw/day) for 21 consecutive days and then injected with CIS (10 mg/kg bw, single intraperitoneal injection) on the 17th day. CYS treatment significantly alleviated body weight loss, which caused a significant reduction within the cisplatin group ( Figure 7 A,B) (CIS group: 272.35 \u00b1 7.86 ( p value &lt; 0.0001 compared with CON group (345.35 \u00b1 6.78); LC group: 304.00 \u00b1 10.63 ( p value = 0.014 compared with CIS group); HC group: 302.35 \u00b1 12.86 ( p value = 0.011 compared with CIS group)).”  [PMC11672833 ¶30]</w:t>
      </w:r>
    </w:p>
    <w:p>
      <w:pPr>
        <w:spacing w:after="120"/>
        <w:jc w:val="both"/>
      </w:pPr>
      <w:r>
        <w:rPr>
          <w:rFonts w:ascii="Times New Roman" w:hAnsi="Times New Roman" w:cs="Times New Roman" w:eastAsia="Times New Roman"/>
          <w:b w:val="0"/>
          <w:i w:val="0"/>
          <w:sz w:val="24"/>
        </w:rPr>
        <w:t>“This treatment did not cause significant organ weight changes after adjusting for body weight ( Figure 7 C\u2013G). Additionally, compared to the CON group, the CIS, LC, and HC group rats exhibited significant weakness, poor appetite, indigestion, and diarrhea. 3.8. Effects of L-Cysteine on Testis, Liver, Kidney, and Heart Functional Biochemical Indicators in Cisplatin-Induced Male Rats To evaluate the systemic effects of cisplatin toxicity and the protective role of L-cysteine (CYS) treatment, we assessed serum biomarkers of organ function. Testosterone levels were significantly elevated in the LC group compared to the CIS group ( Figure 8 A). Specifically, the CIS group exhibited a testosterone level of 1.17 \u00b1 0.23, which was significantly lower than the CON group (2.12 \u00b1 0.36, p = 0.05). In contrast, the LC group showed a marked recovery with a testosterone level of 2.58 \u00b1 0.32 ( p = 0.004 compared with the CIS group), while the HC group had a testosterone level of 1.93 \u00b1 0.60 ( p = 0.26 compared with CIS).”  [PMC11672833 ¶31]</w:t>
      </w:r>
    </w:p>
    <w:p>
      <w:pPr>
        <w:spacing w:after="120"/>
        <w:jc w:val="both"/>
      </w:pPr>
      <w:r>
        <w:rPr>
          <w:rFonts w:ascii="Times New Roman" w:hAnsi="Times New Roman" w:cs="Times New Roman" w:eastAsia="Times New Roman"/>
          <w:b w:val="0"/>
          <w:i w:val="0"/>
          <w:sz w:val="24"/>
        </w:rPr>
        <w:t>“This recovery in testosterone production was accompanied by the restoration of P450scc (CYP11A1) protein expression, indicating the restoration of steroidogenesis. In addition, CIS treatment caused damage to liver, kidney, and heart functions, as evidenced by elevated serum markers. Liver function markers (SGOT), kidney function markers (BUN and creatinine), and heart function markers (LDH and CPK) were significantly impaired in the CIS group compared to the CON group. Notably, CYS treatment led to a partial recovery of these functions ( Figure 8 B\u2013G). These findings highlight the protective potential of CYS in mitigating organ dysfunction induced by cisplatin toxicity. 3.9. L-Cysteine Recovers Testicular Histopathology in Cisplatin-Induced Male Rats To investigate the cause of the reduced testosterone levels following cisplatin (CIS) treatment, we hypothesized that structural damage to the testis could impact hormone secretion.”  [PMC11672833 ¶32]</w:t>
      </w:r>
    </w:p>
    <w:p>
      <w:pPr>
        <w:spacing w:after="120"/>
        <w:jc w:val="both"/>
      </w:pPr>
      <w:r>
        <w:rPr>
          <w:rFonts w:ascii="Times New Roman" w:hAnsi="Times New Roman" w:cs="Times New Roman" w:eastAsia="Times New Roman"/>
          <w:b w:val="0"/>
          <w:i w:val="0"/>
          <w:sz w:val="24"/>
        </w:rPr>
        <w:t>“Macroscopic observations of the testes and epididymis were taken ( Figure 9 A). The testes and epididymis in the CIS group appeared redder compared to the control and treatment groups, suggesting potential vascular alterations or inflammation induced by cisplatin [ 31 ]. Testis tissue was observed through H&amp;E staining sections. The results showed that the control testis tissue had normal seminiferous tubules and an orderly arrangement of germinal cells. In the germinal layer, spermatogonia, Sertoli cells, primary spermatocytes, and spermatids were aligned in a structured pattern toward the lumen. Leydig cells in the interstitial space showed mild denaturation and atrophy compared to controls [ 32 ]. These observations align with cisplatin\u2019s known testicular toxicity and potential steroidogenic disruption. Conversely, treatment with CYS markedly mitigated these histological changes, restoring near-normal architecture of the seminiferous tubules, with well-arranged Sertoli and Leydig cells, as well as visible spermatogenic cells within the lumen ( Figure 9 B).”  [PMC11672833 ¶33]</w:t>
      </w:r>
    </w:p>
    <w:p>
      <w:pPr>
        <w:spacing w:after="120"/>
        <w:jc w:val="both"/>
      </w:pPr>
      <w:r>
        <w:rPr>
          <w:rFonts w:ascii="Times New Roman" w:hAnsi="Times New Roman" w:cs="Times New Roman" w:eastAsia="Times New Roman"/>
          <w:b w:val="0"/>
          <w:i w:val="0"/>
          <w:sz w:val="24"/>
        </w:rPr>
        <w:t>“These results suggest that the histological structure of CIS-induced testes improves with CYS treatment. 3.10. L-Cysteine Ameliorates Sperm Morphology and Viability in Cisplatin-Induced Male Rats Histological observations show the potential effectiveness of CYS in spermatogenesis. Sperm viability was measured by counting dead and live sperm. CYS treatment significantly reversed the harmful effects caused by CIS ( Figure 10 A). Sperm abnormalities were classified as abnormal head, midpiece, and tail using modified Eosin Y and crystal violet staining. The results showed that the sperm morphology in the CIS group had significantly more bent hooks and tails compared to the control group, resulting in reduced sperm viability. In contrast, CYS treatment improved the abnormal sperm morphology compared to the CIS group ( Figure 10 B) (CIS group: 67.75 \u00b1 8.43 ( p value = 0.004 compared with CON group (100.2 \u00b1 4.38; LC group: 97.00 \u00b1 7.19 ( p value = 0.017 compared with CIS group); HC group: 89.78 \u00b1 5.84 ( p value = 0.04 compared with CIS group)).”  [PMC11672833 ¶34]</w:t>
      </w:r>
    </w:p>
    <w:p>
      <w:pPr>
        <w:spacing w:after="120"/>
        <w:jc w:val="both"/>
      </w:pPr>
      <w:r>
        <w:rPr>
          <w:rFonts w:ascii="Times New Roman" w:hAnsi="Times New Roman" w:cs="Times New Roman" w:eastAsia="Times New Roman"/>
          <w:b w:val="0"/>
          <w:i w:val="0"/>
          <w:sz w:val="24"/>
        </w:rPr>
        <w:t>“These results indicate that CYS can attenuate abnormal sperm morphology induced by CIS. 4. Discussion Infertility is a global issue concerning human reproduction and is associated with environmental stress. Several factors could cause male infertility and they can be classified as congenital and acquired types [ 3 ]. Previous studies have suggested that a wide variety of endogenous and exogenous factors are known to perturb male reproductive function [ 33 ]. The side effects of certain drugs and chemicals also lead to testicular alteration. Although chemotherapy significantly targets dividing cancerous cells and improves survival rates in patients, the cytotoxic chemotherapeutic drug cisplatin not only kills tumor cells, but also causes a degree of damage to normal cells [ 34 ]. Malignant diseases might influence gonadal function through hormonal disorders and metabolic abnormalities. Cancer treatment has the potential to cause germ cell mutations that might increase the risk of growth disturbances and future infertility [ 35 ].”  [PMC11672833 ¶35]</w:t>
      </w:r>
    </w:p>
    <w:p>
      <w:pPr>
        <w:spacing w:after="120"/>
        <w:jc w:val="both"/>
      </w:pPr>
      <w:r>
        <w:rPr>
          <w:rFonts w:ascii="Times New Roman" w:hAnsi="Times New Roman" w:cs="Times New Roman" w:eastAsia="Times New Roman"/>
          <w:b w:val="0"/>
          <w:i w:val="0"/>
          <w:sz w:val="24"/>
        </w:rPr>
        <w:t>“In addition to reproductive toxicity, alkylating agents are often limited due to adverse effects such as nephrotoxicity, ototoxicity, neurotoxicity, cardiotoxicity, hepatotoxicity, and gastrointestinal toxicity [ 36 ]. In the present study, the cisplatin-induced rat model showed that the SGOT, BUN, creatinine, and LDH levels in the serum were significantly increased compared the control group. In this study, the highest dose used was 300 mg/kg. This is lower than the toxic doses reported, where 1000 to 2000 mg/kg/day resulted in significant adverse effects, including sperm granuloma, gastric erosion, salivation, and renal failure in some cases. The observed no-observed-adverse-effect levels (NOAELs) were less than 500 mg/kg/day for L-cysteine [ 37 ]. The conversion to a human clinical dosage is approximately 48.4 mg/kg/day [ 38 ]. Although this falls within a range used in some clinical settings, further studies are needed to confirm safety, particularly regarding long-term exposure and potential cumulative effects.”  [PMC11672833 ¶36]</w:t>
      </w:r>
    </w:p>
    <w:p>
      <w:pPr>
        <w:spacing w:after="120"/>
        <w:jc w:val="both"/>
      </w:pPr>
      <w:r>
        <w:rPr>
          <w:rFonts w:ascii="Times New Roman" w:hAnsi="Times New Roman" w:cs="Times New Roman" w:eastAsia="Times New Roman"/>
          <w:b w:val="0"/>
          <w:i w:val="0"/>
          <w:sz w:val="24"/>
        </w:rPr>
        <w:t>“The findings suggest that while 300 mg/kg is below the toxic threshold observed in this study, translating this dose to human use requires careful assessment of dose\u2013response relationships and safety margins. CIS is usually accompanied by numerous toxicities by binding to the N7 reactive center on purine residues of DNA, targeting DNA crosslinks and adducts. CIS administration causes DNA damage and initiates apoptotic or non-apoptotic cell death [ 39 ]. CIS-induced testicular toxicity\u2019s underlying mechanism involves homeostatic disturbances resulting from oxidative stress and the formation of reactive oxygen species (ROS). However, under normal conditions, the body\u2019s antioxidant capacity inhibits the accumulation of oxidative stress. When a condition is an imbalance between the production of ROS and body\u2019s antioxidant system, these problems can threaten the health of testicular functions [ 40 ].”  [PMC11672833 ¶37]</w:t>
      </w:r>
    </w:p>
    <w:p>
      <w:pPr>
        <w:spacing w:after="120"/>
        <w:jc w:val="both"/>
      </w:pPr>
      <w:r>
        <w:rPr>
          <w:rFonts w:ascii="Times New Roman" w:hAnsi="Times New Roman" w:cs="Times New Roman" w:eastAsia="Times New Roman"/>
          <w:b w:val="0"/>
          <w:i w:val="0"/>
          <w:sz w:val="24"/>
        </w:rPr>
        <w:t>“In particular, CIS induces mitochondrial oxidative stress, which impedes cholesterol transport to the inner mitochondrial membrane and disrupts steroidogenesis. The disturbance in mitochondrial function results in decreased expression of P450scc, a key enzyme in testosterone biosynthesis, leading to impaired testosterone production and diminished reproductive capacity [ 41 ]. Consistent with the present study, the results indicate that the primary cause of testicular cell damage is due to excessive ROS production, which is accompanied by mitochondrial oxidative stress and P450scc reduction. These findings highlight the central role of mitochondrial oxidative stress in mediating CIS-induced testicular toxicity and underscore the potential for targeted antioxidant therapies to mitigate these effects. For the treatment of reproductive abnormality, other than surgery and hormone replacement/medications, natural product research is widely considered a powerful method for safe and convenient medications.”  [PMC11672833 ¶38]</w:t>
      </w:r>
    </w:p>
    <w:p>
      <w:pPr>
        <w:spacing w:after="120"/>
        <w:jc w:val="both"/>
      </w:pPr>
      <w:r>
        <w:rPr>
          <w:rFonts w:ascii="Times New Roman" w:hAnsi="Times New Roman" w:cs="Times New Roman" w:eastAsia="Times New Roman"/>
          <w:b w:val="0"/>
          <w:i w:val="0"/>
          <w:sz w:val="24"/>
        </w:rPr>
        <w:t>“Several studies have reported that natural compounds with antioxidant properties can fight reproductive threats, including L-carnitine [ 42 ], vitamin C/E [ 20 , 43 , 44 , 45 , 46 ], Lycopene [ 47 , 48 , 49 ], Melatonin [ 50 , 51 ] and Resveratrol [ 52 , 53 ], etc. This study mentioned that CYS is a sulfur-containing compound and is important for metabolic functions. N-Acetyl-l-cysteine (NAC) acts as cysteine metabolite and glutathione (GSH) precursor. In previous in vitro studies, NAC has been shown to regulate oxidant-induced cell damage by apoptosis [ 54 ]. In a Pulmonary fibrotic phenotype lung epithelial cell model, NAC eliminated fructose-induced mitochondrial ROS in A549 cells [ 55 ]. Then, administration of NAC also ameliorated LPS-induced inflammatory injury in in vivo and vitro models, reversing the change in HO-1 and NQO-1 mRNA levels, decreasing malondialdehyde (MDA) levels, and promoting antioxidant activities (CAT and SOD) in the lungs [ 56 ].”  [PMC11672833 ¶39]</w:t>
      </w:r>
    </w:p>
    <w:p>
      <w:pPr>
        <w:spacing w:after="120"/>
        <w:jc w:val="both"/>
      </w:pPr>
      <w:r>
        <w:rPr>
          <w:rFonts w:ascii="Times New Roman" w:hAnsi="Times New Roman" w:cs="Times New Roman" w:eastAsia="Times New Roman"/>
          <w:b w:val="0"/>
          <w:i w:val="0"/>
          <w:sz w:val="24"/>
        </w:rPr>
        <w:t>“Another cisplatin induction study suggests that pretreatment with NAC restored GSH and SOD levels and reduced the MDA concentration in HepG2 cells [ 57 ]. Moreover, 20 mM NAC significantly decreased the fluorescence intensity of mitochondrial ROS in cisplatin-induced inner hair cells [ 58 ]. In agreement with our studies, these results showed that NAC and CYS are effective free radical scavengers and reduce ROS production in cisplatin-induced cells. Previously, it has been reported that there are side effects of the ROS generated by the cisplatin drug, which indirectly depletes the concentration of reduced glutathione and promotes the imbalance of antioxidants. Further, it causes irreversible damage such as lipid oxidation and DNA repair failure and contributes to cytotoxicity and apoptosis. The research indicates that there are two main apoptotic pathways: the extrinsic or death receptor pathway and the intrinsic or mitochondrial pathway [ 59 ].”  [PMC11672833 ¶40]</w:t>
      </w:r>
    </w:p>
    <w:p>
      <w:pPr>
        <w:spacing w:after="120"/>
        <w:jc w:val="both"/>
      </w:pPr>
      <w:r>
        <w:rPr>
          <w:rFonts w:ascii="Times New Roman" w:hAnsi="Times New Roman" w:cs="Times New Roman" w:eastAsia="Times New Roman"/>
          <w:b w:val="0"/>
          <w:i w:val="0"/>
          <w:sz w:val="24"/>
        </w:rPr>
        <w:t>“Intrinsic regulation of these apoptotic mitochondrial events occurs through members of the Bcl-2 family of proteins [ 60 ]. Release of Cytochrome C (Cyt C) from mitochondria is considered a key initial step in the apoptotic process. B-cell lymphoma protein 2 (Bcl-2)-associated X (Bax) protein activates the cascade of reactions by releasing Cyt C and downregulates Bcl-2 protein, which triggers successive activation of caspases and leads to cell death [ 61 ]. Wang W et al. showed that the expression of Caspase 3 and the number of TUNEL-positive inner hair cells were reduced in CIS (15\u201350 mM) induced after NAC intervention [ 58 ]. In an in vivo study, a single dose of 7.5 mg/kg to a cisplatin rat model showed that Caspase 3 expression in testicular cells was improved in NAC-treated rats [ 62 ]. Similarly, our study found that CYS lowers apoptotic rates in vitro and reduces PARP protein expression in the testis in vivo experiments.”  [PMC11672833 ¶41]</w:t>
      </w:r>
    </w:p>
    <w:p>
      <w:pPr>
        <w:spacing w:after="120"/>
        <w:jc w:val="both"/>
      </w:pPr>
      <w:r>
        <w:rPr>
          <w:rFonts w:ascii="Times New Roman" w:hAnsi="Times New Roman" w:cs="Times New Roman" w:eastAsia="Times New Roman"/>
          <w:b w:val="0"/>
          <w:i w:val="0"/>
          <w:sz w:val="24"/>
        </w:rPr>
        <w:t>“High levels of ROS, as signaling molecules, has a key role in the inflammatory process and may result in cell and tissue injury. Then, inflammation would lead to increased levels of reactive oxygen species (ROS) [ 63 , 64 ]. It could be said that oxidative stress and inflammation have a complex relationship and vicious cycles. The use of CIS in cancer therapy is usually accompanied by inflammation [ 65 ] and increased pro-inflammatory cytokines like tumor necrosis factor-alpha (TNF-\u03b1), inducible nitric oxide synthase (iNOS), interleukin-1 beta (IL-1\u03b2), and Interleukin-6 (IL-6) [ 28 , 66 , 67 ]. On the other hand, research on matrine (MAT), which plays multiple pharmacological roles, found that it protected against cisplatin-induced acute kidney injury (AKI) by antioxidative stress and anti-inflammation actions via the SIRT3/OPA1 pathway [ 68 ]. MAT\u2019s effect is similar to our antioxidant CYS effect; our results showed that CYS inhibits the protein expression of inflammatory response in TM3 cells.”  [PMC11672833 ¶42]</w:t>
      </w:r>
    </w:p>
    <w:p>
      <w:pPr>
        <w:spacing w:after="120"/>
        <w:jc w:val="both"/>
      </w:pPr>
      <w:r>
        <w:rPr>
          <w:rFonts w:ascii="Times New Roman" w:hAnsi="Times New Roman" w:cs="Times New Roman" w:eastAsia="Times New Roman"/>
          <w:b w:val="0"/>
          <w:i w:val="0"/>
          <w:sz w:val="24"/>
        </w:rPr>
        <w:t>“The present study showed that TM4 Sertoli cells, as native Sertoli cells, aid germ cells in their development, proliferation, and maturation during spermatogenesis. The mature Sertoli cells form a complex network of specific intercellular junctions, which is called blood\u2013testis barrier (BTB) structure. The junction markers, including ZO-1, Occludin, Claudin, and Connexin 43 (Cx43), prevent toxins entering the seminiferous tubules [ 27 ]. Several studies have demonstrated the adverse effects of chemotherapeutic agents\u2019 toxicity on junctional intercellular communication [ 69 , 70 ]. Therefore, our results suggest that CYS enhances ZO-1 protein expression, which recovers the completeness of BTB structure. Futher, a previous study reported that histological evaluation of cisplatin-treated testes showed disrupted testicular architecture, degenerative changes, and necrosis of spermatic cells.”  [PMC11672833 ¶43]</w:t>
      </w:r>
    </w:p>
    <w:p>
      <w:pPr>
        <w:spacing w:after="120"/>
        <w:jc w:val="both"/>
      </w:pPr>
      <w:r>
        <w:rPr>
          <w:rFonts w:ascii="Times New Roman" w:hAnsi="Times New Roman" w:cs="Times New Roman" w:eastAsia="Times New Roman"/>
          <w:b w:val="0"/>
          <w:i w:val="0"/>
          <w:sz w:val="24"/>
        </w:rPr>
        <w:t>“These apoptotic cells developed in the testis. CYS or Honokiol could recover testicular histology [ 71 ]. Then, computer-assisted sperm analysis (CASA) and acrosome reaction assay results showed that Honokiol improved sperm count and motility and reduced the damage to acrosome reaction ability [ 72 ]. Consistent with our vivo study, CYS slightly reduces the abnormal rate of sperm morphology and significantly elevates testicular structure integrity and spermatogenesis. Several clinical trials have enabled identification of the effects of the usage of L-cysteine in human health and wellness. CYS analogs ameliorated cisplatin-induced reproductive toxicity. It was indicated that D-Ribose-l-Cysteine improved sperm parameters and increased serum testosterone, FSH, LH, and testicular 17\u03b2-HSD activity because of the increase in antioxidant capacity. Therefore, D-Ribose-l-Cysteine had positive effects on spermatogenesis and maintained testicular tissues [ 73 ].”  [PMC11672833 ¶44]</w:t>
      </w:r>
    </w:p>
    <w:p>
      <w:pPr>
        <w:spacing w:after="120"/>
        <w:jc w:val="both"/>
      </w:pPr>
      <w:r>
        <w:rPr>
          <w:rFonts w:ascii="Times New Roman" w:hAnsi="Times New Roman" w:cs="Times New Roman" w:eastAsia="Times New Roman"/>
          <w:b w:val="0"/>
          <w:i w:val="0"/>
          <w:sz w:val="24"/>
        </w:rPr>
        <w:t>“This highlights the potential application of CYS in treating reproductive disorders. One limitation of our study is the use of cell lines rather than tissue sections to evaluate BTB-related proteins. While the cell model enabled targeted analysis of specific cell types (Leydig and Sertoli cells), it may not fully represent the BTB\u2019s structural and functional complexity, as seen in whole tissue. Future studies should consider tissue-based approaches, including IHC or IF, to provide a more in-depth understanding of BTB integrity in response to cisplatin exposure. Due to equipment constraints, we were only able to perform viability assessments of sperm, focusing on motile and non-motile sperm as indicators of functional changes post-treatment. Although these measures are commonly used to assess sperm quality and correlate with fertility potential [ 74 ], a more detailed analysis of sperm populations, including sperm morphology and additional subpopulations, would have provided a more comprehensive characterization of the effects of CYS on sperm health. 5.”  [PMC11672833 ¶45]</w:t>
      </w:r>
    </w:p>
    <w:p>
      <w:pPr>
        <w:spacing w:after="120"/>
        <w:jc w:val="both"/>
      </w:pPr>
      <w:r>
        <w:rPr>
          <w:rFonts w:ascii="Times New Roman" w:hAnsi="Times New Roman" w:cs="Times New Roman" w:eastAsia="Times New Roman"/>
          <w:b w:val="0"/>
          <w:i w:val="0"/>
          <w:sz w:val="24"/>
        </w:rPr>
        <w:t>“Conclusions Our findings reveal that cisplatin inflicts substantial damage on testicular cells, leading to apoptosis, inflammation, and impaired survival of TM3 and TM4 cells. Treatment with L-cysteine demonstrated a protective capacity, not only by reducing cellular apoptosis and inflammation but also by alleviating mitochondrial oxidative stress and restoring testosterone secretion in vitro. In vivo, L-cysteine pre-treatment combined with cotreatment markedly improved sperm viability and restored serum testosterone levels. Furthermore, the elevation in CYP11A1 protein expression underscores L-cysteine\u2019s role in modulating steroidogenesis, facilitating spermatogenic recovery, and reinforcing reproductive function. Together, these data position L-cysteine as a promising agent for countering cisplatin-induced testicular and spermatogenic impairment, underscoring its therapeutic potential for fertility preservation in chemotherapy contexts.", "tables": [], "figures": [ { "label": "Figure 1", "caption": "Effect of L-cysteine (CYS) and cisplatin (CIS) on TM3 and TM4 cell viability.”  [PMC11672833 ¶46]</w:t>
      </w:r>
    </w:p>
    <w:p>
      <w:pPr>
        <w:spacing w:after="120"/>
        <w:jc w:val="both"/>
      </w:pPr>
      <w:r>
        <w:rPr>
          <w:rFonts w:ascii="Times New Roman" w:hAnsi="Times New Roman" w:cs="Times New Roman" w:eastAsia="Times New Roman"/>
          <w:b w:val="0"/>
          <w:i w:val="0"/>
          <w:sz w:val="24"/>
        </w:rPr>
        <w:t>“TM3 (5000 cells/well) (n = 7) and TM4 cells (3000 cells/well) (n = 7) were cultured in a 96-well plate for cell viability assays. Cells were treated with different concentrations of ( A , B ) CYS (0.1, 0.2, 0.5, 1, and 2 mM) or ( D , F ) CIS (5, 7.5, 10, 15, and 20 \u00b5M) for 24 or 16 h and stained with MTS assay. ( C ) TM3 and ( E ) TM4 cells (4 \u00d7 10 4 cell/well) were cultured in a 12-well plate for cell morphology assessment. Scale bar: 100 \u03bcm. Data are represented as mean \u00b1 SD. Different groups were analyzed using one-way ANOVA following by Tukey\u2019s multiple comparison test. *** p &lt; 0.001 compared with the control group.", "graphic_href": "antioxidants-13-01443-g001.jpg" }, { "label": "Figure 2", "caption": "L-cysteine (CYS) attenuates cisplatin (CIS)-induced reduction in TM3 and TM4 cell viability. TM3 (5000 cell/well) (n = 7) and TM4 cells (3000 cell/well) (n = 7) were cultured in a 96-well plate for cell viability.”  [PMC11672833 ¶47]</w:t>
      </w:r>
    </w:p>
    <w:p>
      <w:pPr>
        <w:spacing w:after="120"/>
        <w:jc w:val="both"/>
      </w:pPr>
      <w:r>
        <w:rPr>
          <w:rFonts w:ascii="Times New Roman" w:hAnsi="Times New Roman" w:cs="Times New Roman" w:eastAsia="Times New Roman"/>
          <w:b w:val="0"/>
          <w:i w:val="0"/>
          <w:sz w:val="24"/>
        </w:rPr>
        <w:t>“TM3 (n = 7) and TM4 (n = 7) cells (4 \u00d7 10 4 cell/well) were cultured in a 12-well plate for cell morphology and composition. They were co-treated with different concentrations of CYS (0.1, 0.2, 0.5, 1 mM) and, respectively, induced by CIS (7.5 or 10 \u00b5M) for 24 and 16 h. ( A ) Morphology, ( B , C ) viability, and ( D , E ) crystal violet staining in TM3 and TM4 cells. Scale bar: 100 \u03bcm. Data are represented as mean \u00b1 SD. Different groups were analyzed using one-way ANOVA following by Tukey\u2019s multiple comparison test. *** p &lt; 0.001 compared with the control group. ## p &lt; 0.01 and ### p &lt; 0.001 compared with CIS group.", "graphic_href": "antioxidants-13-01443-g002.jpg" }, { "label": "Figure 3", "caption": "Effect of L-cysteine (CYS) on reactive oxygen species production in cisplatin (CIS)-induced TM3 and TM4 cells. The cells (1.2 \u00d7 10 5 cells/well) were cultured in a 6-well plate.”  [PMC11672833 ¶48]</w:t>
      </w:r>
    </w:p>
    <w:p>
      <w:pPr>
        <w:spacing w:after="120"/>
        <w:jc w:val="both"/>
      </w:pPr>
      <w:r>
        <w:rPr>
          <w:rFonts w:ascii="Times New Roman" w:hAnsi="Times New Roman" w:cs="Times New Roman" w:eastAsia="Times New Roman"/>
          <w:b w:val="0"/>
          <w:i w:val="0"/>
          <w:sz w:val="24"/>
        </w:rPr>
        <w:t>“They were co-treated with different concentrations of CYS (0.1, 0.2, 0.5, and 1 mM) and, respectively, induced by CIS (7.5 or 10 \u00b5M) for 24 and 16 h (n = 7). ( A , B ) ROS measurements were conducted by incubating the cells with 20 \u03bcM of DCFDA for 30 min at 37 \u00b0C in the dark. ( C , D ) HO-1 expression was analyzed by Western blot. ( E ) DPPH radical scavenging activity (%) of L-cysteine, gallic acid, and vitamin C. The IC50 DPPH values were obtained through extrapolation from regression analysis. Data are represented as mean \u00b1 SD. Different groups were analyzed using one-way ANOVA followed by Tukey\u2019s multiple comparison test. ** p &lt; 0.01 and *** p &lt; 0.001 compared with the control group. # p &lt; 0.05 compared with the CIS group.", "graphic_href": "antioxidants-13-01443-g003.jpg" }, { "label": "Figure 4", "caption": "Effect of L-cysteine (CYS) on apoptosis-related protein expression in cisplatin (CIS)-induced TM3 and TM4 cells.”  [PMC11672833 ¶49]</w:t>
      </w:r>
    </w:p>
    <w:p>
      <w:pPr>
        <w:spacing w:after="120"/>
        <w:jc w:val="both"/>
      </w:pPr>
      <w:r>
        <w:rPr>
          <w:rFonts w:ascii="Times New Roman" w:hAnsi="Times New Roman" w:cs="Times New Roman" w:eastAsia="Times New Roman"/>
          <w:b w:val="0"/>
          <w:i w:val="0"/>
          <w:sz w:val="24"/>
        </w:rPr>
        <w:t>“( A ) TM3 and ( C ) TM4 cells (1 \u00d7 10 5 cells) were cultured in a 6 cm dish. Cells were co-treated with different concentrations of CYS (0.1, 0.2, 0.5, and 1 mM) and induced with CIS (7.5 or 10 \u00b5M) for 24 and 16 h, respectively (n = 4). The protein expression of PARP, Caspase 3, Bcl-2, and Bax was determined by Western blot, and the band values were normalized to GAPDH. ( B , D ) Quantification of protein expression. Data are represented as mean \u00b1 SD. Different groups were analyzed using one-way ANOVA followed by Tukey\u2019s multiple comparison test. * p &lt; 0.05 and *** p &lt; 0.001 compared with the control group. # p &lt; 0.05 and ## p &lt; 0.01 compared with the CIS group.", "graphic_href": "antioxidants-13-01443-g004.jpg" }, { "label": "Figure 5", "caption": "Effect of L-cysteine (CYS) on testosterone secretion-related modulators in cisplatin (CIS)-induced TM3 cells. TM3 cells (1 \u00d7 10 5 cell/well) were cultured in a 6 cm dish.”  [PMC11672833 ¶50]</w:t>
      </w:r>
    </w:p>
    <w:p>
      <w:pPr>
        <w:spacing w:after="120"/>
        <w:jc w:val="both"/>
      </w:pPr>
      <w:r>
        <w:rPr>
          <w:rFonts w:ascii="Times New Roman" w:hAnsi="Times New Roman" w:cs="Times New Roman" w:eastAsia="Times New Roman"/>
          <w:b w:val="0"/>
          <w:i w:val="0"/>
          <w:sz w:val="24"/>
        </w:rPr>
        <w:t>“Cells were co-treated with different concentrations of CYS (0.1, 0.2, 0.5, 1 mM) and induced with CIS (7.5 \u00b5M) for 24 h (n = 4). ( A ) The inflammatory protein expressions were determined by Western blot. ( B ) iNOS and ( C ) COX2 protein expression levels were normalized to GAPDH. ( D ) Mitochondrial oxidative stress was evaluated by MitoSOX staining, with fluorescence intensity. ( E ) Testosterone secretion in the culture medium was quantified using an ELISA kit. Data are represented as mean \u00b1 SD. Different groups were an”  [PMC11672833 ¶51]</w:t>
      </w:r>
    </w:p>
    <w:p>
      <w:pPr>
        <w:keepNext/>
        <w:spacing w:before="280" w:after="80"/>
        <w:outlineLvl w:val="1"/>
      </w:pPr>
      <w:r>
        <w:rPr>
          <w:rFonts w:ascii="Times New Roman" w:hAnsi="Times New Roman" w:cs="Times New Roman" w:eastAsia="Times New Roman"/>
          <w:b/>
          <w:i w:val="0"/>
          <w:color w:val="335588"/>
          <w:sz w:val="28"/>
        </w:rPr>
        <w:t>11.8  [8] Chemical and Biological Properties of S -1-Propenyl- l -Cysteine in Aged Garlic Extract</w:t>
      </w:r>
    </w:p>
    <w:p>
      <w:pPr>
        <w:spacing w:after="80"/>
        <w:jc w:val="both"/>
      </w:pPr>
      <w:r>
        <w:rPr>
          <w:rFonts w:ascii="Times New Roman" w:hAnsi="Times New Roman" w:cs="Times New Roman" w:eastAsia="Times New Roman"/>
          <w:b w:val="0"/>
          <w:i/>
          <w:sz w:val="22"/>
        </w:rPr>
        <w:t>Bibliographic identifiers — PMCID: PMC6154623; PMID: 28362335; DOI: 10.3390/molecules22040570; Journal: Molecules : A Journal of Synthetic Chemistry and Natural Product Chemistry; Year: 2017.</w:t>
      </w:r>
    </w:p>
    <w:p>
      <w:pPr>
        <w:spacing w:after="80"/>
        <w:jc w:val="both"/>
      </w:pPr>
      <w:r>
        <w:rPr>
          <w:rFonts w:ascii="Times New Roman" w:hAnsi="Times New Roman" w:cs="Times New Roman" w:eastAsia="Times New Roman"/>
          <w:b w:val="0"/>
          <w:i w:val="0"/>
          <w:sz w:val="22"/>
        </w:rPr>
        <w:t>Retrieval — full JATS XML via NCBI efetch db=pmc rettype=xml. Body text length: 34,405 characters; structured tables: 2; figures: 4; references: 103. Supplementary body text also harvested via MCP fetch_pmc_article: 0 characters, 0 verbatim paragraphs reproduced below.</w:t>
      </w:r>
    </w:p>
    <w:p>
      <w:pPr>
        <w:spacing w:after="80"/>
        <w:jc w:val="both"/>
      </w:pPr>
      <w:r>
        <w:rPr>
          <w:rFonts w:ascii="Times New Roman" w:hAnsi="Times New Roman" w:cs="Times New Roman" w:eastAsia="Times New Roman"/>
          <w:b/>
          <w:i w:val="0"/>
          <w:sz w:val="22"/>
        </w:rPr>
        <w:t>Verbatim abstract (from JATS XML):</w:t>
      </w:r>
    </w:p>
    <w:p>
      <w:pPr>
        <w:spacing w:after="80"/>
        <w:jc w:val="both"/>
      </w:pPr>
      <w:r>
        <w:rPr>
          <w:rFonts w:ascii="Times New Roman" w:hAnsi="Times New Roman" w:cs="Times New Roman" w:eastAsia="Times New Roman"/>
          <w:b w:val="0"/>
          <w:i/>
          <w:sz w:val="24"/>
        </w:rPr>
        <w:t>“S -1-propenyl- l -cysteine (S1PC) is a stereoisomer of S -allyl- l -cysteine (SAC), an important sulfur-containing amino acid that plays a role for the beneficial pharmacological effects of aged garlic extract (AGE). The existence of S1PC in garlic preparations has been known since the 1960’s. However, there was no report regarding the biological and/or pharmacological activity of S1PC until 2016. Recently, we performed a series of studies to examine the chemical, biological, pharmacological and pharmacokinetic properties of S1PC, and obtained some interesting results. S1PC existed only in trace amounts in raw garlic, but its concentration increased almost up to the level similar of SAC through aging process of AGE. S1PC showed immunomodulatory effects in vitro and in vivo, and reduced blood pressure in a hypertensive animal model. A pharmacokinetic study revealed that S1PC was readily absorbed after oral administration in rats and dogs with bioavailability of 88–100%. Additionally, S1PC had little inhibitory influence on human cytochrome P450 activities, even at a concentration of 1 mM. Based on these findings, S1PC was suggested to be another important, pharmacologically active and safe component of AGE similar to SAC. In this review, we highlight some results from recent studies on S1PC and discuss the potential medicinal value of S1PC.”</w:t>
      </w:r>
    </w:p>
    <w:p>
      <w:pPr>
        <w:keepNext/>
        <w:spacing w:before="160" w:after="40"/>
        <w:jc w:val="left"/>
      </w:pPr>
      <w:r>
        <w:rPr>
          <w:rFonts w:ascii="Times New Roman" w:hAnsi="Times New Roman" w:cs="Times New Roman" w:eastAsia="Times New Roman"/>
          <w:b/>
          <w:i w:val="0"/>
          <w:sz w:val="22"/>
        </w:rPr>
        <w:t>Reproduced verbatim from PMC6154623 — Table 1 — Altered metabolite levels in plasma after oral administration of S1PC to SHRs. a</w:t>
      </w:r>
    </w:p>
    <w:tbl>
      <w:tblPr>
        <w:tblStyle w:val="TableGrid"/>
        <w:tblW w:type="auto" w:w="0"/>
        <w:tblLayout w:type="fixed"/>
        <w:tblLook w:firstColumn="1" w:firstRow="1" w:lastColumn="0" w:lastRow="0" w:noHBand="0" w:noVBand="1" w:val="04A0"/>
      </w:tblPr>
      <w:tblGrid>
        <w:gridCol w:w="3120"/>
        <w:gridCol w:w="3120"/>
        <w:gridCol w:w="3120"/>
      </w:tblGrid>
      <w:tr>
        <w:tc>
          <w:tcPr>
            <w:tcW w:type="dxa" w:w="3120"/>
            <w:shd w:fill="DDE4EF"/>
          </w:tcPr>
          <w:p>
            <w:r/>
            <w:r>
              <w:rPr>
                <w:rFonts w:ascii="Times New Roman" w:hAnsi="Times New Roman" w:cs="Times New Roman" w:eastAsia="Times New Roman"/>
                <w:b/>
                <w:i w:val="0"/>
                <w:sz w:val="22"/>
              </w:rPr>
              <w:t>Metabolite b</w:t>
            </w:r>
          </w:p>
        </w:tc>
        <w:tc>
          <w:tcPr>
            <w:tcW w:type="dxa" w:w="3120"/>
            <w:shd w:fill="DDE4EF"/>
          </w:tcPr>
          <w:p>
            <w:r/>
            <w:r>
              <w:rPr>
                <w:rFonts w:ascii="Times New Roman" w:hAnsi="Times New Roman" w:cs="Times New Roman" w:eastAsia="Times New Roman"/>
                <w:b/>
                <w:i w:val="0"/>
                <w:sz w:val="22"/>
              </w:rPr>
              <w:t>Control vs. WKY c</w:t>
            </w:r>
          </w:p>
        </w:tc>
        <w:tc>
          <w:tcPr>
            <w:tcW w:type="dxa" w:w="3120"/>
            <w:shd w:fill="DDE4EF"/>
          </w:tcPr>
          <w:p>
            <w:r/>
            <w:r>
              <w:rPr>
                <w:rFonts w:ascii="Times New Roman" w:hAnsi="Times New Roman" w:cs="Times New Roman" w:eastAsia="Times New Roman"/>
                <w:b/>
                <w:i w:val="0"/>
                <w:sz w:val="22"/>
              </w:rPr>
              <w:t>S1PC vs. Control c</w:t>
            </w:r>
          </w:p>
        </w:tc>
      </w:tr>
      <w:tr>
        <w:tc>
          <w:tcPr>
            <w:tcW w:type="dxa" w:w="3120"/>
          </w:tcPr>
          <w:p>
            <w:r/>
            <w:r>
              <w:rPr>
                <w:rFonts w:ascii="Times New Roman" w:hAnsi="Times New Roman" w:cs="Times New Roman" w:eastAsia="Times New Roman"/>
                <w:b w:val="0"/>
                <w:i w:val="0"/>
                <w:sz w:val="22"/>
              </w:rPr>
              <w:t>Betaine</w:t>
            </w:r>
          </w:p>
        </w:tc>
        <w:tc>
          <w:tcPr>
            <w:tcW w:type="dxa" w:w="3120"/>
          </w:tcPr>
          <w:p>
            <w:r/>
            <w:r>
              <w:rPr>
                <w:rFonts w:ascii="Times New Roman" w:hAnsi="Times New Roman" w:cs="Times New Roman" w:eastAsia="Times New Roman"/>
                <w:b w:val="0"/>
                <w:i w:val="0"/>
                <w:sz w:val="22"/>
              </w:rPr>
              <w:t>↑↑ d</w:t>
            </w:r>
          </w:p>
        </w:tc>
        <w:tc>
          <w:tcPr>
            <w:tcW w:type="dxa" w:w="3120"/>
          </w:tcPr>
          <w:p>
            <w:r/>
            <w:r>
              <w:rPr>
                <w:rFonts w:ascii="Times New Roman" w:hAnsi="Times New Roman" w:cs="Times New Roman" w:eastAsia="Times New Roman"/>
                <w:b w:val="0"/>
                <w:i w:val="0"/>
                <w:sz w:val="22"/>
              </w:rPr>
              <w:t>↓</w:t>
            </w:r>
          </w:p>
        </w:tc>
      </w:tr>
      <w:tr>
        <w:tc>
          <w:tcPr>
            <w:tcW w:type="dxa" w:w="3120"/>
          </w:tcPr>
          <w:p>
            <w:r/>
            <w:r>
              <w:rPr>
                <w:rFonts w:ascii="Times New Roman" w:hAnsi="Times New Roman" w:cs="Times New Roman" w:eastAsia="Times New Roman"/>
                <w:b w:val="0"/>
                <w:i w:val="0"/>
                <w:sz w:val="22"/>
              </w:rPr>
              <w:t>Tryptophan</w:t>
            </w:r>
          </w:p>
        </w:tc>
        <w:tc>
          <w:tcPr>
            <w:tcW w:type="dxa" w:w="3120"/>
          </w:tcPr>
          <w:p>
            <w:r/>
            <w:r>
              <w:rPr>
                <w:rFonts w:ascii="Times New Roman" w:hAnsi="Times New Roman" w:cs="Times New Roman" w:eastAsia="Times New Roman"/>
                <w:b w:val="0"/>
                <w:i w:val="0"/>
                <w:sz w:val="22"/>
              </w:rPr>
              <w:t>↓↓</w:t>
            </w:r>
          </w:p>
        </w:tc>
        <w:tc>
          <w:tcPr>
            <w:tcW w:type="dxa" w:w="3120"/>
          </w:tcPr>
          <w:p>
            <w:r/>
            <w:r>
              <w:rPr>
                <w:rFonts w:ascii="Times New Roman" w:hAnsi="Times New Roman" w:cs="Times New Roman" w:eastAsia="Times New Roman"/>
                <w:b w:val="0"/>
                <w:i w:val="0"/>
                <w:sz w:val="22"/>
              </w:rPr>
              <w:t>↑↑</w:t>
            </w:r>
          </w:p>
        </w:tc>
      </w:tr>
      <w:tr>
        <w:tc>
          <w:tcPr>
            <w:tcW w:type="dxa" w:w="3120"/>
          </w:tcPr>
          <w:p>
            <w:r/>
            <w:r>
              <w:rPr>
                <w:rFonts w:ascii="Times New Roman" w:hAnsi="Times New Roman" w:cs="Times New Roman" w:eastAsia="Times New Roman"/>
                <w:b w:val="0"/>
                <w:i w:val="0"/>
                <w:sz w:val="22"/>
              </w:rPr>
              <w:t>LysoPC(16:0)</w:t>
            </w:r>
          </w:p>
        </w:tc>
        <w:tc>
          <w:tcPr>
            <w:tcW w:type="dxa" w:w="3120"/>
          </w:tcPr>
          <w:p>
            <w:r/>
            <w:r>
              <w:rPr>
                <w:rFonts w:ascii="Times New Roman" w:hAnsi="Times New Roman" w:cs="Times New Roman" w:eastAsia="Times New Roman"/>
                <w:b w:val="0"/>
                <w:i w:val="0"/>
                <w:sz w:val="22"/>
              </w:rPr>
              <w:t>↓↓</w:t>
            </w:r>
          </w:p>
        </w:tc>
        <w:tc>
          <w:tcPr>
            <w:tcW w:type="dxa" w:w="3120"/>
          </w:tcPr>
          <w:p>
            <w:r/>
            <w:r>
              <w:rPr>
                <w:rFonts w:ascii="Times New Roman" w:hAnsi="Times New Roman" w:cs="Times New Roman" w:eastAsia="Times New Roman"/>
                <w:b w:val="0"/>
                <w:i w:val="0"/>
                <w:sz w:val="22"/>
              </w:rPr>
              <w:t>↑↑</w:t>
            </w:r>
          </w:p>
        </w:tc>
      </w:tr>
      <w:tr>
        <w:tc>
          <w:tcPr>
            <w:tcW w:type="dxa" w:w="3120"/>
          </w:tcPr>
          <w:p>
            <w:r/>
            <w:r>
              <w:rPr>
                <w:rFonts w:ascii="Times New Roman" w:hAnsi="Times New Roman" w:cs="Times New Roman" w:eastAsia="Times New Roman"/>
                <w:b w:val="0"/>
                <w:i w:val="0"/>
                <w:sz w:val="22"/>
              </w:rPr>
              <w:t>LysoPC(18:3)</w:t>
            </w:r>
          </w:p>
        </w:tc>
        <w:tc>
          <w:tcPr>
            <w:tcW w:type="dxa" w:w="3120"/>
          </w:tcPr>
          <w:p>
            <w:r/>
            <w:r>
              <w:rPr>
                <w:rFonts w:ascii="Times New Roman" w:hAnsi="Times New Roman" w:cs="Times New Roman" w:eastAsia="Times New Roman"/>
                <w:b w:val="0"/>
                <w:i w:val="0"/>
                <w:sz w:val="22"/>
              </w:rPr>
              <w:t>↓↓</w:t>
            </w:r>
          </w:p>
        </w:tc>
        <w:tc>
          <w:tcPr>
            <w:tcW w:type="dxa" w:w="3120"/>
          </w:tcPr>
          <w:p>
            <w:r/>
            <w:r>
              <w:rPr>
                <w:rFonts w:ascii="Times New Roman" w:hAnsi="Times New Roman" w:cs="Times New Roman" w:eastAsia="Times New Roman"/>
                <w:b w:val="0"/>
                <w:i w:val="0"/>
                <w:sz w:val="22"/>
              </w:rPr>
              <w:t>↑↑</w:t>
            </w:r>
          </w:p>
        </w:tc>
      </w:tr>
      <w:tr>
        <w:tc>
          <w:tcPr>
            <w:tcW w:type="dxa" w:w="3120"/>
          </w:tcPr>
          <w:p>
            <w:r/>
            <w:r>
              <w:rPr>
                <w:rFonts w:ascii="Times New Roman" w:hAnsi="Times New Roman" w:cs="Times New Roman" w:eastAsia="Times New Roman"/>
                <w:b w:val="0"/>
                <w:i w:val="0"/>
                <w:sz w:val="22"/>
              </w:rPr>
              <w:t>LysoPC(20:4)</w:t>
            </w:r>
          </w:p>
        </w:tc>
        <w:tc>
          <w:tcPr>
            <w:tcW w:type="dxa" w:w="3120"/>
          </w:tcPr>
          <w:p>
            <w:r/>
            <w:r>
              <w:rPr>
                <w:rFonts w:ascii="Times New Roman" w:hAnsi="Times New Roman" w:cs="Times New Roman" w:eastAsia="Times New Roman"/>
                <w:b w:val="0"/>
                <w:i w:val="0"/>
                <w:sz w:val="22"/>
              </w:rPr>
              <w:t>↓↓</w:t>
            </w:r>
          </w:p>
        </w:tc>
        <w:tc>
          <w:tcPr>
            <w:tcW w:type="dxa" w:w="3120"/>
          </w:tcPr>
          <w:p>
            <w:r/>
            <w:r>
              <w:rPr>
                <w:rFonts w:ascii="Times New Roman" w:hAnsi="Times New Roman" w:cs="Times New Roman" w:eastAsia="Times New Roman"/>
                <w:b w:val="0"/>
                <w:i w:val="0"/>
                <w:sz w:val="22"/>
              </w:rPr>
              <w:t>↑</w:t>
            </w:r>
          </w:p>
        </w:tc>
      </w:tr>
      <w:tr>
        <w:tc>
          <w:tcPr>
            <w:tcW w:type="dxa" w:w="3120"/>
          </w:tcPr>
          <w:p>
            <w:r/>
            <w:r>
              <w:rPr>
                <w:rFonts w:ascii="Times New Roman" w:hAnsi="Times New Roman" w:cs="Times New Roman" w:eastAsia="Times New Roman"/>
                <w:b w:val="0"/>
                <w:i w:val="0"/>
                <w:sz w:val="22"/>
              </w:rPr>
              <w:t>3-(Acetyloxy)-2-hydroxypropyl icosanoate</w:t>
            </w:r>
          </w:p>
        </w:tc>
        <w:tc>
          <w:tcPr>
            <w:tcW w:type="dxa" w:w="3120"/>
          </w:tcPr>
          <w:p>
            <w:r/>
            <w:r>
              <w:rPr>
                <w:rFonts w:ascii="Times New Roman" w:hAnsi="Times New Roman" w:cs="Times New Roman" w:eastAsia="Times New Roman"/>
                <w:b w:val="0"/>
                <w:i w:val="0"/>
                <w:sz w:val="22"/>
              </w:rPr>
              <w:t>↑</w:t>
            </w:r>
          </w:p>
        </w:tc>
        <w:tc>
          <w:tcPr>
            <w:tcW w:type="dxa" w:w="3120"/>
          </w:tcPr>
          <w:p>
            <w:r/>
            <w:r>
              <w:rPr>
                <w:rFonts w:ascii="Times New Roman" w:hAnsi="Times New Roman" w:cs="Times New Roman" w:eastAsia="Times New Roman"/>
                <w:b w:val="0"/>
                <w:i w:val="0"/>
                <w:sz w:val="22"/>
              </w:rPr>
              <w:t>↓↓</w:t>
            </w:r>
          </w:p>
        </w:tc>
      </w:tr>
      <w:tr>
        <w:tc>
          <w:tcPr>
            <w:tcW w:type="dxa" w:w="3120"/>
          </w:tcPr>
          <w:p>
            <w:r/>
            <w:r>
              <w:rPr>
                <w:rFonts w:ascii="Times New Roman" w:hAnsi="Times New Roman" w:cs="Times New Roman" w:eastAsia="Times New Roman"/>
                <w:b w:val="0"/>
                <w:i w:val="0"/>
                <w:sz w:val="22"/>
              </w:rPr>
              <w:t>Caproic acid</w:t>
            </w:r>
          </w:p>
        </w:tc>
        <w:tc>
          <w:tcPr>
            <w:tcW w:type="dxa" w:w="3120"/>
          </w:tcPr>
          <w:p>
            <w:r/>
            <w:r>
              <w:rPr>
                <w:rFonts w:ascii="Times New Roman" w:hAnsi="Times New Roman" w:cs="Times New Roman" w:eastAsia="Times New Roman"/>
                <w:b w:val="0"/>
                <w:i w:val="0"/>
                <w:sz w:val="22"/>
              </w:rPr>
              <w:t>↑↑</w:t>
            </w:r>
          </w:p>
        </w:tc>
        <w:tc>
          <w:tcPr>
            <w:tcW w:type="dxa" w:w="3120"/>
          </w:tcPr>
          <w:p>
            <w:r/>
            <w:r>
              <w:rPr>
                <w:rFonts w:ascii="Times New Roman" w:hAnsi="Times New Roman" w:cs="Times New Roman" w:eastAsia="Times New Roman"/>
                <w:b w:val="0"/>
                <w:i w:val="0"/>
                <w:sz w:val="22"/>
              </w:rPr>
              <w:t>↓</w:t>
            </w:r>
          </w:p>
        </w:tc>
      </w:tr>
    </w:tbl>
    <w:p>
      <w:pPr>
        <w:spacing w:after="80"/>
        <w:jc w:val="both"/>
      </w:pPr>
    </w:p>
    <w:p>
      <w:pPr>
        <w:keepNext/>
        <w:spacing w:before="160" w:after="40"/>
        <w:jc w:val="left"/>
      </w:pPr>
      <w:r>
        <w:rPr>
          <w:rFonts w:ascii="Times New Roman" w:hAnsi="Times New Roman" w:cs="Times New Roman" w:eastAsia="Times New Roman"/>
          <w:b/>
          <w:i w:val="0"/>
          <w:sz w:val="22"/>
        </w:rPr>
        <w:t>Reproduced verbatim from PMC6154623 — Table 2 — Pharmacokinetic parameters and excretion levels of SMC, SAC, and S1PC in rats and dogs after oral administration. a</w:t>
      </w:r>
    </w:p>
    <w:tbl>
      <w:tblPr>
        <w:tblStyle w:val="TableGrid"/>
        <w:tblW w:type="auto" w:w="0"/>
        <w:tblLayout w:type="fixed"/>
        <w:tblLook w:firstColumn="1" w:firstRow="1" w:lastColumn="0" w:lastRow="0" w:noHBand="0" w:noVBand="1" w:val="04A0"/>
      </w:tblPr>
      <w:tblGrid>
        <w:gridCol w:w="1872"/>
        <w:gridCol w:w="1872"/>
        <w:gridCol w:w="1872"/>
        <w:gridCol w:w="1872"/>
        <w:gridCol w:w="1872"/>
      </w:tblGrid>
      <w:tr>
        <w:tc>
          <w:tcPr>
            <w:tcW w:type="dxa" w:w="1872"/>
            <w:shd w:fill="DDE4EF"/>
          </w:tcPr>
          <w:p>
            <w:r/>
            <w:r>
              <w:rPr>
                <w:rFonts w:ascii="Times New Roman" w:hAnsi="Times New Roman" w:cs="Times New Roman" w:eastAsia="Times New Roman"/>
                <w:b/>
                <w:i w:val="0"/>
                <w:sz w:val="22"/>
              </w:rPr>
              <w:t>Animal</w:t>
            </w:r>
          </w:p>
        </w:tc>
        <w:tc>
          <w:tcPr>
            <w:tcW w:type="dxa" w:w="1872"/>
            <w:shd w:fill="DDE4EF"/>
          </w:tcPr>
          <w:p>
            <w:r/>
            <w:r>
              <w:rPr>
                <w:rFonts w:ascii="Times New Roman" w:hAnsi="Times New Roman" w:cs="Times New Roman" w:eastAsia="Times New Roman"/>
                <w:b/>
                <w:i w:val="0"/>
                <w:sz w:val="22"/>
              </w:rPr>
              <w:t>Compound</w:t>
            </w:r>
          </w:p>
        </w:tc>
        <w:tc>
          <w:tcPr>
            <w:tcW w:type="dxa" w:w="1872"/>
            <w:shd w:fill="DDE4EF"/>
          </w:tcPr>
          <w:p>
            <w:r/>
            <w:r>
              <w:rPr>
                <w:rFonts w:ascii="Times New Roman" w:hAnsi="Times New Roman" w:cs="Times New Roman" w:eastAsia="Times New Roman"/>
                <w:b/>
                <w:i w:val="0"/>
                <w:sz w:val="22"/>
              </w:rPr>
              <w:t>C max (mg/L)</w:t>
            </w:r>
          </w:p>
        </w:tc>
        <w:tc>
          <w:tcPr>
            <w:tcW w:type="dxa" w:w="1872"/>
            <w:shd w:fill="DDE4EF"/>
          </w:tcPr>
          <w:p>
            <w:r/>
            <w:r>
              <w:rPr>
                <w:rFonts w:ascii="Times New Roman" w:hAnsi="Times New Roman" w:cs="Times New Roman" w:eastAsia="Times New Roman"/>
                <w:b/>
                <w:i w:val="0"/>
                <w:sz w:val="22"/>
              </w:rPr>
              <w:t>T 1/2 (h)</w:t>
            </w:r>
          </w:p>
        </w:tc>
        <w:tc>
          <w:tcPr>
            <w:tcW w:type="dxa" w:w="1872"/>
            <w:shd w:fill="DDE4EF"/>
          </w:tcPr>
          <w:p>
            <w:r/>
            <w:r>
              <w:rPr>
                <w:rFonts w:ascii="Times New Roman" w:hAnsi="Times New Roman" w:cs="Times New Roman" w:eastAsia="Times New Roman"/>
                <w:b/>
                <w:i w:val="0"/>
                <w:sz w:val="22"/>
              </w:rPr>
              <w:t>AUC (mg·h/L)</w:t>
            </w:r>
          </w:p>
        </w:tc>
      </w:tr>
      <w:tr>
        <w:tc>
          <w:tcPr>
            <w:tcW w:type="dxa" w:w="1872"/>
          </w:tcPr>
          <w:p>
            <w:r/>
            <w:r>
              <w:rPr>
                <w:rFonts w:ascii="Times New Roman" w:hAnsi="Times New Roman" w:cs="Times New Roman" w:eastAsia="Times New Roman"/>
                <w:b w:val="0"/>
                <w:i w:val="0"/>
                <w:sz w:val="22"/>
              </w:rPr>
              <w:t>Rat</w:t>
            </w:r>
          </w:p>
        </w:tc>
        <w:tc>
          <w:tcPr>
            <w:tcW w:type="dxa" w:w="1872"/>
          </w:tcPr>
          <w:p>
            <w:r/>
            <w:r>
              <w:rPr>
                <w:rFonts w:ascii="Times New Roman" w:hAnsi="Times New Roman" w:cs="Times New Roman" w:eastAsia="Times New Roman"/>
                <w:b w:val="0"/>
                <w:i w:val="0"/>
                <w:sz w:val="22"/>
              </w:rPr>
              <w:t>SMC b</w:t>
            </w:r>
          </w:p>
        </w:tc>
        <w:tc>
          <w:tcPr>
            <w:tcW w:type="dxa" w:w="1872"/>
          </w:tcPr>
          <w:p>
            <w:r/>
            <w:r>
              <w:rPr>
                <w:rFonts w:ascii="Times New Roman" w:hAnsi="Times New Roman" w:cs="Times New Roman" w:eastAsia="Times New Roman"/>
                <w:b w:val="0"/>
                <w:i w:val="0"/>
                <w:sz w:val="22"/>
              </w:rPr>
              <w:t>1.3 ± 0.33</w:t>
            </w:r>
          </w:p>
        </w:tc>
        <w:tc>
          <w:tcPr>
            <w:tcW w:type="dxa" w:w="1872"/>
          </w:tcPr>
          <w:p>
            <w:r/>
            <w:r>
              <w:rPr>
                <w:rFonts w:ascii="Times New Roman" w:hAnsi="Times New Roman" w:cs="Times New Roman" w:eastAsia="Times New Roman"/>
                <w:b w:val="0"/>
                <w:i w:val="0"/>
                <w:sz w:val="22"/>
              </w:rPr>
              <w:t>2.6 ± 0.75</w:t>
            </w:r>
          </w:p>
        </w:tc>
        <w:tc>
          <w:tcPr>
            <w:tcW w:type="dxa" w:w="1872"/>
          </w:tcPr>
          <w:p>
            <w:r/>
            <w:r>
              <w:rPr>
                <w:rFonts w:ascii="Times New Roman" w:hAnsi="Times New Roman" w:cs="Times New Roman" w:eastAsia="Times New Roman"/>
                <w:b w:val="0"/>
                <w:i w:val="0"/>
                <w:sz w:val="22"/>
              </w:rPr>
              <w:t>6.0 ± 1.7</w:t>
            </w:r>
          </w:p>
        </w:tc>
      </w:tr>
      <w:tr>
        <w:tc>
          <w:tcPr>
            <w:tcW w:type="dxa" w:w="1872"/>
          </w:tcPr>
          <w:p>
            <w:r/>
            <w:r>
              <w:rPr>
                <w:rFonts w:ascii="Times New Roman" w:hAnsi="Times New Roman" w:cs="Times New Roman" w:eastAsia="Times New Roman"/>
                <w:b w:val="0"/>
                <w:i w:val="0"/>
                <w:sz w:val="22"/>
              </w:rPr>
            </w:r>
          </w:p>
        </w:tc>
        <w:tc>
          <w:tcPr>
            <w:tcW w:type="dxa" w:w="1872"/>
          </w:tcPr>
          <w:p>
            <w:r/>
            <w:r>
              <w:rPr>
                <w:rFonts w:ascii="Times New Roman" w:hAnsi="Times New Roman" w:cs="Times New Roman" w:eastAsia="Times New Roman"/>
                <w:b w:val="0"/>
                <w:i w:val="0"/>
                <w:sz w:val="22"/>
              </w:rPr>
              <w:t>SAC c</w:t>
            </w:r>
          </w:p>
        </w:tc>
        <w:tc>
          <w:tcPr>
            <w:tcW w:type="dxa" w:w="1872"/>
          </w:tcPr>
          <w:p>
            <w:r/>
            <w:r>
              <w:rPr>
                <w:rFonts w:ascii="Times New Roman" w:hAnsi="Times New Roman" w:cs="Times New Roman" w:eastAsia="Times New Roman"/>
                <w:b w:val="0"/>
                <w:i w:val="0"/>
                <w:sz w:val="22"/>
              </w:rPr>
              <w:t>3.9 ± 0.64</w:t>
            </w:r>
          </w:p>
        </w:tc>
        <w:tc>
          <w:tcPr>
            <w:tcW w:type="dxa" w:w="1872"/>
          </w:tcPr>
          <w:p>
            <w:r/>
            <w:r>
              <w:rPr>
                <w:rFonts w:ascii="Times New Roman" w:hAnsi="Times New Roman" w:cs="Times New Roman" w:eastAsia="Times New Roman"/>
                <w:b w:val="0"/>
                <w:i w:val="0"/>
                <w:sz w:val="22"/>
              </w:rPr>
              <w:t>1.2 ± 0.19</w:t>
            </w:r>
          </w:p>
        </w:tc>
        <w:tc>
          <w:tcPr>
            <w:tcW w:type="dxa" w:w="1872"/>
          </w:tcPr>
          <w:p>
            <w:r/>
            <w:r>
              <w:rPr>
                <w:rFonts w:ascii="Times New Roman" w:hAnsi="Times New Roman" w:cs="Times New Roman" w:eastAsia="Times New Roman"/>
                <w:b w:val="0"/>
                <w:i w:val="0"/>
                <w:sz w:val="22"/>
              </w:rPr>
              <w:t>5.1 ± 0.58</w:t>
            </w:r>
          </w:p>
        </w:tc>
      </w:tr>
      <w:tr>
        <w:tc>
          <w:tcPr>
            <w:tcW w:type="dxa" w:w="1872"/>
          </w:tcPr>
          <w:p>
            <w:r/>
            <w:r>
              <w:rPr>
                <w:rFonts w:ascii="Times New Roman" w:hAnsi="Times New Roman" w:cs="Times New Roman" w:eastAsia="Times New Roman"/>
                <w:b w:val="0"/>
                <w:i w:val="0"/>
                <w:sz w:val="22"/>
              </w:rPr>
            </w:r>
          </w:p>
        </w:tc>
        <w:tc>
          <w:tcPr>
            <w:tcW w:type="dxa" w:w="1872"/>
          </w:tcPr>
          <w:p>
            <w:r/>
            <w:r>
              <w:rPr>
                <w:rFonts w:ascii="Times New Roman" w:hAnsi="Times New Roman" w:cs="Times New Roman" w:eastAsia="Times New Roman"/>
                <w:b w:val="0"/>
                <w:i w:val="0"/>
                <w:sz w:val="22"/>
              </w:rPr>
              <w:t>S1PC c</w:t>
            </w:r>
          </w:p>
        </w:tc>
        <w:tc>
          <w:tcPr>
            <w:tcW w:type="dxa" w:w="1872"/>
          </w:tcPr>
          <w:p>
            <w:r/>
            <w:r>
              <w:rPr>
                <w:rFonts w:ascii="Times New Roman" w:hAnsi="Times New Roman" w:cs="Times New Roman" w:eastAsia="Times New Roman"/>
                <w:b w:val="0"/>
                <w:i w:val="0"/>
                <w:sz w:val="22"/>
              </w:rPr>
              <w:t>4.2 ± 0.92</w:t>
            </w:r>
          </w:p>
        </w:tc>
        <w:tc>
          <w:tcPr>
            <w:tcW w:type="dxa" w:w="1872"/>
          </w:tcPr>
          <w:p>
            <w:r/>
            <w:r>
              <w:rPr>
                <w:rFonts w:ascii="Times New Roman" w:hAnsi="Times New Roman" w:cs="Times New Roman" w:eastAsia="Times New Roman"/>
                <w:b w:val="0"/>
                <w:i w:val="0"/>
                <w:sz w:val="22"/>
              </w:rPr>
              <w:t>0.56 ± 0.072</w:t>
            </w:r>
          </w:p>
        </w:tc>
        <w:tc>
          <w:tcPr>
            <w:tcW w:type="dxa" w:w="1872"/>
          </w:tcPr>
          <w:p>
            <w:r/>
            <w:r>
              <w:rPr>
                <w:rFonts w:ascii="Times New Roman" w:hAnsi="Times New Roman" w:cs="Times New Roman" w:eastAsia="Times New Roman"/>
                <w:b w:val="0"/>
                <w:i w:val="0"/>
                <w:sz w:val="22"/>
              </w:rPr>
              <w:t>3.2 ± 0.34</w:t>
            </w:r>
          </w:p>
        </w:tc>
      </w:tr>
      <w:tr>
        <w:tc>
          <w:tcPr>
            <w:tcW w:type="dxa" w:w="1872"/>
          </w:tcPr>
          <w:p>
            <w:r/>
            <w:r>
              <w:rPr>
                <w:rFonts w:ascii="Times New Roman" w:hAnsi="Times New Roman" w:cs="Times New Roman" w:eastAsia="Times New Roman"/>
                <w:b w:val="0"/>
                <w:i w:val="0"/>
                <w:sz w:val="22"/>
              </w:rPr>
              <w:t>Dog</w:t>
            </w:r>
          </w:p>
        </w:tc>
        <w:tc>
          <w:tcPr>
            <w:tcW w:type="dxa" w:w="1872"/>
          </w:tcPr>
          <w:p>
            <w:r/>
            <w:r>
              <w:rPr>
                <w:rFonts w:ascii="Times New Roman" w:hAnsi="Times New Roman" w:cs="Times New Roman" w:eastAsia="Times New Roman"/>
                <w:b w:val="0"/>
                <w:i w:val="0"/>
                <w:sz w:val="22"/>
              </w:rPr>
              <w:t>SMC b</w:t>
            </w:r>
          </w:p>
        </w:tc>
        <w:tc>
          <w:tcPr>
            <w:tcW w:type="dxa" w:w="1872"/>
          </w:tcPr>
          <w:p>
            <w:r/>
            <w:r>
              <w:rPr>
                <w:rFonts w:ascii="Times New Roman" w:hAnsi="Times New Roman" w:cs="Times New Roman" w:eastAsia="Times New Roman"/>
                <w:b w:val="0"/>
                <w:i w:val="0"/>
                <w:sz w:val="22"/>
              </w:rPr>
              <w:t>2.6 ± 0.62</w:t>
            </w:r>
          </w:p>
        </w:tc>
        <w:tc>
          <w:tcPr>
            <w:tcW w:type="dxa" w:w="1872"/>
          </w:tcPr>
          <w:p>
            <w:r/>
            <w:r>
              <w:rPr>
                <w:rFonts w:ascii="Times New Roman" w:hAnsi="Times New Roman" w:cs="Times New Roman" w:eastAsia="Times New Roman"/>
                <w:b w:val="0"/>
                <w:i w:val="0"/>
                <w:sz w:val="22"/>
              </w:rPr>
              <w:t>8.0 ± 1.1</w:t>
            </w:r>
          </w:p>
        </w:tc>
        <w:tc>
          <w:tcPr>
            <w:tcW w:type="dxa" w:w="1872"/>
          </w:tcPr>
          <w:p>
            <w:r/>
            <w:r>
              <w:rPr>
                <w:rFonts w:ascii="Times New Roman" w:hAnsi="Times New Roman" w:cs="Times New Roman" w:eastAsia="Times New Roman"/>
                <w:b w:val="0"/>
                <w:i w:val="0"/>
                <w:sz w:val="22"/>
              </w:rPr>
              <w:t>41 ± 5.3</w:t>
            </w:r>
          </w:p>
        </w:tc>
      </w:tr>
      <w:tr>
        <w:tc>
          <w:tcPr>
            <w:tcW w:type="dxa" w:w="1872"/>
          </w:tcPr>
          <w:p>
            <w:r/>
            <w:r>
              <w:rPr>
                <w:rFonts w:ascii="Times New Roman" w:hAnsi="Times New Roman" w:cs="Times New Roman" w:eastAsia="Times New Roman"/>
                <w:b w:val="0"/>
                <w:i w:val="0"/>
                <w:sz w:val="22"/>
              </w:rPr>
            </w:r>
          </w:p>
        </w:tc>
        <w:tc>
          <w:tcPr>
            <w:tcW w:type="dxa" w:w="1872"/>
          </w:tcPr>
          <w:p>
            <w:r/>
            <w:r>
              <w:rPr>
                <w:rFonts w:ascii="Times New Roman" w:hAnsi="Times New Roman" w:cs="Times New Roman" w:eastAsia="Times New Roman"/>
                <w:b w:val="0"/>
                <w:i w:val="0"/>
                <w:sz w:val="22"/>
              </w:rPr>
              <w:t>SAC b</w:t>
            </w:r>
          </w:p>
        </w:tc>
        <w:tc>
          <w:tcPr>
            <w:tcW w:type="dxa" w:w="1872"/>
          </w:tcPr>
          <w:p>
            <w:r/>
            <w:r>
              <w:rPr>
                <w:rFonts w:ascii="Times New Roman" w:hAnsi="Times New Roman" w:cs="Times New Roman" w:eastAsia="Times New Roman"/>
                <w:b w:val="0"/>
                <w:i w:val="0"/>
                <w:sz w:val="22"/>
              </w:rPr>
              <w:t>2.1 ± 0.14</w:t>
            </w:r>
          </w:p>
        </w:tc>
        <w:tc>
          <w:tcPr>
            <w:tcW w:type="dxa" w:w="1872"/>
          </w:tcPr>
          <w:p>
            <w:r/>
            <w:r>
              <w:rPr>
                <w:rFonts w:ascii="Times New Roman" w:hAnsi="Times New Roman" w:cs="Times New Roman" w:eastAsia="Times New Roman"/>
                <w:b w:val="0"/>
                <w:i w:val="0"/>
                <w:sz w:val="22"/>
              </w:rPr>
              <w:t>12 ± 1.2</w:t>
            </w:r>
          </w:p>
        </w:tc>
        <w:tc>
          <w:tcPr>
            <w:tcW w:type="dxa" w:w="1872"/>
          </w:tcPr>
          <w:p>
            <w:r/>
            <w:r>
              <w:rPr>
                <w:rFonts w:ascii="Times New Roman" w:hAnsi="Times New Roman" w:cs="Times New Roman" w:eastAsia="Times New Roman"/>
                <w:b w:val="0"/>
                <w:i w:val="0"/>
                <w:sz w:val="22"/>
              </w:rPr>
              <w:t>39 ± 3.5</w:t>
            </w:r>
          </w:p>
        </w:tc>
      </w:tr>
      <w:tr>
        <w:tc>
          <w:tcPr>
            <w:tcW w:type="dxa" w:w="1872"/>
          </w:tcPr>
          <w:p>
            <w:r/>
            <w:r>
              <w:rPr>
                <w:rFonts w:ascii="Times New Roman" w:hAnsi="Times New Roman" w:cs="Times New Roman" w:eastAsia="Times New Roman"/>
                <w:b w:val="0"/>
                <w:i w:val="0"/>
                <w:sz w:val="22"/>
              </w:rPr>
            </w:r>
          </w:p>
        </w:tc>
        <w:tc>
          <w:tcPr>
            <w:tcW w:type="dxa" w:w="1872"/>
          </w:tcPr>
          <w:p>
            <w:r/>
            <w:r>
              <w:rPr>
                <w:rFonts w:ascii="Times New Roman" w:hAnsi="Times New Roman" w:cs="Times New Roman" w:eastAsia="Times New Roman"/>
                <w:b w:val="0"/>
                <w:i w:val="0"/>
                <w:sz w:val="22"/>
              </w:rPr>
              <w:t>S1PC b</w:t>
            </w:r>
          </w:p>
        </w:tc>
        <w:tc>
          <w:tcPr>
            <w:tcW w:type="dxa" w:w="1872"/>
          </w:tcPr>
          <w:p>
            <w:r/>
            <w:r>
              <w:rPr>
                <w:rFonts w:ascii="Times New Roman" w:hAnsi="Times New Roman" w:cs="Times New Roman" w:eastAsia="Times New Roman"/>
                <w:b w:val="0"/>
                <w:i w:val="0"/>
                <w:sz w:val="22"/>
              </w:rPr>
              <w:t>2.0 ± 0.22</w:t>
            </w:r>
          </w:p>
        </w:tc>
        <w:tc>
          <w:tcPr>
            <w:tcW w:type="dxa" w:w="1872"/>
          </w:tcPr>
          <w:p>
            <w:r/>
            <w:r>
              <w:rPr>
                <w:rFonts w:ascii="Times New Roman" w:hAnsi="Times New Roman" w:cs="Times New Roman" w:eastAsia="Times New Roman"/>
                <w:b w:val="0"/>
                <w:i w:val="0"/>
                <w:sz w:val="22"/>
              </w:rPr>
              <w:t>5.6 ± 0.58</w:t>
            </w:r>
          </w:p>
        </w:tc>
        <w:tc>
          <w:tcPr>
            <w:tcW w:type="dxa" w:w="1872"/>
          </w:tcPr>
          <w:p>
            <w:r/>
            <w:r>
              <w:rPr>
                <w:rFonts w:ascii="Times New Roman" w:hAnsi="Times New Roman" w:cs="Times New Roman" w:eastAsia="Times New Roman"/>
                <w:b w:val="0"/>
                <w:i w:val="0"/>
                <w:sz w:val="22"/>
              </w:rPr>
              <w:t>19 ± 2.4</w:t>
            </w:r>
          </w:p>
        </w:tc>
      </w:tr>
    </w:tbl>
    <w:p>
      <w:pPr>
        <w:spacing w:after="80"/>
        <w:jc w:val="both"/>
      </w:pPr>
    </w:p>
    <w:p>
      <w:pPr>
        <w:spacing w:after="80"/>
        <w:jc w:val="both"/>
      </w:pPr>
      <w:r>
        <w:rPr>
          <w:rFonts w:ascii="Times New Roman" w:hAnsi="Times New Roman" w:cs="Times New Roman" w:eastAsia="Times New Roman"/>
          <w:b w:val="0"/>
          <w:i/>
          <w:sz w:val="24"/>
        </w:rPr>
        <w:t>Figure 1 (verbatim caption): “Chemical structures of sulfur-containing compounds derived from garlic.</w:t>
        <w:br/>
        <w:t xml:space="preserve">   graphic: `molecules-22-00570-g001.jpg`”</w:t>
      </w:r>
    </w:p>
    <w:p>
      <w:pPr>
        <w:spacing w:after="80"/>
        <w:jc w:val="both"/>
      </w:pPr>
      <w:r>
        <w:rPr>
          <w:rFonts w:ascii="Times New Roman" w:hAnsi="Times New Roman" w:cs="Times New Roman" w:eastAsia="Times New Roman"/>
          <w:b w:val="0"/>
          <w:i/>
          <w:sz w:val="24"/>
        </w:rPr>
        <w:t>Figure 2 (verbatim caption): “Chromatogram of hydrophilic sulfur compounds in aged garlic extract by sulfur specific post-column HPLC analysis using hexaiodoplatinate reagent. Chromatogram was monitored at 500 nm absorbance. HPLC analysis was performed by post-column HPLC method using a NEXERA X2 system (Shimadzu, Kyoto, Japan) according to a previous report [ 19 ]. ( A ) Chromatogram of aged garlic extract; ( B ) Identified c</w:t>
        <w:br/>
        <w:t xml:space="preserve">   graphic: `molecules-22-00570-g002.jpg`”</w:t>
      </w:r>
    </w:p>
    <w:p>
      <w:pPr>
        <w:spacing w:after="80"/>
        <w:jc w:val="both"/>
      </w:pPr>
      <w:r>
        <w:rPr>
          <w:rFonts w:ascii="Times New Roman" w:hAnsi="Times New Roman" w:cs="Times New Roman" w:eastAsia="Times New Roman"/>
          <w:b w:val="0"/>
          <w:i/>
          <w:sz w:val="24"/>
        </w:rPr>
        <w:t>Figure 3 (verbatim caption): “Changes of sulfur-containing compounds in raw garlic and AGE. ( A ) Changes of trans -GS1PC content in raw garlic stored at −3 °C, 4 °C and 23 °C; ( B ) Changes of GSAC content in raw garlic stored at −3 °C, 4 °C and 23 °C; ( C ) Changes of trans -S1PC and cis -S1PC content in aged garlic extract during the aging period. Values are mean ± SD ( n = 3); ( D ) Putative production mechanism of cis -S1</w:t>
        <w:br/>
        <w:t xml:space="preserve">   graphic: `molecules-22-00570-g003.jpg`”</w:t>
      </w:r>
    </w:p>
    <w:p>
      <w:pPr>
        <w:spacing w:after="80"/>
        <w:jc w:val="both"/>
      </w:pPr>
      <w:r>
        <w:rPr>
          <w:rFonts w:ascii="Times New Roman" w:hAnsi="Times New Roman" w:cs="Times New Roman" w:eastAsia="Times New Roman"/>
          <w:b w:val="0"/>
          <w:i/>
          <w:sz w:val="24"/>
        </w:rPr>
        <w:t>Figure 4 (verbatim caption): “Immunomodulatory effect of S -1-propenyl- l -cysteine. ( A ) Effect of S1PC on IgA levels in intestinal lavage fluid. S1PC (30 mg/kg, once a day) or distilled water were orally administrated to C57BL/6N mice for 5 days ( n = 4–5). IgA level was measured using Mouse IgA ELISA Quantification set (Bethyl Laboratories, Inc. Montgomery, AL, USA), (** p &lt; 0.01); ( B ) Effect of S1PC on IgA–inducing cell</w:t>
        <w:br/>
        <w:t xml:space="preserve">   graphic: `molecules-22-00570-g004.jpg`”</w:t>
      </w:r>
    </w:p>
    <w:p>
      <w:pPr>
        <w:keepNext/>
        <w:spacing w:before="160" w:after="40"/>
        <w:outlineLvl w:val="2"/>
      </w:pPr>
      <w:r>
        <w:rPr>
          <w:rFonts w:ascii="Times New Roman" w:hAnsi="Times New Roman" w:cs="Times New Roman" w:eastAsia="Times New Roman"/>
          <w:b/>
          <w:i w:val="0"/>
          <w:color w:val="404040"/>
          <w:sz w:val="24"/>
        </w:rPr>
        <w:t>Verbatim body-text paragraphs from PMC6154623</w:t>
      </w:r>
    </w:p>
    <w:p>
      <w:pPr>
        <w:spacing w:after="120"/>
        <w:jc w:val="both"/>
      </w:pPr>
      <w:r>
        <w:rPr>
          <w:rFonts w:ascii="Times New Roman" w:hAnsi="Times New Roman" w:cs="Times New Roman" w:eastAsia="Times New Roman"/>
          <w:b w:val="0"/>
          <w:i w:val="0"/>
          <w:sz w:val="24"/>
        </w:rPr>
        <w:t>“Reaction schemes A – D were redrawn based on previous studies [ 14 , 15 , 16 , 17 ]. graphic: `molecules-22-00570-sch001.jpg` 3. **Scheme 2** — Biosynthesis of sulfur-containing compounds in onion. Isoalliin ( 7 ) biosynthesis pathway was presented by Parry et al. using an isotope–labeled compound in onion [ 40 , 41 ]. Scheme of biosynthesis was redrawn previous reports ([ 1 ], pp. 41–46, pp. 68–70, pp. 74–76, [ 5 ], pp. 165–172). The chemical names of the numbered compounds are shown in Figure 1 . graphic: `molecules-22-00570-sch002.jpg` 4. **Scheme 3** — Biosynthesis of sulfur-containing compounds in garlic. The biosynthesis pathway of alliin ( 6 ) in garlic was presented by Yoshimoto et al., who identified a flavine-containing monooxygenase (AsFMO1) [ 38 , 39 ]. Isoalliin biosynthesis was presented by Parry et al. using an isotope-labeled compound in onion [ 40 , 41 ]. Isoalliin ( 7 ) content in garlic is less than 10% of the alliin content, and graphic: `molecules-22-00570-sch003.jpg` 5. **Figure 2** — Chromatogram of hydrophilic sulfur compounds in aged garlic extract by sulfur specific post-column HPLC analysis using hexaiodoplatinate reagent.”  [PMC6154623 ¶1]</w:t>
      </w:r>
    </w:p>
    <w:p>
      <w:pPr>
        <w:spacing w:after="120"/>
        <w:jc w:val="both"/>
      </w:pPr>
      <w:r>
        <w:rPr>
          <w:rFonts w:ascii="Times New Roman" w:hAnsi="Times New Roman" w:cs="Times New Roman" w:eastAsia="Times New Roman"/>
          <w:b w:val="0"/>
          <w:i w:val="0"/>
          <w:sz w:val="24"/>
        </w:rPr>
        <w:t>“Chromatogram was monitored at 500 nm absorbance. HPLC analysis was performed by post-column HPLC method using a NEXERA X2 system (Shimadzu, Kyoto, Japan) according to a previous report [ 19 ]. ( A ) Chromatogram of aged garlic extract; ( B ) Identified c graphic: `molecules-22-00570-g002.jpg` 6. **Figure 3** — Changes of sulfur-containing compounds in raw garlic and AGE. ( A ) Changes of trans -GS1PC content in raw garlic stored at −3 °C, 4 °C and 23 °C; ( B ) Changes of GSAC content in raw garlic stored at −3 °C, 4 °C and 23 °C; ( C ) Changes of trans -S1PC and cis -S1PC content in aged garlic extract during the aging period. Values are mean ± SD ( n = 3); ( D ) Putative production mechanism of cis -S1 graphic: `molecules-22-00570-g003.jpg` 7. **Figure 4** — Immunomodulatory effect of S -1-propenyl- l -cysteine. ( A ) Effect of S1PC on IgA levels in intestinal lavage fluid. S1PC (30 mg/kg, once a day) or distilled water were orally administrated to C57BL/6N mice for 5 days ( n = 4–5).”  [PMC6154623 ¶2]</w:t>
      </w:r>
    </w:p>
    <w:p>
      <w:pPr>
        <w:spacing w:after="120"/>
        <w:jc w:val="both"/>
      </w:pPr>
      <w:r>
        <w:rPr>
          <w:rFonts w:ascii="Times New Roman" w:hAnsi="Times New Roman" w:cs="Times New Roman" w:eastAsia="Times New Roman"/>
          <w:b w:val="0"/>
          <w:i w:val="0"/>
          <w:sz w:val="24"/>
        </w:rPr>
        <w:t>“IgA level was measured using Mouse IgA ELISA Quantification set (Bethyl Laboratories, Inc. Montgomery, AL, USA), (** p &lt; 0.01); ( B ) Effect of S1PC on IgA–inducing cell graphic: `molecules-22-00570-g004.jpg` ```json { "pmcid": "PMC6154623", "pmid": "28362335", "doi": "10.3390/molecules22040570", "title": "Chemical and Biological Properties of S -1-Propenyl- l -Cysteine in Aged Garlic Extract", "journal": "Molecules : A Journal of Synthetic Chemistry and Natural Product Chemistry", "year": "2017", "abstract": "S -1-propenyl- l -cysteine (S1PC) is a stereoisomer of S -allyl- l -cysteine (SAC), an important sulfur-containing amino acid that plays a role for the beneficial pharmacological effects of aged garlic extract (AGE). The existence of S1PC in garlic preparations has been known since the 1960\u2019s. However, there was no report regarding the biological and/or pharmacological activity of S1PC until 2016.”  [PMC6154623 ¶3]</w:t>
      </w:r>
    </w:p>
    <w:p>
      <w:pPr>
        <w:spacing w:after="120"/>
        <w:jc w:val="both"/>
      </w:pPr>
      <w:r>
        <w:rPr>
          <w:rFonts w:ascii="Times New Roman" w:hAnsi="Times New Roman" w:cs="Times New Roman" w:eastAsia="Times New Roman"/>
          <w:b w:val="0"/>
          <w:i w:val="0"/>
          <w:sz w:val="24"/>
        </w:rPr>
        <w:t>“Recently, we performed a series of studies to examine the chemical, biological, pharmacological and pharmacokinetic properties of S1PC, and obtained some interesting results. S1PC existed only in trace amounts in raw garlic, but its concentration increased almost up to the level similar of SAC through aging process of AGE. S1PC showed immunomodulatory effects in vitro and in vivo, and reduced blood pressure in a hypertensive animal model. A pharmacokinetic study revealed that S1PC was readily absorbed after oral administration in rats and dogs with bioavailability of 88\u2013100%. Additionally, S1PC had little inhibitory influence on human cytochrome P450 activities, even at a concentration of 1 mM. Based on these findings, S1PC was suggested to be another important, pharmacologically active and safe component of AGE similar to SAC. In this review, we highlight some results from recent studies on S1PC and discuss the potential medicinal value of S1PC.", "body_text": "1.”  [PMC6154623 ¶4]</w:t>
      </w:r>
    </w:p>
    <w:p>
      <w:pPr>
        <w:spacing w:after="120"/>
        <w:jc w:val="both"/>
      </w:pPr>
      <w:r>
        <w:rPr>
          <w:rFonts w:ascii="Times New Roman" w:hAnsi="Times New Roman" w:cs="Times New Roman" w:eastAsia="Times New Roman"/>
          <w:b w:val="0"/>
          <w:i w:val="0"/>
          <w:sz w:val="24"/>
        </w:rPr>
        <w:t>“Introduction Several plants belonging to the genus Allium have been historically used by humans. Among these plants, garlic ( Allium sativum L.) has been widely recognized to possess medicinal properties against several diseases or symptoms during the time when other medicinal supplies were limited [ 1 ]. Many people in the world still use garlic and its preparations for their health benefits, as several scientific studies have reported its following properties; antioxidative, antithrombotic, hypolipidemic, hypoglycemic, antihypertensive, and anti-Alzheimer\u2019s disease effects [ 2 , 3 ]. Earlier, people used garlic as a remedy without knowledge of scientific evidence [ 1 , 4 ]. The advancement of modern science has revealed the chemical and biological properties of various constituents in garlic and its preparations. After the noteworthy discovery of the allicin and allicin\u2013allinase system in the early 1940\u2019s, the studies on chemical properies of garlic have rapidly advanced [ 1 , 4 , 5 ].”  [PMC6154623 ¶5]</w:t>
      </w:r>
    </w:p>
    <w:p>
      <w:pPr>
        <w:spacing w:after="120"/>
        <w:jc w:val="both"/>
      </w:pPr>
      <w:r>
        <w:rPr>
          <w:rFonts w:ascii="Times New Roman" w:hAnsi="Times New Roman" w:cs="Times New Roman" w:eastAsia="Times New Roman"/>
          <w:b w:val="0"/>
          <w:i w:val="0"/>
          <w:sz w:val="24"/>
        </w:rPr>
        <w:t>“Many studies have focused on evaluation of allicin and its transformed chemicals, considering these compounds as beneficial constituents for our health in garlic and its many preparations [ 6 ]. Various reports regarding the beneficial biological activities of allicin, such as antimicrobial effect, antioxidant effect, suppression of cholesterol biosynthesis, anticancer activity and anti-inflammation effect, have emerged since its discovery ([ 1 , 5 , 6 ]). However, unfavorable chemical properties of allicin, such as high reactivity and instability, were also revealed [ 7 , 8 ], raising questions regarding allicin being really an active, beneficial component of garlic [ 1 , 7 , 8 , 9 ]. Researchers have been also interested in hydrophilic compounds, such as methiin ( S -methyl- l -cysteine sulfoxide), allicin ( S -allyl- l -cysteine sulfoxide), S -methyl- l -cysteine (SMC), S -allyl- l -cysteine (SAC), S -allylmercapto- l -cysteine (SAMC) and \u03b3-glutamyl- S -alkenyl- l -cysteines ( Figure 1 ) [ 1 , 5 , 9 ].”  [PMC6154623 ¶6]</w:t>
      </w:r>
    </w:p>
    <w:p>
      <w:pPr>
        <w:spacing w:after="120"/>
        <w:jc w:val="both"/>
      </w:pPr>
      <w:r>
        <w:rPr>
          <w:rFonts w:ascii="Times New Roman" w:hAnsi="Times New Roman" w:cs="Times New Roman" w:eastAsia="Times New Roman"/>
          <w:b w:val="0"/>
          <w:i w:val="0"/>
          <w:sz w:val="24"/>
        </w:rPr>
        <w:t>“Among these hydrophilic compounds, SAC has been extensively studied and shown to possess various biological activities, such as anticancer, antioxidant, cholesterol-lowering, anti-hepatotoxic, and neuroprotective effects [ 1 , 9 , 10 ]. SAC has also been closely examined for its pharmacokinetic, safety and physical and chemical properties [ 11 , 12 ]. S -1-propenyl- l -cysteine (S1PC), a stereoisomer of SAC, was found to be present in garlic in the early 1960s [ 13 ]. Since its discovery, there have been several reports on organic synthesis methods to obtain S1PC as an intermediate compound in the synthesis of trans - S -1-propenyl- l -cysteine sulfoxide ( trans -S1PCSO, isoallicin), which is a precursor of the lachrymatory compound in onion [ 14 , 15 , 16 , 17 ]. However, there were no reports concerning the biological activities of S1PC until 2016. Recent studies suggest that S1PC has unique chemical properties [ 18 , 19 ], and it may partly contribute to the biological activities of garlic preparations in immunomodulation and cardiovascular diseases [ 20 , 21 ].”  [PMC6154623 ¶7]</w:t>
      </w:r>
    </w:p>
    <w:p>
      <w:pPr>
        <w:spacing w:after="120"/>
        <w:jc w:val="both"/>
      </w:pPr>
      <w:r>
        <w:rPr>
          <w:rFonts w:ascii="Times New Roman" w:hAnsi="Times New Roman" w:cs="Times New Roman" w:eastAsia="Times New Roman"/>
          <w:b w:val="0"/>
          <w:i w:val="0"/>
          <w:sz w:val="24"/>
        </w:rPr>
        <w:t>“Recently, studies assessing the effectiveness and safety of natural products as food/supplements and medical agents showed that their concomitant use sometimes caused serious undesirable effects on human health [ 22 , 23 , 24 , 25 , 26 , 27 ]. Furthermore, pharmacokinetic studies are also important to evaluate biological activities of the constituents of natural products because the active constituents must be fully absorbed and sufficiently distributed to the target organs or tissues for their pharmacological effects. S1PC has been shown to be orally well absorbed with little inhibitory effect on human cytochrome P450 (CYP) activity in vitro [ 28 , 29 ]. In this review, we describe the chemical and biological properties of S1PC and discuss its medicinal potential by reviewing recent studies on its chemical synthesis, biosynthesis, production mechanism in garlic preparation, analytical procedure, biological and pharmacologic effects, pharmacokinetics and safety. 2.”  [PMC6154623 ¶8]</w:t>
      </w:r>
    </w:p>
    <w:p>
      <w:pPr>
        <w:spacing w:after="120"/>
        <w:jc w:val="both"/>
      </w:pPr>
      <w:r>
        <w:rPr>
          <w:rFonts w:ascii="Times New Roman" w:hAnsi="Times New Roman" w:cs="Times New Roman" w:eastAsia="Times New Roman"/>
          <w:b w:val="0"/>
          <w:i w:val="0"/>
          <w:sz w:val="24"/>
        </w:rPr>
        <w:t>“Organic Synthesis of trans - S -1-propenyl- l -cysteine ( R )-3-[( E )-Prop-1-enylsulfinyl]-2-aminopropanoic acid, an odorless sulfur-containing amino acid referred to as trans -S1PCSO or isoalliin, has been isolated from onion ( Allium cepa L.) and confirmed to be a precursor of the lachrymatory compound, a biologically active compound that is beneficial for human health [ 5 , 16 , 17 , 30 , 31 ]. The content of this compound in onion is less than 0.2% [ 16 ], and its purification is difficult because many compounds with similar chemical characteristics exist in onion. Therefore, its organic synthesis method has been investigated to reveal sulfur chemistry in onion and other Allium vegetables, including the preparation of S1PC as an intermediate of S1PCSO [ 14 , 15 , 16 , 17 ]. S1PC has two forms of isomers, trans - S -1-propenyl- l -cysteine ( trans -S1PC, ( 3 )) and cis - S -1-propenyl- l -cysteine ( cis -S1PC, ( 4 )) ( Figure 1 ) [ 15 , 18 ].”  [PMC6154623 ¶9]</w:t>
      </w:r>
    </w:p>
    <w:p>
      <w:pPr>
        <w:spacing w:after="120"/>
        <w:jc w:val="both"/>
      </w:pPr>
      <w:r>
        <w:rPr>
          <w:rFonts w:ascii="Times New Roman" w:hAnsi="Times New Roman" w:cs="Times New Roman" w:eastAsia="Times New Roman"/>
          <w:b w:val="0"/>
          <w:i w:val="0"/>
          <w:sz w:val="24"/>
        </w:rPr>
        <w:t>“Since the trans -form of S1PC, oxidized trans -S1PC (isoalliin) and their \u03b3-glutamyl derivatives are naturally present in Allium plants [ 13 , 14 , 32 ], researchers have focused on the stereoselective synthesis of trans -form S1PC. In the mid 1960s, Carson and Boggs reported a simple and facile method to obtain S1PC by the isomerization of SAC under the strong basic condition using potassium tert -butoxide ( Scheme 1 A) [ 14 ]. This method yielded both cis - and trans -S1PC in almost equal amounts, and the cis -form was mainly recovered from the concentrated aqueous solution. Although this method is very simple and easy to perform, some additional purification steps, such as chromatographic separations, are necessary to obtain the trans -isomer with high purity. Additionally, there is a possibility that the strong basic conditions used in this method induce the racemization reaction [ 33 , 34 , 35 ].”  [PMC6154623 ¶10]</w:t>
      </w:r>
    </w:p>
    <w:p>
      <w:pPr>
        <w:spacing w:after="120"/>
        <w:jc w:val="both"/>
      </w:pPr>
      <w:r>
        <w:rPr>
          <w:rFonts w:ascii="Times New Roman" w:hAnsi="Times New Roman" w:cs="Times New Roman" w:eastAsia="Times New Roman"/>
          <w:b w:val="0"/>
          <w:i w:val="0"/>
          <w:sz w:val="24"/>
        </w:rPr>
        <w:t>“Nishimura et al. successfully obtained trans -S1PC in a 5-step process involving isomerization of a terminal triple bond ethyl prop-2-ynyl sulfide to ethyl prop-1-ynyl sulfide and the subsequent reductive coupling with alkyl chloride under strong basic conditions using sodium methoxide, metal lithium and liquid ammonia ( Scheme 1 B) [ 15 ]. Approximately three decades after Nishimura\u2019s report, Namyslo and Stanitzek reported another synthesis method for trans -S1PC, utilizing special palladium\u2013catalyzed coupling of cysteine with ( E )-1-bromoprop-1-ene ( Scheme 1 C) [ 16 ]. Their method consisted of four steps, each showing a relatively high yield, 98%, 82%, 94% and 78% (final calculated yield: 59%), respectively. Lee et al. also used ( E )-1-bromoprop-1-ene to synthesize S1PC stereoselectively ( Scheme 1 D) [ 17 ]. They obtained ( E )-1-(benzylthio)-1-propene by treating tert -BuLi and dibenzyl disulfide with ( E )-1-bromoprop-1-ene under strong basic conditions using metal sodium and liquid ammonia, and subsequently coupled with 3-chloroalanine to produce trans -S1PC.”  [PMC6154623 ¶11]</w:t>
      </w:r>
    </w:p>
    <w:p>
      <w:pPr>
        <w:spacing w:after="120"/>
        <w:jc w:val="both"/>
      </w:pPr>
      <w:r>
        <w:rPr>
          <w:rFonts w:ascii="Times New Roman" w:hAnsi="Times New Roman" w:cs="Times New Roman" w:eastAsia="Times New Roman"/>
          <w:b w:val="0"/>
          <w:i w:val="0"/>
          <w:sz w:val="24"/>
        </w:rPr>
        <w:t>“Although their method required only two steps, the yield of each step was 48% and 27% (final yield calculated: 13%). Kodera et al. observed reversible isomerization of S1PC under acidic conditions [ 18 ], suggesting that trans -S1PC prepared by the above method consisted of a mixture of cis - and trans -forms resulting from the removal of protective groups from amino and/or carboxylic groups. Therefore, further study must be made to accomplish the sufficient stereoselective synthesis of trans -S1PC including the purification steps. 3. Biosynthesis of S -1-propenyl- l -cysteine in Allium Plants Allium plants accumulate organic sulfur compounds biosynthetically using the ultimate inorganic source, sulfate (SO 4 2 \u2212 ) ( Scheme 2 and Scheme 3 ) [ 1 , 5 ]. Sulfur is incorporated into l -cysteine, which subsequently undergoes two conversions, glutamylation and glycylation, to yield glutathione.”  [PMC6154623 ¶12]</w:t>
      </w:r>
    </w:p>
    <w:p>
      <w:pPr>
        <w:spacing w:after="120"/>
        <w:jc w:val="both"/>
      </w:pPr>
      <w:r>
        <w:rPr>
          <w:rFonts w:ascii="Times New Roman" w:hAnsi="Times New Roman" w:cs="Times New Roman" w:eastAsia="Times New Roman"/>
          <w:b w:val="0"/>
          <w:i w:val="0"/>
          <w:sz w:val="24"/>
        </w:rPr>
        <w:t>“After this sulfur fixation, various sulfur compounds are produced as a series of sulfur storage molecules, such as S -alk(en)yl- l -cysteine sulfoxides, \u03b3-glutamyl- S -alk(en)yl- l -cysteines and \u03b3-glutamyl- S -alk(en)yl- l -cysteine sulfoxides via S -alk(en)ylation of l -cysteine residue, followed by removal of glycine to form \u03b3-glutamylpeptides and by S -oxygenation and deglutamylation to yield S -alk(en)yl- l -cysteine sulfoxides [ 1 , 5 , 36 , 37 , 38 , 39 ]. Four S -alk(en)yl- l -cysteine sulfoxides have been identified in Allium ( Figure 1 ) and the relative abundance levels of these compounds are different among species. Parry et al. presented the biosynthesis pathway of S -1-propenyl compounds including trans -S1PCSO (isoalliin) (7) in onion, through isotope-labeling studies [ 5 ] and [ 40 , 41 ]. In the onion, after decarboxylation of the \u03b2-carboxypropenyl residue in S -(\u03b2-carboxypropenyl)-\u03b3-glutamyl- l -cysteine to yield \u03b3-glutamyl- S -1-propenyl- l -cysteine (GS1PC), sulfur in GS1PC is oxidized by oxygenase and subsequently isoalliin is released from GS1PC sulfoxide by deglutamylation ( Scheme 2 ).”  [PMC6154623 ¶13]</w:t>
      </w:r>
    </w:p>
    <w:p>
      <w:pPr>
        <w:spacing w:after="120"/>
        <w:jc w:val="both"/>
      </w:pPr>
      <w:r>
        <w:rPr>
          <w:rFonts w:ascii="Times New Roman" w:hAnsi="Times New Roman" w:cs="Times New Roman" w:eastAsia="Times New Roman"/>
          <w:b w:val="0"/>
          <w:i w:val="0"/>
          <w:sz w:val="24"/>
        </w:rPr>
        <w:t>“Garlic contains SAC (2) and its putative precursor compound, \u03b3-glutamyl- S -allyl- l -cysteine (GSAC, ( 10 )) [ 1 , 18 , 19 ]. However, the source of the allyl group in S -alkenylation and the reaction order between S -oxidation and deglutamylation to produce alliin is unclear [ 38 , 39 ]. Flavin-containing monooxygenase (FMO) is widely distributed in plants and plays a critical role in oxidation reactions during the biosynthesis [ 42 ]. Yoshimoto et al. showed that garlic flavin-containing monooxygenase (AsFMO1) catalyzes the highly stereoselective S -oxygenation reaction in the biosynthesis of alliin in garlic [ 38 , 39 ]. Recombinant AsFMO1 catalyzed S -oxygenation of both SAC and GSAC, but strongly preferred SAC over GSAC as the S -oxidation substrate. The content of SAC in fresh garlic is less than 0.026 mg/g fresh-weight [ 1 ]. Therefore, these results suggested that alliin was produced via rapid S -oxidation of SAC by AsFMO1 after deglutamylation of GSAC in garlic ( Scheme 3 ).”  [PMC6154623 ¶14]</w:t>
      </w:r>
    </w:p>
    <w:p>
      <w:pPr>
        <w:spacing w:after="120"/>
        <w:jc w:val="both"/>
      </w:pPr>
      <w:r>
        <w:rPr>
          <w:rFonts w:ascii="Times New Roman" w:hAnsi="Times New Roman" w:cs="Times New Roman" w:eastAsia="Times New Roman"/>
          <w:b w:val="0"/>
          <w:i w:val="0"/>
          <w:sz w:val="24"/>
        </w:rPr>
        <w:t>“Garlic contains both isoalliin and GS1PC, and the order of reaction between S -oxidation and deglutamylation is unclear. Herein, the amount of S1PC, a deoxidized form of isoalliin, is less than the limit of detection in fresh garlic cloves, no more than 0.006 mg/g fresh-weight in crushed garlic, while isoalliin exists in the range of 0.2\u20131.2 mg/g fresh-weight in garlic [ 1 ]. However, the content of GS1PC, a precursor of S1PC, is 3\u20139 mg/g fresh-weight, which is more than that of GSAC (2\u20136 mg/g fresh-weight) [ 1 ]. GS1PC is abundant as a sulfur storage molecule in raw garlic without undergoing two conversions: S -oxygenation and deglutamylation. S1PC and GS1PC were identified in aged garlic extract [ 1 , 18 , 19 ], and the content of GS1PC in AGE was around 5% of that in raw garlic [ 1 , 18 , 32 ], suggesting that the deglutamylation reaction without S -oxygenation may hardly occur in raw garlic, whereas only deglutamylation of GS1PC occurs during the aging process in aqueous solution ( Scheme 3 ).”  [PMC6154623 ¶15]</w:t>
      </w:r>
    </w:p>
    <w:p>
      <w:pPr>
        <w:spacing w:after="120"/>
        <w:jc w:val="both"/>
      </w:pPr>
      <w:r>
        <w:rPr>
          <w:rFonts w:ascii="Times New Roman" w:hAnsi="Times New Roman" w:cs="Times New Roman" w:eastAsia="Times New Roman"/>
          <w:b w:val="0"/>
          <w:i w:val="0"/>
          <w:sz w:val="24"/>
        </w:rPr>
        <w:t>“According to the above findings, isoalliin in raw garlic may be produced by the same synthetic pathway as alliin [ 38 , 39 ], and S1PC in AGE is produced by the same production mechanism as SAC [ 1 , 9 , 19 ]. 4. Analysis of Sulfur-Containing Compounds in Garlic and Its Preparations Allium plants and their preparations contain a variety of characteristic sulfur-containing compounds. These compounds are categorized as hydrophilic and hydrophobic. Gas chromatographic (GC) methods have outstanding separation abilities and are generally used for the analysis of hydrophobic compounds and the volatile derivatives of hydrophilic compounds. There are numerous reports describing the analysis of volatile compounds derived from Allium plants [ 43 , 44 , 45 , 46 ]. During GC analysis, pyrolysis of analytes and formation of degradation products during the measurement must be considered, as the analytes are often exposed to high temperatures at the inlet port and in the GC-column oven of the analytical equipment.”  [PMC6154623 ¶16]</w:t>
      </w:r>
    </w:p>
    <w:p>
      <w:pPr>
        <w:spacing w:after="120"/>
        <w:jc w:val="both"/>
      </w:pPr>
      <w:r>
        <w:rPr>
          <w:rFonts w:ascii="Times New Roman" w:hAnsi="Times New Roman" w:cs="Times New Roman" w:eastAsia="Times New Roman"/>
          <w:b w:val="0"/>
          <w:i w:val="0"/>
          <w:sz w:val="24"/>
        </w:rPr>
        <w:t>“Decomposition by heat resulted in peaks of artifacts [ 47 , 48 , 49 ]. High performance liquid chromatography (HPLC) has been widely used for the analysis of both hydrophilic and hydrophobic compounds. HPLC analysis is usually run at relatively low temperatures to avoid decomposition [ 50 ]. Additionally, many substances with various chemical properties can be analyzed in a single run using a gradient program, and/or changing the content of organic solvent in mobile phase. For these reasons, HPLC methods are extremely useful for the analysis of natural products. However, the problem of interference by co-existing components in a sample often occurs because of the use of simple UV absorption-based detection. Lawson et al. presented an HPLC method for S1PC analysis at UV 220 nm absorption. However, the peak corresponding to S1PC was partially obstructed by other components in a garlic sample incubated with GTPase [ 32 ].”  [PMC6154623 ¶17]</w:t>
      </w:r>
    </w:p>
    <w:p>
      <w:pPr>
        <w:spacing w:after="120"/>
        <w:jc w:val="both"/>
      </w:pPr>
      <w:r>
        <w:rPr>
          <w:rFonts w:ascii="Times New Roman" w:hAnsi="Times New Roman" w:cs="Times New Roman" w:eastAsia="Times New Roman"/>
          <w:b w:val="0"/>
          <w:i w:val="0"/>
          <w:sz w:val="24"/>
        </w:rPr>
        <w:t>“Yamasaki et al. successfully separated eleven cysteine derivatives including alliin, isoalliin and deoxyalliin (SAC) in a garlic sample using a reversed phase HPLC method at UV 210 nm absorption, but S1PC was not observed in their report [ 51 ]. In fact, many researchers faced problem of interference by co-existing components under separation conditions used for analysis of hydrophilic compounds in a sample [ 52 , 53 , 54 , 55 , 56 , 57 ]. Therefore, an analytical method specific for the detection of sulfur-containing compounds was necessary. Hexaiodoplatinate reagent (HIPR) is a dark red substance whose color changes to yellow when mixed with sulfur compounds [ 57 , 58 , 59 , 60 ]. Matsutomo et al. successfully developed a post-column HPLC method for the detection of sulfur-containing compounds by using HIPR [ 19 , 59 , 60 ]. They developed the method to separate and analyze more than twenty sulfur-containing compounds in garlic preparations, including isomers of S1PC (( 3 ) and ( 4 ) in Figure 2 A), in a single run.”  [PMC6154623 ¶18]</w:t>
      </w:r>
    </w:p>
    <w:p>
      <w:pPr>
        <w:spacing w:after="120"/>
        <w:jc w:val="both"/>
      </w:pPr>
      <w:r>
        <w:rPr>
          <w:rFonts w:ascii="Times New Roman" w:hAnsi="Times New Roman" w:cs="Times New Roman" w:eastAsia="Times New Roman"/>
          <w:b w:val="0"/>
          <w:i w:val="0"/>
          <w:sz w:val="24"/>
        </w:rPr>
        <w:t>“Additionally, this method was adapted for LC-MS analysis, using a separating mobile phase consisting of an organic solvent, methanol, and other reagents, formic acid or heptafluorobutyric acid, which do not have undesirable influences on the MS system. S - n -Butenyl- l -cysteine, which does not exist in the genus Allium , was used as the internal standard for both HPLC and LC\u2013MS analysis (eluted at 40.95 min in Figure 2 A,B). Using this method, cis -form S1PC was shown to exist in AGE [ 19 ], and its content increased during the aging process of AGE [ 18 , 19 ]. The authors concluded that the established HPLC method may help identify unknown sulfur-containing compounds in natural products and could be utilized for elucidating of their production mechanism. 5. Change of S -1-propenyl- l -cysteine Content during Processing Garlic contains several \u03b3-glutamylpeptides, such as \u03b3-glutamyl- S -methyl- l -cysteine (GSMC), GSAC and GS1PC [ 1 , 5 , 32 , 37 , 51 , 57 ].”  [PMC6154623 ¶19]</w:t>
      </w:r>
    </w:p>
    <w:p>
      <w:pPr>
        <w:spacing w:after="120"/>
        <w:jc w:val="both"/>
      </w:pPr>
      <w:r>
        <w:rPr>
          <w:rFonts w:ascii="Times New Roman" w:hAnsi="Times New Roman" w:cs="Times New Roman" w:eastAsia="Times New Roman"/>
          <w:b w:val="0"/>
          <w:i w:val="0"/>
          <w:sz w:val="24"/>
        </w:rPr>
        <w:t>“It was observed that the amount of these peptides decreased when garlic was soaked in aqueous alcohol, while the formation of sulfur-containing amino acids, such as SMC, SAC and S1PC increased [ 1 , 9 , 18 , 19 ]. This change was shown to occur through hydrolysis of \u03b3-glutamylpeptides by GTPase [ 1 , 39 ]. It was also shown that this hydrolysis reaction was complete within 100 days at room temperature [ 1 ]. The amount of S1PC in the garlic preparations varied depending on the content of its precursor compound, GS1PC, in raw garlic (3\u20139 mg/g fresh-weight) [ 1 ]. Ichikawa et al. revealed an interesting phenomenon related to the content of GS1PC in fresh garlic ( Figure 3 A,B). They stored fresh garlic at \u22123 \u00b0C, 4 \u00b0C and 23 \u00b0C for 150 days, and measured the content of GS1PC at an appropriate interval. The amount of GS1PC decreased markedly between 10 and 60 days of storage at \u22123 \u00b0C, 4 \u00b0C and 23 \u00b0C, to 88%, 34% and 75% (on a molar basis) of the initial content, respectively [ 53 ].”  [PMC6154623 ¶20]</w:t>
      </w:r>
    </w:p>
    <w:p>
      <w:pPr>
        <w:spacing w:after="120"/>
        <w:jc w:val="both"/>
      </w:pPr>
      <w:r>
        <w:rPr>
          <w:rFonts w:ascii="Times New Roman" w:hAnsi="Times New Roman" w:cs="Times New Roman" w:eastAsia="Times New Roman"/>
          <w:b w:val="0"/>
          <w:i w:val="0"/>
          <w:sz w:val="24"/>
        </w:rPr>
        <w:t>“Similar results were observed in the GSAC content during the storage of fresh garlic under the same conditions, suggesting that the common temperature of refrigeration, 4 \u00b0C, might not be suitable to prevent the transformation of \u03b3-glutamylpeptides in fresh garlic ( Figure 3 A, B). Although trans -S1PC is naturally present in garlic, cis -S1PC is also present in AGE [ 19 ]. Interestingly, the amount of cis -S1PC in AGE gradually increased during the aging period, while that of trans -S1PC became constant after 10 months of aging ( Figure 3 C) [ 19 ]. The presence of cis -GS1PC, a plausible precursor of cis -S1PC, was confirmed in raw garlic ( Scheme 3 ) [ 1 , 32 ]. However, its amount was not enough to produce the cis -S1PC content detected in AGE [ 18 , 32 ]. In order to explain this unbalanced stoichiometry, Kodera et al. performed the model reaction to verify their hypothesis that cis -S1PC is produced by isomerization of trans -S1PC during the aging period [ 18 ].”  [PMC6154623 ¶21]</w:t>
      </w:r>
    </w:p>
    <w:p>
      <w:pPr>
        <w:spacing w:after="120"/>
        <w:jc w:val="both"/>
      </w:pPr>
      <w:r>
        <w:rPr>
          <w:rFonts w:ascii="Times New Roman" w:hAnsi="Times New Roman" w:cs="Times New Roman" w:eastAsia="Times New Roman"/>
          <w:b w:val="0"/>
          <w:i w:val="0"/>
          <w:sz w:val="24"/>
        </w:rPr>
        <w:t>“In their study, cis -S1PC and trans -S1PC were dissolved in deuterium oxide separately, and acetic acid- d 4 was added to each solution to adjust the pH between 3 and 5. The solutions were dispensed into NMR tubes, incubated at 60 \u00b0C for 30 days and analyzed using 1 H-NMR at appropriate intervals. The proton signals of C1, C2 and C3 in the propenyl group of the incubation mixtures changed gradually, until the intensities of cis - and trans -signals were almost equal. These results indicated that isomerization of S1PC between the cis -form and trans -form is reversible, and the amount of cis -S1PC observed in AGE might be partly derived from trans -S1PC through the isomerization reaction during the aging process ( Figure 3 D). This may be one of the reactions occurring during aging, producing the variety of characteristic constituents of AGE. 6. Biological Properties of S -1-propenyl- l -cysteine The variety of biological properties of SAC, a stereoisomer of S1PC, such as anti-cancer effects, antioxidant effect, neuroprotection, cholesterol reduction may be important for maintenance of human health [ 3 , 9 , 10 ].”  [PMC6154623 ¶22]</w:t>
      </w:r>
    </w:p>
    <w:p>
      <w:pPr>
        <w:spacing w:after="120"/>
        <w:jc w:val="both"/>
      </w:pPr>
      <w:r>
        <w:rPr>
          <w:rFonts w:ascii="Times New Roman" w:hAnsi="Times New Roman" w:cs="Times New Roman" w:eastAsia="Times New Roman"/>
          <w:b w:val="0"/>
          <w:i w:val="0"/>
          <w:sz w:val="24"/>
        </w:rPr>
        <w:t>“Furthermore, SAC shows an excellent pharmacokinetic profile with high bioavailability and safety [ 11 , 12 ]. S1PC was identified in AGE, and its content was similar to that of SAC [ 18 , 19 ]. However, there was no information regarding the biological effects, pharmacokinetics and safety of S1PC. Herein, we will describe the biological properties of S1PC that have been revealed by recent studies [ 20 , 21 , 29 , 30 ]. 6.1. Immunomodulation Garlic has been speculated to possess immunomodulatory effects. Immunomodulation by several garlic preparations and many sulfur-containing compounds has been studied using various in vitro and in vivo experimental systems. Allicin, diallylpolysulfides (DAS n , n = 1\u20137), allyl methyl sulfide, vinyldithiins and ajoenes are representative hydrophobic compounds derived from garlic ( Figure 1 ). Dirsch et al. showed that allicin and ajoene reduced accumulation of nitric oxide (NO) through inhibition of inducible nitric oxide synthase (iNOS) activity in LPS-stimulated RAW 264.7 macrophages [ 61 ].”  [PMC6154623 ¶23]</w:t>
      </w:r>
    </w:p>
    <w:p>
      <w:pPr>
        <w:spacing w:after="120"/>
        <w:jc w:val="both"/>
      </w:pPr>
      <w:r>
        <w:rPr>
          <w:rFonts w:ascii="Times New Roman" w:hAnsi="Times New Roman" w:cs="Times New Roman" w:eastAsia="Times New Roman"/>
          <w:b w:val="0"/>
          <w:i w:val="0"/>
          <w:sz w:val="24"/>
        </w:rPr>
        <w:t>“Kang et al. observed that allicin induced tumoricidal activity along with enhanced formation of TNF-\u03b1 and NO in a dose-dependent manner (1\u2013100 ng/mL) in murine peritoneal macrophages [ 62 ]. Oral administration of allicin enhanced the formation of pro-inflammatory mediators IFN-\u03b3, TNF-\u03b1 and IL-12p70 in BALB/c mice [ 63 ]. In vitro studies revealed that other hydrophobic compounds, including DAS ( 16 ), DADS ( 17 ) and DATS ( 18 ), which are major transformed compounds of allicin, showed reduction of iNOS expression/activity and NO production as well as inhibition of inflammatory cytokine production and inhibition of NF-\u03baB activity [ 64 , 65 , 66 ]. On contrary, alliin, a precursor of allicin in raw garlic, was the only hydrophilic compound that was studied to assess its anti-inflammatory activity. Alliin prevented an increase in the expression of pro-inflammatory genes IL - 6 , MCP - 1 and Erg - 1 and in the protein levels of IL-6 and MCP-1 under LPS stimulation in 3T3-L1 adipocytes [ 67 ].”  [PMC6154623 ¶24]</w:t>
      </w:r>
    </w:p>
    <w:p>
      <w:pPr>
        <w:spacing w:after="120"/>
        <w:jc w:val="both"/>
      </w:pPr>
      <w:r>
        <w:rPr>
          <w:rFonts w:ascii="Times New Roman" w:hAnsi="Times New Roman" w:cs="Times New Roman" w:eastAsia="Times New Roman"/>
          <w:b w:val="0"/>
          <w:i w:val="0"/>
          <w:sz w:val="24"/>
        </w:rPr>
        <w:t>“Alliin also produced an increase in IL-1\u03b2 and TNF-\u03b1 levels in peripheral blood mononuclear cells during pokewood mitogen stimulation [ 68 ]. Although the characteristic compounds in raw garlic mentioned above showed anti-inflammatory effects at low concentrations in in vitro experiments, they also induced or produced pro-inflammatory mediators. Additionally, these compounds quickly disappeared when they were mixed with red blood cells [ 7 , 8 ]. Therefore, more comprehensive studies of these compounds, including pharmacokinetic studies, are necessary to evaluate the activity of raw garlic. AGE has been reported to have immunostimulatory effects in animal studies and human clinical trials [ 69 , 70 , 71 , 72 ]. However, its active constituents have not been identified. Suzuki et al. observed that S1PC increased immunoglobulin A (IgA) production by increasing the number of IgA-producing cells in vitro and in vivo ( Figure 4 A,B) [ 20 ].”  [PMC6154623 ¶25]</w:t>
      </w:r>
    </w:p>
    <w:p>
      <w:pPr>
        <w:spacing w:after="120"/>
        <w:jc w:val="both"/>
      </w:pPr>
      <w:r>
        <w:rPr>
          <w:rFonts w:ascii="Times New Roman" w:hAnsi="Times New Roman" w:cs="Times New Roman" w:eastAsia="Times New Roman"/>
          <w:b w:val="0"/>
          <w:i w:val="0"/>
          <w:sz w:val="24"/>
        </w:rPr>
        <w:t>“In addition, S1PC increased the mRNA expression of X -box binding protein 1 ( Xbp1 ), an inducer of plasma cell differentiation, by enhancing Erk1/2-mediated paired box protein 5 (Pax5) degradation in B cells ( Figure 4 C,D). IgA plays an important role in the first line of immune defense by the intestinal mucosa and is produced by plasma cells in gut\u2013associated lymphoid tissues [ 73 , 74 , 75 , 76 ]. Therefore, S1PC may enhance the intestinal immune response against pathogens. AGE has been reported to activate natural killer (NK) cells and subsequently inhibit tumor growth in experimental animal and human clinical studies [ 69 , 70 , 71 ]. The activation of NK cells is known to regulated by type I IFNs [ 77 , 78 , 79 ]. Recently, the transcription factor Xbp1 has been shown to be essential for the development, survival and cytokine production of several immune cells. Dendritic cells (DC) from Xbp1 knockout mice and macrophages decrease the production of type I IFNs [ 80 , 81 ].”  [PMC6154623 ¶26]</w:t>
      </w:r>
    </w:p>
    <w:p>
      <w:pPr>
        <w:spacing w:after="120"/>
        <w:jc w:val="both"/>
      </w:pPr>
      <w:r>
        <w:rPr>
          <w:rFonts w:ascii="Times New Roman" w:hAnsi="Times New Roman" w:cs="Times New Roman" w:eastAsia="Times New Roman"/>
          <w:b w:val="0"/>
          <w:i w:val="0"/>
          <w:sz w:val="24"/>
        </w:rPr>
        <w:t>“In addition, induction of the unfolded protein response (UPR) and splicing of Xbp1 s are essential for optimal NK cell cytotoxicity [ 82 ]. Futhermore, the phosphorylation of Erk1/2 increases NK cell cytotoxicity [ 83 ]. Suzuki et al. observed that S1PC increased the phosphorylation of Erk1/2 and Xbp1 mRNA expression [ 20 ]. Therefore, S1PC may affect the modulation of NK cell and DC via the activation of Erk1/2, the up\u2013regulation of Xbp1 expression and subsequent signaling pathways, and thus eventually may bolster human immunes responses. 6.2. Antihypertension Lifestyle and diet strongly influence human health. The number of people who contract lifestyle-related diseases, such as diabetes, hyperlipidemia, hyperglycemia and hypertension, is increasing world-wide [ 84 ]. Hypertension is an important risk factor for cardiovascular diseases (CVD), and is one of the most frequently encountered health problems [ 85 , 86 ].”  [PMC6154623 ¶27]</w:t>
      </w:r>
    </w:p>
    <w:p>
      <w:pPr>
        <w:spacing w:after="120"/>
        <w:jc w:val="both"/>
      </w:pPr>
      <w:r>
        <w:rPr>
          <w:rFonts w:ascii="Times New Roman" w:hAnsi="Times New Roman" w:cs="Times New Roman" w:eastAsia="Times New Roman"/>
          <w:b w:val="0"/>
          <w:i w:val="0"/>
          <w:sz w:val="24"/>
        </w:rPr>
        <w:t>“The effect of garlic supplementation on blood pressure has been examined in numerous clinical studies [ 87 ]. Meta-analysis of 20 clinical trials performed in 1988\u20132013 revealed that garlic supplements reduced the blood pressure of 970 participants with a mean \u00b1 SE decrease in SBP of 5.1 \u00b1 2.2 mm Hg ( p &lt; 0.001) and a mean \u00b1 SE decrease in DBP of 2.5 \u00b1 1.6 mm Hg ( p &lt; 0.002) [ 87 ]. The supplements tested in these trials were produced from dehydrated raw garlic powder, garlic oil, AGE, and Japanese garlic powder containing egg yolk. Ried et al. evaluated the antihypertensive effect of AGE on adult patients with uncontrolled hypertension in double\u2013blind randomized placebo-controlled parallel trials. In those studies, AGE was consumed for 12 weeks, and the blood pressure-lowering effects were observed after 8 weeks of AGE treatment with significant differences between the placebo and AGE groups.”  [PMC6154623 ¶28]</w:t>
      </w:r>
    </w:p>
    <w:p>
      <w:pPr>
        <w:spacing w:after="120"/>
        <w:jc w:val="both"/>
      </w:pPr>
      <w:r>
        <w:rPr>
          <w:rFonts w:ascii="Times New Roman" w:hAnsi="Times New Roman" w:cs="Times New Roman" w:eastAsia="Times New Roman"/>
          <w:b w:val="0"/>
          <w:i w:val="0"/>
          <w:sz w:val="24"/>
        </w:rPr>
        <w:t>“They concluded that AGE consumption may be effective, tolerable, and safe adjunct treatment to conventional antihypertensive therapy [ 88 , 89 ]. Spontaneously hypertensive rats (SHRs) have been used as an experimental animal model for human essential hypertension, although the exact pathogenic mechanism of hypertension in SHRs is still unclear [ 90 , 91 ]. Comparison of the antihypertensive effects of raw garlic and AGE on SHRs showed that the effects in the raw garlic group were noticeably stronger than those in animals receiving AGE. However, the raw garlic group showed serious side effects including anemia, an induction of body weight loss and a decrease in the number of red blood cells, while those undesirable effects were not observed in the AGE group [ 22 ]. Several constituents have been considered to be responsible for the antihypertensive effects of garlic supplements, including alliin, allicin and SAC.”  [PMC6154623 ¶29]</w:t>
      </w:r>
    </w:p>
    <w:p>
      <w:pPr>
        <w:spacing w:after="120"/>
        <w:jc w:val="both"/>
      </w:pPr>
      <w:r>
        <w:rPr>
          <w:rFonts w:ascii="Times New Roman" w:hAnsi="Times New Roman" w:cs="Times New Roman" w:eastAsia="Times New Roman"/>
          <w:b w:val="0"/>
          <w:i w:val="0"/>
          <w:sz w:val="24"/>
        </w:rPr>
        <w:t>“However, detailed mechanisms of their actions are unclear. Alliin and allicin are representative compounds in fresh garlic, but their pharmacokinetic studies revealed that the bioavailability of alliin was quite low, 16.5% [ 92 ], and allicin was highly unstable in the both rats and human blood [ 7 , 8 ]. 85.5% of 35 S-labeled allicin was excreted in urine and feces in rats [ 93 ], suggesting that both compounds would not be the real active components. On the contrary, SAC showed excellent oral absorption in experimental animals with a bioavailability of almost 100% [ 11 ]. Concentration\u2013time profiles of SAC in human plasma were similar to those observed in mice, rats and dogs (rapid absorption and long-lasting in blood concentration after intake of AGE) [ 11 , 12 ]. The effectiveness of SAC and AGE were evaluated in a hypertensive animal model, 5/6 nephrectomized rats. Treatment with SAC (200 mg/kg, i.p.) and AGE (1.2 mL/kg, i.p.) for 30 days ameliorated hypertension, as well as other indicators of renal impairment [ 94 ].”  [PMC6154623 ¶30]</w:t>
      </w:r>
    </w:p>
    <w:p>
      <w:pPr>
        <w:spacing w:after="120"/>
        <w:jc w:val="both"/>
      </w:pPr>
      <w:r>
        <w:rPr>
          <w:rFonts w:ascii="Times New Roman" w:hAnsi="Times New Roman" w:cs="Times New Roman" w:eastAsia="Times New Roman"/>
          <w:b w:val="0"/>
          <w:i w:val="0"/>
          <w:sz w:val="24"/>
        </w:rPr>
        <w:t>“Matsutomo et al. studied and compared the effects of AGE and its two major sulfur-containing constituents, SAC and S1PC, on the development of hypertension in SHRs, which were orally administrated AGE (2 g/kg including 7.9 mg/kg of SAC and 6.5 mg/kg of S1PC), SAC (7.9 mg/kg) and S1PC (6.5 mg/kg) for 10 weeks, respectively [ 21 ]. AGE and S1PC significantly inhibited the increase of SBP in SHRs at 10 weeks of treatment. The development of hypertension was delayed in the SAC treated animals, but was not significantly different from the vehicle-treated controls. Metabolomics analyses of plasma samples collected from SHRs after completion of the treatment showed that plasma concentrations of seven metabolites were affected by the treatment of S1PC ( Table 1 ). Furthermore, regression analysis showed the correlation between SBP and a plasma levels of betaine, tryptophan and LysoPCs. Betaine is known as an organic osmolyte in renal medullary cells, and its concentration in plasma and urine is controlled by homeostatic system [ 95 ].”  [PMC6154623 ¶31]</w:t>
      </w:r>
    </w:p>
    <w:p>
      <w:pPr>
        <w:spacing w:after="120"/>
        <w:jc w:val="both"/>
      </w:pPr>
      <w:r>
        <w:rPr>
          <w:rFonts w:ascii="Times New Roman" w:hAnsi="Times New Roman" w:cs="Times New Roman" w:eastAsia="Times New Roman"/>
          <w:b w:val="0"/>
          <w:i w:val="0"/>
          <w:sz w:val="24"/>
        </w:rPr>
        <w:t>“Thus, the reduction of betaine in the S1PC treatment group may be partially related to the antihypertensive effect of S1PC. Matsutomo et al. suggested that S1PC lowers the blood pressure through alteration of plasma tryptophan levels via the kynurenine pathway, which leads to the reduction of blood pressure, though clear evidence of metabolite changes in these pathways was not obtained [ 21 , 96 ]. Altered concentrations of phospolipids were also observed in the group receiving S1PC treatment. LysoPC is known to affect vasorelaxation as well as NO production [ 97 ]. These results suggest that S1PC reduces the blood pressure through alteration of metabolite levels in the pathway involving glycerolipid metabolism, tryptophan metabolism, glycine metabolism, and serine and threonine metabolism, and may serve as one of the major active constituents responsible for the antihypertensive effect in AGE. 6.3.”  [PMC6154623 ¶32]</w:t>
      </w:r>
    </w:p>
    <w:p>
      <w:pPr>
        <w:spacing w:after="120"/>
        <w:jc w:val="both"/>
      </w:pPr>
      <w:r>
        <w:rPr>
          <w:rFonts w:ascii="Times New Roman" w:hAnsi="Times New Roman" w:cs="Times New Roman" w:eastAsia="Times New Roman"/>
          <w:b w:val="0"/>
          <w:i w:val="0"/>
          <w:sz w:val="24"/>
        </w:rPr>
        <w:t>“Pharmacokinetics and Safety In assessing the biological and pharmacologic activities of constituents of garlic and its preparations in vivo, we must consider their pharmacokinetic profiles, which are influenced by physiological functions of the body associated with oral absorption, tissue distribution, metabolism, and excretion. To produce a pharmacologic effect, each active constituent must be sufficiently absorbed and reach the target organs or tissues. Several studies examined the pharmacokinetics of hydrophobic sulfur components from garlic preparations, such as allicin, vinyldithiins, and allylpolysulfides, in mice and rats after oral administration [ 93 , 98 , 99 , 100 ]. The results of the studies showed that those hydrophobic compounds were absorbed in the gastrointestinal tract, but were not detected in rodent urine samples, due to their metabolic instability. The pharmacokinetics of several hydrophilic components in garlic preparations, such as alliin, SAC, and cycloalliin, were also studied [ 11 , 12 , 53 , 92 , 101 ].”  [PMC6154623 ¶33]</w:t>
      </w:r>
    </w:p>
    <w:p>
      <w:pPr>
        <w:spacing w:after="120"/>
        <w:jc w:val="both"/>
      </w:pPr>
      <w:r>
        <w:rPr>
          <w:rFonts w:ascii="Times New Roman" w:hAnsi="Times New Roman" w:cs="Times New Roman" w:eastAsia="Times New Roman"/>
          <w:b w:val="0"/>
          <w:i w:val="0"/>
          <w:sz w:val="24"/>
        </w:rPr>
        <w:t>“Guo et al. reported that the oral bioavailability of alliin, a precursor compound of allicin, was 16.5% in rats [ 92 ]. Ichikawa et al. evaluated the pharmacokinetics of cycloalliin a constituent in garlic and onion, in rats, demonstrating that cycloalliin was absorbed with a relatively low bioavailability: 3.7% at 25 mg/kg and 9.7% at 50 mg/kg [ 53 , 101 ]. They also reported that a deoxidized form of cycloalliin is absorbed better than cycloalliin [ 53 , 101 ]. Nagae et al. examined the pharmacokinetics of SAC, a deoxidized form of alliin, in mice, rats and dogs, revealing that SAC was highly absorbable with oral bioavailabilities ranging between 87% and 102% [ 11 ]. Kodera et al. examined the pharmacokinetics of SAC in humans and reported that blood concentrations of SAC lasted long (t 1/2 , &gt;10 h) after the intake of AGE [ 12 ]. Recently, Amano et al. investigated the pharmacokinetics, metabolism and excretion of three S -alk(en)yl- l -cysteines in AGE, SMC, SAC and S1PC, which are deoxidized forms of methiin, alliin and isoalliin, respectively ( Table 2 ) [ 28 , 102 ].”  [PMC6154623 ¶34]</w:t>
      </w:r>
    </w:p>
    <w:p>
      <w:pPr>
        <w:spacing w:after="120"/>
        <w:jc w:val="both"/>
      </w:pPr>
      <w:r>
        <w:rPr>
          <w:rFonts w:ascii="Times New Roman" w:hAnsi="Times New Roman" w:cs="Times New Roman" w:eastAsia="Times New Roman"/>
          <w:b w:val="0"/>
          <w:i w:val="0"/>
          <w:sz w:val="24"/>
        </w:rPr>
        <w:t>“These three compounds showed good oral absorption in rats and dogs with bioavailabilities of 88\u2013100%. They summarized that the pharmacokinetics of SMC, SAC, and S1PC were characterized by high oral absorption and extensive renal reabsorption, both of which contributed to their long elimination half\u2013lives (5.6\u201312 h), especially in dogs. In their studies, the pharmacokinetic profiles of S1PC and SAC were shown to be similar in rats and dogs. N -Acetylation was the main elimination pathway of SAC and S1PC in both animal species, with the plasma concentration of their N -acetylated metabolites being 1/2 to 1/3 of those of the parent forms. Additionally, an in vitro metabolism study revealed that the extent of N -acetylated metabolite formation from SAC and S1PC was dependent on the relative activities of N -acetylation and deacetylation in the liver and kidney. In rats, SAC and S1PC were primarily eliminated as their N -acetylated metabolites into urine, resulting from both renal reabsorption of the unchanged forms and active urinary secretion of the N -acetylated metabolites.”  [PMC6154623 ¶35]</w:t>
      </w:r>
    </w:p>
    <w:p>
      <w:pPr>
        <w:spacing w:after="120"/>
        <w:jc w:val="both"/>
      </w:pPr>
      <w:r>
        <w:rPr>
          <w:rFonts w:ascii="Times New Roman" w:hAnsi="Times New Roman" w:cs="Times New Roman" w:eastAsia="Times New Roman"/>
          <w:b w:val="0"/>
          <w:i w:val="0"/>
          <w:sz w:val="24"/>
        </w:rPr>
        <w:t>“On the other hand, the N -acetylated metabolites of SAC and S1PC were excreted in the urine of dogs to a much smaller extent because dog kidney had extremely high deacetylation activity for the N -acetylated metabolites [ 28 , 102 ]. The authors concluded that the kidney plays a critical role in the elimination of SAC and S1PC through renal excretion, reabsorption, and metabolism. Several studies regarding the safety of AGE and its constituents have been reported [ 9 , 12 , 22 , 29 ]. A sub\u2013acute study (one month) of SAC in rats demonstrated its high safety profile with a non-toxic dose of 250 mg/kg (oral dose) [ 12 ]. As the use of garlic preparations increased, the possible interactions with prescription medications have become a concern. Macan et al. reported the result of a clinical study that concomitant use of AGE with warfarin, an anticoagulant agent, for 12 weeks did not enhance hemorrhagic events [ 27 ].”  [PMC6154623 ¶36]</w:t>
      </w:r>
    </w:p>
    <w:p>
      <w:pPr>
        <w:spacing w:after="120"/>
        <w:jc w:val="both"/>
      </w:pPr>
      <w:r>
        <w:rPr>
          <w:rFonts w:ascii="Times New Roman" w:hAnsi="Times New Roman" w:cs="Times New Roman" w:eastAsia="Times New Roman"/>
          <w:b w:val="0"/>
          <w:i w:val="0"/>
          <w:sz w:val="24"/>
        </w:rPr>
        <w:t>“Amano et al. investigated the effects of SMC, SAC, and S1PC on enzymatic activities of five major isoforms of human cytochrome P450 (CYP): CYP1A2, 2C9, 2C19, 2D6 and 3A4 [ 29 ]. Allicin, a hydrophobic compound, which is produced in crashed garlic, but not detected in AGE, inhibited CYP1A2 and CYP3A4 activities with IC 50 values of 67 and 50\u2013165 \u03bcM, respectively. On the contrary, SMC, SAC and S1PC showed no effects on the reactions catalyzed by the human CYP isoforms, even at 1 mM, except in one case: S1PC inhibited a CYP3A4-catalyzed reaction by 31%. These results strongly suggested that these S -alk(en)yl- l -cysteines have little potential to cause drug-drug interactions through human CYP inhibition or activation. Gurley et al. reviewed the findings from a number of studies for evaluation of the drug interaction potential of garlic supplements in vitro and in vivo, concluding that commercially available garlic products, including AGE, have a limited potential to produce clinically important herb-drug interactions [ 103 ]. 7.”  [PMC6154623 ¶37]</w:t>
      </w:r>
    </w:p>
    <w:p>
      <w:pPr>
        <w:spacing w:after="120"/>
        <w:jc w:val="both"/>
      </w:pPr>
      <w:r>
        <w:rPr>
          <w:rFonts w:ascii="Times New Roman" w:hAnsi="Times New Roman" w:cs="Times New Roman" w:eastAsia="Times New Roman"/>
          <w:b w:val="0"/>
          <w:i w:val="0"/>
          <w:sz w:val="24"/>
        </w:rPr>
        <w:t>“Conclusions Curiously, since its identification in garlic more than 50 years ago, few reports concerning the biological properties of S1PC have appeared in the medical literature. Recent studies, however, have revealed a host of noteworthy pharmacological effects linked to S1PC. Raw garlic contains only a small amount of S1PC, but its content increases dramatically during the aging process of AGE. S1PC was shown to possess both immunomodulatory and antihypertensive effects in both in vitro and in vivo animal studies. These results are in accordance with previously observed pharmacological effects of AGE in experimental animal and human clinical studies [ 70 , 72 , 88 , 89 ]. Furthermore, S1PC showed good pharmacokinetic profiles in rats and dogs with the excellent bioavailability (88\u2013100%), and long elimination half\u2013lives, which may be attributed to its extensive renal reabsorption.”  [PMC6154623 ¶38]</w:t>
      </w:r>
    </w:p>
    <w:p>
      <w:pPr>
        <w:spacing w:after="120"/>
        <w:jc w:val="both"/>
      </w:pPr>
      <w:r>
        <w:rPr>
          <w:rFonts w:ascii="Times New Roman" w:hAnsi="Times New Roman" w:cs="Times New Roman" w:eastAsia="Times New Roman"/>
          <w:b w:val="0"/>
          <w:i w:val="0"/>
          <w:sz w:val="24"/>
        </w:rPr>
        <w:t>“Additionally, S1PC had little influence on human CYP activities even at the high concentration of 1 mM, suggesting that S1PC may not cause drug-drug interactions when consumed concomitantly with other medical agents. These results strongly suggest that S1PC is an orally-active component of AGE, which contributes to the prevention and alleviation of lifestyle-related illnesses and immune diseases.", "tables": [ { "label": "Table 1", "caption": "Altered metabolite levels in plasma after oral administration of S1PC to SHRs. a", "html": "&lt;table frame=\"hsides\" rules=\"groups\"&gt;&lt;thead&gt;&lt;tr&gt;&lt;th align=\"left\" valign=\"middle\" style=\"border-top:solid thin;border-bottom:solid thin\" rowspan=\"1\" colspan=\"1\"&gt;Metabolite &lt;sup&gt;b&lt;/sup&gt;&lt;/th&gt;&lt;th align=\"center\" valign=\"middle\" style=\"border-top:solid thin;border-bottom:solid thin\" rowspan=\"1\" colspan=\"1\"&gt;Control vs. WKY &lt;sup&gt;c&lt;/sup&gt;&lt;/th&gt;&lt;th align=\"center\" valign=\"middle\" style=\"border-top:solid thin;border-bottom:solid thin\" rowspan=\"1\" colspan=\"1\"&gt;S1PC vs.”  [PMC6154623 ¶39]</w:t>
      </w:r>
    </w:p>
    <w:p>
      <w:pPr>
        <w:spacing w:after="120"/>
        <w:jc w:val="both"/>
      </w:pPr>
      <w:r>
        <w:rPr>
          <w:rFonts w:ascii="Times New Roman" w:hAnsi="Times New Roman" w:cs="Times New Roman" w:eastAsia="Times New Roman"/>
          <w:b w:val="0"/>
          <w:i w:val="0"/>
          <w:sz w:val="24"/>
        </w:rPr>
        <w:t>“Control &lt;sup&gt;c&lt;/sup&gt;&lt;/th&gt;&lt;/tr&gt;&lt;/thead&gt;&lt;tbody&gt;&lt;tr&gt;&lt;td align=\"left\" valign=\"middle\" rowspan=\"1\" colspan=\"1\"&gt;Betaine&lt;/td&gt;&lt;td align=\"center\" valign=\"middle\" rowspan=\"1\" colspan=\"1\"&gt;\u2191\u2191 &lt;sup&gt;d&lt;/sup&gt;&lt;/td&gt;&lt;td align=\"center\" valign=\"middle\" rowspan=\"1\" colspan=\"1\"&gt;\u2193&lt;/td&gt;&lt;/tr&gt;&lt;tr&gt;&lt;td align=\"left\" valign=\"middle\" rowspan=\"1\" colspan=\"1\"&gt;Tryptophan&lt;/td&gt;&lt;td align=\"center\" valign=\"middle\" rowspan=\"1\" colspan=\"1\"&gt;\u2193\u2193&lt;/td&gt;&lt;td align=\"center\" valign=\"middle\" rowspan=\"1\" colspan=\"1\"&gt;\u2191\u2191&lt;/td&gt;&lt;/tr&gt;&lt;tr&gt;&lt;td align=\"left\" valign=\"middle\" rowspan=\"1\" colspan=\"1\"&gt;LysoPC(16:0)&lt;/td&gt;&lt;td align=\"center\" valign=\"middle\" rowspan=\"1\" colspan=\"1\"&gt;\u2193\u2193&lt;/td&gt;&lt;td align=\"center\" valign=\"middle\" rowspan=\"1\" colspan=\"1\"&gt;\u2191\u2191&lt;/td&gt;&lt;/tr&gt;&lt;tr&gt;&lt;td align=\"left\" valign=\"middle\" rowspan=\"1\" colspan=\"1\"&gt;LysoPC(18:3)&lt;/td&gt;&lt;td align=\"center\" valign=\"middle\" rowspan=\"1\" colspan=\"1\"&gt;\u2193\u2193&lt;/td&gt;&lt;td align=\"center\" valign=\"middle\" rowspan=\"1\" colspan=\"1\"&gt;\u2191\u2191&lt;/td&gt;&lt;/tr&gt;&lt;tr&gt;&lt;td align=\"left\" valign=\"middle\" rowspan=\"1\" colspan=\"1\"&gt;LysoPC(20:4)&lt;/td&gt;&lt;td align=\"center\" valign=\"middle\" rowspan=\"1\" colspan=\"1\"&gt;\u2193\u2193&lt;/td&gt;&lt;td align=\"center\" valign=\"middle\" rowspan=\"1\" colspan=\"1\"&gt;\u2191&lt;/td&gt;&lt;/tr&gt;&lt;tr&gt;&lt;td align=\"left\" valign=\"middle\" rowspan=\"1\" colspan=\"1\"&gt;3-(Acetyloxy)-2-hydroxypropyl icosanoate&lt;/td&gt;&lt;td align=\"center\" valign=\"middle\" rowspan=\"1\" colspan=\"1\"&gt;\u2191&lt;/td&gt;&lt;td align=\"center\" valign=\"middle\" rowspan=\"1\" colspan=\"1\"&gt;\u2193\u2193&lt;/td&gt;&lt;/tr&gt;&lt;tr&gt;&lt;td align=\"left\" valign=\"middle\" style=\"border-bottom:solid thin\" rowspan=\"1\" colspan=\"1\"&gt;Caproic acid&lt;/td&gt;&lt;td align=\"center\" valign=\"middle\" style=\"border-bottom:solid thin\" rowspan=\"1\" colspan=\"1\"&gt;\u2191\u2191&lt;/td&gt;&lt;td align=\"center\" valign=\"middle\" style=\"border-bottom:solid thin\" rowspan=\"1\" colspan=\"1\"&gt;\u2193&lt;/td&gt;&lt;/tr&gt;&lt;/tbody&gt;&lt;/table&gt;", "rows": [ [ "Metabolite b", "Control vs.”  [PMC6154623 ¶40]</w:t>
      </w:r>
    </w:p>
    <w:p>
      <w:pPr>
        <w:spacing w:after="120"/>
        <w:jc w:val="both"/>
      </w:pPr>
      <w:r>
        <w:rPr>
          <w:rFonts w:ascii="Times New Roman" w:hAnsi="Times New Roman" w:cs="Times New Roman" w:eastAsia="Times New Roman"/>
          <w:b w:val="0"/>
          <w:i w:val="0"/>
          <w:sz w:val="24"/>
        </w:rPr>
        <w:t>“WKY c", "S1PC vs. Control c" ], [ "Betaine", "\u2191\u2191 d", "\u2193" ], [ "Tryptophan", "\u2193\u2193", "\u2191\u2191" ], [ "LysoPC(16:0)", "\u2193\u2193", "\u2191\u2191" ], [ "LysoPC(18:3)", "\u2193\u2193", "\u2191\u2191" ], [ "LysoPC(20:4)", "\u2193\u2193", "\u2191" ], [ "3-(Acetyloxy)-2-hydroxypropyl icosanoate", "\u2191", "\u2193\u2193" ], [ "Caproic acid", "\u2191\u2191", "\u2193" ] ] }, { "label": "Table 2", "caption": "Pharmacokinetic parameters and excretion levels of SMC, SAC, and S1PC in rats and dogs after oral administration. a", "html": "&lt;table frame=\"hsides\" rules=\"groups\"&gt;&lt;thead&gt;&lt;tr&gt;&lt;th align=\"center\" valign=\"middle\" style=\"border-top:solid thin;border-bottom:solid thin\" rowspan=\"1\" colspan=\"1\"&gt;Animal&lt;/th&gt;&lt;th align=\"center\" valign=\"middle\" style=\"border-top:solid thin;border-bottom:solid thin\" rowspan=\"1\" colspan=\"1\"&gt;Compound&lt;/th&gt;&lt;th align=\"center\" valign=\"middle\" style=\"border-top:solid thin;border-bottom:solid thin\" rowspan=\"1\" colspan=\"1\"&gt;C&lt;sub&gt;max&lt;/sub&gt; (mg/L)&lt;/th&gt;&lt;th align=\"center\" valign=\"middle\" style=\"border-top:solid thin;border-bottom:solid thin\" rowspan=\"1\" colspan=\"1\"&gt;T&lt;sub&gt;1/2&lt;/sub&gt; (h)&lt;/th&gt;&lt;th align=\"center\" valign=\"middle\" style=\"border-top:solid thin;border-bottom:solid thin\" rowspan=\"1\" colspan=\"1\"&gt;AUC (mg\u00b7h/L)&lt;/th&gt;&lt;th align=\"center\" valign=\"middle\" style=\"border-top:solid thin;border-bottom:solid thin\" rowspan=\"1\" colspan=\"1\"&gt;BA (%)&lt;/th&gt;&lt;/tr&gt;&lt;/thead&gt;&lt;tbody&gt;&lt;tr&gt;&lt;td align=\"center\" valign=\"middle\" rowspan=\"1\" colspan=\"1\"&gt;Rat&lt;/td&gt;&lt;td align=\"center\" valign=\"middle\" rowspan=\"1\" colspan=\"1\"&gt;SMC &lt;sup&gt;b&lt;/sup&gt;&lt;/td&gt;&lt;td align=\"center\" valign=\"middle\" rowspan=\"1\" colspan=\"1\"&gt;1.3 \u00b1 0.33&lt;/td&gt;&lt;td align=\"center\" valign=\"middle\" rowspan=\"1\" colspan=\"1\"&gt;2.6 \u00b1 0.75&lt;/td&gt;&lt;td align=\"center\" valign=\"middle\" rowspan=\"1\" colspan=\"1\"&gt;6.0 \u00b1 1.7&lt;/td&gt;&lt;td align=\"center\" valign=\"middle\" rowspan=\"1\" colspan=\"1\"&gt;95.8&lt;/td&gt;&lt;/tr&gt;&lt;tr&gt;&lt;td align=\"center\" valign=\"middle\" rowspan=\"1\" colspan=\"1\"&gt;\n&lt;/td&gt;&lt;td align=\"center\" valign=\"middle\" rowspan=\"1\" colspan=\"1\"&gt;SAC &lt;sup&gt;c&lt;/sup&gt;&lt;/td&gt;&lt;td align=\"center\" valign=\"middle\" rowspan=\"1\" colspan=\"1\"&gt;3.9 \u00b1 0.64&lt;/td&gt;&lt;td align=\"center\" valign=\"middle\" rowspan=\"1\" colspan=\"1\"&gt;1.2 \u00b1 0.19&lt;/td&gt;&lt;td align=\"center\" valign=\"middle\" rowspan=\"1\" colspan=\"1\"&gt;5.1 \u00b1 0.58&lt;/td&gt;&lt;td align=\"center\" valign=\"middle\" rowspan=\"1\" colspan=\"1\"&gt;91.9&lt;/td&gt;&lt;/tr&gt;&lt;tr&gt;&lt;td align=\"center\" valign=\"middle\" rowspan=\"1\" colspan=\"1\"&gt;\n&lt;/td&gt;&lt;td align=\"center\" valign=\"middle\" rowspan=\"1\" colspan=\"1\"&gt;S1PC &lt;sup&gt;c&lt;/sup&gt;&lt;/td&gt;&lt;td align=\"center\" valign=\"middle\" rowspan=\"1\" colspan=\"1\"&gt;4.2 \u00b1 0.92&lt;/td&gt;&lt;td align=\"center\" valign=\"middle\" rowspan=\"1\" colspan=\"1\"&gt;0.56 \u00b1 0.072&lt;/td&gt;&lt;td align=\"center\" valign=\"middle\" rowspan=\"1\" colspan=\"1\"&gt;3.2 \u00b1 0.34&lt;/td&gt;&lt;td align=\"center\" valign=\"middle\" rowspan=\"1\" colspan=\"1\"&gt;88.0&lt;/td&gt;&lt;/tr&gt;&lt;tr&gt;&lt;td align=\"center\" valign=\"middle\" rowspan=\"1\" colspan=\"1\"&gt;Dog&lt;/td&gt;&lt;td align=\"center\" valign=\"middle\" rowspan=\"1\" colspan=\"1\"&gt;SMC &lt;sup&gt;b&lt;/sup&gt;&lt;/td&gt;&lt;td align=\"center\" valign=\"middle\" rowspan=\"1\" colspan=\"1\"&gt;2.6 \u00b1 0.62&lt;/td&gt;&lt;td align=\"center\" valign=\"middle\" rowspan=\"1\" colspan=\"1\"&gt;8.0 \u00b1 1.1&lt;/td&gt;&lt;td align=\"center\" valign=\"middle\" rowspan=\"1\" colspan=\"1\"&gt;41 \u00b1 5.3&lt;/td&gt;&lt;td align=\"center\" valign=\"middle\" rowspan=\"1\" colspan=\"1\"&gt;95.5&lt;/td&gt;&lt;/tr&gt;&lt;tr&gt;&lt;td align=\"center\" valign=\"middle\" rowspan=\"1\" colspan=\"1\"&gt;\n&lt;/td&gt;&lt;td align=\"center\" valign=\"middle\" rowspan=\"1\" colspan=\"1\"&gt;SAC &lt;sup&gt;b&lt;/sup&gt;&lt;/td&gt;&lt;td align=\"center\" valign=\"middle\" rowspan=\"1\" colspan=\"1\"&gt;2.1 \u00b1 0.14&lt;/td&gt;&lt;td align=\"center\" valign=\"middle\" rowspan=\"1\" colspan=\"1\"&gt;12 \u00b1 1.2&lt;/td&gt;&lt;td align=\"center\" valign=\"middle\" rowspan=\"1\" colspan=\"1\"&gt;39 \u00b1 3.5&lt;/td&gt;&lt;td align=\"center\" valign=\"middle\" rowspan=\"1\" colspan=\"1\"&gt;92.0&lt;/td&gt;&lt;/tr&gt;&lt;tr&gt;&lt;td align=\"center\" valign=\"middle\" style=\"border-bottom:solid thin\" rowspan=\"1\" colspan=\"1\"&gt;\n&lt;/td&gt;&lt;td align=\"center\" valign=\"middle\" style=\"border-bottom:solid thin\" rowspan=\"1\" colspan=\"1\"&gt;S1PC &lt;sup&gt;b&lt;/sup&gt;&lt;/td&gt;&lt;td align=\"center\" valign=\"middle\" style=\"border-bottom:solid thin\" rowspan=\"1\" colspan=\"1\"&gt;2.0 \u00b1 0.22&lt;/td&gt;&lt;td align=\"center\" valign=\"middle\" style=\"border-bottom:solid thin\" rowspan=\"1\" colspan=\"1\"&gt;5.6 \u00b1 0.58&lt;/td&gt;&lt;td align=\"center\" valign=\"middle\" style=\"border-bottom:solid thin\" rowspan=\"1\" colspan=\"1\"&gt;19 \u00b1 2.4&lt;/td&gt;&lt;td align=\"center\" valign=\"middle\" style=\"border-bottom:solid thin\" rowspan=\"1\" colspan=\"1\"&gt;100&lt;/td&gt;&lt;/tr&gt;&lt;/tbody&gt;&lt;/table&gt;", "rows": [ [ "Animal", "Compound", "C max (mg/L)", "T 1/2 (h)", "AUC (mg\u00b7h/L)", "BA (%)" ], [ "Rat", "SMC b", "1.3 \u00b1 0.33", "2.6 \u00b1 0.75", "6.0 \u00b1 1.7", "95.8" ], [ "", "SAC c", "3.9 \u00b1 0.64", "1.2 \u00b1 0.19", "5.1 \u00b1 0.58", "91.9" ], [ "", "S1PC c", "4.2 \u00b1 0.92", "0.56 \u00b1 0.072", "3.2 \u00b1 0.34", "88.0" ], [ "Dog", "SMC b", "2.6 \u00b1 0.62", "8.0 \u00b1 1.1", "41 \u00b1 5.3", "95.5" ], [ "", "SAC b", "2.1 \u00b1 0.14", "12 \u00b1 1.2", "39 \u00b1 3.5", "92.0" ], [ "", "S1PC b", "2.0 \u00b1 0.22", "5.6 \u00b1 0.58", "19 \u00b1 2.4", "100" ] ] } ], "figures": [ { "label": "Figure 1", "caption": "Chemical structures of sulfur-containing compounds derived from garlic.", "graphic_href": "molecules-22-00570-g001.jpg" }, { "label": "Scheme 1", "caption": "Organic syntheses of S -1-propenyl- l -cysteine.”  [PMC6154623 ¶41]</w:t>
      </w:r>
    </w:p>
    <w:p>
      <w:pPr>
        <w:spacing w:after="120"/>
        <w:jc w:val="both"/>
      </w:pPr>
      <w:r>
        <w:rPr>
          <w:rFonts w:ascii="Times New Roman" w:hAnsi="Times New Roman" w:cs="Times New Roman" w:eastAsia="Times New Roman"/>
          <w:b w:val="0"/>
          <w:i w:val="0"/>
          <w:sz w:val="24"/>
        </w:rPr>
        <w:t>“Reaction schemes A \u2013 D were redrawn based on previous studies [ 14 , 15 , 16 , 17 ].", "graphic_href": "molecules-22-00570-sch001.jpg" }, { "label": "Scheme 2", "caption": "Biosynthesis of sulfur-containing compounds in onion. Isoalliin ( 7 ) biosynthesis pathway was presented by Parry et al. using an isotope\u2013labeled compound in onion [ 40 , 41 ]. Scheme of biosynthesis was redrawn previous reports ([ 1 ], pp. 41\u201346, pp. 68\u201370, pp. 74\u201376, [ 5 ], pp. 165\u2013172). The chemical names of the numbered compounds are shown in Figure 1 .", "graphic_href": "molecules-22-00570-sch002.jpg" }, { "label": "Scheme 3", "caption": "Biosynthesis of sulfur-containing compounds in garlic. The biosynthesis pathway of alliin ( 6 ) in garlic was presented by Yoshimoto et al., who identified a flavine-containing monooxygenase (AsFMO1) [ 38 , 39 ]. Isoalliin biosynthesis was presented by Parry et al. using an isotope-labeled compound in onion [ 40 , 41 ].”  [PMC6154623 ¶42]</w:t>
      </w:r>
    </w:p>
    <w:p>
      <w:pPr>
        <w:spacing w:after="120"/>
        <w:jc w:val="both"/>
      </w:pPr>
      <w:r>
        <w:rPr>
          <w:rFonts w:ascii="Times New Roman" w:hAnsi="Times New Roman" w:cs="Times New Roman" w:eastAsia="Times New Roman"/>
          <w:b w:val="0"/>
          <w:i w:val="0"/>
          <w:sz w:val="24"/>
        </w:rPr>
        <w:t>“Isoalliin ( 7 ) content in garlic is less than 10% of the alliin content, and trans -GS1PC ( 11 ) content is high without the S -oxygenation reaction. It remains to be examined whether AsFMO1, an S -oxidase identified in garlic, S -oxygenates S1PCs and/or GS1PCs to S1PCSOs and/or GS1PCSOs in raw garlic. When garlic is processed in aqueous alcohol, SAC and S1PCs contents increased in the processing mixture without S -oxygenation. Illustration is based on mechanisms published in previous reports ([ 1 , 5 , 38 , 39 ]). Double line arrows indicate putative reactions based on the alliin biosynthesis pathway reported by Yoshimoto et al. [ 38 , 39 ]. The chemical names of the ", "graphic_href": "molecules-22-00570-sch003.jpg" }, { "label": "Figure 2", "caption": "Chromatogram of hydrophilic sulfur compounds in aged garlic extract by sulfur specific post-column HPLC analysis using hexaiodoplatinate reagent.”  [PMC6154623 ¶43]</w:t>
      </w:r>
    </w:p>
    <w:p>
      <w:pPr>
        <w:spacing w:after="120"/>
        <w:jc w:val="both"/>
      </w:pPr>
      <w:r>
        <w:rPr>
          <w:rFonts w:ascii="Times New Roman" w:hAnsi="Times New Roman" w:cs="Times New Roman" w:eastAsia="Times New Roman"/>
          <w:b w:val="0"/>
          <w:i w:val="0"/>
          <w:sz w:val="24"/>
        </w:rPr>
        <w:t>“Chromatogram was monitored at 500 nm absorbance. HPLC analysis was performed by post-column HPLC method using a NEXERA X2 system (Shimadzu, Kyoto, Japan) according to a previous report [ 19 ]. ( A ) Chromatogram of aged garlic extract; ( B ) Identified compounds and their elution times on HPLC chromatogram. The chemical names of the numbered compounds are shown in Figure 1 .", "graphic_href": "molecules-22-00570-g002.jpg" }, { "label": "Figure 3", "caption": "Changes of sulfur-containing compounds in raw garlic and AGE. ( A ) Changes of trans -GS1PC content in raw garlic stored at \u22123 \u00b0C, 4 \u00b0C and 23 \u00b0C; ( B ) Changes of GSAC content in raw garlic stored at \u22123 \u00b0C, 4 \u00b0C and 23 \u00b0C; ( C ) Changes of trans -S1PC and cis -S1PC content in aged garlic extract during the aging period. Values are mean \u00b1 SD ( n = 3); ( D ) Putative production mechanism of cis -S1PC through isomerization of the trans -form during aging process.”  [PMC6154623 ¶44]</w:t>
      </w:r>
    </w:p>
    <w:p>
      <w:pPr>
        <w:spacing w:after="120"/>
        <w:jc w:val="both"/>
      </w:pPr>
      <w:r>
        <w:rPr>
          <w:rFonts w:ascii="Times New Roman" w:hAnsi="Times New Roman" w:cs="Times New Roman" w:eastAsia="Times New Roman"/>
          <w:b w:val="0"/>
          <w:i w:val="0"/>
          <w:sz w:val="24"/>
        </w:rPr>
        <w:t>“Illustration is drawn based on literatures reports [ 18 , 19 , 53 ].", "graphic_href": "molecules-22-00570-g003.jpg" }, { "label": "Figure 4", "caption": "Immunomodulatory effect of S -1-propenyl- l -cysteine. ( A ) Effect of S1PC on IgA levels in intestinal lavage fluid. S1PC (30 mg/kg, once a day) or distilled water were orally administrated to C57BL/6N mice for 5 days ( n = 4\u20135). IgA level was measured using Mouse IgA ELISA Quantification set (Bethyl Laboratories, Inc. Montgomery, AL, USA), (** p &lt; 0.01); ( B ) Effect of S1PC on IgA\u2013inducing cells in Peyer\u2019s patches (PPs). The population of IgA+ cells was analyzed on a FACSCalibur (BD Bioscience, Palo Alto, CA, USA) using the DB Cell Quest software, (** p &lt; 0.01); ( C ) Effect of S1PC on Xbp1 mRNA expression in PP. Quantitative real\u2013time PCR reactions were performed using a Piko Real Real\u2013time PCR system (Thermo Fisher Scentific, Waltham, MA, USA) to determine relative expression levels of target genes. p -Values identified statistically significant differences between the test and control groups using a Student\u2019s t -test; ( D ) Putative mechanism on induction of Xbp1 expression by S1", "graphic_href": "molecules-22-00570-g004.jpg" } ], "references": [ { "title": "", "year":”  [PMC6154623 ¶45]</w:t>
      </w:r>
    </w:p>
    <w:p>
      <w:pPr>
        <w:keepNext/>
        <w:spacing w:before="280" w:after="80"/>
        <w:outlineLvl w:val="1"/>
      </w:pPr>
      <w:r>
        <w:rPr>
          <w:rFonts w:ascii="Times New Roman" w:hAnsi="Times New Roman" w:cs="Times New Roman" w:eastAsia="Times New Roman"/>
          <w:b/>
          <w:i w:val="0"/>
          <w:color w:val="335588"/>
          <w:sz w:val="28"/>
        </w:rPr>
        <w:t>11.9  [9] Challenges and Advances in the Bioproduction of L-Cysteine</w:t>
      </w:r>
    </w:p>
    <w:p>
      <w:pPr>
        <w:spacing w:after="80"/>
        <w:jc w:val="both"/>
      </w:pPr>
      <w:r>
        <w:rPr>
          <w:rFonts w:ascii="Times New Roman" w:hAnsi="Times New Roman" w:cs="Times New Roman" w:eastAsia="Times New Roman"/>
          <w:b w:val="0"/>
          <w:i/>
          <w:sz w:val="22"/>
        </w:rPr>
        <w:t>Bibliographic identifiers — PMCID: PMC10821248; PMID: 38257399; DOI: 10.3390/molecules29020486; Journal: Molecules; Year: 2024.</w:t>
      </w:r>
    </w:p>
    <w:p>
      <w:pPr>
        <w:spacing w:after="80"/>
        <w:jc w:val="both"/>
      </w:pPr>
      <w:r>
        <w:rPr>
          <w:rFonts w:ascii="Times New Roman" w:hAnsi="Times New Roman" w:cs="Times New Roman" w:eastAsia="Times New Roman"/>
          <w:b w:val="0"/>
          <w:i w:val="0"/>
          <w:sz w:val="22"/>
        </w:rPr>
        <w:t>Retrieval — full JATS XML via NCBI efetch db=pmc rettype=xml. Body text length: 45,381 characters; structured tables: 2; figures: 4; references: 72. Supplementary body text also harvested via MCP fetch_pmc_article: 0 characters, 0 verbatim paragraphs reproduced below.</w:t>
      </w:r>
    </w:p>
    <w:p>
      <w:pPr>
        <w:spacing w:after="80"/>
        <w:jc w:val="both"/>
      </w:pPr>
      <w:r>
        <w:rPr>
          <w:rFonts w:ascii="Times New Roman" w:hAnsi="Times New Roman" w:cs="Times New Roman" w:eastAsia="Times New Roman"/>
          <w:b/>
          <w:i w:val="0"/>
          <w:sz w:val="22"/>
        </w:rPr>
        <w:t>Verbatim abstract (from JATS XML):</w:t>
      </w:r>
    </w:p>
    <w:p>
      <w:pPr>
        <w:spacing w:after="80"/>
        <w:jc w:val="both"/>
      </w:pPr>
      <w:r>
        <w:rPr>
          <w:rFonts w:ascii="Times New Roman" w:hAnsi="Times New Roman" w:cs="Times New Roman" w:eastAsia="Times New Roman"/>
          <w:b w:val="0"/>
          <w:i/>
          <w:sz w:val="24"/>
        </w:rPr>
        <w:t>“L-cysteine is a proteogenic amino acid with many applications in the pharmaceutical, food, animal feed, and cosmetic industries. Due to safety and environmental issues in extracting L-cysteine from animal hair and feathers, the fermentative production of L-cysteine offers an attractive alternative using renewable feedstocks. Strategies to improve microbial production hosts like Pantoea ananatis , Corynebacterium glutamicum , Pseudomonas sp., and Escherichia coli are summarized. Concerning the metabolic engineering strategies, the overexpression of feedback inhibition-insensitive L-serine O-acetyltransferase and weakening the degradation of L-cysteine through the removal of L-cysteine desulfhydrases are crucial adjustments. The overexpression of L-cysteine exporters is vital to overcome the toxicity caused by intracellular accumulating L-cysteine. In addition, we compiled the process engineering aspects for the bioproduction of L-cysteine. Utilizing the energy-efficient sulfur assimilation pathway via thiosulfate, fermenting cheap carbon sources, designing scalable, fed-batch processes with individual feedings of carbon and sulfur sources, and implementing efficient purification techniques are essential for the fermentative production of L-cysteine on an industrial scale.”</w:t>
      </w:r>
    </w:p>
    <w:p>
      <w:pPr>
        <w:keepNext/>
        <w:spacing w:before="160" w:after="40"/>
        <w:jc w:val="left"/>
      </w:pPr>
      <w:r>
        <w:rPr>
          <w:rFonts w:ascii="Times New Roman" w:hAnsi="Times New Roman" w:cs="Times New Roman" w:eastAsia="Times New Roman"/>
          <w:b/>
          <w:i w:val="0"/>
          <w:sz w:val="22"/>
        </w:rPr>
        <w:t>Reproduced verbatim from PMC10821248 — Table 1 — Summary of metabolic engineering approaches increasing the fermentative L-cysteine production. The studies presented in this table are ordered by the</w:t>
      </w:r>
    </w:p>
    <w:tbl>
      <w:tblPr>
        <w:tblStyle w:val="TableGrid"/>
        <w:tblW w:type="auto" w:w="0"/>
        <w:tblLayout w:type="fixed"/>
        <w:tblLook w:firstColumn="1" w:firstRow="1" w:lastColumn="0" w:lastRow="0" w:noHBand="0" w:noVBand="1" w:val="04A0"/>
      </w:tblPr>
      <w:tblGrid>
        <w:gridCol w:w="1872"/>
        <w:gridCol w:w="1872"/>
        <w:gridCol w:w="1872"/>
        <w:gridCol w:w="1872"/>
        <w:gridCol w:w="1872"/>
      </w:tblGrid>
      <w:tr>
        <w:tc>
          <w:tcPr>
            <w:tcW w:type="dxa" w:w="1872"/>
            <w:shd w:fill="DDE4EF"/>
          </w:tcPr>
          <w:p>
            <w:r/>
            <w:r>
              <w:rPr>
                <w:rFonts w:ascii="Times New Roman" w:hAnsi="Times New Roman" w:cs="Times New Roman" w:eastAsia="Times New Roman"/>
                <w:b/>
                <w:i w:val="0"/>
                <w:sz w:val="22"/>
              </w:rPr>
              <w:t>Source</w:t>
            </w:r>
          </w:p>
        </w:tc>
        <w:tc>
          <w:tcPr>
            <w:tcW w:type="dxa" w:w="1872"/>
            <w:shd w:fill="DDE4EF"/>
          </w:tcPr>
          <w:p>
            <w:r/>
            <w:r>
              <w:rPr>
                <w:rFonts w:ascii="Times New Roman" w:hAnsi="Times New Roman" w:cs="Times New Roman" w:eastAsia="Times New Roman"/>
                <w:b/>
                <w:i w:val="0"/>
                <w:sz w:val="22"/>
              </w:rPr>
              <w:t>Organism</w:t>
            </w:r>
          </w:p>
        </w:tc>
        <w:tc>
          <w:tcPr>
            <w:tcW w:type="dxa" w:w="1872"/>
            <w:shd w:fill="DDE4EF"/>
          </w:tcPr>
          <w:p>
            <w:r/>
            <w:r>
              <w:rPr>
                <w:rFonts w:ascii="Times New Roman" w:hAnsi="Times New Roman" w:cs="Times New Roman" w:eastAsia="Times New Roman"/>
                <w:b/>
                <w:i w:val="0"/>
                <w:sz w:val="22"/>
              </w:rPr>
              <w:t>Method</w:t>
            </w:r>
          </w:p>
        </w:tc>
        <w:tc>
          <w:tcPr>
            <w:tcW w:type="dxa" w:w="1872"/>
            <w:shd w:fill="DDE4EF"/>
          </w:tcPr>
          <w:p>
            <w:r/>
            <w:r>
              <w:rPr>
                <w:rFonts w:ascii="Times New Roman" w:hAnsi="Times New Roman" w:cs="Times New Roman" w:eastAsia="Times New Roman"/>
                <w:b/>
                <w:i w:val="0"/>
                <w:sz w:val="22"/>
              </w:rPr>
              <w:t>Scale</w:t>
            </w:r>
          </w:p>
        </w:tc>
        <w:tc>
          <w:tcPr>
            <w:tcW w:type="dxa" w:w="1872"/>
            <w:shd w:fill="DDE4EF"/>
          </w:tcPr>
          <w:p>
            <w:r/>
            <w:r>
              <w:rPr>
                <w:rFonts w:ascii="Times New Roman" w:hAnsi="Times New Roman" w:cs="Times New Roman" w:eastAsia="Times New Roman"/>
                <w:b/>
                <w:i w:val="0"/>
                <w:sz w:val="22"/>
              </w:rPr>
              <w:t>L-Cysteine Concentration</w:t>
            </w:r>
          </w:p>
        </w:tc>
      </w:tr>
      <w:tr>
        <w:tc>
          <w:tcPr>
            <w:tcW w:type="dxa" w:w="1872"/>
          </w:tcPr>
          <w:p>
            <w:r/>
            <w:r>
              <w:rPr>
                <w:rFonts w:ascii="Times New Roman" w:hAnsi="Times New Roman" w:cs="Times New Roman" w:eastAsia="Times New Roman"/>
                <w:b w:val="0"/>
                <w:i w:val="0"/>
                <w:sz w:val="22"/>
              </w:rPr>
              <w:t>Enhancing biosynthesis of L-cysteine</w:t>
            </w:r>
          </w:p>
        </w:tc>
        <w:tc>
          <w:tcPr>
            <w:tcW w:type="dxa" w:w="1872"/>
          </w:tcPr>
          <w:p>
            <w:r/>
            <w:r>
              <w:rPr>
                <w:rFonts w:ascii="Times New Roman" w:hAnsi="Times New Roman" w:cs="Times New Roman" w:eastAsia="Times New Roman"/>
                <w:b w:val="0"/>
                <w:i w:val="0"/>
                <w:sz w:val="22"/>
              </w:rPr>
            </w:r>
          </w:p>
        </w:tc>
        <w:tc>
          <w:tcPr>
            <w:tcW w:type="dxa" w:w="1872"/>
          </w:tcPr>
          <w:p>
            <w:r/>
            <w:r>
              <w:rPr>
                <w:rFonts w:ascii="Times New Roman" w:hAnsi="Times New Roman" w:cs="Times New Roman" w:eastAsia="Times New Roman"/>
                <w:b w:val="0"/>
                <w:i w:val="0"/>
                <w:sz w:val="22"/>
              </w:rPr>
            </w:r>
          </w:p>
        </w:tc>
        <w:tc>
          <w:tcPr>
            <w:tcW w:type="dxa" w:w="1872"/>
          </w:tcPr>
          <w:p>
            <w:r/>
            <w:r>
              <w:rPr>
                <w:rFonts w:ascii="Times New Roman" w:hAnsi="Times New Roman" w:cs="Times New Roman" w:eastAsia="Times New Roman"/>
                <w:b w:val="0"/>
                <w:i w:val="0"/>
                <w:sz w:val="22"/>
              </w:rPr>
            </w:r>
          </w:p>
        </w:tc>
        <w:tc>
          <w:tcPr>
            <w:tcW w:type="dxa" w:w="1872"/>
          </w:tcPr>
          <w:p>
            <w:r/>
            <w:r>
              <w:rPr>
                <w:rFonts w:ascii="Times New Roman" w:hAnsi="Times New Roman" w:cs="Times New Roman" w:eastAsia="Times New Roman"/>
                <w:b w:val="0"/>
                <w:i w:val="0"/>
                <w:sz w:val="22"/>
              </w:rPr>
            </w:r>
          </w:p>
        </w:tc>
      </w:tr>
      <w:tr>
        <w:tc>
          <w:tcPr>
            <w:tcW w:type="dxa" w:w="1872"/>
          </w:tcPr>
          <w:p>
            <w:r/>
            <w:r>
              <w:rPr>
                <w:rFonts w:ascii="Times New Roman" w:hAnsi="Times New Roman" w:cs="Times New Roman" w:eastAsia="Times New Roman"/>
                <w:b w:val="0"/>
                <w:i w:val="0"/>
                <w:sz w:val="22"/>
              </w:rPr>
              <w:t>[ 28 ]</w:t>
            </w:r>
          </w:p>
        </w:tc>
        <w:tc>
          <w:tcPr>
            <w:tcW w:type="dxa" w:w="1872"/>
          </w:tcPr>
          <w:p>
            <w:r/>
            <w:r>
              <w:rPr>
                <w:rFonts w:ascii="Times New Roman" w:hAnsi="Times New Roman" w:cs="Times New Roman" w:eastAsia="Times New Roman"/>
                <w:b w:val="0"/>
                <w:i w:val="0"/>
                <w:sz w:val="22"/>
              </w:rPr>
              <w:t>E. coli JM39-8</w:t>
            </w:r>
          </w:p>
        </w:tc>
        <w:tc>
          <w:tcPr>
            <w:tcW w:type="dxa" w:w="1872"/>
          </w:tcPr>
          <w:p>
            <w:r/>
            <w:r>
              <w:rPr>
                <w:rFonts w:ascii="Times New Roman" w:hAnsi="Times New Roman" w:cs="Times New Roman" w:eastAsia="Times New Roman"/>
                <w:b w:val="0"/>
                <w:i w:val="0"/>
                <w:sz w:val="22"/>
              </w:rPr>
              <w:t>Feedback inhibition-insensitive SAT from site-directed mutagenesis</w:t>
            </w:r>
          </w:p>
        </w:tc>
        <w:tc>
          <w:tcPr>
            <w:tcW w:type="dxa" w:w="1872"/>
          </w:tcPr>
          <w:p>
            <w:r/>
            <w:r>
              <w:rPr>
                <w:rFonts w:ascii="Times New Roman" w:hAnsi="Times New Roman" w:cs="Times New Roman" w:eastAsia="Times New Roman"/>
                <w:b w:val="0"/>
                <w:i w:val="0"/>
                <w:sz w:val="22"/>
              </w:rPr>
              <w:t>Shake flasks, 72 h</w:t>
            </w:r>
          </w:p>
        </w:tc>
        <w:tc>
          <w:tcPr>
            <w:tcW w:type="dxa" w:w="1872"/>
          </w:tcPr>
          <w:p>
            <w:r/>
            <w:r>
              <w:rPr>
                <w:rFonts w:ascii="Times New Roman" w:hAnsi="Times New Roman" w:cs="Times New Roman" w:eastAsia="Times New Roman"/>
                <w:b w:val="0"/>
                <w:i w:val="0"/>
                <w:sz w:val="22"/>
              </w:rPr>
              <w:t>0.79 g L −1</w:t>
            </w:r>
          </w:p>
        </w:tc>
      </w:tr>
      <w:tr>
        <w:tc>
          <w:tcPr>
            <w:tcW w:type="dxa" w:w="1872"/>
          </w:tcPr>
          <w:p>
            <w:r/>
            <w:r>
              <w:rPr>
                <w:rFonts w:ascii="Times New Roman" w:hAnsi="Times New Roman" w:cs="Times New Roman" w:eastAsia="Times New Roman"/>
                <w:b w:val="0"/>
                <w:i w:val="0"/>
                <w:sz w:val="22"/>
              </w:rPr>
              <w:t>[ 30 ]</w:t>
            </w:r>
          </w:p>
        </w:tc>
        <w:tc>
          <w:tcPr>
            <w:tcW w:type="dxa" w:w="1872"/>
          </w:tcPr>
          <w:p>
            <w:r/>
            <w:r>
              <w:rPr>
                <w:rFonts w:ascii="Times New Roman" w:hAnsi="Times New Roman" w:cs="Times New Roman" w:eastAsia="Times New Roman"/>
                <w:b w:val="0"/>
                <w:i w:val="0"/>
                <w:sz w:val="22"/>
              </w:rPr>
              <w:t>E. coli JM39-8</w:t>
            </w:r>
          </w:p>
        </w:tc>
        <w:tc>
          <w:tcPr>
            <w:tcW w:type="dxa" w:w="1872"/>
          </w:tcPr>
          <w:p>
            <w:r/>
            <w:r>
              <w:rPr>
                <w:rFonts w:ascii="Times New Roman" w:hAnsi="Times New Roman" w:cs="Times New Roman" w:eastAsia="Times New Roman"/>
                <w:b w:val="0"/>
                <w:i w:val="0"/>
                <w:sz w:val="22"/>
              </w:rPr>
              <w:t>Insensitive SAT from Arabidopsis thaliana</w:t>
            </w:r>
          </w:p>
        </w:tc>
        <w:tc>
          <w:tcPr>
            <w:tcW w:type="dxa" w:w="1872"/>
          </w:tcPr>
          <w:p>
            <w:r/>
            <w:r>
              <w:rPr>
                <w:rFonts w:ascii="Times New Roman" w:hAnsi="Times New Roman" w:cs="Times New Roman" w:eastAsia="Times New Roman"/>
                <w:b w:val="0"/>
                <w:i w:val="0"/>
                <w:sz w:val="22"/>
              </w:rPr>
              <w:t>Shake flasks, 96 h</w:t>
            </w:r>
          </w:p>
        </w:tc>
        <w:tc>
          <w:tcPr>
            <w:tcW w:type="dxa" w:w="1872"/>
          </w:tcPr>
          <w:p>
            <w:r/>
            <w:r>
              <w:rPr>
                <w:rFonts w:ascii="Times New Roman" w:hAnsi="Times New Roman" w:cs="Times New Roman" w:eastAsia="Times New Roman"/>
                <w:b w:val="0"/>
                <w:i w:val="0"/>
                <w:sz w:val="22"/>
              </w:rPr>
              <w:t>1.66 g L −1</w:t>
            </w:r>
          </w:p>
        </w:tc>
      </w:tr>
      <w:tr>
        <w:tc>
          <w:tcPr>
            <w:tcW w:type="dxa" w:w="1872"/>
          </w:tcPr>
          <w:p>
            <w:r/>
            <w:r>
              <w:rPr>
                <w:rFonts w:ascii="Times New Roman" w:hAnsi="Times New Roman" w:cs="Times New Roman" w:eastAsia="Times New Roman"/>
                <w:b w:val="0"/>
                <w:i w:val="0"/>
                <w:sz w:val="22"/>
              </w:rPr>
              <w:t>[ 31 ]</w:t>
            </w:r>
          </w:p>
        </w:tc>
        <w:tc>
          <w:tcPr>
            <w:tcW w:type="dxa" w:w="1872"/>
          </w:tcPr>
          <w:p>
            <w:r/>
            <w:r>
              <w:rPr>
                <w:rFonts w:ascii="Times New Roman" w:hAnsi="Times New Roman" w:cs="Times New Roman" w:eastAsia="Times New Roman"/>
                <w:b w:val="0"/>
                <w:i w:val="0"/>
                <w:sz w:val="22"/>
              </w:rPr>
              <w:t>E. coli MW1</w:t>
            </w:r>
          </w:p>
        </w:tc>
        <w:tc>
          <w:tcPr>
            <w:tcW w:type="dxa" w:w="1872"/>
          </w:tcPr>
          <w:p>
            <w:r/>
            <w:r>
              <w:rPr>
                <w:rFonts w:ascii="Times New Roman" w:hAnsi="Times New Roman" w:cs="Times New Roman" w:eastAsia="Times New Roman"/>
                <w:b w:val="0"/>
                <w:i w:val="0"/>
                <w:sz w:val="22"/>
              </w:rPr>
              <w:t>Insensitive SAT from Nicotiana tabacum</w:t>
            </w:r>
          </w:p>
        </w:tc>
        <w:tc>
          <w:tcPr>
            <w:tcW w:type="dxa" w:w="1872"/>
          </w:tcPr>
          <w:p>
            <w:r/>
            <w:r>
              <w:rPr>
                <w:rFonts w:ascii="Times New Roman" w:hAnsi="Times New Roman" w:cs="Times New Roman" w:eastAsia="Times New Roman"/>
                <w:b w:val="0"/>
                <w:i w:val="0"/>
                <w:sz w:val="22"/>
              </w:rPr>
              <w:t>Shake flasks, 72 h</w:t>
            </w:r>
          </w:p>
        </w:tc>
        <w:tc>
          <w:tcPr>
            <w:tcW w:type="dxa" w:w="1872"/>
          </w:tcPr>
          <w:p>
            <w:r/>
            <w:r>
              <w:rPr>
                <w:rFonts w:ascii="Times New Roman" w:hAnsi="Times New Roman" w:cs="Times New Roman" w:eastAsia="Times New Roman"/>
                <w:b w:val="0"/>
                <w:i w:val="0"/>
                <w:sz w:val="22"/>
              </w:rPr>
              <w:t>0.30 g L −1</w:t>
            </w:r>
          </w:p>
        </w:tc>
      </w:tr>
      <w:tr>
        <w:tc>
          <w:tcPr>
            <w:tcW w:type="dxa" w:w="1872"/>
          </w:tcPr>
          <w:p>
            <w:r/>
            <w:r>
              <w:rPr>
                <w:rFonts w:ascii="Times New Roman" w:hAnsi="Times New Roman" w:cs="Times New Roman" w:eastAsia="Times New Roman"/>
                <w:b w:val="0"/>
                <w:i w:val="0"/>
                <w:sz w:val="22"/>
              </w:rPr>
              <w:t>[ 6 ]</w:t>
            </w:r>
          </w:p>
        </w:tc>
        <w:tc>
          <w:tcPr>
            <w:tcW w:type="dxa" w:w="1872"/>
          </w:tcPr>
          <w:p>
            <w:r/>
            <w:r>
              <w:rPr>
                <w:rFonts w:ascii="Times New Roman" w:hAnsi="Times New Roman" w:cs="Times New Roman" w:eastAsia="Times New Roman"/>
                <w:b w:val="0"/>
                <w:i w:val="0"/>
                <w:sz w:val="22"/>
              </w:rPr>
              <w:t>P. ananatis</w:t>
            </w:r>
          </w:p>
        </w:tc>
        <w:tc>
          <w:tcPr>
            <w:tcW w:type="dxa" w:w="1872"/>
          </w:tcPr>
          <w:p>
            <w:r/>
            <w:r>
              <w:rPr>
                <w:rFonts w:ascii="Times New Roman" w:hAnsi="Times New Roman" w:cs="Times New Roman" w:eastAsia="Times New Roman"/>
                <w:b w:val="0"/>
                <w:i w:val="0"/>
                <w:sz w:val="22"/>
              </w:rPr>
              <w:t>Insensitive SAT with L-cysteine efflux pump</w:t>
            </w:r>
          </w:p>
        </w:tc>
        <w:tc>
          <w:tcPr>
            <w:tcW w:type="dxa" w:w="1872"/>
          </w:tcPr>
          <w:p>
            <w:r/>
            <w:r>
              <w:rPr>
                <w:rFonts w:ascii="Times New Roman" w:hAnsi="Times New Roman" w:cs="Times New Roman" w:eastAsia="Times New Roman"/>
                <w:b w:val="0"/>
                <w:i w:val="0"/>
                <w:sz w:val="22"/>
              </w:rPr>
              <w:t>Test tubes, 24 h</w:t>
            </w:r>
          </w:p>
        </w:tc>
        <w:tc>
          <w:tcPr>
            <w:tcW w:type="dxa" w:w="1872"/>
          </w:tcPr>
          <w:p>
            <w:r/>
            <w:r>
              <w:rPr>
                <w:rFonts w:ascii="Times New Roman" w:hAnsi="Times New Roman" w:cs="Times New Roman" w:eastAsia="Times New Roman"/>
                <w:b w:val="0"/>
                <w:i w:val="0"/>
                <w:sz w:val="22"/>
              </w:rPr>
              <w:t>0.90 g L −1</w:t>
            </w:r>
          </w:p>
        </w:tc>
      </w:tr>
      <w:tr>
        <w:tc>
          <w:tcPr>
            <w:tcW w:type="dxa" w:w="1872"/>
          </w:tcPr>
          <w:p>
            <w:r/>
            <w:r>
              <w:rPr>
                <w:rFonts w:ascii="Times New Roman" w:hAnsi="Times New Roman" w:cs="Times New Roman" w:eastAsia="Times New Roman"/>
                <w:b w:val="0"/>
                <w:i w:val="0"/>
                <w:sz w:val="22"/>
              </w:rPr>
              <w:t>[ 36 ]</w:t>
            </w:r>
          </w:p>
        </w:tc>
        <w:tc>
          <w:tcPr>
            <w:tcW w:type="dxa" w:w="1872"/>
          </w:tcPr>
          <w:p>
            <w:r/>
            <w:r>
              <w:rPr>
                <w:rFonts w:ascii="Times New Roman" w:hAnsi="Times New Roman" w:cs="Times New Roman" w:eastAsia="Times New Roman"/>
                <w:b w:val="0"/>
                <w:i w:val="0"/>
                <w:sz w:val="22"/>
              </w:rPr>
              <w:t>C. glutamicum</w:t>
            </w:r>
          </w:p>
        </w:tc>
        <w:tc>
          <w:tcPr>
            <w:tcW w:type="dxa" w:w="1872"/>
          </w:tcPr>
          <w:p>
            <w:r/>
            <w:r>
              <w:rPr>
                <w:rFonts w:ascii="Times New Roman" w:hAnsi="Times New Roman" w:cs="Times New Roman" w:eastAsia="Times New Roman"/>
                <w:b w:val="0"/>
                <w:i w:val="0"/>
                <w:sz w:val="22"/>
              </w:rPr>
              <w:t>Overexpression of native SAT, OAS, and transcription regulator</w:t>
            </w:r>
          </w:p>
        </w:tc>
        <w:tc>
          <w:tcPr>
            <w:tcW w:type="dxa" w:w="1872"/>
          </w:tcPr>
          <w:p>
            <w:r/>
            <w:r>
              <w:rPr>
                <w:rFonts w:ascii="Times New Roman" w:hAnsi="Times New Roman" w:cs="Times New Roman" w:eastAsia="Times New Roman"/>
                <w:b w:val="0"/>
                <w:i w:val="0"/>
                <w:sz w:val="22"/>
              </w:rPr>
              <w:t>Shake flasks, 15 h</w:t>
            </w:r>
          </w:p>
        </w:tc>
        <w:tc>
          <w:tcPr>
            <w:tcW w:type="dxa" w:w="1872"/>
          </w:tcPr>
          <w:p>
            <w:r/>
            <w:r>
              <w:rPr>
                <w:rFonts w:ascii="Times New Roman" w:hAnsi="Times New Roman" w:cs="Times New Roman" w:eastAsia="Times New Roman"/>
                <w:b w:val="0"/>
                <w:i w:val="0"/>
                <w:sz w:val="22"/>
              </w:rPr>
              <w:t>0.06 g L −1</w:t>
            </w:r>
          </w:p>
        </w:tc>
      </w:tr>
      <w:tr>
        <w:tc>
          <w:tcPr>
            <w:tcW w:type="dxa" w:w="1872"/>
          </w:tcPr>
          <w:p>
            <w:r/>
            <w:r>
              <w:rPr>
                <w:rFonts w:ascii="Times New Roman" w:hAnsi="Times New Roman" w:cs="Times New Roman" w:eastAsia="Times New Roman"/>
                <w:b w:val="0"/>
                <w:i w:val="0"/>
                <w:sz w:val="22"/>
              </w:rPr>
              <w:t>[ 7 ]</w:t>
            </w:r>
          </w:p>
        </w:tc>
        <w:tc>
          <w:tcPr>
            <w:tcW w:type="dxa" w:w="1872"/>
          </w:tcPr>
          <w:p>
            <w:r/>
            <w:r>
              <w:rPr>
                <w:rFonts w:ascii="Times New Roman" w:hAnsi="Times New Roman" w:cs="Times New Roman" w:eastAsia="Times New Roman"/>
                <w:b w:val="0"/>
                <w:i w:val="0"/>
                <w:sz w:val="22"/>
              </w:rPr>
              <w:t>C. glutamicum</w:t>
            </w:r>
          </w:p>
        </w:tc>
        <w:tc>
          <w:tcPr>
            <w:tcW w:type="dxa" w:w="1872"/>
          </w:tcPr>
          <w:p>
            <w:r/>
            <w:r>
              <w:rPr>
                <w:rFonts w:ascii="Times New Roman" w:hAnsi="Times New Roman" w:cs="Times New Roman" w:eastAsia="Times New Roman"/>
                <w:b w:val="0"/>
                <w:i w:val="0"/>
                <w:sz w:val="22"/>
              </w:rPr>
              <w:t>Insensitive SAT, deletion of CD, and increased transport</w:t>
            </w:r>
          </w:p>
        </w:tc>
        <w:tc>
          <w:tcPr>
            <w:tcW w:type="dxa" w:w="1872"/>
          </w:tcPr>
          <w:p>
            <w:r/>
            <w:r>
              <w:rPr>
                <w:rFonts w:ascii="Times New Roman" w:hAnsi="Times New Roman" w:cs="Times New Roman" w:eastAsia="Times New Roman"/>
                <w:b w:val="0"/>
                <w:i w:val="0"/>
                <w:sz w:val="22"/>
              </w:rPr>
              <w:t>Shake flasks, 48 h</w:t>
            </w:r>
          </w:p>
        </w:tc>
        <w:tc>
          <w:tcPr>
            <w:tcW w:type="dxa" w:w="1872"/>
          </w:tcPr>
          <w:p>
            <w:r/>
            <w:r>
              <w:rPr>
                <w:rFonts w:ascii="Times New Roman" w:hAnsi="Times New Roman" w:cs="Times New Roman" w:eastAsia="Times New Roman"/>
                <w:b w:val="0"/>
                <w:i w:val="0"/>
                <w:sz w:val="22"/>
              </w:rPr>
              <w:t>0.95 g L −1</w:t>
            </w:r>
          </w:p>
        </w:tc>
      </w:tr>
      <w:tr>
        <w:tc>
          <w:tcPr>
            <w:tcW w:type="dxa" w:w="1872"/>
          </w:tcPr>
          <w:p>
            <w:r/>
            <w:r>
              <w:rPr>
                <w:rFonts w:ascii="Times New Roman" w:hAnsi="Times New Roman" w:cs="Times New Roman" w:eastAsia="Times New Roman"/>
                <w:b w:val="0"/>
                <w:i w:val="0"/>
                <w:sz w:val="22"/>
              </w:rPr>
              <w:t>[ 37 ]</w:t>
            </w:r>
          </w:p>
        </w:tc>
        <w:tc>
          <w:tcPr>
            <w:tcW w:type="dxa" w:w="1872"/>
          </w:tcPr>
          <w:p>
            <w:r/>
            <w:r>
              <w:rPr>
                <w:rFonts w:ascii="Times New Roman" w:hAnsi="Times New Roman" w:cs="Times New Roman" w:eastAsia="Times New Roman"/>
                <w:b w:val="0"/>
                <w:i w:val="0"/>
                <w:sz w:val="22"/>
              </w:rPr>
              <w:t>C. glutamicum</w:t>
            </w:r>
          </w:p>
        </w:tc>
        <w:tc>
          <w:tcPr>
            <w:tcW w:type="dxa" w:w="1872"/>
          </w:tcPr>
          <w:p>
            <w:r/>
            <w:r>
              <w:rPr>
                <w:rFonts w:ascii="Times New Roman" w:hAnsi="Times New Roman" w:cs="Times New Roman" w:eastAsia="Times New Roman"/>
                <w:b w:val="0"/>
                <w:i w:val="0"/>
                <w:sz w:val="22"/>
              </w:rPr>
              <w:t>Overexpression of SAT and PGDH with disruption of CD and L-cysteine import</w:t>
            </w:r>
          </w:p>
        </w:tc>
        <w:tc>
          <w:tcPr>
            <w:tcW w:type="dxa" w:w="1872"/>
          </w:tcPr>
          <w:p>
            <w:r/>
            <w:r>
              <w:rPr>
                <w:rFonts w:ascii="Times New Roman" w:hAnsi="Times New Roman" w:cs="Times New Roman" w:eastAsia="Times New Roman"/>
                <w:b w:val="0"/>
                <w:i w:val="0"/>
                <w:sz w:val="22"/>
              </w:rPr>
              <w:t>Shake flasks, 12 h</w:t>
            </w:r>
          </w:p>
        </w:tc>
        <w:tc>
          <w:tcPr>
            <w:tcW w:type="dxa" w:w="1872"/>
          </w:tcPr>
          <w:p>
            <w:r/>
            <w:r>
              <w:rPr>
                <w:rFonts w:ascii="Times New Roman" w:hAnsi="Times New Roman" w:cs="Times New Roman" w:eastAsia="Times New Roman"/>
                <w:b w:val="0"/>
                <w:i w:val="0"/>
                <w:sz w:val="22"/>
              </w:rPr>
              <w:t>0.20 g L −1</w:t>
            </w:r>
          </w:p>
        </w:tc>
      </w:tr>
      <w:tr>
        <w:tc>
          <w:tcPr>
            <w:tcW w:type="dxa" w:w="1872"/>
          </w:tcPr>
          <w:p>
            <w:r/>
            <w:r>
              <w:rPr>
                <w:rFonts w:ascii="Times New Roman" w:hAnsi="Times New Roman" w:cs="Times New Roman" w:eastAsia="Times New Roman"/>
                <w:b w:val="0"/>
                <w:i w:val="0"/>
                <w:sz w:val="22"/>
              </w:rPr>
              <w:t>[ 13 ]</w:t>
            </w:r>
          </w:p>
        </w:tc>
        <w:tc>
          <w:tcPr>
            <w:tcW w:type="dxa" w:w="1872"/>
          </w:tcPr>
          <w:p>
            <w:r/>
            <w:r>
              <w:rPr>
                <w:rFonts w:ascii="Times New Roman" w:hAnsi="Times New Roman" w:cs="Times New Roman" w:eastAsia="Times New Roman"/>
                <w:b w:val="0"/>
                <w:i w:val="0"/>
                <w:sz w:val="22"/>
              </w:rPr>
              <w:t>E. coli</w:t>
            </w:r>
          </w:p>
        </w:tc>
        <w:tc>
          <w:tcPr>
            <w:tcW w:type="dxa" w:w="1872"/>
          </w:tcPr>
          <w:p>
            <w:r/>
            <w:r>
              <w:rPr>
                <w:rFonts w:ascii="Times New Roman" w:hAnsi="Times New Roman" w:cs="Times New Roman" w:eastAsia="Times New Roman"/>
                <w:b w:val="0"/>
                <w:i w:val="0"/>
                <w:sz w:val="22"/>
              </w:rPr>
              <w:t>Overexpression of PGDH, PSERT, and PSL</w:t>
            </w:r>
          </w:p>
        </w:tc>
        <w:tc>
          <w:tcPr>
            <w:tcW w:type="dxa" w:w="1872"/>
          </w:tcPr>
          <w:p>
            <w:r/>
            <w:r>
              <w:rPr>
                <w:rFonts w:ascii="Times New Roman" w:hAnsi="Times New Roman" w:cs="Times New Roman" w:eastAsia="Times New Roman"/>
                <w:b w:val="0"/>
                <w:i w:val="0"/>
                <w:sz w:val="22"/>
              </w:rPr>
              <w:t>Shake flasks, 48 h</w:t>
            </w:r>
          </w:p>
        </w:tc>
        <w:tc>
          <w:tcPr>
            <w:tcW w:type="dxa" w:w="1872"/>
          </w:tcPr>
          <w:p>
            <w:r/>
            <w:r>
              <w:rPr>
                <w:rFonts w:ascii="Times New Roman" w:hAnsi="Times New Roman" w:cs="Times New Roman" w:eastAsia="Times New Roman"/>
                <w:b w:val="0"/>
                <w:i w:val="0"/>
                <w:sz w:val="22"/>
              </w:rPr>
              <w:t>0.49 g L −1</w:t>
            </w:r>
          </w:p>
        </w:tc>
      </w:tr>
      <w:tr>
        <w:tc>
          <w:tcPr>
            <w:tcW w:type="dxa" w:w="1872"/>
          </w:tcPr>
          <w:p>
            <w:r/>
            <w:r>
              <w:rPr>
                <w:rFonts w:ascii="Times New Roman" w:hAnsi="Times New Roman" w:cs="Times New Roman" w:eastAsia="Times New Roman"/>
                <w:b w:val="0"/>
                <w:i w:val="0"/>
                <w:sz w:val="22"/>
              </w:rPr>
              <w:t>Weakening degradation of L-cysteine</w:t>
            </w:r>
          </w:p>
        </w:tc>
        <w:tc>
          <w:tcPr>
            <w:tcW w:type="dxa" w:w="1872"/>
          </w:tcPr>
          <w:p>
            <w:r/>
            <w:r>
              <w:rPr>
                <w:rFonts w:ascii="Times New Roman" w:hAnsi="Times New Roman" w:cs="Times New Roman" w:eastAsia="Times New Roman"/>
                <w:b w:val="0"/>
                <w:i w:val="0"/>
                <w:sz w:val="22"/>
              </w:rPr>
            </w:r>
          </w:p>
        </w:tc>
        <w:tc>
          <w:tcPr>
            <w:tcW w:type="dxa" w:w="1872"/>
          </w:tcPr>
          <w:p>
            <w:r/>
            <w:r>
              <w:rPr>
                <w:rFonts w:ascii="Times New Roman" w:hAnsi="Times New Roman" w:cs="Times New Roman" w:eastAsia="Times New Roman"/>
                <w:b w:val="0"/>
                <w:i w:val="0"/>
                <w:sz w:val="22"/>
              </w:rPr>
            </w:r>
          </w:p>
        </w:tc>
        <w:tc>
          <w:tcPr>
            <w:tcW w:type="dxa" w:w="1872"/>
          </w:tcPr>
          <w:p>
            <w:r/>
            <w:r>
              <w:rPr>
                <w:rFonts w:ascii="Times New Roman" w:hAnsi="Times New Roman" w:cs="Times New Roman" w:eastAsia="Times New Roman"/>
                <w:b w:val="0"/>
                <w:i w:val="0"/>
                <w:sz w:val="22"/>
              </w:rPr>
            </w:r>
          </w:p>
        </w:tc>
        <w:tc>
          <w:tcPr>
            <w:tcW w:type="dxa" w:w="1872"/>
          </w:tcPr>
          <w:p>
            <w:r/>
            <w:r>
              <w:rPr>
                <w:rFonts w:ascii="Times New Roman" w:hAnsi="Times New Roman" w:cs="Times New Roman" w:eastAsia="Times New Roman"/>
                <w:b w:val="0"/>
                <w:i w:val="0"/>
                <w:sz w:val="22"/>
              </w:rPr>
            </w:r>
          </w:p>
        </w:tc>
      </w:tr>
      <w:tr>
        <w:tc>
          <w:tcPr>
            <w:tcW w:type="dxa" w:w="1872"/>
          </w:tcPr>
          <w:p>
            <w:r/>
            <w:r>
              <w:rPr>
                <w:rFonts w:ascii="Times New Roman" w:hAnsi="Times New Roman" w:cs="Times New Roman" w:eastAsia="Times New Roman"/>
                <w:b w:val="0"/>
                <w:i w:val="0"/>
                <w:sz w:val="22"/>
              </w:rPr>
              <w:t>[ 41 ]</w:t>
            </w:r>
          </w:p>
        </w:tc>
        <w:tc>
          <w:tcPr>
            <w:tcW w:type="dxa" w:w="1872"/>
          </w:tcPr>
          <w:p>
            <w:r/>
            <w:r>
              <w:rPr>
                <w:rFonts w:ascii="Times New Roman" w:hAnsi="Times New Roman" w:cs="Times New Roman" w:eastAsia="Times New Roman"/>
                <w:b w:val="0"/>
                <w:i w:val="0"/>
                <w:sz w:val="22"/>
              </w:rPr>
              <w:t>C. glutamicum</w:t>
            </w:r>
          </w:p>
        </w:tc>
        <w:tc>
          <w:tcPr>
            <w:tcW w:type="dxa" w:w="1872"/>
          </w:tcPr>
          <w:p>
            <w:r/>
            <w:r>
              <w:rPr>
                <w:rFonts w:ascii="Times New Roman" w:hAnsi="Times New Roman" w:cs="Times New Roman" w:eastAsia="Times New Roman"/>
                <w:b w:val="0"/>
                <w:i w:val="0"/>
                <w:sz w:val="22"/>
              </w:rPr>
              <w:t>Disruption of aecD gene (CD)</w:t>
            </w:r>
          </w:p>
        </w:tc>
        <w:tc>
          <w:tcPr>
            <w:tcW w:type="dxa" w:w="1872"/>
          </w:tcPr>
          <w:p>
            <w:r/>
            <w:r>
              <w:rPr>
                <w:rFonts w:ascii="Times New Roman" w:hAnsi="Times New Roman" w:cs="Times New Roman" w:eastAsia="Times New Roman"/>
                <w:b w:val="0"/>
                <w:i w:val="0"/>
                <w:sz w:val="22"/>
              </w:rPr>
              <w:t>Shake flasks, 72 h</w:t>
            </w:r>
          </w:p>
        </w:tc>
        <w:tc>
          <w:tcPr>
            <w:tcW w:type="dxa" w:w="1872"/>
          </w:tcPr>
          <w:p>
            <w:r/>
            <w:r>
              <w:rPr>
                <w:rFonts w:ascii="Times New Roman" w:hAnsi="Times New Roman" w:cs="Times New Roman" w:eastAsia="Times New Roman"/>
                <w:b w:val="0"/>
                <w:i w:val="0"/>
                <w:sz w:val="22"/>
              </w:rPr>
              <w:t>0.29 g L −1</w:t>
            </w:r>
          </w:p>
        </w:tc>
      </w:tr>
      <w:tr>
        <w:tc>
          <w:tcPr>
            <w:tcW w:type="dxa" w:w="1872"/>
          </w:tcPr>
          <w:p>
            <w:r/>
            <w:r>
              <w:rPr>
                <w:rFonts w:ascii="Times New Roman" w:hAnsi="Times New Roman" w:cs="Times New Roman" w:eastAsia="Times New Roman"/>
                <w:b w:val="0"/>
                <w:i w:val="0"/>
                <w:sz w:val="22"/>
              </w:rPr>
              <w:t>[ 44 ]</w:t>
            </w:r>
          </w:p>
        </w:tc>
        <w:tc>
          <w:tcPr>
            <w:tcW w:type="dxa" w:w="1872"/>
          </w:tcPr>
          <w:p>
            <w:r/>
            <w:r>
              <w:rPr>
                <w:rFonts w:ascii="Times New Roman" w:hAnsi="Times New Roman" w:cs="Times New Roman" w:eastAsia="Times New Roman"/>
                <w:b w:val="0"/>
                <w:i w:val="0"/>
                <w:sz w:val="22"/>
              </w:rPr>
              <w:t>E. coli</w:t>
            </w:r>
          </w:p>
        </w:tc>
        <w:tc>
          <w:tcPr>
            <w:tcW w:type="dxa" w:w="1872"/>
          </w:tcPr>
          <w:p>
            <w:r/>
            <w:r>
              <w:rPr>
                <w:rFonts w:ascii="Times New Roman" w:hAnsi="Times New Roman" w:cs="Times New Roman" w:eastAsia="Times New Roman"/>
                <w:b w:val="0"/>
                <w:i w:val="0"/>
                <w:sz w:val="22"/>
              </w:rPr>
              <w:t>Disruption of TNase, CBL, OASS-A, OASS-B, and MalY</w:t>
            </w:r>
          </w:p>
        </w:tc>
        <w:tc>
          <w:tcPr>
            <w:tcW w:type="dxa" w:w="1872"/>
          </w:tcPr>
          <w:p>
            <w:r/>
            <w:r>
              <w:rPr>
                <w:rFonts w:ascii="Times New Roman" w:hAnsi="Times New Roman" w:cs="Times New Roman" w:eastAsia="Times New Roman"/>
                <w:b w:val="0"/>
                <w:i w:val="0"/>
                <w:sz w:val="22"/>
              </w:rPr>
              <w:t>Shake flasks, 72 h</w:t>
            </w:r>
          </w:p>
        </w:tc>
        <w:tc>
          <w:tcPr>
            <w:tcW w:type="dxa" w:w="1872"/>
          </w:tcPr>
          <w:p>
            <w:r/>
            <w:r>
              <w:rPr>
                <w:rFonts w:ascii="Times New Roman" w:hAnsi="Times New Roman" w:cs="Times New Roman" w:eastAsia="Times New Roman"/>
                <w:b w:val="0"/>
                <w:i w:val="0"/>
                <w:sz w:val="22"/>
              </w:rPr>
              <w:t>1.36 g L −1 (per OD 562 )</w:t>
            </w:r>
          </w:p>
        </w:tc>
      </w:tr>
      <w:tr>
        <w:tc>
          <w:tcPr>
            <w:tcW w:type="dxa" w:w="1872"/>
          </w:tcPr>
          <w:p>
            <w:r/>
            <w:r>
              <w:rPr>
                <w:rFonts w:ascii="Times New Roman" w:hAnsi="Times New Roman" w:cs="Times New Roman" w:eastAsia="Times New Roman"/>
                <w:b w:val="0"/>
                <w:i w:val="0"/>
                <w:sz w:val="22"/>
              </w:rPr>
              <w:t>[ 46 ]</w:t>
            </w:r>
          </w:p>
        </w:tc>
        <w:tc>
          <w:tcPr>
            <w:tcW w:type="dxa" w:w="1872"/>
          </w:tcPr>
          <w:p>
            <w:r/>
            <w:r>
              <w:rPr>
                <w:rFonts w:ascii="Times New Roman" w:hAnsi="Times New Roman" w:cs="Times New Roman" w:eastAsia="Times New Roman"/>
                <w:b w:val="0"/>
                <w:i w:val="0"/>
                <w:sz w:val="22"/>
              </w:rPr>
              <w:t>E. coli</w:t>
            </w:r>
          </w:p>
        </w:tc>
        <w:tc>
          <w:tcPr>
            <w:tcW w:type="dxa" w:w="1872"/>
          </w:tcPr>
          <w:p>
            <w:r/>
            <w:r>
              <w:rPr>
                <w:rFonts w:ascii="Times New Roman" w:hAnsi="Times New Roman" w:cs="Times New Roman" w:eastAsia="Times New Roman"/>
                <w:b w:val="0"/>
                <w:i w:val="0"/>
                <w:sz w:val="22"/>
              </w:rPr>
              <w:t>Disruption of the yciW gene</w:t>
            </w:r>
          </w:p>
        </w:tc>
        <w:tc>
          <w:tcPr>
            <w:tcW w:type="dxa" w:w="1872"/>
          </w:tcPr>
          <w:p>
            <w:r/>
            <w:r>
              <w:rPr>
                <w:rFonts w:ascii="Times New Roman" w:hAnsi="Times New Roman" w:cs="Times New Roman" w:eastAsia="Times New Roman"/>
                <w:b w:val="0"/>
                <w:i w:val="0"/>
                <w:sz w:val="22"/>
              </w:rPr>
              <w:t>Shake flasks, 72 h</w:t>
            </w:r>
          </w:p>
        </w:tc>
        <w:tc>
          <w:tcPr>
            <w:tcW w:type="dxa" w:w="1872"/>
          </w:tcPr>
          <w:p>
            <w:r/>
            <w:r>
              <w:rPr>
                <w:rFonts w:ascii="Times New Roman" w:hAnsi="Times New Roman" w:cs="Times New Roman" w:eastAsia="Times New Roman"/>
                <w:b w:val="0"/>
                <w:i w:val="0"/>
                <w:sz w:val="22"/>
              </w:rPr>
              <w:t>0.31 g L −1 (per OD 562 )</w:t>
            </w:r>
          </w:p>
        </w:tc>
      </w:tr>
      <w:tr>
        <w:tc>
          <w:tcPr>
            <w:tcW w:type="dxa" w:w="1872"/>
          </w:tcPr>
          <w:p>
            <w:r/>
            <w:r>
              <w:rPr>
                <w:rFonts w:ascii="Times New Roman" w:hAnsi="Times New Roman" w:cs="Times New Roman" w:eastAsia="Times New Roman"/>
                <w:b w:val="0"/>
                <w:i w:val="0"/>
                <w:sz w:val="22"/>
              </w:rPr>
              <w:t>[ 6 ]</w:t>
            </w:r>
          </w:p>
        </w:tc>
        <w:tc>
          <w:tcPr>
            <w:tcW w:type="dxa" w:w="1872"/>
          </w:tcPr>
          <w:p>
            <w:r/>
            <w:r>
              <w:rPr>
                <w:rFonts w:ascii="Times New Roman" w:hAnsi="Times New Roman" w:cs="Times New Roman" w:eastAsia="Times New Roman"/>
                <w:b w:val="0"/>
                <w:i w:val="0"/>
                <w:sz w:val="22"/>
              </w:rPr>
              <w:t>P. ananatis</w:t>
            </w:r>
          </w:p>
        </w:tc>
        <w:tc>
          <w:tcPr>
            <w:tcW w:type="dxa" w:w="1872"/>
          </w:tcPr>
          <w:p>
            <w:r/>
            <w:r>
              <w:rPr>
                <w:rFonts w:ascii="Times New Roman" w:hAnsi="Times New Roman" w:cs="Times New Roman" w:eastAsia="Times New Roman"/>
                <w:b w:val="0"/>
                <w:i w:val="0"/>
                <w:sz w:val="22"/>
              </w:rPr>
              <w:t>Deletion of CD ccdA</w:t>
            </w:r>
          </w:p>
        </w:tc>
        <w:tc>
          <w:tcPr>
            <w:tcW w:type="dxa" w:w="1872"/>
          </w:tcPr>
          <w:p>
            <w:r/>
            <w:r>
              <w:rPr>
                <w:rFonts w:ascii="Times New Roman" w:hAnsi="Times New Roman" w:cs="Times New Roman" w:eastAsia="Times New Roman"/>
                <w:b w:val="0"/>
                <w:i w:val="0"/>
                <w:sz w:val="22"/>
              </w:rPr>
              <w:t>Test tubes, 28 h</w:t>
            </w:r>
          </w:p>
        </w:tc>
        <w:tc>
          <w:tcPr>
            <w:tcW w:type="dxa" w:w="1872"/>
          </w:tcPr>
          <w:p>
            <w:r/>
            <w:r>
              <w:rPr>
                <w:rFonts w:ascii="Times New Roman" w:hAnsi="Times New Roman" w:cs="Times New Roman" w:eastAsia="Times New Roman"/>
                <w:b w:val="0"/>
                <w:i w:val="0"/>
                <w:sz w:val="22"/>
              </w:rPr>
              <w:t>0.52 g L −1</w:t>
            </w:r>
          </w:p>
        </w:tc>
      </w:tr>
    </w:tbl>
    <w:p>
      <w:pPr>
        <w:spacing w:after="80"/>
        <w:jc w:val="both"/>
      </w:pPr>
    </w:p>
    <w:p>
      <w:pPr>
        <w:keepNext/>
        <w:spacing w:before="160" w:after="40"/>
        <w:jc w:val="left"/>
      </w:pPr>
      <w:r>
        <w:rPr>
          <w:rFonts w:ascii="Times New Roman" w:hAnsi="Times New Roman" w:cs="Times New Roman" w:eastAsia="Times New Roman"/>
          <w:b/>
          <w:i w:val="0"/>
          <w:sz w:val="22"/>
        </w:rPr>
        <w:t>Reproduced verbatim from PMC10821248 — Table 2 — ATP and NADPH demand and catalyzing enzymes for different sulfur assimilation pathways [ 59 , 63 ].</w:t>
      </w:r>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2340"/>
            <w:shd w:fill="DDE4EF"/>
          </w:tcPr>
          <w:p>
            <w:r/>
            <w:r>
              <w:rPr>
                <w:rFonts w:ascii="Times New Roman" w:hAnsi="Times New Roman" w:cs="Times New Roman" w:eastAsia="Times New Roman"/>
                <w:b/>
                <w:i w:val="0"/>
                <w:sz w:val="22"/>
              </w:rPr>
              <w:t>Pathway</w:t>
            </w:r>
          </w:p>
        </w:tc>
        <w:tc>
          <w:tcPr>
            <w:tcW w:type="dxa" w:w="2340"/>
            <w:shd w:fill="DDE4EF"/>
          </w:tcPr>
          <w:p>
            <w:r/>
            <w:r>
              <w:rPr>
                <w:rFonts w:ascii="Times New Roman" w:hAnsi="Times New Roman" w:cs="Times New Roman" w:eastAsia="Times New Roman"/>
                <w:b/>
                <w:i w:val="0"/>
                <w:sz w:val="22"/>
              </w:rPr>
              <w:t>Steps</w:t>
            </w:r>
          </w:p>
        </w:tc>
        <w:tc>
          <w:tcPr>
            <w:tcW w:type="dxa" w:w="2340"/>
            <w:shd w:fill="DDE4EF"/>
          </w:tcPr>
          <w:p>
            <w:r/>
            <w:r>
              <w:rPr>
                <w:rFonts w:ascii="Times New Roman" w:hAnsi="Times New Roman" w:cs="Times New Roman" w:eastAsia="Times New Roman"/>
                <w:b/>
                <w:i w:val="0"/>
                <w:sz w:val="22"/>
              </w:rPr>
              <w:t>Enzymes</w:t>
            </w:r>
          </w:p>
        </w:tc>
        <w:tc>
          <w:tcPr>
            <w:tcW w:type="dxa" w:w="2340"/>
            <w:shd w:fill="DDE4EF"/>
          </w:tcPr>
          <w:p>
            <w:r/>
            <w:r>
              <w:rPr>
                <w:rFonts w:ascii="Times New Roman" w:hAnsi="Times New Roman" w:cs="Times New Roman" w:eastAsia="Times New Roman"/>
                <w:b/>
                <w:i w:val="0"/>
                <w:sz w:val="22"/>
              </w:rPr>
              <w:t>ATP/NADPH Demand</w:t>
            </w:r>
          </w:p>
        </w:tc>
      </w:tr>
      <w:tr>
        <w:tc>
          <w:tcPr>
            <w:tcW w:type="dxa" w:w="2340"/>
          </w:tcPr>
          <w:p>
            <w:r/>
            <w:r>
              <w:rPr>
                <w:rFonts w:ascii="Times New Roman" w:hAnsi="Times New Roman" w:cs="Times New Roman" w:eastAsia="Times New Roman"/>
                <w:b w:val="0"/>
                <w:i w:val="0"/>
                <w:sz w:val="22"/>
              </w:rPr>
              <w:t>Thiosulfate</w:t>
            </w:r>
          </w:p>
        </w:tc>
        <w:tc>
          <w:tcPr>
            <w:tcW w:type="dxa" w:w="2340"/>
          </w:tcPr>
          <w:p>
            <w:r/>
            <w:r>
              <w:rPr>
                <w:rFonts w:ascii="Times New Roman" w:hAnsi="Times New Roman" w:cs="Times New Roman" w:eastAsia="Times New Roman"/>
                <w:b w:val="0"/>
                <w:i w:val="0"/>
                <w:sz w:val="22"/>
              </w:rPr>
              <w:t>Conversion of thiosulfate to S-sulfocysteine</w:t>
            </w:r>
          </w:p>
        </w:tc>
        <w:tc>
          <w:tcPr>
            <w:tcW w:type="dxa" w:w="2340"/>
          </w:tcPr>
          <w:p>
            <w:r/>
            <w:r>
              <w:rPr>
                <w:rFonts w:ascii="Times New Roman" w:hAnsi="Times New Roman" w:cs="Times New Roman" w:eastAsia="Times New Roman"/>
                <w:b w:val="0"/>
                <w:i w:val="0"/>
                <w:sz w:val="22"/>
              </w:rPr>
              <w:t>CysM</w:t>
            </w:r>
          </w:p>
        </w:tc>
        <w:tc>
          <w:tcPr>
            <w:tcW w:type="dxa" w:w="2340"/>
          </w:tcPr>
          <w:p>
            <w:r/>
            <w:r>
              <w:rPr>
                <w:rFonts w:ascii="Times New Roman" w:hAnsi="Times New Roman" w:cs="Times New Roman" w:eastAsia="Times New Roman"/>
                <w:b w:val="0"/>
                <w:i w:val="0"/>
                <w:sz w:val="22"/>
              </w:rPr>
              <w:t>-</w:t>
            </w:r>
          </w:p>
        </w:tc>
      </w:tr>
      <w:tr>
        <w:tc>
          <w:tcPr>
            <w:tcW w:type="dxa" w:w="2340"/>
          </w:tcPr>
          <w:p>
            <w:r/>
            <w:r>
              <w:rPr>
                <w:rFonts w:ascii="Times New Roman" w:hAnsi="Times New Roman" w:cs="Times New Roman" w:eastAsia="Times New Roman"/>
                <w:b w:val="0"/>
                <w:i w:val="0"/>
                <w:sz w:val="22"/>
              </w:rPr>
              <w:t>2. Lyase of S-sulfocysteine and sulfite</w:t>
            </w:r>
          </w:p>
        </w:tc>
        <w:tc>
          <w:tcPr>
            <w:tcW w:type="dxa" w:w="2340"/>
          </w:tcPr>
          <w:p>
            <w:r/>
            <w:r>
              <w:rPr>
                <w:rFonts w:ascii="Times New Roman" w:hAnsi="Times New Roman" w:cs="Times New Roman" w:eastAsia="Times New Roman"/>
                <w:b w:val="0"/>
                <w:i w:val="0"/>
                <w:sz w:val="22"/>
              </w:rPr>
              <w:t>NrdH, Grx1</w:t>
            </w:r>
          </w:p>
        </w:tc>
        <w:tc>
          <w:tcPr>
            <w:tcW w:type="dxa" w:w="2340"/>
          </w:tcPr>
          <w:p>
            <w:r/>
            <w:r>
              <w:rPr>
                <w:rFonts w:ascii="Times New Roman" w:hAnsi="Times New Roman" w:cs="Times New Roman" w:eastAsia="Times New Roman"/>
                <w:b w:val="0"/>
                <w:i w:val="0"/>
                <w:sz w:val="22"/>
              </w:rPr>
              <w:t>1 NADPH</w:t>
            </w:r>
          </w:p>
        </w:tc>
        <w:tc>
          <w:tcPr>
            <w:tcW w:type="dxa" w:w="2340"/>
          </w:tcPr>
          <w:p>
            <w:r/>
            <w:r>
              <w:rPr>
                <w:rFonts w:ascii="Times New Roman" w:hAnsi="Times New Roman" w:cs="Times New Roman" w:eastAsia="Times New Roman"/>
                <w:b w:val="0"/>
                <w:i w:val="0"/>
                <w:sz w:val="22"/>
              </w:rPr>
            </w:r>
          </w:p>
        </w:tc>
      </w:tr>
      <w:tr>
        <w:tc>
          <w:tcPr>
            <w:tcW w:type="dxa" w:w="2340"/>
          </w:tcPr>
          <w:p>
            <w:r/>
            <w:r>
              <w:rPr>
                <w:rFonts w:ascii="Times New Roman" w:hAnsi="Times New Roman" w:cs="Times New Roman" w:eastAsia="Times New Roman"/>
                <w:b w:val="0"/>
                <w:i w:val="0"/>
                <w:sz w:val="22"/>
              </w:rPr>
              <w:t>Thiosulfate (postulated)</w:t>
            </w:r>
          </w:p>
        </w:tc>
        <w:tc>
          <w:tcPr>
            <w:tcW w:type="dxa" w:w="2340"/>
          </w:tcPr>
          <w:p>
            <w:r/>
            <w:r>
              <w:rPr>
                <w:rFonts w:ascii="Times New Roman" w:hAnsi="Times New Roman" w:cs="Times New Roman" w:eastAsia="Times New Roman"/>
                <w:b w:val="0"/>
                <w:i w:val="0"/>
                <w:sz w:val="22"/>
              </w:rPr>
              <w:t>1. Conversion of thiosulfate to sulfite (SO 3 −2 )</w:t>
            </w:r>
          </w:p>
        </w:tc>
        <w:tc>
          <w:tcPr>
            <w:tcW w:type="dxa" w:w="2340"/>
          </w:tcPr>
          <w:p>
            <w:r/>
            <w:r>
              <w:rPr>
                <w:rFonts w:ascii="Times New Roman" w:hAnsi="Times New Roman" w:cs="Times New Roman" w:eastAsia="Times New Roman"/>
                <w:b w:val="0"/>
                <w:i w:val="0"/>
                <w:sz w:val="22"/>
              </w:rPr>
              <w:t>GlpE</w:t>
            </w:r>
          </w:p>
        </w:tc>
        <w:tc>
          <w:tcPr>
            <w:tcW w:type="dxa" w:w="2340"/>
          </w:tcPr>
          <w:p>
            <w:r/>
            <w:r>
              <w:rPr>
                <w:rFonts w:ascii="Times New Roman" w:hAnsi="Times New Roman" w:cs="Times New Roman" w:eastAsia="Times New Roman"/>
                <w:b w:val="0"/>
                <w:i w:val="0"/>
                <w:sz w:val="22"/>
              </w:rPr>
              <w:t>-</w:t>
            </w:r>
          </w:p>
        </w:tc>
      </w:tr>
      <w:tr>
        <w:tc>
          <w:tcPr>
            <w:tcW w:type="dxa" w:w="2340"/>
          </w:tcPr>
          <w:p>
            <w:r/>
            <w:r>
              <w:rPr>
                <w:rFonts w:ascii="Times New Roman" w:hAnsi="Times New Roman" w:cs="Times New Roman" w:eastAsia="Times New Roman"/>
                <w:b w:val="0"/>
                <w:i w:val="0"/>
                <w:sz w:val="22"/>
              </w:rPr>
              <w:t>2. Reduction of sulfite to sulfide (S −2 )</w:t>
            </w:r>
          </w:p>
        </w:tc>
        <w:tc>
          <w:tcPr>
            <w:tcW w:type="dxa" w:w="2340"/>
          </w:tcPr>
          <w:p>
            <w:r/>
            <w:r>
              <w:rPr>
                <w:rFonts w:ascii="Times New Roman" w:hAnsi="Times New Roman" w:cs="Times New Roman" w:eastAsia="Times New Roman"/>
                <w:b w:val="0"/>
                <w:i w:val="0"/>
                <w:sz w:val="22"/>
              </w:rPr>
              <w:t>CysIJ, CysG</w:t>
            </w:r>
          </w:p>
        </w:tc>
        <w:tc>
          <w:tcPr>
            <w:tcW w:type="dxa" w:w="2340"/>
          </w:tcPr>
          <w:p>
            <w:r/>
            <w:r>
              <w:rPr>
                <w:rFonts w:ascii="Times New Roman" w:hAnsi="Times New Roman" w:cs="Times New Roman" w:eastAsia="Times New Roman"/>
                <w:b w:val="0"/>
                <w:i w:val="0"/>
                <w:sz w:val="22"/>
              </w:rPr>
              <w:t>3 NADPH</w:t>
            </w:r>
          </w:p>
        </w:tc>
        <w:tc>
          <w:tcPr>
            <w:tcW w:type="dxa" w:w="2340"/>
          </w:tcPr>
          <w:p>
            <w:r/>
            <w:r>
              <w:rPr>
                <w:rFonts w:ascii="Times New Roman" w:hAnsi="Times New Roman" w:cs="Times New Roman" w:eastAsia="Times New Roman"/>
                <w:b w:val="0"/>
                <w:i w:val="0"/>
                <w:sz w:val="22"/>
              </w:rPr>
            </w:r>
          </w:p>
        </w:tc>
      </w:tr>
      <w:tr>
        <w:tc>
          <w:tcPr>
            <w:tcW w:type="dxa" w:w="2340"/>
          </w:tcPr>
          <w:p>
            <w:r/>
            <w:r>
              <w:rPr>
                <w:rFonts w:ascii="Times New Roman" w:hAnsi="Times New Roman" w:cs="Times New Roman" w:eastAsia="Times New Roman"/>
                <w:b w:val="0"/>
                <w:i w:val="0"/>
                <w:sz w:val="22"/>
              </w:rPr>
              <w:t>3. Reaction with O-acetylserine to L-cysteine</w:t>
            </w:r>
          </w:p>
        </w:tc>
        <w:tc>
          <w:tcPr>
            <w:tcW w:type="dxa" w:w="2340"/>
          </w:tcPr>
          <w:p>
            <w:r/>
            <w:r>
              <w:rPr>
                <w:rFonts w:ascii="Times New Roman" w:hAnsi="Times New Roman" w:cs="Times New Roman" w:eastAsia="Times New Roman"/>
                <w:b w:val="0"/>
                <w:i w:val="0"/>
                <w:sz w:val="22"/>
              </w:rPr>
              <w:t>CysK</w:t>
            </w:r>
          </w:p>
        </w:tc>
        <w:tc>
          <w:tcPr>
            <w:tcW w:type="dxa" w:w="2340"/>
          </w:tcPr>
          <w:p>
            <w:r/>
            <w:r>
              <w:rPr>
                <w:rFonts w:ascii="Times New Roman" w:hAnsi="Times New Roman" w:cs="Times New Roman" w:eastAsia="Times New Roman"/>
                <w:b w:val="0"/>
                <w:i w:val="0"/>
                <w:sz w:val="22"/>
              </w:rPr>
              <w:t>-</w:t>
            </w:r>
          </w:p>
        </w:tc>
        <w:tc>
          <w:tcPr>
            <w:tcW w:type="dxa" w:w="2340"/>
          </w:tcPr>
          <w:p>
            <w:r/>
            <w:r>
              <w:rPr>
                <w:rFonts w:ascii="Times New Roman" w:hAnsi="Times New Roman" w:cs="Times New Roman" w:eastAsia="Times New Roman"/>
                <w:b w:val="0"/>
                <w:i w:val="0"/>
                <w:sz w:val="22"/>
              </w:rPr>
            </w:r>
          </w:p>
        </w:tc>
      </w:tr>
      <w:tr>
        <w:tc>
          <w:tcPr>
            <w:tcW w:type="dxa" w:w="2340"/>
          </w:tcPr>
          <w:p>
            <w:r/>
            <w:r>
              <w:rPr>
                <w:rFonts w:ascii="Times New Roman" w:hAnsi="Times New Roman" w:cs="Times New Roman" w:eastAsia="Times New Roman"/>
                <w:b w:val="0"/>
                <w:i w:val="0"/>
                <w:sz w:val="22"/>
              </w:rPr>
              <w:t>Sulfate</w:t>
            </w:r>
          </w:p>
        </w:tc>
        <w:tc>
          <w:tcPr>
            <w:tcW w:type="dxa" w:w="2340"/>
          </w:tcPr>
          <w:p>
            <w:r/>
            <w:r>
              <w:rPr>
                <w:rFonts w:ascii="Times New Roman" w:hAnsi="Times New Roman" w:cs="Times New Roman" w:eastAsia="Times New Roman"/>
                <w:b w:val="0"/>
                <w:i w:val="0"/>
                <w:sz w:val="22"/>
              </w:rPr>
              <w:t>1. Activation to adenosine 5′-phosphosulfate</w:t>
            </w:r>
          </w:p>
        </w:tc>
        <w:tc>
          <w:tcPr>
            <w:tcW w:type="dxa" w:w="2340"/>
          </w:tcPr>
          <w:p>
            <w:r/>
            <w:r>
              <w:rPr>
                <w:rFonts w:ascii="Times New Roman" w:hAnsi="Times New Roman" w:cs="Times New Roman" w:eastAsia="Times New Roman"/>
                <w:b w:val="0"/>
                <w:i w:val="0"/>
                <w:sz w:val="22"/>
              </w:rPr>
              <w:t>CysDN</w:t>
            </w:r>
          </w:p>
        </w:tc>
        <w:tc>
          <w:tcPr>
            <w:tcW w:type="dxa" w:w="2340"/>
          </w:tcPr>
          <w:p>
            <w:r/>
            <w:r>
              <w:rPr>
                <w:rFonts w:ascii="Times New Roman" w:hAnsi="Times New Roman" w:cs="Times New Roman" w:eastAsia="Times New Roman"/>
                <w:b w:val="0"/>
                <w:i w:val="0"/>
                <w:sz w:val="22"/>
              </w:rPr>
              <w:t>1 ATP</w:t>
            </w:r>
          </w:p>
        </w:tc>
      </w:tr>
      <w:tr>
        <w:tc>
          <w:tcPr>
            <w:tcW w:type="dxa" w:w="2340"/>
          </w:tcPr>
          <w:p>
            <w:r/>
            <w:r>
              <w:rPr>
                <w:rFonts w:ascii="Times New Roman" w:hAnsi="Times New Roman" w:cs="Times New Roman" w:eastAsia="Times New Roman"/>
                <w:b w:val="0"/>
                <w:i w:val="0"/>
                <w:sz w:val="22"/>
              </w:rPr>
              <w:t>2. Phosphorylation to 3′-phosphoadenosine 5′-phosphosulfate</w:t>
            </w:r>
          </w:p>
        </w:tc>
        <w:tc>
          <w:tcPr>
            <w:tcW w:type="dxa" w:w="2340"/>
          </w:tcPr>
          <w:p>
            <w:r/>
            <w:r>
              <w:rPr>
                <w:rFonts w:ascii="Times New Roman" w:hAnsi="Times New Roman" w:cs="Times New Roman" w:eastAsia="Times New Roman"/>
                <w:b w:val="0"/>
                <w:i w:val="0"/>
                <w:sz w:val="22"/>
              </w:rPr>
              <w:t>CysC</w:t>
            </w:r>
          </w:p>
        </w:tc>
        <w:tc>
          <w:tcPr>
            <w:tcW w:type="dxa" w:w="2340"/>
          </w:tcPr>
          <w:p>
            <w:r/>
            <w:r>
              <w:rPr>
                <w:rFonts w:ascii="Times New Roman" w:hAnsi="Times New Roman" w:cs="Times New Roman" w:eastAsia="Times New Roman"/>
                <w:b w:val="0"/>
                <w:i w:val="0"/>
                <w:sz w:val="22"/>
              </w:rPr>
              <w:t>1 ATP</w:t>
            </w:r>
          </w:p>
        </w:tc>
        <w:tc>
          <w:tcPr>
            <w:tcW w:type="dxa" w:w="2340"/>
          </w:tcPr>
          <w:p>
            <w:r/>
            <w:r>
              <w:rPr>
                <w:rFonts w:ascii="Times New Roman" w:hAnsi="Times New Roman" w:cs="Times New Roman" w:eastAsia="Times New Roman"/>
                <w:b w:val="0"/>
                <w:i w:val="0"/>
                <w:sz w:val="22"/>
              </w:rPr>
            </w:r>
          </w:p>
        </w:tc>
      </w:tr>
      <w:tr>
        <w:tc>
          <w:tcPr>
            <w:tcW w:type="dxa" w:w="2340"/>
          </w:tcPr>
          <w:p>
            <w:r/>
            <w:r>
              <w:rPr>
                <w:rFonts w:ascii="Times New Roman" w:hAnsi="Times New Roman" w:cs="Times New Roman" w:eastAsia="Times New Roman"/>
                <w:b w:val="0"/>
                <w:i w:val="0"/>
                <w:sz w:val="22"/>
              </w:rPr>
              <w:t>3. Conversion to sulfite</w:t>
            </w:r>
          </w:p>
        </w:tc>
        <w:tc>
          <w:tcPr>
            <w:tcW w:type="dxa" w:w="2340"/>
          </w:tcPr>
          <w:p>
            <w:r/>
            <w:r>
              <w:rPr>
                <w:rFonts w:ascii="Times New Roman" w:hAnsi="Times New Roman" w:cs="Times New Roman" w:eastAsia="Times New Roman"/>
                <w:b w:val="0"/>
                <w:i w:val="0"/>
                <w:sz w:val="22"/>
              </w:rPr>
              <w:t>CysH</w:t>
            </w:r>
          </w:p>
        </w:tc>
        <w:tc>
          <w:tcPr>
            <w:tcW w:type="dxa" w:w="2340"/>
          </w:tcPr>
          <w:p>
            <w:r/>
            <w:r>
              <w:rPr>
                <w:rFonts w:ascii="Times New Roman" w:hAnsi="Times New Roman" w:cs="Times New Roman" w:eastAsia="Times New Roman"/>
                <w:b w:val="0"/>
                <w:i w:val="0"/>
                <w:sz w:val="22"/>
              </w:rPr>
              <w:t>1 NADPH</w:t>
            </w:r>
          </w:p>
        </w:tc>
        <w:tc>
          <w:tcPr>
            <w:tcW w:type="dxa" w:w="2340"/>
          </w:tcPr>
          <w:p>
            <w:r/>
            <w:r>
              <w:rPr>
                <w:rFonts w:ascii="Times New Roman" w:hAnsi="Times New Roman" w:cs="Times New Roman" w:eastAsia="Times New Roman"/>
                <w:b w:val="0"/>
                <w:i w:val="0"/>
                <w:sz w:val="22"/>
              </w:rPr>
            </w:r>
          </w:p>
        </w:tc>
      </w:tr>
      <w:tr>
        <w:tc>
          <w:tcPr>
            <w:tcW w:type="dxa" w:w="2340"/>
          </w:tcPr>
          <w:p>
            <w:r/>
            <w:r>
              <w:rPr>
                <w:rFonts w:ascii="Times New Roman" w:hAnsi="Times New Roman" w:cs="Times New Roman" w:eastAsia="Times New Roman"/>
                <w:b w:val="0"/>
                <w:i w:val="0"/>
                <w:sz w:val="22"/>
              </w:rPr>
              <w:t>4. Reduction of sulfite to sulfide</w:t>
            </w:r>
          </w:p>
        </w:tc>
        <w:tc>
          <w:tcPr>
            <w:tcW w:type="dxa" w:w="2340"/>
          </w:tcPr>
          <w:p>
            <w:r/>
            <w:r>
              <w:rPr>
                <w:rFonts w:ascii="Times New Roman" w:hAnsi="Times New Roman" w:cs="Times New Roman" w:eastAsia="Times New Roman"/>
                <w:b w:val="0"/>
                <w:i w:val="0"/>
                <w:sz w:val="22"/>
              </w:rPr>
              <w:t>CysIJ, CysG</w:t>
            </w:r>
          </w:p>
        </w:tc>
        <w:tc>
          <w:tcPr>
            <w:tcW w:type="dxa" w:w="2340"/>
          </w:tcPr>
          <w:p>
            <w:r/>
            <w:r>
              <w:rPr>
                <w:rFonts w:ascii="Times New Roman" w:hAnsi="Times New Roman" w:cs="Times New Roman" w:eastAsia="Times New Roman"/>
                <w:b w:val="0"/>
                <w:i w:val="0"/>
                <w:sz w:val="22"/>
              </w:rPr>
              <w:t>3 NADPH</w:t>
            </w:r>
          </w:p>
        </w:tc>
        <w:tc>
          <w:tcPr>
            <w:tcW w:type="dxa" w:w="2340"/>
          </w:tcPr>
          <w:p>
            <w:r/>
            <w:r>
              <w:rPr>
                <w:rFonts w:ascii="Times New Roman" w:hAnsi="Times New Roman" w:cs="Times New Roman" w:eastAsia="Times New Roman"/>
                <w:b w:val="0"/>
                <w:i w:val="0"/>
                <w:sz w:val="22"/>
              </w:rPr>
            </w:r>
          </w:p>
        </w:tc>
      </w:tr>
      <w:tr>
        <w:tc>
          <w:tcPr>
            <w:tcW w:type="dxa" w:w="2340"/>
          </w:tcPr>
          <w:p>
            <w:r/>
            <w:r>
              <w:rPr>
                <w:rFonts w:ascii="Times New Roman" w:hAnsi="Times New Roman" w:cs="Times New Roman" w:eastAsia="Times New Roman"/>
                <w:b w:val="0"/>
                <w:i w:val="0"/>
                <w:sz w:val="22"/>
              </w:rPr>
              <w:t>5. Reaction with O-acetylserine to L-cysteine</w:t>
            </w:r>
          </w:p>
        </w:tc>
        <w:tc>
          <w:tcPr>
            <w:tcW w:type="dxa" w:w="2340"/>
          </w:tcPr>
          <w:p>
            <w:r/>
            <w:r>
              <w:rPr>
                <w:rFonts w:ascii="Times New Roman" w:hAnsi="Times New Roman" w:cs="Times New Roman" w:eastAsia="Times New Roman"/>
                <w:b w:val="0"/>
                <w:i w:val="0"/>
                <w:sz w:val="22"/>
              </w:rPr>
              <w:t>CysK</w:t>
            </w:r>
          </w:p>
        </w:tc>
        <w:tc>
          <w:tcPr>
            <w:tcW w:type="dxa" w:w="2340"/>
          </w:tcPr>
          <w:p>
            <w:r/>
            <w:r>
              <w:rPr>
                <w:rFonts w:ascii="Times New Roman" w:hAnsi="Times New Roman" w:cs="Times New Roman" w:eastAsia="Times New Roman"/>
                <w:b w:val="0"/>
                <w:i w:val="0"/>
                <w:sz w:val="22"/>
              </w:rPr>
              <w:t>-</w:t>
            </w:r>
          </w:p>
        </w:tc>
        <w:tc>
          <w:tcPr>
            <w:tcW w:type="dxa" w:w="2340"/>
          </w:tcPr>
          <w:p>
            <w:r/>
            <w:r>
              <w:rPr>
                <w:rFonts w:ascii="Times New Roman" w:hAnsi="Times New Roman" w:cs="Times New Roman" w:eastAsia="Times New Roman"/>
                <w:b w:val="0"/>
                <w:i w:val="0"/>
                <w:sz w:val="22"/>
              </w:rPr>
            </w:r>
          </w:p>
        </w:tc>
      </w:tr>
    </w:tbl>
    <w:p>
      <w:pPr>
        <w:spacing w:after="80"/>
        <w:jc w:val="both"/>
      </w:pPr>
    </w:p>
    <w:p>
      <w:pPr>
        <w:spacing w:after="80"/>
        <w:jc w:val="both"/>
      </w:pPr>
      <w:r>
        <w:rPr>
          <w:rFonts w:ascii="Times New Roman" w:hAnsi="Times New Roman" w:cs="Times New Roman" w:eastAsia="Times New Roman"/>
          <w:b w:val="0"/>
          <w:i/>
          <w:sz w:val="24"/>
        </w:rPr>
        <w:t>Figure 1 (verbatim caption): “Metabolic pathways for L-cysteine biosynthesis in microorganisms. In the L-serine O-acetyltransferase-O-acetyl-L-serine (SAT-OASS) pathway, there are two branches for the transformation of O-acetyl-L-serine (OAS) into L-cysteine, depending on the sulfur source available to the organism. These biotransformations are catalyzed by two different OASSs: OASS-A in the case of sulfate as the S-source and</w:t>
        <w:br/>
        <w:t xml:space="preserve">   graphic: `molecules-29-00486-g001.jpg`”</w:t>
      </w:r>
    </w:p>
    <w:p>
      <w:pPr>
        <w:spacing w:after="80"/>
        <w:jc w:val="both"/>
      </w:pPr>
      <w:r>
        <w:rPr>
          <w:rFonts w:ascii="Times New Roman" w:hAnsi="Times New Roman" w:cs="Times New Roman" w:eastAsia="Times New Roman"/>
          <w:b w:val="0"/>
          <w:i/>
          <w:sz w:val="24"/>
        </w:rPr>
        <w:t>Figure 2 (verbatim caption): “Transformation of DL-ATC to L-cysteine. In this enzymatic three-step process, DL-ATC is isomerized to L-ATC by ATC racemase. Then, L-ATC is hydrolyzed to S-carbamyl-L-cysteine (SCC) by L-ATC hydrolase. Finally, SCC is cleaved into L-cysteine, CO 2 , and ammonia by S-cabamyl-L-cysteine amidohydrolase.</w:t>
        <w:br/>
        <w:t xml:space="preserve">   graphic: `molecules-29-00486-g002.jpg`”</w:t>
      </w:r>
    </w:p>
    <w:p>
      <w:pPr>
        <w:spacing w:after="80"/>
        <w:jc w:val="both"/>
      </w:pPr>
      <w:r>
        <w:rPr>
          <w:rFonts w:ascii="Times New Roman" w:hAnsi="Times New Roman" w:cs="Times New Roman" w:eastAsia="Times New Roman"/>
          <w:b w:val="0"/>
          <w:i/>
          <w:sz w:val="24"/>
        </w:rPr>
        <w:t>Figure 3 (verbatim caption): “( a ) Substrate feeding profiles followed by [ 59 ] in the fed-batch L-cysteine production process. The thiosulfate feeding started two hours after the process was inoculated in order to avoid unnecessary oxidative stress on the cells in the initial lag phase. The glucose feeding started after five hours, once the initially added glucose was completely consumed. ( b ) L-cysteine concentration prof</w:t>
        <w:br/>
        <w:t xml:space="preserve">   graphic: `molecules-29-00486-g003.jpg`”</w:t>
      </w:r>
    </w:p>
    <w:p>
      <w:pPr>
        <w:spacing w:after="80"/>
        <w:jc w:val="both"/>
      </w:pPr>
      <w:r>
        <w:rPr>
          <w:rFonts w:ascii="Times New Roman" w:hAnsi="Times New Roman" w:cs="Times New Roman" w:eastAsia="Times New Roman"/>
          <w:b w:val="0"/>
          <w:i/>
          <w:sz w:val="24"/>
        </w:rPr>
        <w:t>Figure 4 (verbatim caption): “Flow diagram representation of an L-cysteine purification process according to Boehm [ 62 ]. This process relies on the L-cysteine remaining in an unoxidized state. Hence, the oxidants in the fermentation broth are removed during the anion-exchange chromatography, and the pH of the L-cysteine-rich solution must be closely monitored and adjusted throughout the purification line.</w:t>
        <w:br/>
        <w:t xml:space="preserve">   graphic: `molecules-29-00486-g004.jpg`”</w:t>
      </w:r>
    </w:p>
    <w:p>
      <w:pPr>
        <w:keepNext/>
        <w:spacing w:before="160" w:after="40"/>
        <w:outlineLvl w:val="2"/>
      </w:pPr>
      <w:r>
        <w:rPr>
          <w:rFonts w:ascii="Times New Roman" w:hAnsi="Times New Roman" w:cs="Times New Roman" w:eastAsia="Times New Roman"/>
          <w:b/>
          <w:i w:val="0"/>
          <w:color w:val="404040"/>
          <w:sz w:val="24"/>
        </w:rPr>
        <w:t>Verbatim body-text paragraphs from PMC10821248</w:t>
      </w:r>
    </w:p>
    <w:p>
      <w:pPr>
        <w:spacing w:after="120"/>
        <w:jc w:val="both"/>
      </w:pPr>
      <w:r>
        <w:rPr>
          <w:rFonts w:ascii="Times New Roman" w:hAnsi="Times New Roman" w:cs="Times New Roman" w:eastAsia="Times New Roman"/>
          <w:b w:val="0"/>
          <w:i w:val="0"/>
          <w:sz w:val="24"/>
        </w:rPr>
        <w:t>“These biotransformations are catalyzed by two different OASSs: OASS-A in the case of sulfate as the S-source and graphic: `molecules-29-00486-g001.jpg` 2. **Figure 2** — Transformation of DL-ATC to L-cysteine. In this enzymatic three-step process, DL-ATC is isomerized to L-ATC by ATC racemase. Then, L-ATC is hydrolyzed to S-carbamyl-L-cysteine (SCC) by L-ATC hydrolase. Finally, SCC is cleaved into L-cysteine, CO 2 , and ammonia by S-cabamyl-L-cysteine amidohydrolase. graphic: `molecules-29-00486-g002.jpg` 3. **Figure 3** — ( a ) Substrate feeding profiles followed by [ 59 ] in the fed-batch L-cysteine production process. The thiosulfate feeding started two hours after the process was inoculated in order to avoid unnecessary oxidative stress on the cells in the initial lag phase. The glucose feeding started after five hours, once the initially added glucose was completely consumed. ( b ) L-cysteine concentration prof graphic: `molecules-29-00486-g003.jpg` 4. **Figure 4** — Flow diagram representation of an L-cysteine purification process according to Boehm [ 62 ].”  [PMC10821248 ¶1]</w:t>
      </w:r>
    </w:p>
    <w:p>
      <w:pPr>
        <w:spacing w:after="120"/>
        <w:jc w:val="both"/>
      </w:pPr>
      <w:r>
        <w:rPr>
          <w:rFonts w:ascii="Times New Roman" w:hAnsi="Times New Roman" w:cs="Times New Roman" w:eastAsia="Times New Roman"/>
          <w:b w:val="0"/>
          <w:i w:val="0"/>
          <w:sz w:val="24"/>
        </w:rPr>
        <w:t>“This process relies on the L-cysteine remaining in an unoxidized state. Hence, the oxidants in the fermentation broth are removed during the anion-exchange chromatography, and the pH of the L-cysteine-rich solution must be closely monitored and adjusted throughout the purification line. graphic: `molecules-29-00486-g004.jpg` ```json { "pmcid": "PMC10821248", "pmid": "38257399", "doi": "10.3390/molecules29020486", "title": "Challenges and Advances in the Bioproduction of L-Cysteine", "journal": "Molecules", "year": "2024", "abstract": "L-cysteine is a proteogenic amino acid with many applications in the pharmaceutical, food, animal feed, and cosmetic industries. Due to safety and environmental issues in extracting L-cysteine from animal hair and feathers, the fermentative production of L-cysteine offers an attractive alternative using renewable feedstocks. Strategies to improve microbial production hosts like Pantoea ananatis , Corynebacterium\u00a0glutamicum , Pseudomonas sp., and Escherichia coli are summarized.”  [PMC10821248 ¶2]</w:t>
      </w:r>
    </w:p>
    <w:p>
      <w:pPr>
        <w:spacing w:after="120"/>
        <w:jc w:val="both"/>
      </w:pPr>
      <w:r>
        <w:rPr>
          <w:rFonts w:ascii="Times New Roman" w:hAnsi="Times New Roman" w:cs="Times New Roman" w:eastAsia="Times New Roman"/>
          <w:b w:val="0"/>
          <w:i w:val="0"/>
          <w:sz w:val="24"/>
        </w:rPr>
        <w:t>“Concerning the metabolic engineering strategies, the overexpression of feedback inhibition-insensitive L-serine O-acetyltransferase and weakening the degradation of L-cysteine through the removal of L-cysteine desulfhydrases are crucial adjustments. The overexpression of L-cysteine exporters is vital to overcome the toxicity caused by intracellular accumulating L-cysteine. In addition, we compiled the process engineering aspects for the bioproduction of L-cysteine. Utilizing the energy-efficient sulfur assimilation pathway via thiosulfate, fermenting cheap carbon sources, designing scalable, fed-batch processes with individual feedings of carbon and sulfur sources, and implementing efficient purification techniques are essential for the fermentative production of L-cysteine on an industrial scale.", "body_text": "1. Introduction L-cysteine is a nucleophilic amino acid with a sulfhydryl group, which enables the formation of disulfide bridges.”  [PMC10821248 ¶3]</w:t>
      </w:r>
    </w:p>
    <w:p>
      <w:pPr>
        <w:spacing w:after="120"/>
        <w:jc w:val="both"/>
      </w:pPr>
      <w:r>
        <w:rPr>
          <w:rFonts w:ascii="Times New Roman" w:hAnsi="Times New Roman" w:cs="Times New Roman" w:eastAsia="Times New Roman"/>
          <w:b w:val="0"/>
          <w:i w:val="0"/>
          <w:sz w:val="24"/>
        </w:rPr>
        <w:t>“It can be produced by most eukaryotic and prokaryotic organisms. This amino acid is semi-essential in humans, since it can be synthesized endogenously or directly absorbed from an L-cysteine-rich diet. In cells, cysteine can be produced via the reverse transsulfuration pathway from L-methionine [ 1 ] or from L-serine through acetylation and subsequent sulfhydration [ 2 ]. Figure 1 presents a step-by-step diagram for these pathways. The cells tightly control the intracellular L-cysteine concentration because already-low concentrations can be cytotoxic [ 3 , 4 ]. Intracellular L-cysteine plays a vital role as a precursor for protein synthesis, and for the production of glutathione, hydrogen sulfide, and taurine [ 5 ]. In humans and animals, L-cysteine is primarily found in the hair, nails, and skin, especially in collagen. Prokaryotic cells use L-cysteine mostly in proteins, in enzymes for the formation of iron\u2013sulfur clusters, or as a source of sulfur for other macromolecules [ 6 ].”  [PMC10821248 ¶4]</w:t>
      </w:r>
    </w:p>
    <w:p>
      <w:pPr>
        <w:spacing w:after="120"/>
        <w:jc w:val="both"/>
      </w:pPr>
      <w:r>
        <w:rPr>
          <w:rFonts w:ascii="Times New Roman" w:hAnsi="Times New Roman" w:cs="Times New Roman" w:eastAsia="Times New Roman"/>
          <w:b w:val="0"/>
          <w:i w:val="0"/>
          <w:sz w:val="24"/>
        </w:rPr>
        <w:t>“L-cysteine is produced for applications in the pharmaceutical, food, animal feed, and cosmetics industries, with an estimated yearly production of roughly 3000 tons [ 7 , 8 ]. In the pharmaceutical and food industries, L-cysteine is a precursor for the production of drugs, food supplements, and nutraceuticals [ 9 ]. In animal feed, L-cysteine is used as a sulfur supplement for wool production [ 10 ]. In the cosmetic industry, L-cysteine is applied as a substitute for thioglycolic acid in hair applications for breaking the disulfide bridges of keratin to achieve permanent hair waving [ 10 ]. Animal feathers and human hair are natural sources of L-cysteine, which is the main component of keratin. First, cystine is extracted with activated charcoal after the acidic hydrolysis of feathers and hair. After desorption from the activated charcoal matrix, the isolated and purified L-cystine is then transformed into L-cysteine via electrolytic reduction [ 11 ].”  [PMC10821248 ¶5]</w:t>
      </w:r>
    </w:p>
    <w:p>
      <w:pPr>
        <w:spacing w:after="120"/>
        <w:jc w:val="both"/>
      </w:pPr>
      <w:r>
        <w:rPr>
          <w:rFonts w:ascii="Times New Roman" w:hAnsi="Times New Roman" w:cs="Times New Roman" w:eastAsia="Times New Roman"/>
          <w:b w:val="0"/>
          <w:i w:val="0"/>
          <w:sz w:val="24"/>
        </w:rPr>
        <w:t>“This is the most common production method applied so far, although the L-cysteine process yield is low, and unpleasant odors may occur. However, the most important disadvantage is the environmental and safety issues caused by the disposal of the organic waste, which contains hydrochloric acid [ 12 ]. An alternative approach is the biotechnological production of L-cysteine from renewable resources [ 13 ]. Since the 1980s, microorganisms of the genus Pseudomonas have been used for the asymmetric whole-cell biocatalysis of DL-2-amino-\u0394 2 -thiazoline-4-carboxylic acid (DL-ATC) to generate L-cysteine ( Figure 2 ). Pseudomonas is a genus of gram-negative bacteria belonging to the family Pseudomonadaceae in the class of \u03b3-proteobacteria. From the many bacteria, especially in the genus Pseudomonas , that have an activity to convert DL-ATC to L-cysteine, two biosynthetic pathways have been described [ 14 , 15 , 16 ].”  [PMC10821248 ¶6]</w:t>
      </w:r>
    </w:p>
    <w:p>
      <w:pPr>
        <w:spacing w:after="120"/>
        <w:jc w:val="both"/>
      </w:pPr>
      <w:r>
        <w:rPr>
          <w:rFonts w:ascii="Times New Roman" w:hAnsi="Times New Roman" w:cs="Times New Roman" w:eastAsia="Times New Roman"/>
          <w:b w:val="0"/>
          <w:i w:val="0"/>
          <w:sz w:val="24"/>
        </w:rPr>
        <w:t>“As an intermediate, one pathway produces N-carbamoyl cysteine, and the other, S-carbamoyl cysteine [ 17 ]. However, in the Pseudomonas cells, L-cysteine is converted to pyruvate, hydrogen sulfide, and ammonia by L-cysteine desulfhydrase (CD). The L-cysteine desulfhydrase gene could not be knocked out to increase the production of L-cysteine during the bioconversion of DL-ATC by Pseudomonas sp., since the degradation of L-cysteine is required to supply the cells with carbon and nitrogen [ 18 ]. Furthermore, the difficulty of procurement of the substrate DL-ATC and the low enzymatic yields of this process limited its application as an industrial process [ 12 ]. Through the understanding of the complex regulation system of the L-cysteine synthesis in bacteria, and with the advancements in synthetic biology, the direct fermentative L-cysteine production from glucose became feasible and has been exploited by global amino acid producers to supply an increasing portion of the global L-cysteine demand [ 19 ].”  [PMC10821248 ¶7]</w:t>
      </w:r>
    </w:p>
    <w:p>
      <w:pPr>
        <w:spacing w:after="120"/>
        <w:jc w:val="both"/>
      </w:pPr>
      <w:r>
        <w:rPr>
          <w:rFonts w:ascii="Times New Roman" w:hAnsi="Times New Roman" w:cs="Times New Roman" w:eastAsia="Times New Roman"/>
          <w:b w:val="0"/>
          <w:i w:val="0"/>
          <w:sz w:val="24"/>
        </w:rPr>
        <w:t>“In this review, the metabolic engineering strategies for enhancing the L-cysteine yield and cell-specific productivities will be compiled, e.g., improving the metabolic availability of precursors, deregulating controlling enzymes, knocking out genes coding for L-cysteine-degrading enzymes, and overexpressing transporter genes to transport L-cysteine out of the cell. The final section of this review focuses on the process engineering aspects like sulfur sources, fermentation process designs, and L-cysteine purification strategies. 2. Metabolic Engineering Strategies Microorganisms use two main pathways for the biosynthesis of L-cysteine. In enteric bacteria such as E. coli , the precursor of L-cysteine is L-serine [ 20 ]. L-cysteine is synthesized from L-serine in two steps, which involve the substitution of the \u03b2-hydroxyl group with a thiol group ( Figure 1 ). The first step involves the acetylation of the \u03b2-hydroxyl of L-serine, resulting in an O-acetyl-L-serine (OAS) catalyzed by L-serine O-acetyltransferase (SAT), which is encoded by the cysE gene.”  [PMC10821248 ¶8]</w:t>
      </w:r>
    </w:p>
    <w:p>
      <w:pPr>
        <w:spacing w:after="120"/>
        <w:jc w:val="both"/>
      </w:pPr>
      <w:r>
        <w:rPr>
          <w:rFonts w:ascii="Times New Roman" w:hAnsi="Times New Roman" w:cs="Times New Roman" w:eastAsia="Times New Roman"/>
          <w:b w:val="0"/>
          <w:i w:val="0"/>
          <w:sz w:val="24"/>
        </w:rPr>
        <w:t>“The second step involves the \u03b1,\u03b2-elimination of acetate from OAS and the addition of H 2 S to give an L-cysteine catalyzed by O-acetyl-L-serine sulfhydrylase-A (OASS-A), which is encoded by the cysK gene. Corynebacterium glutamicum and Pantoea ananantis synthesize L-cysteine through the same pathway as E. coli [ 12 ]. Other microorganisms, such as Pseudomonas putida [ 21 ], Saccharomyces cerevisiae [ 22 ], and Lactococcus lactis [ 23 ] synthesize L-cysteine from L-methionine through the reverse transsulfuration pathway that consists in the cleavage of a methyl group from L-methionine to generate a homocysteine catalyzed by a multienzyme complex, and the homocysteine\u2019s subsequent transformation to cystathionine by the enzyme cystathionine beta-synthase (CBS). L-cysteine can be produced from cystathionine through the enzyme cystathionine gamma-lyase (CSE) ( Figure 1 ). The choice of the starting strain for metabolic engineering has an impact on the potential enhancements achieved through the modification of metabolic steps [ 24 ].”  [PMC10821248 ¶9]</w:t>
      </w:r>
    </w:p>
    <w:p>
      <w:pPr>
        <w:spacing w:after="120"/>
        <w:jc w:val="both"/>
      </w:pPr>
      <w:r>
        <w:rPr>
          <w:rFonts w:ascii="Times New Roman" w:hAnsi="Times New Roman" w:cs="Times New Roman" w:eastAsia="Times New Roman"/>
          <w:b w:val="0"/>
          <w:i w:val="0"/>
          <w:sz w:val="24"/>
        </w:rPr>
        <w:t>“This will be shown in an example with E. coli : It has been established that the transcription levels of key metabolic genes are the major modulators of different glucose utilization pathways in E. coli [ 25 ]. Also, the genetic difference in the catabolite repression protein (CRP) among the E. coli K-12 strains affects sulfur metabolism [ 26 ]. During the last 20 years, four E. coli K-12 strains (BW25113, JM109, W3110, and MG1655, respectively) have been utilized in L-cysteine production [ 27 ]. Therefore, the selection of a suitable chassis for L-cysteine production has been deemed the foundation for the successful implementation of metabolic engineering strategies [ 28 ]. To reach a more suitable chassis cell, the L-cysteine-producing plasmid pLH03, containing P -cysE (coding for serine acetyltransferase) and P -ydeD (a cysteine exporter), was transformed into the four aforementioned E. coli K-12 hosts.”  [PMC10821248 ¶10]</w:t>
      </w:r>
    </w:p>
    <w:p>
      <w:pPr>
        <w:spacing w:after="120"/>
        <w:jc w:val="both"/>
      </w:pPr>
      <w:r>
        <w:rPr>
          <w:rFonts w:ascii="Times New Roman" w:hAnsi="Times New Roman" w:cs="Times New Roman" w:eastAsia="Times New Roman"/>
          <w:b w:val="0"/>
          <w:i w:val="0"/>
          <w:sz w:val="24"/>
        </w:rPr>
        <w:t>“The results of shake flask experiments (minimal medium with thiosulfate as the sulfur source) showed that the best chassis for the plasmid pLH03 was BW25113, since it produced 345.8 mg L \u22121 of L-cysteine, followed by JM109 (190.3 mg L \u22121 ). By contrast, neither W3110 nor MG1655 were deemed suitable base strains for this plasmid, since they each produced less than 70 mg L \u22121 product. [ 28 ] Henceforth, the advances in the metabolic engineering of a variety of organisms will be discussed. In general, the fermentative production of L-cysteine can be enhanced by utilizing a combination of three different metabolic engineering strategies, which are as follows: Enhancing the biosynthesis of L-cysteine by expressing genes encoding feedback inhibition-insensitive phosphoglycerate dehydrogenase (PGDH) L-serine O-acetyltransferase (SAT); Weakening the degradation of L-cysteine by knocking out genes encoding L-cysteine desulfhydrase (CD); Enhancing and strengthening the efflux system while weakening and deleting the genes responsible for the import of L-cysteine.”  [PMC10821248 ¶11]</w:t>
      </w:r>
    </w:p>
    <w:p>
      <w:pPr>
        <w:spacing w:after="120"/>
        <w:jc w:val="both"/>
      </w:pPr>
      <w:r>
        <w:rPr>
          <w:rFonts w:ascii="Times New Roman" w:hAnsi="Times New Roman" w:cs="Times New Roman" w:eastAsia="Times New Roman"/>
          <w:b w:val="0"/>
          <w:i w:val="0"/>
          <w:sz w:val="24"/>
        </w:rPr>
        <w:t>“Table 1 at the end of this chapter summarizes the maximal L-cysteine concentrations achieved by applying these metabolic engineering approaches, as well as the organism and scale of the process by which they were reached. 2.1. Biosynthesis of L-Cysteine The acetylation of L-serine catalyzed by serine acetyltransferase (SAT) is the rate-limiting step of L-cysteine biosynthesis in many microorganisms. The activity of SAT is suppressed by L-cysteine via feedback inhibition ( Figure 2 ). An approach to enhance the fermentative production of L-cysteine utilizes feedback inhibition-insensitive SATs. These SATs are obtained by the following means: Engineering SAT from E. coli through site-directed mutagenesis or random mutagenesis [ 29 , 30 ]; Utilizing natural SAT from higher plants insensitive to feedback inhibition [ 31 , 32 ]. Nakamori et al. [ 33 ] obtained feedback inhibition-insensitive SATs by engineering SAT from E. coli through site-directed mutagenesis using PCR.”  [PMC10821248 ¶12]</w:t>
      </w:r>
    </w:p>
    <w:p>
      <w:pPr>
        <w:spacing w:after="120"/>
        <w:jc w:val="both"/>
      </w:pPr>
      <w:r>
        <w:rPr>
          <w:rFonts w:ascii="Times New Roman" w:hAnsi="Times New Roman" w:cs="Times New Roman" w:eastAsia="Times New Roman"/>
          <w:b w:val="0"/>
          <w:i w:val="0"/>
          <w:sz w:val="24"/>
        </w:rPr>
        <w:t>“In this study, the cysE gene coding for SAT was altered by replacing the methionine at position 256 with other amino acids. The transformed microorganisms, having the altered cysE gene, produced 50\u2013300 mg L \u22121 of L-cysteine plus L-cystine after 72 h of cultivation in shake flasks containing a minimal medium at 30 \u00b0C. Furthermore, the transformation of the altered cysE gene in a mutant strain of E. coli , JM39-8, with decreased cysteine degradation abilities (10% CD activity) resulted in an increased production to a maximum of 790 mg L \u22121 of L-cysteine plus L-cystine in shake flasks under the same conditions as above. Takagi et al. [ 30 ] isolated feedback inhibition-insensitive SAT through a random mutagenesis into the cysE gene by using the error-prone PCR. The production test of L-cysteine and the enzymatic analysis of the mutant SAT suggested that the carboxy-terminal region of SAT is involved in the desensitization to feedback inhibition and the substantial production of L-cysteine.”  [PMC10821248 ¶13]</w:t>
      </w:r>
    </w:p>
    <w:p>
      <w:pPr>
        <w:spacing w:after="120"/>
        <w:jc w:val="both"/>
      </w:pPr>
      <w:r>
        <w:rPr>
          <w:rFonts w:ascii="Times New Roman" w:hAnsi="Times New Roman" w:cs="Times New Roman" w:eastAsia="Times New Roman"/>
          <w:b w:val="0"/>
          <w:i w:val="0"/>
          <w:sz w:val="24"/>
        </w:rPr>
        <w:t>“Another approach to obtain feedback inhibition-insensitive SATs could be to use natural SATs from higher plants. In Arabidopsis thaliana , three cDNA clones encoding SAT isoforms (SAT-c, SAT-p, and SAT-m) have been isolated. Noji et al. [ 33 ] analyzed these SATs and reported that SAT-p and SAT-m were feedback inhibition-insensitive isozymes. However, the activity of SAT-c was feedback inhibited by a low concentration of L-cysteine. Takagi et al. [ 31 ] expressed two cDNAs from A. thaliana encoding feedback inhibition-insensitive SAT (SAT-p and SAT-m) in the E. coli strain JM39-8, and reported an increased production of L-cysteine (1.6\u20131.7 g L \u22121 ) when cultivated for 96 h in shaking flasks containing a minimal medium at 30 \u00b0C. Wirtz and Hell [ 32 ] isolated three new cDNAs from Nicotiana tabacum encoding SATs and reported that the SAT4 isoform has a lower feedback sensitivity than the previously reported SATs.”  [PMC10821248 ¶14]</w:t>
      </w:r>
    </w:p>
    <w:p>
      <w:pPr>
        <w:spacing w:after="120"/>
        <w:jc w:val="both"/>
      </w:pPr>
      <w:r>
        <w:rPr>
          <w:rFonts w:ascii="Times New Roman" w:hAnsi="Times New Roman" w:cs="Times New Roman" w:eastAsia="Times New Roman"/>
          <w:b w:val="0"/>
          <w:i w:val="0"/>
          <w:sz w:val="24"/>
        </w:rPr>
        <w:t>“The results showed that the expression of SAT4 in E. coli causes a 50-fold increase in the accumulation of L-cysteine in the medium. Kai et al. [ 34 ] analyzed the crystal structure and reaction mechanism of SAT and introduced various amino acid substitutions to change the position of Asp92. As a result, they designed a mutant SAT having a high enzymatic activity and low sensitivity to inhibition by L-cysteine. For one promising mutant, the inhibitory L-cysteine concentration that halved the enzyme\u2019s activity went from the wild type\u2019s 0.8 \u00b5M to 410 \u00b5M, while simultaneously increasing the initial enzymatic activity by 220 \u00b5M mg \u22121 min \u22121 . In another study, a strain of P. ananatis that carried a mutant of the gene cysE (cysEX) coding for a feedback-insensitive SAT was constructed. A second strain of P. ananatis , additionally harboring a plasmid with the gene cefA , which codes for an L-cysteine efflux pump, was generated.”  [PMC10821248 ¶15]</w:t>
      </w:r>
    </w:p>
    <w:p>
      <w:pPr>
        <w:spacing w:after="120"/>
        <w:jc w:val="both"/>
      </w:pPr>
      <w:r>
        <w:rPr>
          <w:rFonts w:ascii="Times New Roman" w:hAnsi="Times New Roman" w:cs="Times New Roman" w:eastAsia="Times New Roman"/>
          <w:b w:val="0"/>
          <w:i w:val="0"/>
          <w:sz w:val="24"/>
        </w:rPr>
        <w:t>“A strain of P. ananatis carrying the gene cefA was able to produce 900 mg L \u22121 of L-cysteine in agitated test tubes, which is roughly four times the amount produced by the P. ananatis strain carrying only the feedback-insensitive SAT [ 6 ]. C. glutamicum is a nonpathogenic and high G+C gram-positive bacterium industrially used for decades for the fermentative production of amino acids such as L-glutamic acid and L-lysine [ 35 , 36 ]. Joo et al. [ 37 ] investigated the effect of the overexpression of genes encoding SAT, OASS, and a transcriptional regulator in C. glutamicum . The results showed that L-cysteine production was enhanced by approximately three-fold, with the recombinant strain reaching a maximal L-cysteine concentration of approximately 60 mg L \u22121 in shake flasks at 30 \u00b0C after 15 h of cultivation. Wei et al. [ 7 ] further engineered C. glutamicum for L-cysteine production by enhancing the L-serine biosynthetic pathway, expressing the gene encoding feedback inhibition-insensitive SAT, deleting genes encoding CD, and increasing the L-cysteine export.”  [PMC10821248 ¶16]</w:t>
      </w:r>
    </w:p>
    <w:p>
      <w:pPr>
        <w:spacing w:after="120"/>
        <w:jc w:val="both"/>
      </w:pPr>
      <w:r>
        <w:rPr>
          <w:rFonts w:ascii="Times New Roman" w:hAnsi="Times New Roman" w:cs="Times New Roman" w:eastAsia="Times New Roman"/>
          <w:b w:val="0"/>
          <w:i w:val="0"/>
          <w:sz w:val="24"/>
        </w:rPr>
        <w:t>“Their engineered strain, cultivated for 48 h at 30 \u00b0C in shake flasks, produced 947.9 \u00b1 46.5 mg L \u22121 of L-cysteine, with a yield of 27.27 mg g \u22121 of glucose and a volumetric productivity of 26.33 mg L \u22121 h \u22121 . Kondoh and Hirasawa [ 38 ] achieved approximately 200 mg L \u22121 of L-cysteine production with C. glutamicum by overexpressing the mutant cysE and serA genes to enhance the biosynthesis, disrupting aecD gene coding for CD to prevent degradation and disrupting the NCgl2463 gene coding for a membrane transporter to prevent L-cystine import. One of the key enzymes in the L-serine biosynthesis pathway, 3-phosphoglycerate dehydrogenase (PGDH), coded by the gene serA , is feedback inhibited by L-serine [ 7 , 13 ]. The authors of [ 39 ] converted the 344th and 346th amino acids of E. coli \u2019s PGDH to alanine, which created a feedback-insensitive serA .”  [PMC10821248 ¶17]</w:t>
      </w:r>
    </w:p>
    <w:p>
      <w:pPr>
        <w:spacing w:after="120"/>
        <w:jc w:val="both"/>
      </w:pPr>
      <w:r>
        <w:rPr>
          <w:rFonts w:ascii="Times New Roman" w:hAnsi="Times New Roman" w:cs="Times New Roman" w:eastAsia="Times New Roman"/>
          <w:b w:val="0"/>
          <w:i w:val="0"/>
          <w:sz w:val="24"/>
        </w:rPr>
        <w:t>“Liu et al. [ 13 ] overexpressed the feedback-resistant serA as well as wild-type variants of the two subsequent enzymes of the pathway, phosphoserine transferase ( serB ) and phosphoserine phosphate-lyase ( serC ), to produce L-serine. The E. coli strain accumulated 11.7 g L \u22121 of L-serine after 48 h in shake flask experiments with glucose as the carbon source, which was the highest concentration so far. From these results, it was concluded that the overexpression of serA along with serC and serB in the L-serine synthesis pathway was effective in increasing the production of L-cysteine, which resulted in L-cysteine concentrations in shake flask experiments of about 492.0 mg L \u22121 , with a yield of about 47 mg of L-cysteine g \u22121 glucose in 48 h [ 13 ]. 2.2. Weakening the Degradation of L-Cysteine It is well known that disrupting the degradation pathway and enhancing metabolic fluxes for the desired amino acids are effective approaches to improve their production [ 19 , 39 , 40 , 41 ].”  [PMC10821248 ¶18]</w:t>
      </w:r>
    </w:p>
    <w:p>
      <w:pPr>
        <w:spacing w:after="120"/>
        <w:jc w:val="both"/>
      </w:pPr>
      <w:r>
        <w:rPr>
          <w:rFonts w:ascii="Times New Roman" w:hAnsi="Times New Roman" w:cs="Times New Roman" w:eastAsia="Times New Roman"/>
          <w:b w:val="0"/>
          <w:i w:val="0"/>
          <w:sz w:val="24"/>
        </w:rPr>
        <w:t>“The degradation of L-cysteine to pyruvate, ammonia, and sulfide is mainly catalyzed by L-cysteine desulfhydrase (CD). Wada et al. [ 42 ] purified and characterized CD from C. glutamicum . After comparing the partial amino acid sequence, it was identified that the enzyme CD is a C-S lyase with \u03b1,\u03b2-elimination activity, and it is encoded by the aecD gene [ 43 ]. They showed that the aecD gene product is involved in L-cysteine degradation, and the disruption of the aecD gene resulted in an increased production of L-cysteine (approximately 290 mg L \u22121 in shake flasks). Awano et al. [ 44 ] investigated the enzyme having CD activity in E. coli using native-PAGE and CD activity staining. An analysis with gene-disrupted mutants showed that the tryptophanase (TNase) encoded by tnaA and cystathionine \u03b2-lyase (CBL) encoded by metC catalyze the degradation of L-cysteine in E. coli .”  [PMC10821248 ¶19]</w:t>
      </w:r>
    </w:p>
    <w:p>
      <w:pPr>
        <w:spacing w:after="120"/>
        <w:jc w:val="both"/>
      </w:pPr>
      <w:r>
        <w:rPr>
          <w:rFonts w:ascii="Times New Roman" w:hAnsi="Times New Roman" w:cs="Times New Roman" w:eastAsia="Times New Roman"/>
          <w:b w:val="0"/>
          <w:i w:val="0"/>
          <w:sz w:val="24"/>
        </w:rPr>
        <w:t>“By using a plasmid gene library, Awano et al. [ 45 ] identified three additional proteins as O-acetylserine sulfhydrylase-A (OASS-A), O-acetylserine sulfhydrylase-B (OASS-B), and the bifunctional \u00df-cystathionase (MalY), all having CD activity in E. coli . The disruption of these CD genes in E. coli resulted in the increased production of L -cysteine and L -cystine after 72 h by factors of 1.8 to 2.3 in shake flasks. The five above-mentioned proteins are pyridoxal 5\u2032-phosphate (PLP)-dependent enzymes, and cysteine desulfhydrase activity might just be a side reaction. The transcriptional activator CysB, belonging to the LysR family, induces the transcription of genes in the sulfate pathway [ 46 ]. Kawano et al. [ 46 ] found a most plausible sequence for the CysB-binding motif upstream of the yciW gene. YciW encodes a soluble protein of 401 amino acids, although its function and structural information are still unknown.”  [PMC10821248 ¶20]</w:t>
      </w:r>
    </w:p>
    <w:p>
      <w:pPr>
        <w:spacing w:after="120"/>
        <w:jc w:val="both"/>
      </w:pPr>
      <w:r>
        <w:rPr>
          <w:rFonts w:ascii="Times New Roman" w:hAnsi="Times New Roman" w:cs="Times New Roman" w:eastAsia="Times New Roman"/>
          <w:b w:val="0"/>
          <w:i w:val="0"/>
          <w:sz w:val="24"/>
        </w:rPr>
        <w:t>“The CysB-binding motif is located at the \u221235 region of the predicted promotor, which is similar to that of cysJ coding for a sulfite reductase. The yciW -disrupted strain exhibited a much higher sensitivity to L-cysteine than the native strain. This indicates that yciW confers tolerance to cysteine in E. coli cells, and the authors suggest that yciW may convert L-cysteine to L-methionine or glutathione. Based on the deduced amino acid sequence, yciW is predicted to encode an oxidoreductase-like protein. YciW is also involved in the degradation of intracellular L-cysteine, leading to its detoxification. However, further investigation is needed at the protein level [ 46 ]. L-cysteine desulfidases are alternative L-cysteine-degrading enzymes that are less well characterized as compared to L-cysteine desulfhydrases. The activity of this enzyme was first observed in Methanocaldococcus jannaschii [ 47 ].”  [PMC10821248 ¶21]</w:t>
      </w:r>
    </w:p>
    <w:p>
      <w:pPr>
        <w:spacing w:after="120"/>
        <w:jc w:val="both"/>
      </w:pPr>
      <w:r>
        <w:rPr>
          <w:rFonts w:ascii="Times New Roman" w:hAnsi="Times New Roman" w:cs="Times New Roman" w:eastAsia="Times New Roman"/>
          <w:b w:val="0"/>
          <w:i w:val="0"/>
          <w:sz w:val="24"/>
        </w:rPr>
        <w:t>“Nonaka and Takumi [ 48 ] identified the yhaM gene, which encodes cysteine desulfidase and decomposes L-cysteine into hydrogen sulfide, pyruvate, and ammonium in E. coli . They reported that yhaM is L-cysteine inducible; therefore, it could serve as the main target for metabolic engineering to enhance L-cysteine production. Loddeke et al. [ 49 ] reported that L-cysteine desulfidase (CyuA) is the major enzyme that degrades L-cysteine during anaerobic growth in both E. coli and Salmonella enterica . In their research, \u0394cyuA mutants of both species grown with L-cysteine anaerobically presented a reduced growth capacity and a 57% reduction in their sulfur production. The authors postulated that the presence of cyuA is a vestige predating the separation of bacteria and archaea and has three possible functions in bacteria: the use of L-cysteine as a carbon source, the detoxification of L-cysteine at growth-inhibiting concentrations, and the modulation of intracellular L-cysteine levels at nontoxic concentrations.”  [PMC10821248 ¶22]</w:t>
      </w:r>
    </w:p>
    <w:p>
      <w:pPr>
        <w:spacing w:after="120"/>
        <w:jc w:val="both"/>
      </w:pPr>
      <w:r>
        <w:rPr>
          <w:rFonts w:ascii="Times New Roman" w:hAnsi="Times New Roman" w:cs="Times New Roman" w:eastAsia="Times New Roman"/>
          <w:b w:val="0"/>
          <w:i w:val="0"/>
          <w:sz w:val="24"/>
        </w:rPr>
        <w:t>“Takumi et al. [ 6 ] identified a major L-cysteine desulfhydrase gene ( ccdA ) involved in L-cysteine degradation in Pantoea ananatis . In their study, the E. coli wild-type strain MG1655 was transformed with a multicopy genomic library prepared from P. ananatis genomic DNA. From the investigated genes, the genes ccdA , which presents a cysteine degradation activity, and cefA and cefB , which are putative efflux pumps, were found to have a significant impact on the L-cysteine production from glucose and thiosulfate in experiments performed with E. coli in agitated test tubes. The overexpression of ccdA in P. ananatis led to a decrease of 58% in the maximal achieved L-cysteine concentration in test tubes. Conversely, the deletion of ccdA resulted in an increase in the achieved L-cysteine concentration in test tubes from 202 mg L \u22121 with the wild type to 516 mg L \u22121 . For the accumulation of L-cysteine in C. glutamicum , the deletion of the enzyme CD, encoded by aecD , and the overexpression of the native CysE, encoded by cysE , were performed [ 7 ].”  [PMC10821248 ¶23]</w:t>
      </w:r>
    </w:p>
    <w:p>
      <w:pPr>
        <w:spacing w:after="120"/>
        <w:jc w:val="both"/>
      </w:pPr>
      <w:r>
        <w:rPr>
          <w:rFonts w:ascii="Times New Roman" w:hAnsi="Times New Roman" w:cs="Times New Roman" w:eastAsia="Times New Roman"/>
          <w:b w:val="0"/>
          <w:i w:val="0"/>
          <w:sz w:val="24"/>
        </w:rPr>
        <w:t>“In contrast to the wild-type strain that produced 7.1 \u00b1 1.5 mg L \u22121 of L-cysteine on a shake flask scale, the CD-deleted C. glutamicum strain accumulated 10.6 \u00b1 2.3 mg L \u22121 of L-cysteine, thus showing no significant improvement. After the overexpression of a CysE mutant from E. coli , coding for a feedback-insensitive serine acetyltransferase in the CD deletion strain, an L-cysteine concentration of 346.1 \u00b1 33.1 mg L \u22121 was measured. This result indicates that the combination of the overexpression of a feedback-insensitive CysE and deletion of CD is necessary to enhance L-cysteine production with C. glutamicum [ 7 , 50 ]. 2.3. Regulation of L-Cysteine Transport The bacterial production of metabolites depends on the equilibrium between secretion and reconsumption. High concentrations of L-cysteine have been reported to be toxic and inhibitory for microbial cells [ 3 ].”  [PMC10821248 ¶24]</w:t>
      </w:r>
    </w:p>
    <w:p>
      <w:pPr>
        <w:spacing w:after="120"/>
        <w:jc w:val="both"/>
      </w:pPr>
      <w:r>
        <w:rPr>
          <w:rFonts w:ascii="Times New Roman" w:hAnsi="Times New Roman" w:cs="Times New Roman" w:eastAsia="Times New Roman"/>
          <w:b w:val="0"/>
          <w:i w:val="0"/>
          <w:sz w:val="24"/>
        </w:rPr>
        <w:t>“In E. coli , concentrations of 1 mM L-cysteine were enough to cause growth limitations [ 46 ]. Therefore, microorganisms have an exporter for L-cysteine within the L-cysteine regulon in order to avoid product-associated cytotoxicity. Da\u00dfler et al. [ 51 ] identified the transporter protein YdeD in E. coli , which is reported to be one of the main facilitators involved in the export of L-cysteine. The corresponding gene encoding for the transporter protein involves an open reading frame coding for 299 amino acids. The substrate range of the YdeD protein is wide; therefore, it secretes other metabolites along with L-cysteine. In addition, YdeD acts as a regulator by exporting O-acetylserine (OAS), therefore lowering the intracellular NAS concentration. This stops the L-cysteine regulon activation [ 52 ]. The combination of YdeD with the strong promoter from the gene cassette coding for glyceraldehyde-phosphate dehydrogenase GAPDH in a plasmid generated a higher yield of L-cysteine with E. coli , proving the transporter\u2019s vital role in the accumulation of the metabolite [ 13 ].”  [PMC10821248 ¶25]</w:t>
      </w:r>
    </w:p>
    <w:p>
      <w:pPr>
        <w:spacing w:after="120"/>
        <w:jc w:val="both"/>
      </w:pPr>
      <w:r>
        <w:rPr>
          <w:rFonts w:ascii="Times New Roman" w:hAnsi="Times New Roman" w:cs="Times New Roman" w:eastAsia="Times New Roman"/>
          <w:b w:val="0"/>
          <w:i w:val="0"/>
          <w:sz w:val="24"/>
        </w:rPr>
        <w:t>“CydDC is an ATP-binding transporter reported to be involved in L-cysteine export from the cytoplasm to the periplasm in E. coli [ 53 ]. In a study, CydDC was compared to the gene product of ydeD and was found to more effectively remove high L-cysteine concentrations in intracellular compartments than ydeD . In shake flask experiments at 37 \u00b0C, E. coli mutants with deletions of cydDC accumulated 1.6 times higher L-cysteine concentrations than the wild type, while mutants with ydeD deletions accumulated 1.3 times higher L-cysteine concentrations. A double-deletion E. coli mutant of both cydDC and ydeD accumulated 2.2 times more L-cysteine than the wild type. [ 53 ] yfiK was discovered to be a gene that augmented L-cysteine production when it was overexpressed in an E. coli production strain [ 52 ]. The gene product is an integral membrane protein with about six predicted transmembrane helices and belongs to the resistance to homoserine/threonine (RhtB) family of export proteins.”  [PMC10821248 ¶26]</w:t>
      </w:r>
    </w:p>
    <w:p>
      <w:pPr>
        <w:spacing w:after="120"/>
        <w:jc w:val="both"/>
      </w:pPr>
      <w:r>
        <w:rPr>
          <w:rFonts w:ascii="Times New Roman" w:hAnsi="Times New Roman" w:cs="Times New Roman" w:eastAsia="Times New Roman"/>
          <w:b w:val="0"/>
          <w:i w:val="0"/>
          <w:sz w:val="24"/>
        </w:rPr>
        <w:t>“YfiK overproduction from a plasmid leads to the drastic and parallel secretion of O-acetyl serine and L-cysteine into the medium, but only when the E. coli strain possesses an L-serine transacetylase that is feedback insensitive to L-cysteine. Externally provided, OAS obviated this requirement for L-cysteine secretion, both in the yfiK- carrying transformant and in the wild type. A \u0394 yfiK mutant did not show any phenotype, and this mutant exported OAS and L-cysteine when transformed with a plasmid carrying ydeD , a previously characterized, alternate OAS/L-cysteine exporter. Since a ydeD\u2013yfiK double mutant showed the same pattern, it appears that YfiK and YdeD act independently. The necessity for the cell to regulate the size of the internal pool of OAS via the synthesis of exporter proteins could be connected to the fact that this compound inhibits growth when supplied externally.”  [PMC10821248 ¶27]</w:t>
      </w:r>
    </w:p>
    <w:p>
      <w:pPr>
        <w:spacing w:after="120"/>
        <w:jc w:val="both"/>
      </w:pPr>
      <w:r>
        <w:rPr>
          <w:rFonts w:ascii="Times New Roman" w:hAnsi="Times New Roman" w:cs="Times New Roman" w:eastAsia="Times New Roman"/>
          <w:b w:val="0"/>
          <w:i w:val="0"/>
          <w:sz w:val="24"/>
        </w:rPr>
        <w:t>“The overexpression of either ydeD or yfiK leads to alleviation of this inhibition parallel by an increased resistance to azaserine, which is an analog of OAS [ 52 ]. In another study, different drug transporter genes were tested, and Bcr (a multidrug transporter) was found to be involved in L-cysteine export with an increased selectivity compared to other amino acids [ 54 ]. Besides these cytoplasmic membrane transporters, a novel gene called tolC , which encodes the outer membrane channel TolC, was reported to be involved in L-cysteine export from the periplasm in the medium [ 55 ]. The genes cefA and cefB were identified as cysteine efflux pumps. In a first experiment, the overexpression of cefA and cefB in P. ananatis resulted in L-cysteine resistance when 200 \u00b5M of L-cysteine was added to the growth medium. When the P. ananatis strains overexpressing either cefA or cefB were grown in aerated test tubes in the presence of glucose and thiosulfate, the maximum final L-cysteine concentrations were increased by 0.2 g L \u22121 and 1.9 g L \u22121 , to maximal concentrations of 0.4 g L \u22121 and 2.3 g L \u22121 , respectively, compared to P. ananatis, without the overexpression of these efflux pump genes [ 6 ].”  [PMC10821248 ¶28]</w:t>
      </w:r>
    </w:p>
    <w:p>
      <w:pPr>
        <w:spacing w:after="120"/>
        <w:jc w:val="both"/>
      </w:pPr>
      <w:r>
        <w:rPr>
          <w:rFonts w:ascii="Times New Roman" w:hAnsi="Times New Roman" w:cs="Times New Roman" w:eastAsia="Times New Roman"/>
          <w:b w:val="0"/>
          <w:i w:val="0"/>
          <w:sz w:val="24"/>
        </w:rPr>
        <w:t>“The genes NCgl0580 and NCgl2566 were identified as potential L-cysteine exporters in C. glutamicum , and it was found that their overexpression in a C. glutamicum strain increased the L-cysteine formation from glucose and thiosulfate. This strain achieved a maximal L-cysteine concentration of 280 mg L \u22121 in shake flasks, which is a 1.4-fold improvement compared with the original C. glutamicum strain [ 56 ]. Wei et al. [ 7 ] evaluated the effectivity of three heterologous proteins responsible for L-cysteine transport in C. glutamicum . The transporters YdeD and Bcr from E. coli and CefA from P. ananatis were individually overexpressed. While all three strains overexpressing L-cysteine transporters have shown improvements in L-cysteine production, the best results were observed with Bcr, followed by YdeD and CefA. The strain with Bcr achieved an 88.9% increase in the L-cysteine concentration in shake flasks (634.4 mg L \u22121 ) compared to the strain without additional transporters.”  [PMC10821248 ¶29]</w:t>
      </w:r>
    </w:p>
    <w:p>
      <w:pPr>
        <w:spacing w:after="120"/>
        <w:jc w:val="both"/>
      </w:pPr>
      <w:r>
        <w:rPr>
          <w:rFonts w:ascii="Times New Roman" w:hAnsi="Times New Roman" w:cs="Times New Roman" w:eastAsia="Times New Roman"/>
          <w:b w:val="0"/>
          <w:i w:val="0"/>
          <w:sz w:val="24"/>
        </w:rPr>
        <w:t>“The results indicated that the overexpression of these proteins enhanced the secretion of L-cysteine, preventing its accumulation in the cytoplasm of C. glutamicum cells and, therefore, improving cell growth. The levels of L-cysteine obtained from the engineered strains were still approximately five times lower in comparison with the results of [ 54 ], whose authors performed the same alteration on the Bcr and YdeD genes in E. coli cells. This difference is believed to be caused by the different cell membrane structures of the two bacteria, with C. glutamicum being gram positive and E. coli gram negative [ 7 ]. Among L-cysteine transport proteins, there are few that are solely responsible for the import of L-cysteine back into the cytoplasm. This is disadvantageous for the industrial biosynthesis of L-cysteine, since it doesn\u2019t allow for the accumulation of the product and causes backflow.”  [PMC10821248 ¶30]</w:t>
      </w:r>
    </w:p>
    <w:p>
      <w:pPr>
        <w:spacing w:after="120"/>
        <w:jc w:val="both"/>
      </w:pPr>
      <w:r>
        <w:rPr>
          <w:rFonts w:ascii="Times New Roman" w:hAnsi="Times New Roman" w:cs="Times New Roman" w:eastAsia="Times New Roman"/>
          <w:b w:val="0"/>
          <w:i w:val="0"/>
          <w:sz w:val="24"/>
        </w:rPr>
        <w:t>“In a recent study, the yeaN gene product, a known 2-nitroimidazole exporter, was found to take part in L-cysteine import in E. coli strains [ 57 ]. The deletion of the yeaN gene in an L-cysteine producer strain increased the overall L-cysteine production by 50% in shake flasks. A recent study by Du et al. [ 58 ] has shown how to regulate the L-cysteine transport system in C. glutamicum effectively to establish intracellular homeostasis, avoiding toxicity. This was achieved by the deletion of NCgl2463 , an L-cysteine importer gene [ 37 ], the upregulation of the export gene eamA , and the enhancement of the NADPH pool through the overexpression of glucose-6-phosphate dehydrogenase. These genetic modifications resulted in a producer strain that, in a 5 L stirred-tank reactor, was able to accumulate 5.92 g L \u22121 of L-cysteine with a sulfur conversion rate of nearly 75%. molecules-29-00486-t001_Table 1 Table 1 Summary of metabolic engineering approaches increasing the fermentative L-cysteine production.”  [PMC10821248 ¶31]</w:t>
      </w:r>
    </w:p>
    <w:p>
      <w:pPr>
        <w:spacing w:after="120"/>
        <w:jc w:val="both"/>
      </w:pPr>
      <w:r>
        <w:rPr>
          <w:rFonts w:ascii="Times New Roman" w:hAnsi="Times New Roman" w:cs="Times New Roman" w:eastAsia="Times New Roman"/>
          <w:b w:val="0"/>
          <w:i w:val="0"/>
          <w:sz w:val="24"/>
        </w:rPr>
        <w:t>“The studies presented in this table are ordered by the kind of approach each investigation followed, as well as the date of the publication. Only the highest L-cysteine concentration of each publication is listed, together with the molecular biology step applied in order to reach that specific concentration. Source Organism Method Scale L-Cysteine Concentration Enhancing biosynthesis of L-cysteine [ 28 ] E. coli JM39-8 Feedback inhibition-insensitive SAT from site-directed mutagenesis Shake flasks, 72 h 0.79 g L \u22121 [ 30 ] E. coli JM39-8 Insensitive SAT from Arabidopsis thaliana Shake flasks, 96 h 1.66 g L \u22121 [ 31 ] E. coli MW1 Insensitive SAT from Nicotiana tabacum Shake flasks, 72 h 0.30 g L \u22121 [ 6 ] P. ananatis Insensitive SAT with L-cysteine efflux pump Test tubes, 24 h 0.90 g L \u22121 [ 36 ] C. glutamicum Overexpression of native SAT, OAS, and transcription regulator Shake flasks, 15 h 0.06 g L \u22121 [ 7 ] C. glutamicum Insensitive SAT, deletion of CD, and increased transport Shake flasks, 48 h 0.95 g L \u22121 [ 37 ] C. glutamicum Overexpression of SAT and PGDH with disruption of CD and L-cysteine import Shake flasks, 12 h 0.20 g L \u22121 [ 13 ] E. coli Overexpression of PGDH, PSERT, and PSL Shake flasks, 48 h 0.49 g L \u22121 Weakening degradation of L-cysteine [ 41 ] C. glutamicum Disruption of aecD gene (CD) Shake flasks, 72 h 0.29 g L \u22121 [ 44 ] E. coli Disruption of TNase, CBL, OASS-A, OASS-B, and MalY Shake flasks, 72 h 1.36 g L \u22121 (per OD 562 ) [ 46 ] E. coli Disruption of the yciW gene Shake flasks, 72 h 0.31 g L \u22121 (per OD 562 ) [ 6 ] P. ananatis Deletion of CD ccdA Test tubes, 28 h 0.52 g L \u22121 [ 7 ] C. glutamicum Disruption of aecD (CD) and overexpression of insensitive SAT Shake flasks, 48 h 0.35 g L \u22121 Enhancing efflux of L-cysteine [ 51 ] E. coli Overexpression of exporter YdeD Shake flasks, 48 h 0.07 g L \u22121 [ 52 ] E. coli Overexpression of exporter YfiK Shake flasks, 20 h 0.15 g L \u22121 [ 54 ] E. coli Overexpression of exporter bcr and deletion of TNase Shake flasks, 48 h 0.50 g L \u22121 [ 55 ] E. coli Overexpression of exporters YdeD and TolC Shake flasks, 24 h 0.12 g L \u22121 [ 6 ] P. ananatis Overexpression of transporter cefB Test tubes, 28 h 2.30 g L \u22121 [ 56 ] C. glutamicum Overexpression of transport genes NCgl0580 and NCgl2566 Shake flasks, 20 h 0.28 g L \u22121 [ 7 ] C. glutamicum Overexpression of exporter bcr Shake flasks, 48 h 0.63 g L \u22121 [ 57 ] E. coli Deletion of importer yeaN Shake flasks, 20 h 1.20 g L \u22121 [ 58 ] C. glutamicum Deletion of importer NCgl2463 , overexpression of exporter eamA and G6PDH 5 L stirred tank, 72 h 5.92 g L \u22121 OD 562 is the optical density of the fermentation broth measured at 562 nm. 2.4.”  [PMC10821248 ¶32]</w:t>
      </w:r>
    </w:p>
    <w:p>
      <w:pPr>
        <w:spacing w:after="120"/>
        <w:jc w:val="both"/>
      </w:pPr>
      <w:r>
        <w:rPr>
          <w:rFonts w:ascii="Times New Roman" w:hAnsi="Times New Roman" w:cs="Times New Roman" w:eastAsia="Times New Roman"/>
          <w:b w:val="0"/>
          <w:i w:val="0"/>
          <w:sz w:val="24"/>
        </w:rPr>
        <w:t>“Limitations of the Metabolic Engineering Approaches Liu et al. [ 13 ] developed an integrated approach, which used many of the previously presented metabolic engineering strategies in tandem. They overexpressed PSERT, PSL, and a feedback-insensitive version of PGDH, disrupted genes for the degradation of L-serine and L-cysteine, and overexpressed the L-cysteine exporter YdeD. Even though this strategy showed a cumulative improvement in the L-cysteine concentration, the final yield of L-cysteine on glucose was about 4.7% ( w / w ). This means that most of the fed substrate was not directly utilized for the L-cysteine production. Nonetheless, the authors indicate that this is the highest yield on glucose found in the literature at the time of its publication. This exemplifies one of the major challenges of the metabolic engineering approaches. Most of the methods described above are applied directly on the L-cysteine synthesis pathway, which has been extensively characterized so that the bottlenecks are extensively identified.”  [PMC10821248 ¶33]</w:t>
      </w:r>
    </w:p>
    <w:p>
      <w:pPr>
        <w:spacing w:after="120"/>
        <w:jc w:val="both"/>
      </w:pPr>
      <w:r>
        <w:rPr>
          <w:rFonts w:ascii="Times New Roman" w:hAnsi="Times New Roman" w:cs="Times New Roman" w:eastAsia="Times New Roman"/>
          <w:b w:val="0"/>
          <w:i w:val="0"/>
          <w:sz w:val="24"/>
        </w:rPr>
        <w:t>“However, most metabolic pathways are thoroughly interconnected with regulation interactions that have not been yet characterized [ 59 ]. These interactions must then first be mapped out in order to identify further bottlenecks that can be tackled through rational metabolic engineering methods [ 59 ]. Furthermore, this interconnectivity of metabolic pathways may also result in unintended consequences from seemingly straightforward molecular biology interventions, like the lack of growth observed in Pseudomonas sp. by Huai et al. [ 18 ] when an enzyme responsible for L-cysteine degradation was deleted, or the increase in the exogenous L-cysteine concentration leading to lower levels of c-type cytochromes and increased penicillin resistance [ 53 ]. 3. Process Engineering Aspects Metabolic engineering of the microorganisms used for L-cysteine biosynthesis has been applied to enable L-cysteine production by fermentation.”  [PMC10821248 ¶34]</w:t>
      </w:r>
    </w:p>
    <w:p>
      <w:pPr>
        <w:spacing w:after="120"/>
        <w:jc w:val="both"/>
      </w:pPr>
      <w:r>
        <w:rPr>
          <w:rFonts w:ascii="Times New Roman" w:hAnsi="Times New Roman" w:cs="Times New Roman" w:eastAsia="Times New Roman"/>
          <w:b w:val="0"/>
          <w:i w:val="0"/>
          <w:sz w:val="24"/>
        </w:rPr>
        <w:t>“However, the economic L-cysteine production by fermentation must also take into account the process engineering viewpoint. Emphasizing energy-efficient sulfur pathways [ 7 , 60 ], selecting economically viable carbon sources [ 61 ], designing scalable fed-batch processes with individual feedings of carbon and sulfur sources [ 59 ], and implementing efficient purification techniques [ 62 ] are important for the industrial-scale production of L-cysteine. 3.1. Sulfur Assimilation Pathways in Bacteria E. coli has two sulfur assimilation pathways for L-cysteine biosynthesis ( Figure 2 ). One is the sulfate (SO 4 2\u2212 ) pathway, which consumes two molecules of ATP and four molecules of NADPH as a reducing power to produce L-cysteine from sulfate. The other is the thiosulfate (S 2 O 3 2\u2212 ) pathway, which spends only one molecule of NADPH from thiosulfate [ 63 ]. Thiosulfate is receiving attention as a sulfur source due to its advantageous effects on bacterial growth and L-cysteine production in comparison to sulfate [ 64 ].”  [PMC10821248 ¶35]</w:t>
      </w:r>
    </w:p>
    <w:p>
      <w:pPr>
        <w:spacing w:after="120"/>
        <w:jc w:val="both"/>
      </w:pPr>
      <w:r>
        <w:rPr>
          <w:rFonts w:ascii="Times New Roman" w:hAnsi="Times New Roman" w:cs="Times New Roman" w:eastAsia="Times New Roman"/>
          <w:b w:val="0"/>
          <w:i w:val="0"/>
          <w:sz w:val="24"/>
        </w:rPr>
        <w:t>“Both sulfur assimilation pathways utilize OAS as a carbon skeleton to which they may incorporate sulfur. In the thiosulfate pathway, O-acetyl-L-serine sulfhydrylase B (CysM) catalyzes the conversion of OAS and thiosulfate into S-sulfocysteine, which is reduced into L-cysteine and sulfite by glutaredoxin (Grx1), and the glutaredoxin-like protein NrdH [ 63 , 65 ]. In comparison, sulfate is first reduced to sulfide in a four-step reaction catalyzed in subsequent order by sulfate adenylyltransferase (CysDN), adenylylsulfate kinase (CysC), 3\u2032-phospho-adenylylsulfate reductase (CysH), and sulfite reductase (CysIJ). The subsequent incorporation of sulfide into OAS is enabled by O-acetyl-L-serine sulfhydrylase A (CysK) [ 60 ]. There is strong evidence suggesting that E. coli may possess an alternative pathway for assimilating thiosulfate, independent of the conventional pathway through the CysM enzyme [ 64 ].”  [PMC10821248 ¶36]</w:t>
      </w:r>
    </w:p>
    <w:p>
      <w:pPr>
        <w:spacing w:after="120"/>
        <w:jc w:val="both"/>
      </w:pPr>
      <w:r>
        <w:rPr>
          <w:rFonts w:ascii="Times New Roman" w:hAnsi="Times New Roman" w:cs="Times New Roman" w:eastAsia="Times New Roman"/>
          <w:b w:val="0"/>
          <w:i w:val="0"/>
          <w:sz w:val="24"/>
        </w:rPr>
        <w:t>“This evidence comes from an experiment where \u2206CysM E. coli cells were grown using thiosulfate as the only sulfur source. The \u2206CysM cells showed a slower growth compared to the wild-type cells. However, when L-cystine was added to the growth media, the impaired growth was restored, indicating a deficiency in L-cysteine. The growth rate in the growth media without L-cystine was then increased by overexpressing thiosulfate sulfurtransferase (GlpE). Based on these findings, researchers postulated that the CysM-independent pathway involves the direct breakdown of thiosulfate into sulfite by GlpE, followed by assimilation through the sulfate pathway [ 64 ]. The proposed sulfur assimilation pathway, as summarized in Table 2 , is more energy efficient than the sulfate pathway, but less efficient than the traditional thiosulfate-based sulfur assimilation pathway. The energy efficiency of the sulfur assimilation pathway influences the fermentative production of L-cysteine significantly.”  [PMC10821248 ¶37]</w:t>
      </w:r>
    </w:p>
    <w:p>
      <w:pPr>
        <w:spacing w:after="120"/>
        <w:jc w:val="both"/>
      </w:pPr>
      <w:r>
        <w:rPr>
          <w:rFonts w:ascii="Times New Roman" w:hAnsi="Times New Roman" w:cs="Times New Roman" w:eastAsia="Times New Roman"/>
          <w:b w:val="0"/>
          <w:i w:val="0"/>
          <w:sz w:val="24"/>
        </w:rPr>
        <w:t>“This has been shown as increasing the levels of GlpE and CysK, which are responsible for the CysM-independent pathway, enhances L-cysteine overproduction only in wild-type E. coli strains, while the same modifications worsen L-cysteine overproduction in strains with elevated expressions of CysM and nrdH, responsible for the traditional, energy-efficient thiosulfate \u03b3 pathway [ 66 ]. 3.2. Glycerol as Carbon Source Although glucose remains the predominant carbon source for L-cysteine biosynthesis, glycerol has gained increasing attention as an alternative carbon source due to its abundant availability as a by-product in biodiesel production [ 66 ]. Utilizing glycerol as a carbon source is crucial for reducing the costs of bioproduction and improving resource utilization. Moreover, the metabolic pathway from glycerol to L-cysteine is shorter and exhibits better carbon economy compared to glucose [ 67 ].”  [PMC10821248 ¶38]</w:t>
      </w:r>
    </w:p>
    <w:p>
      <w:pPr>
        <w:spacing w:after="120"/>
        <w:jc w:val="both"/>
      </w:pPr>
      <w:r>
        <w:rPr>
          <w:rFonts w:ascii="Times New Roman" w:hAnsi="Times New Roman" w:cs="Times New Roman" w:eastAsia="Times New Roman"/>
          <w:b w:val="0"/>
          <w:i w:val="0"/>
          <w:sz w:val="24"/>
        </w:rPr>
        <w:t>“Significant progress has been made towards the bioproduction of L-cysteine from glycerol, as its essential precursor, L-serine, has already been produced effectively using glycerol [ 67 ]. The highest recorded concentration of L-cysteine from glycerol achieved so far is 313.4 mg L \u22121 with E. coli in shake flasks [ 67 ]. First, L-serine production was enhanced by making use of an L-serine biosensor based on the transcriptional regulator NCgl0581 for coupling L-serine biosynthesis to the growth rate of E. coli and using adaptive laboratory evolution (ALE). Following this, the L-cysteine degradation pathway (encoded by tnaA ) was eliminated, while serine acetyltransferase (encoded by cysE ) and the L-cysteine exporter (encoded by ydeD ) were overexpressed [ 67 ]. 3.3. Fed-Batch Processes in Stirred-Tank Bioreactors Up to this point, most research presented had been carried out as simple batch processes in shake flasks, which allow for easier preparation and higher throughput than the scalable stirred-tank bioreactor.”  [PMC10821248 ¶39]</w:t>
      </w:r>
    </w:p>
    <w:p>
      <w:pPr>
        <w:spacing w:after="120"/>
        <w:jc w:val="both"/>
      </w:pPr>
      <w:r>
        <w:rPr>
          <w:rFonts w:ascii="Times New Roman" w:hAnsi="Times New Roman" w:cs="Times New Roman" w:eastAsia="Times New Roman"/>
          <w:b w:val="0"/>
          <w:i w:val="0"/>
          <w:sz w:val="24"/>
        </w:rPr>
        <w:t>“Investigations in fed-batch operated and fully controlled stirred-tank bioreactors using the observations provided by the studies in shake flasks and optimizing the reaction conditions may lead to an L-cysteine production scenario that is more in line with the expectations of the industry. Liu et al. [ 13 ] utilized a rational approach which combined previously discussed metabolic engineering approaches to enhance the L-cysteine production of the E. coli strain JM109, including the overexpression of the enzymes in the L-serine biosynthetic pathway, feedback-insensitive phosphoglycerate dehydrogenase and serine acetyltransferase, the ydeD exporter, and the deletion of L-cysteine and serine deaminases. These modifications lead to a total L-cysteine production in shake flasks of 600 mg L \u22121 . They then cultivated this modified strain in a 5 L stirred-tank reactor in a fed-batch operation, where a glucose solution was fed constantly into the reactor, but thiosulfate (the sulfur source) was only supplied at the beginning of the process.”  [PMC10821248 ¶40]</w:t>
      </w:r>
    </w:p>
    <w:p>
      <w:pPr>
        <w:spacing w:after="120"/>
        <w:jc w:val="both"/>
      </w:pPr>
      <w:r>
        <w:rPr>
          <w:rFonts w:ascii="Times New Roman" w:hAnsi="Times New Roman" w:cs="Times New Roman" w:eastAsia="Times New Roman"/>
          <w:b w:val="0"/>
          <w:i w:val="0"/>
          <w:sz w:val="24"/>
        </w:rPr>
        <w:t>“This led to an increase in the maximal achieved L-cysteine concentration to 5.1 g L \u22121 . Caballero et al. [ 59 ] transferred the shake flask experiments of Da\u00dfler et al. [ 51 ] with E. coli W3110, carrying L-cysteine production plasmids to a stirred-tank bioreactor on a 15 L scale using continuous but independent glucose and ammonium thiosulfate feedings (presented in Figure 3 a), thereby increasing the maximal achieved L-cysteine concentration from 72 mg L \u22121 in shake flasks to 16 g L \u22121 in the fed-batch process. An in vivo metabolic control analysis (MCA) was applied after rapid media transition [ 68 ] and short-term perturbation experiments [ 69 , 70 ] for the identification of bottlenecks in the L-cysteine synthesis pathway of producer cells withdrawn from this fed-batch process in the production phase. Synthetic biology efforts to increase the expression of OASS-A based on the results of the in vivo MCA led to an increase in the L-cysteine product concentration by 46% in the dual-feeding, fed-batch process, reaching maximal L-cysteine concentrations of 22 g L \u22121 , which are the highest reported in the literature so far [ 59 ].”  [PMC10821248 ¶41]</w:t>
      </w:r>
    </w:p>
    <w:p>
      <w:pPr>
        <w:spacing w:after="120"/>
        <w:jc w:val="both"/>
      </w:pPr>
      <w:r>
        <w:rPr>
          <w:rFonts w:ascii="Times New Roman" w:hAnsi="Times New Roman" w:cs="Times New Roman" w:eastAsia="Times New Roman"/>
          <w:b w:val="0"/>
          <w:i w:val="0"/>
          <w:sz w:val="24"/>
        </w:rPr>
        <w:t>“The L-cysteine concentration profiles of this process before and after the strain optimization are presented in Figure 3 b. 3.4. Purification of L-Cysteine from the Fermentation Broth L-cysteine, due to its high solubility in water and the vulnerability of its thiol group to oxidation, presents challenges in its purification for industrial applications. Several approaches have been proposed to address this issue [ 62 ]. Most approaches follow a two-stage process, which involves converting L-cysteine into L-cystine by treating the clarified solution with an oxidizing agent. The reduced solubility and increased chemical stability of L-cystine allow for its purification through crystallization. The resulting crystals are then dissolved in water and reduced back to L-cysteine using electrolysis [ 71 ]. More recently, Wacker AG (Munich, Germany) has developed a method for the direct purification of L-cysteine from a clarified fermentation broth [ 62 ].”  [PMC10821248 ¶42]</w:t>
      </w:r>
    </w:p>
    <w:p>
      <w:pPr>
        <w:spacing w:after="120"/>
        <w:jc w:val="both"/>
      </w:pPr>
      <w:r>
        <w:rPr>
          <w:rFonts w:ascii="Times New Roman" w:hAnsi="Times New Roman" w:cs="Times New Roman" w:eastAsia="Times New Roman"/>
          <w:b w:val="0"/>
          <w:i w:val="0"/>
          <w:sz w:val="24"/>
        </w:rPr>
        <w:t>“This approach selectively isolates L-cysteine while eliminating its derivatives, emphasizing the importance of preventing the oxidation of L-cysteine to L-cystine. The oxidation of L-cysteine\u2019s sulfhydryl (SH) groups by oxygen, the primary oxidizing agent present in fermentation broths, is particularly favored under alkaline conditions. Additionally, thiosulfate, which serves as the preferred sulfur source for the fermentative production of L-cysteine, oxidizes L-cysteine at a pH of 5 and below. It is recommended to maintain a pH of 5\u20137 during fermentation to minimize any loss in yield due to the formation of L-cystine as a by-product [ 62 ]. The first step in the direct purification process ( Figure 4 ) involves ion exchange chromatography. In this step, L-cysteine, as well as L-cystine and other cations present in the clarified fermentation broth, are adsorbed onto an ion exchanger containing sulfonic and phosphonic acid groups in their protonated (H + ) form.”  [PMC10821248 ¶43]</w:t>
      </w:r>
    </w:p>
    <w:p>
      <w:pPr>
        <w:spacing w:after="120"/>
        <w:jc w:val="both"/>
      </w:pPr>
      <w:r>
        <w:rPr>
          <w:rFonts w:ascii="Times New Roman" w:hAnsi="Times New Roman" w:cs="Times New Roman" w:eastAsia="Times New Roman"/>
          <w:b w:val="0"/>
          <w:i w:val="0"/>
          <w:sz w:val="24"/>
        </w:rPr>
        <w:t>“The absorbed compounds are subsequently eluted using ammonia solution (1\u20132 molar NH 4 + ) as the eluant. The use of a gradually increasing ammonia concentration and fractioned separation of the product solution further improves the purity of L-cysteine. It is important to note that although the L-cysteine-containing solution is highly acidic, the chromatography process effectively removes all oxidizing agents, mitigating concerns about the oxidation of L-cysteine [ 62 ]. Subsequently, to further purify L-cysteine from the solution, fractioned crystallization is performed as described previously [ 72 ]. This method involves the addition of hydrochloric acid at 20 \u00b0C to facilitate the crystallization of remaining impurities. The resulting deposits are then removed through filtration, and the filtrate is cooled to \u221220 \u00b0C to induce the crystallization of L-cysteine. 4. Conclusions In general, the most widely researched microorganism for L-cysteine bioproduction is E. coli.”  [PMC10821248 ¶44]</w:t>
      </w:r>
    </w:p>
    <w:p>
      <w:pPr>
        <w:spacing w:after="120"/>
        <w:jc w:val="both"/>
      </w:pPr>
      <w:r>
        <w:rPr>
          <w:rFonts w:ascii="Times New Roman" w:hAnsi="Times New Roman" w:cs="Times New Roman" w:eastAsia="Times New Roman"/>
          <w:b w:val="0"/>
          <w:i w:val="0"/>
          <w:sz w:val="24"/>
        </w:rPr>
        <w:t>“Nonetheless, other production hosts like C. glutamicum and P. ananatis have been the focus of strain optimization, with promising improvements in L-cysteine production. The combination of three metabolic engineering strategies has been successful, irrespective of the production host: The first one is enhancing the L-cysteine biosynthesis by overexpressing the genes encoding for feedback-insensitive L-serine O-acetyltransferase (SAT) and O-acetyl-L-serine sulfhydrylase. In E. coli , the feedback inhibition of SAT was bypassed through the introduction of an SAT from Arabidopsis thaliana . C. glutamicum showed a high L-cysteine production with the homologous overexpression of the cysE and serA genes. The second metabolic engineering strategy is to reduce L-cysteine degradation by the microorganisms. Therefore, the L-cysteine desulfhydrase gene aecD was deleted in C. glutamicum , which increased the production of L-cysteine.”  [PMC10821248 ¶45]</w:t>
      </w:r>
    </w:p>
    <w:p>
      <w:pPr>
        <w:spacing w:after="120"/>
        <w:jc w:val="both"/>
      </w:pPr>
      <w:r>
        <w:rPr>
          <w:rFonts w:ascii="Times New Roman" w:hAnsi="Times New Roman" w:cs="Times New Roman" w:eastAsia="Times New Roman"/>
          <w:b w:val="0"/>
          <w:i w:val="0"/>
          <w:sz w:val="24"/>
        </w:rPr>
        <w:t>“In E. coli , the gene products of tnaA and metC were identified to catalyze the degradation of L-cysteine, and after the deletion of these genes, the L-cysteine production was improved. The third metabolic engineering strategy is to enhance the export of L-cysteine and weaken the import. As L-cysteine is cytotoxic, it has to be transported out of the cell. In E. coli , two membrane proteins called YdeD and YfiK are responsible for the export of L-cysteine. But by overexpression of ydeD , OAS is simultaneously secreted, which causes the L-cysteine regulon activation to stop. In contrast, the gene product of yfiK enables L-cysteine export without depleting the intracellular OAS concentrations. In addition, the gene product of yeaN is a recently discovered L-cysteine uptake protein found in E. coli , which may be a promising target to avoid the reconsumption of L-cysteine by the cells. Taking into account the process engineering aspects beyond metabolic engineering of the L-cysteine biosynthesis pathway enables economic L-cysteine production by fermentation.”  [PMC10821248 ¶46]</w:t>
      </w:r>
    </w:p>
    <w:p>
      <w:pPr>
        <w:spacing w:after="120"/>
        <w:jc w:val="both"/>
      </w:pPr>
      <w:r>
        <w:rPr>
          <w:rFonts w:ascii="Times New Roman" w:hAnsi="Times New Roman" w:cs="Times New Roman" w:eastAsia="Times New Roman"/>
          <w:b w:val="0"/>
          <w:i w:val="0"/>
          <w:sz w:val="24"/>
        </w:rPr>
        <w:t>“Emphasizing energy-efficient sulfur pathways, selecting economically viable carbon sources, designing scalable fed-batch processes with individual feedings of carbon and sulfur sources, and implementing efficient purification techniques are important for the production of L-cysteine on an industrial scale. The utilization of thiosulfate instead of sulfates requires fewer reduction equivalents, and thus, enhances L-cysteine production rates. Even though the highest L-cysteine concentrations are still obtained with glucose as a carbon source, microbial L-cysteine production with glycerol has been shown. Glycerol is abundant as a by-product of the biodiesel industry, and thus, its low cost might improve the industrial-scale L-cysteine production in the future. The different ways to enhance the bioproduction of L-cysteine show a high potential for success. A holistic approach which combines the presented methodologies may uncover synergies that may result in higher L-cysteine yields and increased productivity in the future.", "tables": [ { "label": "Table 1", "caption": "Summary of metabolic engineering approaches increasing the fermentative L-cysteine production.”  [PMC10821248 ¶47]</w:t>
      </w:r>
    </w:p>
    <w:p>
      <w:pPr>
        <w:spacing w:after="120"/>
        <w:jc w:val="both"/>
      </w:pPr>
      <w:r>
        <w:rPr>
          <w:rFonts w:ascii="Times New Roman" w:hAnsi="Times New Roman" w:cs="Times New Roman" w:eastAsia="Times New Roman"/>
          <w:b w:val="0"/>
          <w:i w:val="0"/>
          <w:sz w:val="24"/>
        </w:rPr>
        <w:t>“The studies presented in this table are ordered by the kind of approach each investigation followed, as well as the date of the publication. Only the highest L-cysteine concentration of each publication is listed, together with the molecular biology step applied in order to reach that specific concentration.", "html": "&lt;table frame=\"hsides\" rules=\"groups\"&gt;&lt;thead&gt;&lt;tr&gt;&lt;th align=\"left\" valign=\"middle\" style=\"border-top:solid thin;border-bottom:solid thin\" rowspan=\"1\" colspan=\"1\"&gt;Source&lt;/th&gt;&lt;th align=\"left\" valign=\"middle\" style=\"border-top:solid thin;border-bottom:solid thin\" rowspan=\"1\" colspan=\"1\"&gt;Organism&lt;/th&gt;&lt;th align=\"left\" valign=\"middle\" style=\"border-top:solid thin;border-bottom:solid thin\" rowspan=\"1\" colspan=\"1\"&gt;Method&lt;/th&gt;&lt;th align=\"left\" valign=\"middle\" style=\"border-top:solid thin;border-bottom:solid thin\" rowspan=\"1\" colspan=\"1\"&gt;Scale&lt;/th&gt;&lt;th align=\"left\" valign=\"middle\" style=\"border-top:solid thin;border-bottom:solid thin\" rowspan=\"1\" colspan=\"1\"&gt;L-Cysteine Concentration&lt;/th&gt;&lt;/tr&gt;&lt;/thead&gt;&lt;tbody&gt;&lt;tr&gt;&lt;td colspan=\"5\" align=\"left\" valign=\"middle\" style=\"border-bottom:solid thin\" rowspan=\"1\"&gt;Enhancing biosynthesis of L-cysteine&lt;/td&gt;&lt;/tr&gt;&lt;tr&gt;&lt;td align=\"left\" valign=\"middle\" style=\"border-bottom:solid thin\" rowspan=\"1\" colspan=\"1\"&gt;[&lt;xref rid=\"B28-molecules-29-00486\" ref-type=\"bibr\"&gt;28&lt;/xref&gt;]&lt;/td&gt;&lt;td align=\"left\" valign=\"middle\" style=\"border-bottom:solid thin\" rowspan=\"1\" colspan=\"1\"&gt;&lt;italic toggle=\"yes\"&gt;E. coli&lt;/italic&gt; JM39-8&lt;/td&gt;&lt;td align=\"left\" valign=\"middle\" style=\"border-bottom:solid thin\" rowspan=\"1\" colspan=\"1\"&gt;Feedback inhibition-insensitive SAT from site-directed mutagenesis&lt;/td&gt;&lt;td align=\"left\" valign=\"middle\" style=\"border-bottom:solid thin\" rowspan=\"1\" colspan=\"1\"&gt;Shake flasks, 72 h&lt;/td&gt;&lt;td align=\"left\" valign=\"middle\" style=\"border-bottom:solid thin\" rowspan=\"1\" colspan=\"1\"&gt;0.79 g L&lt;sup&gt;\u22121&lt;/sup&gt;&lt;/td&gt;&lt;/tr&gt;&lt;tr&gt;&lt;td align=\"left\" valign=\"middle\" style=\"border-bottom:solid thin\" rowspan=\"1\" colspan=\"1\"&gt;[&lt;xref rid=\"B30-molecules-29-00486\" ref-type=\"bibr\"&gt;30&lt;/xref&gt;]&lt;/td&gt;&lt;td align=\"left\" valign=\"middle\" style=\"border-bottom:solid thin\" rowspan=\"1\" colspan=\"1\"&gt;&lt;italic toggle=\"yes\"&gt;E. coli&lt;/italic&gt; JM39-8&lt;/td&gt;&lt;td align=\"left\" valign=\"middle\" style=\"border-botto”  [PMC10821248 ¶48]</w:t>
      </w:r>
    </w:p>
    <w:p>
      <w:pPr>
        <w:keepNext/>
        <w:spacing w:before="280" w:after="80"/>
        <w:outlineLvl w:val="1"/>
      </w:pPr>
      <w:r>
        <w:rPr>
          <w:rFonts w:ascii="Times New Roman" w:hAnsi="Times New Roman" w:cs="Times New Roman" w:eastAsia="Times New Roman"/>
          <w:b/>
          <w:i w:val="0"/>
          <w:color w:val="335588"/>
          <w:sz w:val="28"/>
        </w:rPr>
        <w:t>11.10  [10] Lipopolysaccharide binding protein resists hepatic oxidative stress by regulating lipid droplet homeostasis</w:t>
      </w:r>
    </w:p>
    <w:p>
      <w:pPr>
        <w:spacing w:after="80"/>
        <w:jc w:val="both"/>
      </w:pPr>
      <w:r>
        <w:rPr>
          <w:rFonts w:ascii="Times New Roman" w:hAnsi="Times New Roman" w:cs="Times New Roman" w:eastAsia="Times New Roman"/>
          <w:b w:val="0"/>
          <w:i/>
          <w:sz w:val="22"/>
        </w:rPr>
        <w:t>Bibliographic identifiers — PMCID: PMC11016120; PMID: 38615060; DOI: 10.1038/s41467-024-47553-5; Journal: Nature Communications; Year: 2024.</w:t>
      </w:r>
    </w:p>
    <w:p>
      <w:pPr>
        <w:spacing w:after="80"/>
        <w:jc w:val="both"/>
      </w:pPr>
      <w:r>
        <w:rPr>
          <w:rFonts w:ascii="Times New Roman" w:hAnsi="Times New Roman" w:cs="Times New Roman" w:eastAsia="Times New Roman"/>
          <w:b w:val="0"/>
          <w:i w:val="0"/>
          <w:sz w:val="22"/>
        </w:rPr>
        <w:t>Retrieval — full JATS XML via NCBI efetch db=pmc rettype=xml. Body text length: 74,219 characters; structured tables: 0; figures: 7; references: 61. Supplementary body text also harvested via MCP fetch_pmc_article: 0 characters, 0 verbatim paragraphs reproduced below.</w:t>
      </w:r>
    </w:p>
    <w:p>
      <w:pPr>
        <w:spacing w:after="80"/>
        <w:jc w:val="both"/>
      </w:pPr>
      <w:r>
        <w:rPr>
          <w:rFonts w:ascii="Times New Roman" w:hAnsi="Times New Roman" w:cs="Times New Roman" w:eastAsia="Times New Roman"/>
          <w:b/>
          <w:i w:val="0"/>
          <w:sz w:val="22"/>
        </w:rPr>
        <w:t>Verbatim abstract (from JATS XML):</w:t>
      </w:r>
    </w:p>
    <w:p>
      <w:pPr>
        <w:spacing w:after="80"/>
        <w:jc w:val="both"/>
      </w:pPr>
      <w:r>
        <w:rPr>
          <w:rFonts w:ascii="Times New Roman" w:hAnsi="Times New Roman" w:cs="Times New Roman" w:eastAsia="Times New Roman"/>
          <w:b w:val="0"/>
          <w:i/>
          <w:sz w:val="24"/>
        </w:rPr>
        <w:t>“Oxidative stress-induced lipid accumulation is mediated by lipid droplets (LDs) homeostasis, which sequester vulnerable unsaturated triglycerides into LDs to prevent further peroxidation. Here we identify the upregulation of lipopolysaccharide-binding protein (LBP) and its trafficking through LDs as a mechanism for modulating LD homeostasis in response to oxidative stress. Our results suggest that LBP induces lipid accumulation by controlling lipid-redox homeostasis through its lipid-capture activity, sorting unsaturated triglycerides into LDs. N-acetyl-L-cysteine treatment reduces LBP-mediated triglycerides accumulation by phospholipid/triglycerides competition and Peroxiredoxin 4, a redox state sensor of LBP that regulates the shuttle of LBP from LDs. Furthermore, chronic stress upregulates LBP expression, leading to insulin resistance and obesity. Our findings contribute to the understanding of the role of LBP in regulating LD homeostasis and against cellular peroxidative injury. These insights could inform the development of redox-based therapies for alleviating oxidative stress-induced metabolic dysfunction.”</w:t>
      </w:r>
    </w:p>
    <w:p>
      <w:pPr>
        <w:spacing w:after="80"/>
        <w:jc w:val="both"/>
      </w:pPr>
      <w:r>
        <w:rPr>
          <w:rFonts w:ascii="Times New Roman" w:hAnsi="Times New Roman" w:cs="Times New Roman" w:eastAsia="Times New Roman"/>
          <w:b w:val="0"/>
          <w:i/>
          <w:sz w:val="24"/>
        </w:rPr>
        <w:t>Figure 1 (verbatim caption): “Oxidative stress induces LBP upregulation and LD translocation. a A schematic illustrating the research strategy adopted in this study. The image was created using materials supplied by Ge Pan from the Central Academy of Fine Arts, China, and illustrated by Qilun Zhang. The use of these materials has been authorized. b A multivariate bubble plot comparing changes in LD-localized protein and RNA ex</w:t>
        <w:br/>
        <w:t xml:space="preserve">   graphic: `41467_2024_47553_Fig1_HTML.jpg`”</w:t>
      </w:r>
    </w:p>
    <w:p>
      <w:pPr>
        <w:spacing w:after="80"/>
        <w:jc w:val="both"/>
      </w:pPr>
      <w:r>
        <w:rPr>
          <w:rFonts w:ascii="Times New Roman" w:hAnsi="Times New Roman" w:cs="Times New Roman" w:eastAsia="Times New Roman"/>
          <w:b w:val="0"/>
          <w:i/>
          <w:sz w:val="24"/>
        </w:rPr>
        <w:t>Figure 2 (verbatim caption): “The localization of LBP to LDs drives hepatic steatosis. a Hepatic TG content of WT mice under NT, 24 h fasting, or LPS-treatment (5 mg/kg, i.p.) for 24 h. Shown are means ± s.d., one-way ANOVA ( n = 3, biologically independent). b Representative bright-field microscope image showing separated LDs from the same treatment as described in ( a ), scale bar = 10 μm. Experiments was conducted with thre</w:t>
        <w:br/>
        <w:t xml:space="preserve">   graphic: `41467_2024_47553_Fig2_HTML.jpg`”</w:t>
      </w:r>
    </w:p>
    <w:p>
      <w:pPr>
        <w:spacing w:after="80"/>
        <w:jc w:val="both"/>
      </w:pPr>
      <w:r>
        <w:rPr>
          <w:rFonts w:ascii="Times New Roman" w:hAnsi="Times New Roman" w:cs="Times New Roman" w:eastAsia="Times New Roman"/>
          <w:b w:val="0"/>
          <w:i/>
          <w:sz w:val="24"/>
        </w:rPr>
        <w:t>Figure 3 (verbatim caption): “LBP binds with unsaturated TG to prevent against lipid peroxidation. a A pie chart showing the difference in lipid composition between WT ( n = 3) and LBP KI/KI ( n = 3) mice liver after 16 weeks of HFD. b Analysis of chain length of differential TGs in ( a ). Shown are means ± s.e.m., ( n = 3, biologically independent). c Analysis of saturation of differential TGs in ( a ). Shown are means ± s.e.</w:t>
        <w:br/>
        <w:t xml:space="preserve">   graphic: `41467_2024_47553_Fig3_HTML.jpg`”</w:t>
      </w:r>
    </w:p>
    <w:p>
      <w:pPr>
        <w:spacing w:after="80"/>
        <w:jc w:val="both"/>
      </w:pPr>
      <w:r>
        <w:rPr>
          <w:rFonts w:ascii="Times New Roman" w:hAnsi="Times New Roman" w:cs="Times New Roman" w:eastAsia="Times New Roman"/>
          <w:b w:val="0"/>
          <w:i/>
          <w:sz w:val="24"/>
        </w:rPr>
        <w:t>Figure 4 (verbatim caption): “The antioxidant activity of LBP. a A nine-quadrant plot depicting the combined analysis of the liver transcriptome and proteome of WT and LBP KI/KI mice fed with HFD for 16 weeks. Each group n = 3, biologically independent. b Go term enrichment analysis of the differential proteins in the third quadrant (upregulated) of ( a ), using different colors to represent different functions: yellow-lipid t</w:t>
        <w:br/>
        <w:t xml:space="preserve">   graphic: `41467_2024_47553_Fig4_HTML.jpg`”</w:t>
      </w:r>
    </w:p>
    <w:p>
      <w:pPr>
        <w:spacing w:after="80"/>
        <w:jc w:val="both"/>
      </w:pPr>
      <w:r>
        <w:rPr>
          <w:rFonts w:ascii="Times New Roman" w:hAnsi="Times New Roman" w:cs="Times New Roman" w:eastAsia="Times New Roman"/>
          <w:b w:val="0"/>
          <w:i/>
          <w:sz w:val="24"/>
        </w:rPr>
        <w:t>Figure 5 (verbatim caption): “Redox signaling regulates LBP-induced LD accumulation via phospholipid biogenesis and the LBP chaperone function of PRDX4. a The bar graph compares the hepatic TG levels in WT mice and LBP KI/KI mice, with/without NAC treatment. Means ± s.d., 2way ANOVA ( n = 5–6, biologically independent). b Bright-field microscope image of LDs in LBP KI/KI mice, fasted for 24 h and treated with/without NAC treat</w:t>
        <w:br/>
        <w:t xml:space="preserve">   graphic: `41467_2024_47553_Fig5_HTML.jpg`”</w:t>
      </w:r>
    </w:p>
    <w:p>
      <w:pPr>
        <w:spacing w:after="80"/>
        <w:jc w:val="both"/>
      </w:pPr>
      <w:r>
        <w:rPr>
          <w:rFonts w:ascii="Times New Roman" w:hAnsi="Times New Roman" w:cs="Times New Roman" w:eastAsia="Times New Roman"/>
          <w:b w:val="0"/>
          <w:i/>
          <w:sz w:val="24"/>
        </w:rPr>
        <w:t>Figure 6 (verbatim caption): “The #4-helix within the C-segment of LBP interacts with oxidized TGs. a LBP structure solved in the PDB database and predicted by Alphafold, with the black box indicating the differential #4α-helix. b Predict secondary structures and perform homology comparisons of LBP in various mammals. c Molecular docking diagram of WT-Tridocosahexaenoin with LBP. LBP is represented as a dark blue cartoon model</w:t>
        <w:br/>
        <w:t xml:space="preserve">   graphic: `41467_2024_47553_Fig6_HTML.jpg`”</w:t>
      </w:r>
    </w:p>
    <w:p>
      <w:pPr>
        <w:spacing w:after="80"/>
        <w:jc w:val="both"/>
      </w:pPr>
      <w:r>
        <w:rPr>
          <w:rFonts w:ascii="Times New Roman" w:hAnsi="Times New Roman" w:cs="Times New Roman" w:eastAsia="Times New Roman"/>
          <w:b w:val="0"/>
          <w:i/>
          <w:sz w:val="24"/>
        </w:rPr>
        <w:t xml:space="preserve">Figure 7 (verbatim caption): “LBP upregulation drives obesity and is rescued by antioxidant treatment. a Serum TG and FFA levels in 8-week-old mice before and after Poloxamer 407 injection. Means ± s.d., 2way ANOVA ( n = 3, biologically independent). b Morphological comparison of LBP KI/KI , LBP − / − and WT mice fed on a 16-week high-fat diet. c Fasting blood glucose levels of mice in ( b ). Means ± s.d., two-tailed unpaired </w:t>
        <w:br/>
        <w:t xml:space="preserve">   graphic: `41467_2024_47553_Fig7_HTML.jpg`”</w:t>
      </w:r>
    </w:p>
    <w:p>
      <w:pPr>
        <w:keepNext/>
        <w:spacing w:before="160" w:after="40"/>
        <w:outlineLvl w:val="2"/>
      </w:pPr>
      <w:r>
        <w:rPr>
          <w:rFonts w:ascii="Times New Roman" w:hAnsi="Times New Roman" w:cs="Times New Roman" w:eastAsia="Times New Roman"/>
          <w:b/>
          <w:i w:val="0"/>
          <w:color w:val="404040"/>
          <w:sz w:val="24"/>
        </w:rPr>
        <w:t>Verbatim body-text paragraphs from PMC11016120</w:t>
      </w:r>
    </w:p>
    <w:p>
      <w:pPr>
        <w:spacing w:after="120"/>
        <w:jc w:val="both"/>
      </w:pPr>
      <w:r>
        <w:rPr>
          <w:rFonts w:ascii="Times New Roman" w:hAnsi="Times New Roman" w:cs="Times New Roman" w:eastAsia="Times New Roman"/>
          <w:b w:val="0"/>
          <w:i w:val="0"/>
          <w:sz w:val="24"/>
        </w:rPr>
        <w:t>“## Figure captions (7) 1. **Fig. 1** — Oxidative stress induces LBP upregulation and LD translocation. a A schematic illustrating the research strategy adopted in this study. The image was created using materials supplied by Ge Pan from the Central Academy of Fine Arts, China, and illustrated by Qilun Zhang. The use of these materials has been authorized. b A multivariate bubble plot comparing changes in LD-localized protein and RNA ex graphic: `41467_2024_47553_Fig1_HTML.jpg` 2. **Fig. 2** — The localization of LBP to LDs drives hepatic steatosis. a Hepatic TG content of WT mice under NT, 24 h fasting, or LPS-treatment (5 mg/kg, i.p.) for 24 h. Shown are means ± s.d., one-way ANOVA ( n = 3, biologically independent). b Representative bright-field microscope image showing separated LDs from the same treatment as described in ( a ), scale bar = 10 μm. Experiments was conducted with thre graphic: `41467_2024_47553_Fig2_HTML.jpg` 3. **Fig. 3** — LBP binds with unsaturated TG to prevent against lipid peroxidation. a A pie chart showing the difference in lipid composition between WT ( n = 3) and LBP KI/KI ( n = 3) mice liver after 16 weeks of HFD. b Analysis of chain length of differential TGs in ( a ).”  [PMC11016120 ¶1]</w:t>
      </w:r>
    </w:p>
    <w:p>
      <w:pPr>
        <w:spacing w:after="120"/>
        <w:jc w:val="both"/>
      </w:pPr>
      <w:r>
        <w:rPr>
          <w:rFonts w:ascii="Times New Roman" w:hAnsi="Times New Roman" w:cs="Times New Roman" w:eastAsia="Times New Roman"/>
          <w:b w:val="0"/>
          <w:i w:val="0"/>
          <w:sz w:val="24"/>
        </w:rPr>
        <w:t>“Shown are means ± s.e.m., ( n = 3, biologically independent). c Analysis of saturation of differential TGs in ( a ). Shown are means ± s.e. graphic: `41467_2024_47553_Fig3_HTML.jpg` 4. **Fig. 4** — The antioxidant activity of LBP. a A nine-quadrant plot depicting the combined analysis of the liver transcriptome and proteome of WT and LBP KI/KI mice fed with HFD for 16 weeks. Each group n = 3, biologically independent. b Go term enrichment analysis of the differential proteins in the third quadrant (upregulated) of ( a ), using different colors to represent different functions: yellow-lipid t graphic: `41467_2024_47553_Fig4_HTML.jpg` 5. **Fig. 5** — Redox signaling regulates LBP-induced LD accumulation via phospholipid biogenesis and the LBP chaperone function of PRDX4. a The bar graph compares the hepatic TG levels in WT mice and LBP KI/KI mice, with/without NAC treatment. Means ± s.d., 2way ANOVA ( n = 5–6, biologically independent). b Bright-field microscope image of LDs in LBP KI/KI mice, fasted for 24 h and treated with/without NAC treat graphic: `41467_2024_47553_Fig5_HTML.jpg` 6. **Fig. 6** — The #4-helix within the C-segment of LBP interacts with oxidized TGs. a LBP structure solved in the PDB database and predicted by Alphafold, with the black box indicating the differential #4α-helix. b Predict secondary structures and perform homology comparisons of LBP in various mammals. c Molecular docking diagram of WT-Tridocosahexaenoin with LBP.”  [PMC11016120 ¶2]</w:t>
      </w:r>
    </w:p>
    <w:p>
      <w:pPr>
        <w:spacing w:after="120"/>
        <w:jc w:val="both"/>
      </w:pPr>
      <w:r>
        <w:rPr>
          <w:rFonts w:ascii="Times New Roman" w:hAnsi="Times New Roman" w:cs="Times New Roman" w:eastAsia="Times New Roman"/>
          <w:b w:val="0"/>
          <w:i w:val="0"/>
          <w:sz w:val="24"/>
        </w:rPr>
        <w:t>“LBP is represented as a dark blue cartoon model graphic: `41467_2024_47553_Fig6_HTML.jpg` 7. **Fig. 7** — LBP upregulation drives obesity and is rescued by antioxidant treatment. a Serum TG and FFA levels in 8-week-old mice before and after Poloxamer 407 injection. Means ± s.d., 2way ANOVA ( n = 3, biologically independent). b Morphological comparison of LBP KI/KI , LBP − / − and WT mice fed on a 16-week high-fat diet. c Fasting blood glucose levels of mice in ( b ). Means ± s.d., two-tailed unpaired graphic: `41467_2024_47553_Fig7_HTML.jpg` ```json { "pmcid": "PMC11016120", "pmid": "38615060", "doi": "10.1038/s41467-024-47553-5", "title": "Lipopolysaccharide binding protein resists hepatic oxidative stress by regulating lipid droplet homeostasis", "journal": "Nature Communications", "year": "2024", "abstract": "Oxidative stress-induced lipid accumulation is mediated by lipid droplets (LDs) homeostasis, which sequester vulnerable unsaturated triglycerides into LDs to prevent further peroxidation.”  [PMC11016120 ¶3]</w:t>
      </w:r>
    </w:p>
    <w:p>
      <w:pPr>
        <w:spacing w:after="120"/>
        <w:jc w:val="both"/>
      </w:pPr>
      <w:r>
        <w:rPr>
          <w:rFonts w:ascii="Times New Roman" w:hAnsi="Times New Roman" w:cs="Times New Roman" w:eastAsia="Times New Roman"/>
          <w:b w:val="0"/>
          <w:i w:val="0"/>
          <w:sz w:val="24"/>
        </w:rPr>
        <w:t>“Here we identify the upregulation of lipopolysaccharide-binding protein (LBP) and its trafficking through LDs as a mechanism for modulating LD homeostasis in response to oxidative stress. Our results suggest that LBP induces lipid accumulation by controlling lipid-redox homeostasis through its lipid-capture activity, sorting unsaturated triglycerides into LDs. N-acetyl-L-cysteine treatment reduces LBP-mediated triglycerides accumulation by phospholipid/triglycerides competition and Peroxiredoxin 4, a redox state sensor of LBP that regulates the shuttle of LBP from LDs. Furthermore, chronic stress upregulates LBP expression, leading to insulin resistance and obesity. Our findings contribute to the understanding of the role of LBP in regulating LD homeostasis and against cellular peroxidative injury. These insights could inform the development of redox-based therapies for alleviating oxidative stress-induced metabolic dysfunction.", "body_text": "Introduction Oxidative stress, resulting from an imbalance between reactive oxygen species (ROS) production and the antioxidant defense system, is a key driver of hepatic steatosis and obesity 1 \u2013 3 .”  [PMC11016120 ¶4]</w:t>
      </w:r>
    </w:p>
    <w:p>
      <w:pPr>
        <w:spacing w:after="120"/>
        <w:jc w:val="both"/>
      </w:pPr>
      <w:r>
        <w:rPr>
          <w:rFonts w:ascii="Times New Roman" w:hAnsi="Times New Roman" w:cs="Times New Roman" w:eastAsia="Times New Roman"/>
          <w:b w:val="0"/>
          <w:i w:val="0"/>
          <w:sz w:val="24"/>
        </w:rPr>
        <w:t>“Toxic lipid metabolites such as diacylglycerols, lysophosphatidyl choline, and other unsaturated metabolites generated due to oxidative stress, cause cellular damage 4 . This lipotoxicity considered a potential pro-steatotic mediator, is also a key factor in the progression of metabolic dysfunction. Therefore, even in the absence of overweight, acute hunger or chronic stress-induced oxidative stress can cause severe disruptions in lipid metabolism, further increasing the risk of all-cause mortality 5 . While antioxidants and ROS scavengers can alleviate metabolic dysfunction in animal models and some antioxidants have been trialed in clinical settings, long-term antioxidant treatment has potential safety issues, and there is currently no ideal drug available 6 , 7 . Thus, it is crucial to understand the molecular mechanisms that lead to oxidative stress-induced lipid metabolic dysfunction.”  [PMC11016120 ¶5]</w:t>
      </w:r>
    </w:p>
    <w:p>
      <w:pPr>
        <w:spacing w:after="120"/>
        <w:jc w:val="both"/>
      </w:pPr>
      <w:r>
        <w:rPr>
          <w:rFonts w:ascii="Times New Roman" w:hAnsi="Times New Roman" w:cs="Times New Roman" w:eastAsia="Times New Roman"/>
          <w:b w:val="0"/>
          <w:i w:val="0"/>
          <w:sz w:val="24"/>
        </w:rPr>
        <w:t>“Recent studies have shown that lipid droplets (LDs), the major organelles responsible for neutral lipid accumulation, not only function in lipid storage and mobilization but also serve as an essential component of the cellular antioxidant system 8 . The homeostasis regulation of LD is of great significance for the development and survival of cells under stress 9 . During oxidative stress, the biogenesis of LDs is stimulated to protect vulnerable lipids such as unsaturated fatty acids (UFAs) rerouted into the triglyceride (TG) core from ROS-induced peroxidation to maintain lipid homeostasis 10 \u2013 12 , which is subsided when oxidative stress ends. This process is accurately regulated by LD-associated proteins. Despite the identification of numerous LD-associated proteins 13 , the cellular sorting mechanisms for UFA-TG in response to oxidative stress are poorly understood. In this study, we aimed to elucidate a fundamental mechanism that regulates the oxidative stress response of LDs.”  [PMC11016120 ¶6]</w:t>
      </w:r>
    </w:p>
    <w:p>
      <w:pPr>
        <w:spacing w:after="120"/>
        <w:jc w:val="both"/>
      </w:pPr>
      <w:r>
        <w:rPr>
          <w:rFonts w:ascii="Times New Roman" w:hAnsi="Times New Roman" w:cs="Times New Roman" w:eastAsia="Times New Roman"/>
          <w:b w:val="0"/>
          <w:i w:val="0"/>
          <w:sz w:val="24"/>
        </w:rPr>
        <w:t>“We have uncovered a cytoprotective mechanism, in which lipopolysaccharide-binding protein (LBP) mediates the selective sequestration of UFA-TG into LDs, effectively preventing lipolysis under oxidative stress. This finding is consistent with the previously reported antioxidant effect of LBP 14 , 15 . Importantly, we report a cellular mechanism by which protein/TG interaction promotes LD accumulation, which is consistent with the previously reported phenotype of reduced liver fat accumulation in LBP knockout mice 16 , 17 . Mechanistically, we found that LBP colocalizes with TG in LDs, which is regulated by the TG capture activity. The shuttle of LBP with LDs is meticulously regulated by its interaction with peroxiredoxin 4 (PRDX4), which senses oxidative stress and ensures the execution of LBP antioxidant function. In summary, LBP acts as an antioxidant to control lipid homeostasis and defends against oxidative stress by coupling with redox signaling and lipid metabolism.”  [PMC11016120 ¶7]</w:t>
      </w:r>
    </w:p>
    <w:p>
      <w:pPr>
        <w:spacing w:after="120"/>
        <w:jc w:val="both"/>
      </w:pPr>
      <w:r>
        <w:rPr>
          <w:rFonts w:ascii="Times New Roman" w:hAnsi="Times New Roman" w:cs="Times New Roman" w:eastAsia="Times New Roman"/>
          <w:b w:val="0"/>
          <w:i w:val="0"/>
          <w:sz w:val="24"/>
        </w:rPr>
        <w:t>“Results Oxidative stress induces LBP upregulation and localization within LDs To investigate the compositional and regulatory changes of LDs under oxidative stress, we conducted hepatic transcriptomic and LDs proteomic analyses of 8-week-old C57BL/6J mice before and after a 24-h fast (Fig. 1a ). Fasting elicits a hepatic stress response, as evidenced by upregulation of Cyp and peroxisome protein families and downregulation of RPS and EIF families (Supplementary Data 1 ). An integrative analysis of liver transcriptome and LDs proteome data unveiled seven proteins exhibiting significant alterations (Fig. 1b ). The majority of the identified proteins are known to be involved in LDs metabolism, with the exception of LBP, an acute-phase protein that functions as an extracellular Lipopolysaccharide (LPS) ligand 18 \u2013 20 . We validated the findings from multi-omics data and discovered that fasting significantly elevated hepatic LBP expression level and its localization to LDs, suggesting an upregulation of LD-localized LBP expression in response to this metabolic stress challenge (Fig. 1c ).”  [PMC11016120 ¶8]</w:t>
      </w:r>
    </w:p>
    <w:p>
      <w:pPr>
        <w:spacing w:after="120"/>
        <w:jc w:val="both"/>
      </w:pPr>
      <w:r>
        <w:rPr>
          <w:rFonts w:ascii="Times New Roman" w:hAnsi="Times New Roman" w:cs="Times New Roman" w:eastAsia="Times New Roman"/>
          <w:b w:val="0"/>
          <w:i w:val="0"/>
          <w:sz w:val="24"/>
        </w:rPr>
        <w:t>“We found that the expression of LBP in HepG2 cells was not upregulated by treatment with unsaturated fatty acid analog Bodipy 558/568 C12 (Bodipy C12), saturated fatty acid palmitic acid (PA), or phosphatidylcholine (Fig. 1d ). Therefore, the upregulation of LBP expression is not a direct consequence of fatty acid exposure. Instead, we identified that oxidative stress, induced by starvation, hydrogen peroxide (H 2 O 2 ), and heat shock, can enhance LBP expression (Fig. 1e ). Our findings revealed that these oxidative stresses not only upregulated the expression of LBP but also caused its translocation to the LDs with Bodipy C12 (Fig. 1f ). These results suggest that oxidative stress plays a critical role in regulating both LBP expression and subcellular distribution. Fig. 1 Oxidative stress induces LBP upregulation and LD translocation. a A schematic illustrating the research strategy adopted in this study.”  [PMC11016120 ¶9]</w:t>
      </w:r>
    </w:p>
    <w:p>
      <w:pPr>
        <w:spacing w:after="120"/>
        <w:jc w:val="both"/>
      </w:pPr>
      <w:r>
        <w:rPr>
          <w:rFonts w:ascii="Times New Roman" w:hAnsi="Times New Roman" w:cs="Times New Roman" w:eastAsia="Times New Roman"/>
          <w:b w:val="0"/>
          <w:i w:val="0"/>
          <w:sz w:val="24"/>
        </w:rPr>
        <w:t>“The image was created using materials supplied by Ge Pan from the Central Academy of Fine Arts, China, and illustrated by Qilun Zhang. The use of these materials has been authorized. b A multivariate bubble plot comparing changes in LD-localized protein and RNA expression levels after a 24-h fast. Two-tailed student\u2019s t -test (each group n =\u20093, biologically independent). c Western blot analysis of LBP in liver tissue or liver LDs from 8-week-old mice receiving no treatment (NT) or a 24-h fast. d Changes in LBP mRNA expression after treatment with 1\u2009\u03bcM Bodipy C12, 2\u2009\u03bcM PC, or 60\u2009\u03bcM PA for 24\u2009h. Shown are means\u2009\u00b1\u2009s.d., one-way ANOVA ( n =\u20093, biologically independent). e Changes in LBP mRNA expression after treatment of HepG2 cells with 4\u2009\u03bcg/ml tunicamycin for 8\u2009h, 1\u2009mM hydrogen peroxide for 2 or 4\u2009h, nutritional-starvation for 3\u2009h, or 50\u2009\u00b0C heat shock for 1\u2009h.”  [PMC11016120 ¶10]</w:t>
      </w:r>
    </w:p>
    <w:p>
      <w:pPr>
        <w:spacing w:after="120"/>
        <w:jc w:val="both"/>
      </w:pPr>
      <w:r>
        <w:rPr>
          <w:rFonts w:ascii="Times New Roman" w:hAnsi="Times New Roman" w:cs="Times New Roman" w:eastAsia="Times New Roman"/>
          <w:b w:val="0"/>
          <w:i w:val="0"/>
          <w:sz w:val="24"/>
        </w:rPr>
        <w:t>“Shown are means\u00b1s.d., one-way ANOVA ( n =\u20093, biologically independent). f Confocal microscope co-staining images of LBP (green), PLIN2 (violet), and DAPI (blue) captured 16\u2009h after the treatment with Bodipy C12 (orange), 1\u2009\u03bcg/ml LPS for 8\u2009h, and the other treatments as described in ( e ). Scale bar\u2009=\u20095\u2009\u03bcm. Experiments repeated three times independently with similar results. The localization of LBP in LDs leads to hepatocyte steatosis Next, we investigated whether LBP was a causative factor for the formation of large LDs in hepatocytes. Fasting led to significant TG accumulation and steatosis, which was consistent with the intraperitoneal injection of the LBP inducer LPS (Fig. 2a, b ). Additionally, LBP expression was also increased in HepG2 cells treated with H 2 O 2 , and this increase was positively correlated with Caveolin, an LD marker protein (Supplementary Fig. 1a ).”  [PMC11016120 ¶11]</w:t>
      </w:r>
    </w:p>
    <w:p>
      <w:pPr>
        <w:spacing w:after="120"/>
        <w:jc w:val="both"/>
      </w:pPr>
      <w:r>
        <w:rPr>
          <w:rFonts w:ascii="Times New Roman" w:hAnsi="Times New Roman" w:cs="Times New Roman" w:eastAsia="Times New Roman"/>
          <w:b w:val="0"/>
          <w:i w:val="0"/>
          <w:sz w:val="24"/>
        </w:rPr>
        <w:t>“To assess the effects of LBP overexpression on LD formation, we transfected LBP-GFP into HepG2 cells and added Bodipy C12 to trace LD generation. We observed the formation of numerous large-sized droplets that co-localized with the LD marker Bodipy 665/676 (Supplementary Fig. 1b, c ). Subsequently, we established animal models of conventional knockout (LBP \u2212 / \u2212 ) mice and Alb-LBP-3*flag (LBP KI/KI ) mice to investigate the effects of LBP on steatosis (Supplementary Fig. 2a, b ). LBP KI/KI mice exhibited severe steatosis with marked macroscopic changes and aberrant accumulation of LDs both on chow and high-fat diet (HFD) (Fig. 2c , Supplementary Fig. 2c, d ). In vitro, primary hepatocytes were isolated and treated with Bodipy C12. LDs in LBP KI/KI hepatocytes were significantly larger compared to those in WT, while negligible LD formation was observed in LBP \u2212 / \u2212 hepatocytes (Fig. 2d ).”  [PMC11016120 ¶12]</w:t>
      </w:r>
    </w:p>
    <w:p>
      <w:pPr>
        <w:spacing w:after="120"/>
        <w:jc w:val="both"/>
      </w:pPr>
      <w:r>
        <w:rPr>
          <w:rFonts w:ascii="Times New Roman" w:hAnsi="Times New Roman" w:cs="Times New Roman" w:eastAsia="Times New Roman"/>
          <w:b w:val="0"/>
          <w:i w:val="0"/>
          <w:sz w:val="24"/>
        </w:rPr>
        <w:t>“Further investigation revealed that LBP promotes lipid synthesis in the liver by regulating the AMPK-ACC signaling pathway (Supplementary Fig. 2e\u2013g ). Moreover, LBP activates JNK and NF-\u03baB signaling pathways, significantly elevating the expression of inflammation-related molecules such as IL6, ICAM1, and VCAM1. (Supplementary Fig. 2h\u2013k ). Moderate liver injury was observed in both the LBP KI/KI and wild-type (WT) groups, as evidenced by similar serum levels of liver enzymes and histological evaluations (Supplementary Fig. 2l\u2013s ). We found that the very low-density lipoprotein (VLDL) levels were significantly elevated in LBP KI/KI mice compared to both the WT and LBP \u2212 / \u2212 groups, indicating the role of LBP in promoting hepatic TG accumulation (Supplementary Fig. 2t ). Consistently, we confirmed that the TG levels undergo similar changes upon overexpressing or knocking down LBP in HepG2 cells (Supplementary Fig. 1d , e ).”  [PMC11016120 ¶13]</w:t>
      </w:r>
    </w:p>
    <w:p>
      <w:pPr>
        <w:spacing w:after="120"/>
        <w:jc w:val="both"/>
      </w:pPr>
      <w:r>
        <w:rPr>
          <w:rFonts w:ascii="Times New Roman" w:hAnsi="Times New Roman" w:cs="Times New Roman" w:eastAsia="Times New Roman"/>
          <w:b w:val="0"/>
          <w:i w:val="0"/>
          <w:sz w:val="24"/>
        </w:rPr>
        <w:t>“The reintroduction of LBP-GFP to LBP \u2212 / \u2212 mice resulted in a significant increase in liver TG level, accompanied by the formation of LBP-contained LDs, which was also observed in HepG2 cells and confirmed the role of LBP in promoting LD formation (Fig. 2e, f , Supplementary Fig. 1f ). To generate a more detailed visualization of LBP localization in LDs, we introduced LBP-APEX2 into HepG2 cells and conducted transmission electron microscopy (TEM) to observe the ultra-structural assembly of LBP-APEX2 in LDs. Intriguingly, LBP-APEX2 signals were predominantly in larger LDs (Fig. 2g ). Taken together, our results strongly suggest that the subcellular localization of LBP within LDs represents a crucial factor in determining of large LDs formation and TG accumulation in hepatocytes. Fig. 2 The localization of LBP to LDs drives hepatic steatosis. a Hepatic TG content of WT mice under NT, 24\u2009h fasting, or LPS-treatment (5\u2009mg/kg, i.p.) for 24\u2009h.”  [PMC11016120 ¶14]</w:t>
      </w:r>
    </w:p>
    <w:p>
      <w:pPr>
        <w:spacing w:after="120"/>
        <w:jc w:val="both"/>
      </w:pPr>
      <w:r>
        <w:rPr>
          <w:rFonts w:ascii="Times New Roman" w:hAnsi="Times New Roman" w:cs="Times New Roman" w:eastAsia="Times New Roman"/>
          <w:b w:val="0"/>
          <w:i w:val="0"/>
          <w:sz w:val="24"/>
        </w:rPr>
        <w:t>“Shown are means\u2009\u00b1\u2009s.d., one-way ANOVA ( n =\u20093, biologically independent). b Representative bright-field microscope image showing separated LDs from the same treatment as described in ( a ), scale bar\u2009=\u200910\u2009\u03bcm. Experiments was conducted with three biological replicates and produced similar results. c TEM and Oil red O staining of LDs in the livers of WT and LBP KI/KI mice with 16-week HFD. TEM scale bar\u2009=\u20092\u2009\u03bcm, Yellow arrows indicate LDs. Oil red scale bar\u2009=\u200920\u2009\u03bcm. Experiments was conducted with three biological replicates and produced similar results. d Primary hepatocytes isolated from WT, LBP \u2212 / \u2212 , LBP KI/KI mice treated with Bodipy C12 (orange) for 16\u2009h and co-stained with PLIN2 (violet) and LBP (blue). Scale bar\u2009=\u20092\u2009\u03bcm. Experiments repeated two times independently with similar results. e Hepatic TG content of LBP \u2212 / \u2212 mice overexpressing GFP/LBP-GFP.”  [PMC11016120 ¶15]</w:t>
      </w:r>
    </w:p>
    <w:p>
      <w:pPr>
        <w:spacing w:after="120"/>
        <w:jc w:val="both"/>
      </w:pPr>
      <w:r>
        <w:rPr>
          <w:rFonts w:ascii="Times New Roman" w:hAnsi="Times New Roman" w:cs="Times New Roman" w:eastAsia="Times New Roman"/>
          <w:b w:val="0"/>
          <w:i w:val="0"/>
          <w:sz w:val="24"/>
        </w:rPr>
        <w:t>“Shown are means\u2009\u00b1\u2009s.d., two-tailed unpaired t -test ( n =\u20096, biologically independent). f Representative confocal imaging of LDs separation from liver in ( e ). Scale bar\u2009=\u200910\u2009\u03bcm. g Representative TEM images of control-APEX2 and LBP-APEX2 morphology, scale bar\u2009=\u2009500\u2009nm. Experiments repeated two times independently with similar results. LBP promotes long-chain unsaturated triglyceride accumulation in LDs To investigate the mechanisms underlying steatosis associated with LBP, we conducted lipidomics analysis on liver tissues from LBP KI/KI mice following a 16-week high-fat diet. Our results consistently demonstrated a greater accumulation of triglycerides in LBP KI/KI mice liver, compared to WT mice (Fig. 3a ; Supplementary Data 2 ). Further analysis revealed an upregulation of long-chain polyunsaturated fatty acid-triglycerides (LCPUFA-TG) in LBP KI/KI mice, which are known to be a primary source of lipid peroxidation (Fig. 3b, c ).”  [PMC11016120 ¶16]</w:t>
      </w:r>
    </w:p>
    <w:p>
      <w:pPr>
        <w:spacing w:after="120"/>
        <w:jc w:val="both"/>
      </w:pPr>
      <w:r>
        <w:rPr>
          <w:rFonts w:ascii="Times New Roman" w:hAnsi="Times New Roman" w:cs="Times New Roman" w:eastAsia="Times New Roman"/>
          <w:b w:val="0"/>
          <w:i w:val="0"/>
          <w:sz w:val="24"/>
        </w:rPr>
        <w:t>“A consistent result was observed in targeted lipidomics analysis, demonstrating that the accumulation of PUFAs and the reduction of short-chain saturated fatty acids (SCSFAs) were detected in the liver tissues of LBP KI/KI mice compared to those of WT mice (Fig. 3d ). To further confirm the lipidomic data, we added PA to HepG2 cells and found that the LDs formed by the treatment were rarely co-localized with LBP, even under starvation conditions (Fig. 3e ). SCSFAs and LCPUFAs are metabolized differently. SCSFAs are more easily decomposed and quickly converted into acyl-CoA in vivo, which then undergoes catabolism through the mitochondrial \u03b2-oxidation pathway. In comparison to LCPUFAs, SCSFAs have a shorter metabolic pathway, which require fewer oxygen and electron carriers, lack double bonds, resulting in reduced oxidative stress reactions while rapidly providing energy. Overexpression of LBP enhanced the catabolism of PA in the mitochondria, leading to an increased demand for mitochondrial function (Supplementary Fig. 3a, b ).”  [PMC11016120 ¶17]</w:t>
      </w:r>
    </w:p>
    <w:p>
      <w:pPr>
        <w:spacing w:after="120"/>
        <w:jc w:val="both"/>
      </w:pPr>
      <w:r>
        <w:rPr>
          <w:rFonts w:ascii="Times New Roman" w:hAnsi="Times New Roman" w:cs="Times New Roman" w:eastAsia="Times New Roman"/>
          <w:b w:val="0"/>
          <w:i w:val="0"/>
          <w:sz w:val="24"/>
        </w:rPr>
        <w:t>“Using the Seahorse XF96 analyzer, we observed that LBP overexpression significantly increased the oxygen consumption rate (OCR) during PA oxidation, but did not have a similar effect on unsaturated palmitoleic acid (PAO) (Fig. 3f, g , Supplementary Fig. 3c, d ). Interestingly, this effect was abolished by the introduction of the F436L mutation (Supplementary Fig. 3e, f ), a known loss-of-function mutation of LBP 21 . We further explored the differences in LBP binding to lipids before and after oxidation treatment through immunoprecipitation, and found that following H 2 O 2 treatment, LBP bound to a greater amount of triglycerides. Additionally, these triglycerides exhibited a preference for long-chain and unsaturated chains (Fig. 3h\u2013j ). We selected several fatty acids with varying chain lengths and numbers of unsaturated bonds for an in vitro lipid-binding assay. Our findings revealed that LBP can bind both fatty acids and triglycerides, demonstrating the strongest binding ability towards cervonic acid, which possesses the highest degree of unsaturation and the longest chain among the sample set (Fig. 3k ).”  [PMC11016120 ¶18]</w:t>
      </w:r>
    </w:p>
    <w:p>
      <w:pPr>
        <w:spacing w:after="120"/>
        <w:jc w:val="both"/>
      </w:pPr>
      <w:r>
        <w:rPr>
          <w:rFonts w:ascii="Times New Roman" w:hAnsi="Times New Roman" w:cs="Times New Roman" w:eastAsia="Times New Roman"/>
          <w:b w:val="0"/>
          <w:i w:val="0"/>
          <w:sz w:val="24"/>
        </w:rPr>
        <w:t>“Notably, following H 2 O 2 treatment, this binding capacity significantly increased. We quantified the interaction dissociation constant (Kd) between LBP and tridocosahexaenoin using microscale thermophoresis (MST). After H 2 O 2 treatment, the Kd value changed from 27.434\u2009\u03bcM to 378.62\u2009nM, indicating that oxidation significantly enhanced the LBP-TG binding capacity (Fig. 3l ). Based on these findings, we propose a hypothesis that under oxidative stress, LBP facilitates the storage of LCPUFAs in LDs, while promoting the decomposition and energy supply of SCSFAs, suggesting a protective role of LBP in maintaining cellular lipid homeostasis. Fig. 3 LBP binds with unsaturated TG to prevent against lipid peroxidation. a A pie chart showing the difference in lipid composition between WT ( n =\u20093) and LBP KI/KI ( n =\u20093) mice liver after 16 weeks of HFD. b Analysis of chain length of differential TGs in ( a ).”  [PMC11016120 ¶19]</w:t>
      </w:r>
    </w:p>
    <w:p>
      <w:pPr>
        <w:spacing w:after="120"/>
        <w:jc w:val="both"/>
      </w:pPr>
      <w:r>
        <w:rPr>
          <w:rFonts w:ascii="Times New Roman" w:hAnsi="Times New Roman" w:cs="Times New Roman" w:eastAsia="Times New Roman"/>
          <w:b w:val="0"/>
          <w:i w:val="0"/>
          <w:sz w:val="24"/>
        </w:rPr>
        <w:t>“Shown are means\u2009\u00b1\u2009s.e.m., ( n =\u20093, biologically independent). c Analysis of saturation of differential TGs in ( a ). Shown are means\u2009\u00b1\u2009s.e.m., ( n =\u20093, biologically independent). d Targeted quantitative lipidomics illustrating the ratio of fatty acid content in the liver tissue of LBP KI/KI and LBP \u2212 / \u2212 groups compared to the WT group. e Confocal microscopy images show co-stained lipid droplets (Bodipy 493/503, green) formed by PA and LBP (violet), with DAPI (blue) counterstaining. Line graphs represent relative intensity quantification of the area indicated by the red arrow. Scale bars: 5\u2009\u00b5m for the main image, 1\u2009\u00b5m for the magnified area. Experiments were independently repeated three times with consistent results. f Kinetic line graph illustrating the results of Seahorse analyses, indicating that overexpression of LBP leads to an increase in FAO rate.Shown are means\u2009\u00b1\u2009s.d.”  [PMC11016120 ¶20]</w:t>
      </w:r>
    </w:p>
    <w:p>
      <w:pPr>
        <w:spacing w:after="120"/>
        <w:jc w:val="both"/>
      </w:pPr>
      <w:r>
        <w:rPr>
          <w:rFonts w:ascii="Times New Roman" w:hAnsi="Times New Roman" w:cs="Times New Roman" w:eastAsia="Times New Roman"/>
          <w:b w:val="0"/>
          <w:i w:val="0"/>
          <w:sz w:val="24"/>
        </w:rPr>
        <w:t>“( n =\u20094, biologically independent). g Analysis of basal, maximal OCR, and ATP-linked respiration data from the experiment in ( f ).Shown are means\u2009\u00b1\u2009s.d., 2way ANOVA ( n =\u20094, biologically independent). h A pie chart illustrates the changes in lipid composition bound to LBP before and after 3\u2009h 500\u2009uM H 2 O 2 stimulation. i Analysis of chain length of differential TGs in ( h ). Shown are means\u2009\u00b1\u2009s.e.m., ( n =\u20093, biologically independent). j Analysis of saturation of differential TGs in ( h ). Shown are means\u2009\u00b1\u2009s.e.m., ( n =\u20093, biologically independent). k LBP lipid overlay assay using purified LBP with non-treatment or 1\u2009h 1\u2009mM H 2 O 2 treatment lipid-bound membranes. l Dose-response curves for determination of Kd for the binding of LBP to tridocosahexaenoin using a labeled MST assay. Shown are means\u2009\u00b1\u2009s.d., ( n =\u20093, biologically independent).”  [PMC11016120 ¶21]</w:t>
      </w:r>
    </w:p>
    <w:p>
      <w:pPr>
        <w:spacing w:after="120"/>
        <w:jc w:val="both"/>
      </w:pPr>
      <w:r>
        <w:rPr>
          <w:rFonts w:ascii="Times New Roman" w:hAnsi="Times New Roman" w:cs="Times New Roman" w:eastAsia="Times New Roman"/>
          <w:b w:val="0"/>
          <w:i w:val="0"/>
          <w:sz w:val="24"/>
        </w:rPr>
        <w:t>“LBP prevents lipolysis and exhibits antioxidative effects To evaluate the functional consequences of LBP-dependent deposition of LCPUFA-TG, we conducted an integrated analysis of proteomics and transcriptomics (Fig. 4a ). The joint analysis revealed that the genes with upregulated expression in the LBP KI/KI group were predominantly associated with TG transport and antioxidant activity, whereas the genes with downregulated expression were primarily related to lipolysis (Fig. 4b, c ; Supplementary Data 3 ). To confirm the antioxidant activity of LBP, we observed that LBP KI/KI significantly reduced the levels of protein carbonylation and nitration in the liver of 16-week HFD mice after 24\u2009h fasting, as well as decreasing the level of MDA (Fig. 4d\u2013f ). Overexpression of LBP in HepG2 cells significantly decreased the levels of ROS and lipid peroxide resulting from starvation, while promoting the sequestration of peroxidized TG in LDs (Fig. 4g, h ).”  [PMC11016120 ¶22]</w:t>
      </w:r>
    </w:p>
    <w:p>
      <w:pPr>
        <w:spacing w:after="120"/>
        <w:jc w:val="both"/>
      </w:pPr>
      <w:r>
        <w:rPr>
          <w:rFonts w:ascii="Times New Roman" w:hAnsi="Times New Roman" w:cs="Times New Roman" w:eastAsia="Times New Roman"/>
          <w:b w:val="0"/>
          <w:i w:val="0"/>
          <w:sz w:val="24"/>
        </w:rPr>
        <w:t>“We found that LBP contributes to antioxidant activity by inhibiting lipolysis. LBP effectively suppressed in vitro lipolysis induced by starvation, forskolin (FSK), and isoproterenol (ISO) (Supplementary Fig. 4a\u2013c ). Further investigation revealed that LBP reduced the phosphorylated hormone-sensitive lipase (P-HSL) level after ISO treatment (Supplementary Fig. 4d ). In vivo lipolysis induced by a 24-h fast was also attenuated by LBP (Supplementary Fig. 4e ), as evidenced by reduced translocation of P-HSL to LDs (Supplementary Fig. 4f, g ). Consequently, LBP acts as an antioxidant by promoting TG deposition and inhibiting lipolysis to mitigate oxidative damage. Fig. 4 The antioxidant activity of LBP. a A nine-quadrant plot depicting the combined analysis of the liver transcriptome and proteome of WT and LBP KI/KI mice fed with HFD for 16 weeks. Each group n =\u20093, biologically independent. b Go term enrichment analysis of the differential proteins in the third quadrant (upregulated) of ( a ), using different colors to represent different functions: yellow-lipid transport, red-antioxidant, and purple-ER localization.”  [PMC11016120 ¶23]</w:t>
      </w:r>
    </w:p>
    <w:p>
      <w:pPr>
        <w:spacing w:after="120"/>
        <w:jc w:val="both"/>
      </w:pPr>
      <w:r>
        <w:rPr>
          <w:rFonts w:ascii="Times New Roman" w:hAnsi="Times New Roman" w:cs="Times New Roman" w:eastAsia="Times New Roman"/>
          <w:b w:val="0"/>
          <w:i w:val="0"/>
          <w:sz w:val="24"/>
        </w:rPr>
        <w:t>“Bar graph shows the -log10 of P -value (hypergeometric test). c Go term enrichment analysis of the differential proteins in the seventh quadrant (downregulated) of ( a ), using green color to represent lipid metabolism. Other colors represent the same meanings as in ( b ). Bar graph shows the -log10 of P -value (hypergeometric test). d Bar graph shows the relative liver protein carbonylation levels of 16-week HFD WT, LBP KI/KI , and LBP \u2212 / \u2212 mice. Shown are means\u2009\u00b1\u2009s.d., one-way ANOVA, ( n =\u20093, biologically independent). e Bar graph shows the relative liver protein 3-nitrotyrosine (3NT) levels of 16-week HFD WT, LBP KI/KI , and LBP \u2212 / \u2212 mice. Shown are means\u2009\u00b1\u2009s.d., one-way ANOVA, ( n =\u20093, biologically independent). f Bar graph shows the relative liver malondialdehyde (MDA) levels of 16-week HFD WT, LBP KI/KI , and LBP \u2212 / \u2212 mice.”  [PMC11016120 ¶24]</w:t>
      </w:r>
    </w:p>
    <w:p>
      <w:pPr>
        <w:spacing w:after="120"/>
        <w:jc w:val="both"/>
      </w:pPr>
      <w:r>
        <w:rPr>
          <w:rFonts w:ascii="Times New Roman" w:hAnsi="Times New Roman" w:cs="Times New Roman" w:eastAsia="Times New Roman"/>
          <w:b w:val="0"/>
          <w:i w:val="0"/>
          <w:sz w:val="24"/>
        </w:rPr>
        <w:t>“Shown are means\u2009\u00b1\u2009s.d., one-way ANOVA, ( n =\u20093, biologically independent). g The bar graph depicts the level of DCFH-DA detected in HepG2 cells following 3\u2009h of nutrient starvation after overexpression of mCherry or LBP-mCherry. Shown are means\u2009\u00b1\u2009s.d., two-tailed unpaired t -test, ( n =\u20093, biologically independent). h Confocal data showing the co-localization of non-oxidized (violet), oxidized (red) LDs, Bodipy C12 (orange), and GFP/LBP-GFP (green) in 3-h-starved HepG2 cells. Scale bar\u2009=\u20095\u2009\u00b5m. Experiments repeated three times independently with similar results. Antioxidative treatment ameliorates LBP-induced steatosis To evaluate whether antioxidant therapy could alleviate LBP-induced steatosis, we administered N-acetyl-L-cysteine (NAC), a ROS scavenger, and observed a significant reduction in LD formation and TG accumulation in the livers of LBP KI/KI mice (Fig. 5a, b ).”  [PMC11016120 ¶25]</w:t>
      </w:r>
    </w:p>
    <w:p>
      <w:pPr>
        <w:spacing w:after="120"/>
        <w:jc w:val="both"/>
      </w:pPr>
      <w:r>
        <w:rPr>
          <w:rFonts w:ascii="Times New Roman" w:hAnsi="Times New Roman" w:cs="Times New Roman" w:eastAsia="Times New Roman"/>
          <w:b w:val="0"/>
          <w:i w:val="0"/>
          <w:sz w:val="24"/>
        </w:rPr>
        <w:t>“The decrease in fasting-induced TG accumulation also demonstrated the beneficial effect of NAC treatment (Supplementary Fig. 5a ). NAC treatment not only reduced TG levels but also increased phospholipid levels (Fig. 5c ; Supplementary Data 4 ), contrary to the trend observed in the lipidomic data of LBP KI/KI mice liver. Metabolite set enrichment analysis (MSEA) revealed that NAC treatment enhanced phospholipid synthesis (Fig. 5d ). We also observed that NAC treatment led to the removal of LBP from LDs (Fig. 5e ). To further investigate the effect of phospholipid on the LD homeostasis regulation of LBP, we treated HepG2 cells with NAC or polyene phosphatidylcholine (PC) and observed a significant decrease in the number of LDs and LBP exiting LDs in both treatments. However, we noticed that the efficiency of LBP leaving LDs following PC treatment was lower compared to NAC treatment (Supplementary Fig. 5b ).”  [PMC11016120 ¶26]</w:t>
      </w:r>
    </w:p>
    <w:p>
      <w:pPr>
        <w:spacing w:after="120"/>
        <w:jc w:val="both"/>
      </w:pPr>
      <w:r>
        <w:rPr>
          <w:rFonts w:ascii="Times New Roman" w:hAnsi="Times New Roman" w:cs="Times New Roman" w:eastAsia="Times New Roman"/>
          <w:b w:val="0"/>
          <w:i w:val="0"/>
          <w:sz w:val="24"/>
        </w:rPr>
        <w:t>“LBP is reported to bind with phospholipid 22 , which is produced by ER with common precursors such as TG. We employed Bodipy FL C12-HPC (FL-HPC), a fluorescently labeled phosphatidylcholine, to chase the interaction between LBP and phospholipids. PC treatment resulted in the exportation of LBP from LDs and its transportation back to the ER, revealing that PC contributes to the shuttle-out process of LBP (Supplementary Fig. 5c ). Of note, the proportion of FL-HPC to Bodipy C12 affects the efficiency of LBP entering LD (Fig. 5f ). We found that FL-HPC was toxic and caused the death of HepG2 cells with LBP overexpression and H 2 O 2 stimulation (Supplementary Fig. 5d, e ). These findings led us to hypothesize that a chaperone may assist LBP in sensing oxidative stress. We searched for proteins interacting with LBP in the IntAct database ( www.ebi.ac.uk/intact/home ) and identified PRDX4, an ER-localized peroxidase, as a potential candidate with a solid reliability of binding to LBP (Supplementary Fig. 5f ).”  [PMC11016120 ¶27]</w:t>
      </w:r>
    </w:p>
    <w:p>
      <w:pPr>
        <w:spacing w:after="120"/>
        <w:jc w:val="both"/>
      </w:pPr>
      <w:r>
        <w:rPr>
          <w:rFonts w:ascii="Times New Roman" w:hAnsi="Times New Roman" w:cs="Times New Roman" w:eastAsia="Times New Roman"/>
          <w:b w:val="0"/>
          <w:i w:val="0"/>
          <w:sz w:val="24"/>
        </w:rPr>
        <w:t>“To explore how LBP interacts with PRDX4, we simulated the binding mode of LBP and PRDX4 using molecular docking, which revealed that the N-segment of LBP had a high binding affinity for PRDX4 (Supplementary Fig. 5g ). We observed that starvation upregulated and induced the interaction of endogenous LBP and PRDX4 in HepG2 cells, which co-localized with LDs (Fig. 5g ). Silencing of PRDX4 using small shRNA significantly prevented the export of LBP and promoted LDs growth, while knockdown of LBP eliminated the co-location of PRDX4 and LDs (Fig. 5h ). Our results demonstrated a distinct modulation of LBP-induced lipid accumulation and lipolysis inhibition in HepG2 cells by manipulating PRDX4 levels (Fig. 5i, j ). Interestingly, the LBP-PRDX4 interaction was abolished by intense oxidative stress, such as H 2 O 2 treatment (Supplementary Fig. 5h, i ). Previous studies on PRDX4 suggest that its redox state modulates the conformational transition between the fully folded (FF) and locally unfolded (LU) states 23 , which may impact its interaction with LBP.”  [PMC11016120 ¶28]</w:t>
      </w:r>
    </w:p>
    <w:p>
      <w:pPr>
        <w:spacing w:after="120"/>
        <w:jc w:val="both"/>
      </w:pPr>
      <w:r>
        <w:rPr>
          <w:rFonts w:ascii="Times New Roman" w:hAnsi="Times New Roman" w:cs="Times New Roman" w:eastAsia="Times New Roman"/>
          <w:b w:val="0"/>
          <w:i w:val="0"/>
          <w:sz w:val="24"/>
        </w:rPr>
        <w:t>“To validate this hypothesis, we utilized a deletion PRDX4 1-243 and a PRDX4 C245A mutation to simulate the LU form and prevent the resolution of oxidized PRDX4. We found that both PRDX4 1-243 and PRDX4 C245A mutants displayed increased binding affinity for LBP N-segment (Supplementary Fig. 5j ). This supports the view that the Cys-SOH form of PRDX4 is the major binding state for LBP and confirms the crucial role of N-segment in the PRDX4-LBP interaction (Supplementary Fig. 5g ). In addition, the levels of PRDX4 can further influence the regulation of LBP on LDs in the presence of PC (Fig. 5k ). Silencing PRDX4 significantly decreased the export of LBP from LDs even when PC was present while overexpressing PRDX4 reduced LD formation and promoted LBP export in the presence of PC (Supplementary Fig. 5k ). Therefore, NAC may affect the LBP-mediated LD homeostasis by modulating the balance of TG and phospholipid, as well as the redox state of PRDX4.”  [PMC11016120 ¶29]</w:t>
      </w:r>
    </w:p>
    <w:p>
      <w:pPr>
        <w:spacing w:after="120"/>
        <w:jc w:val="both"/>
      </w:pPr>
      <w:r>
        <w:rPr>
          <w:rFonts w:ascii="Times New Roman" w:hAnsi="Times New Roman" w:cs="Times New Roman" w:eastAsia="Times New Roman"/>
          <w:b w:val="0"/>
          <w:i w:val="0"/>
          <w:sz w:val="24"/>
        </w:rPr>
        <w:t>“These results suggest that the translocation of LBP to LD is modulated by the production balance between TG and phospholipid, which is controlled by the redox state of PRDX4. Therefore, we conclude that LBP couples lipid metabolism with redox signaling, which may largely depend on the lipid-capture capacity of LBP. Fig. 5 Redox signaling regulates LBP-induced LD accumulation via phospholipid biogenesis and the LBP chaperone function of PRDX4. a The bar graph compares the hepatic TG levels in WT mice and LBP KI/KI mice, with/without NAC treatment. Means\u2009\u00b1\u2009s.d., 2way ANOVA ( n =\u20095\u20136, biologically independent). b Bright-field microscope image of LDs in LBP KI/KI mice, fasted for 24\u2009h and treated with/without NAC treatment for 3\u2009h. Scale bar\u2009=\u200910\u2009\u00b5m Experiments repeated three times independently with similar results. c A pie chart representing the difference in lipid composition between WT mice that were fasted for 24\u2009h ( n =\u20093) and those treated with NAC for 3\u2009h ( n =\u20093). d MSEA analysis for the lipidomic data in ( c ). e Changes in LBP content within LDs extracted from liver tissue with/without NAC treatment for 3\u2009h in 24\u2009h fasting mice ( n =\u20093, biologically independent). f Confocal microscopy images (upper panel) and quantification (lower panel) of LBP (blue) co-stained with PRDX4 (violet) at different ratios of Bodipy C12 (orange) and FL-HPC (green).”  [PMC11016120 ¶30]</w:t>
      </w:r>
    </w:p>
    <w:p>
      <w:pPr>
        <w:spacing w:after="120"/>
        <w:jc w:val="both"/>
      </w:pPr>
      <w:r>
        <w:rPr>
          <w:rFonts w:ascii="Times New Roman" w:hAnsi="Times New Roman" w:cs="Times New Roman" w:eastAsia="Times New Roman"/>
          <w:b w:val="0"/>
          <w:i w:val="0"/>
          <w:sz w:val="24"/>
        </w:rPr>
        <w:t>“Scale bar\u2009=\u20095\u2009\u00b5m, magnified area scale bar\u2009=\u20091\u2009\u00b5m. Experiments repeated three times independently with similar results. g Staining of LBP (green) and PRDX4 (violet) co-localized with Bodipy C12 (orange) in HepG2 cells after 16\u2009h of Bodipy C12 treatment and 3\u2009h of starvation. Scale bar\u2009=\u20095\u2009\u00b5m. Experiments repeated two times independently with similar results. h Confocal images show that knockdown of PRDX4 does not affect the localization of LBP in LD, but increases LD size, whereas knockdown of LBP affects PRDX4 localization in LD. The shRNA scaffold plasmid with dual promoters for expressing green fluorescent protein; red represents LBP; violet denotes PRDX4, while Bodipy C12 is orange. Scale bar\u2009=\u20095\u2009\u00b5m. Experiments repeated three times independently with similar results. i Effects of PRDX4-knockdown on LBP-mediated regulation of TG accumulation.”  [PMC11016120 ¶31]</w:t>
      </w:r>
    </w:p>
    <w:p>
      <w:pPr>
        <w:spacing w:after="120"/>
        <w:jc w:val="both"/>
      </w:pPr>
      <w:r>
        <w:rPr>
          <w:rFonts w:ascii="Times New Roman" w:hAnsi="Times New Roman" w:cs="Times New Roman" w:eastAsia="Times New Roman"/>
          <w:b w:val="0"/>
          <w:i w:val="0"/>
          <w:sz w:val="24"/>
        </w:rPr>
        <w:t>“Means\u2009\u00b1\u2009s.d., one-way ANOVA ( n =\u20093, biologically independent). j Effects of PRDX4-knockdown on LBP-mediated regulation of lipolysis. Means\u2009\u00b1\u2009s.d., one-way ANOVA ( n =\u20093, biologically independent). k Representative confocal image shows that shPRDX4 (green) reduces the ability of LBP (violet) to leave the LD (Bodipy C12, orange) after 3\u2009h of PC treatment. Scale bar\u2009=\u20095\u2009\u00b5m, magnified area scale bar\u2009=1\u2009\u00b5m. Experiments repeated three times independently with similar results. LBP regulates LD homeostasis via the C-segment hydrophobic area and #4-helix TG capture activity The structure of mouse LBP has been characterized, revealing hydrophobic grooves in C-segments that exhibit greater flexibility. To explore the molecular basis of the lipid-binding capacity of LBP, we employed the AlphaFold AI system ( https://deepmind.com/ ) to predict the 3D structure of LBP, which revealed that the \u03b1-helix formed by residues 286-297 (#4-helix) was not observable in the resolved structures present in the PDB database (Fig. 6a ).”  [PMC11016120 ¶32]</w:t>
      </w:r>
    </w:p>
    <w:p>
      <w:pPr>
        <w:spacing w:after="120"/>
        <w:jc w:val="both"/>
      </w:pPr>
      <w:r>
        <w:rPr>
          <w:rFonts w:ascii="Times New Roman" w:hAnsi="Times New Roman" w:cs="Times New Roman" w:eastAsia="Times New Roman"/>
          <w:b w:val="0"/>
          <w:i w:val="0"/>
          <w:sz w:val="24"/>
        </w:rPr>
        <w:t>“Further secondary structure analysis ( http://bioinf.cs.ucl.ac.uk/psipred/ ) corroborated the prediction of an \u03b1-helix (Fig. 6b ). Additionally, we discovered that this \u03b1-helix is highly conserved among mammals (Fig. 6b ). Through de novo modeling of LBP, we obtained results supporting the existence of an \u03b1-helix. By hydroxylating the double bond closest to the carboxyl group of small molecule 11094-59-0 (Tridocosahexaenoin) to simulate its oxidized state, we conducted molecular docking using the de novo modeled LBP. The oxidized lipid molecule showed an increased number of hydrogen bonds at the C-segment #4-helix region and exhibited lower binding energy as compared to the prototype Tridocosahexaenoin (Fig. 6c, d ). To further confirm the binding of LBP C-segments to lipids, we observed a co-localization of LBP C-segments (LBP SP+216-481 -GFP) with LDs, which was rapidly disrupted by PC (Fig. 6e ).”  [PMC11016120 ¶33]</w:t>
      </w:r>
    </w:p>
    <w:p>
      <w:pPr>
        <w:spacing w:after="120"/>
        <w:jc w:val="both"/>
      </w:pPr>
      <w:r>
        <w:rPr>
          <w:rFonts w:ascii="Times New Roman" w:hAnsi="Times New Roman" w:cs="Times New Roman" w:eastAsia="Times New Roman"/>
          <w:b w:val="0"/>
          <w:i w:val="0"/>
          <w:sz w:val="24"/>
        </w:rPr>
        <w:t>“We have further identified His_294 on the #4-helix as a potential crucial interaction site between LBP and lipids. The H294A and H294G mutations substantially diminish its ability to translocation to LDs (Fig. 6f ). In previous studies, the LBP SNP F436L mutation was found to decrease the cleft of the hydrophobic groove 21 . The molecular simulation model showed that F436L caused ASP-223 to form hydrogen bonds with LYS-443 and TYR-293, which connected the #3 and #4 helices and reduced the cleft in the groove, thereby impeding TG entry LDs (Fig. 6g, h ). Consequently, reintroduction of LBP-F436L in LBP \u2212 / \u2212 mice resulted in lower hepatic TG level compared to WT LBP (Fig. 6i ). In addition, the co-localization of LBP and LDs was inhibited when we disrupted hydrophobic forces using 1,6-hexanediol (Supplementary Fig. 6a ). We observed that LBP puncta exhibited liquid-like characteristics and could be dynamically mobilized (Supplementary Fig. 6b ; Supplementary Movie 1 ).”  [PMC11016120 ¶34]</w:t>
      </w:r>
    </w:p>
    <w:p>
      <w:pPr>
        <w:spacing w:after="120"/>
        <w:jc w:val="both"/>
      </w:pPr>
      <w:r>
        <w:rPr>
          <w:rFonts w:ascii="Times New Roman" w:hAnsi="Times New Roman" w:cs="Times New Roman" w:eastAsia="Times New Roman"/>
          <w:b w:val="0"/>
          <w:i w:val="0"/>
          <w:sz w:val="24"/>
        </w:rPr>
        <w:t>“Fluorescence recovery after photobleaching (FRAP) experiments showed stronger mobility when binding with TG than PC, suggesting a potential mechanism for the competitive behavior between LBP-PC and LBP-TG (Supplementary Fig. 6c\u2013e ). Based on these findings, we propose that the #4-helix and C-segment groove of LBP are critical for capturing and depositing TG. Collectively, our findings suggest that LBP levels may increase in response to oxidative stress. Both endogenous and exogenous LBP C-terminus capture TG and bind PRDX4 via its N-terminus, entering LDs to play an antioxidant role. When oxidative stress dissipates, PRDX4 senses the oxidation signal and switches from the oxidized to the reduced state, assisting LBP leaving LDs, thereby promoting LDs lipolysis (Fig. 6j ). Fig. 6 The #4-helix within the C-segment of LBP interacts with oxidized TGs. a LBP structure solved in the PDB database and predicted by Alphafold, with the black box indicating the differential #4\u03b1-helix. b Predict secondary structures and perform homology comparisons of LBP in various mammals. c Molecular docking diagram of WT-Tridocosahexaenoin with LBP.”  [PMC11016120 ¶35]</w:t>
      </w:r>
    </w:p>
    <w:p>
      <w:pPr>
        <w:spacing w:after="120"/>
        <w:jc w:val="both"/>
      </w:pPr>
      <w:r>
        <w:rPr>
          <w:rFonts w:ascii="Times New Roman" w:hAnsi="Times New Roman" w:cs="Times New Roman" w:eastAsia="Times New Roman"/>
          <w:b w:val="0"/>
          <w:i w:val="0"/>
          <w:sz w:val="24"/>
        </w:rPr>
        <w:t>“LBP is represented as a dark blue cartoon model, while the ligand is depicted as a cyan stick model. The binding site is shown as a magenta stick structure. (yellow: Hydrogen bonds, magenta: ionic interactions, and green dashed lines: hydrophobic interactions). d Molecular docking diagram of oxidized-Tridocosahexaenoin with LBP. e Representative co-stained images captured by confocal microscope showing the expression of C-segment LBP-GFP (LBP SP+216-481 -GFP, green) for 48\u2009h, treated with Bodipy C12 (orange) or Bodipy C12+PC for 16\u2009h. Experiments repeated three times independently with similar results. f Representative co-stained images captured by confocal microscope showing the expression of H294A mutation (green) and H294G mutation (green) for 48\u2009h, treated with Bodipy C12 (orange) for 16\u2009h. Experiments repeated five times independently with similar results. g Comparison of Alphafold predicted LBP WT (green) and LBP F436L (blue) protein structures.”  [PMC11016120 ¶36]</w:t>
      </w:r>
    </w:p>
    <w:p>
      <w:pPr>
        <w:spacing w:after="120"/>
        <w:jc w:val="both"/>
      </w:pPr>
      <w:r>
        <w:rPr>
          <w:rFonts w:ascii="Times New Roman" w:hAnsi="Times New Roman" w:cs="Times New Roman" w:eastAsia="Times New Roman"/>
          <w:b w:val="0"/>
          <w:i w:val="0"/>
          <w:sz w:val="24"/>
        </w:rPr>
        <w:t>“The F436L site is indicated in red (upper panel). h Representative confocal images of expression LBP F436L -GFP (green) for 48\u2009h and co-stained after adding Bodipy C12 (orange) for 16\u2009h. Experiments repeated five times independently with similar results. i Hepatic TG content of LBP \u2212 / \u2212 mice with overexpressing LBP WT -GFP or LBP F436L -GFP. Shown are means\u2009\u00b1\u2009s.d., two-tailed unpaired t -test ( n =\u20093, biologically independent). j Working model for LBP and PRDX4 interactions: 1. LBP expression upregulated response to oxidative stress; 2. LBP translocation to LD for promoting LD growth; 3. PRDX4 resolution promoting the export of LBP from the LDs; 4. Export of LBP enhancing lipolysis and phospholipid synthesis. Illustration by Mo Liu, with permission. Chronic high expression of LBP induces obesity As a known regulator of metabolism, continuous upregulation of LBP results in severe steatosis.”  [PMC11016120 ¶37]</w:t>
      </w:r>
    </w:p>
    <w:p>
      <w:pPr>
        <w:spacing w:after="120"/>
        <w:jc w:val="both"/>
      </w:pPr>
      <w:r>
        <w:rPr>
          <w:rFonts w:ascii="Times New Roman" w:hAnsi="Times New Roman" w:cs="Times New Roman" w:eastAsia="Times New Roman"/>
          <w:b w:val="0"/>
          <w:i w:val="0"/>
          <w:sz w:val="24"/>
        </w:rPr>
        <w:t>“Nevertheless, it remains unclear whether LBP is involved in responding to chronic stress and contributing to systemic dysregulation. We investigated the systemic effects of LBP in the context of fatty liver. Hepatic lipid export was assessed using the non-ionic detergent poloxamer 407, which inhibits lipoprotein lipase activity. We observed significantly higher systemic TG levels in LBP KI/KI mice compared to WT and LBP \u2212 / \u2212 mice, suggesting an increased hepatic TG export (Fig. 7a ). After 16 weeks of HFD, LBP KI/KI mice developed obesity and an increased accumulation of adipocytes (Fig. 7b ). Additionally, 16-week HFD LBP KI/KI mice had higher fasting blood glucose and insulin levels (Fig. 7c, d ). The glucose tolerance test (GTT) and insulin tolerance test (ITT) revealed that knockin of LBP-induced significant insulin resistance and glucose tolerance phenotypes (Fig. 7e\u2013h ).”  [PMC11016120 ¶38]</w:t>
      </w:r>
    </w:p>
    <w:p>
      <w:pPr>
        <w:spacing w:after="120"/>
        <w:jc w:val="both"/>
      </w:pPr>
      <w:r>
        <w:rPr>
          <w:rFonts w:ascii="Times New Roman" w:hAnsi="Times New Roman" w:cs="Times New Roman" w:eastAsia="Times New Roman"/>
          <w:b w:val="0"/>
          <w:i w:val="0"/>
          <w:sz w:val="24"/>
        </w:rPr>
        <w:t>“We further investigated the effect of LBP on glucose metabolism. PAS staining revealed that LBP KI/KI mice had reduced glycogen accumulation in their livers (Fig. 7i ). Seahorse assay results showed that inhibiting amino acid metabolism with BPTES did not significantly change metabolic status with LBP overexpression, suggesting cells primarily do not use amino acids as an energy source (Fig. 7j, k ). Inhibiting glucose metabolism with UK5099 enhanced OCR with LBP overexpression, indicating a preference for lipid catabolism to supply energy (Fig. 7l, m ). Inhibiting fatty acid metabolism with Etomoxir led to a significant decrease of OCR with LBP overexpression, indicating less efficient glucose utilization (Fig. 7n, o ). We assessed the respiratory exchange ratio (RER) of WT, LBP KI/KI , and LBP \u2212 / \u2212 mice using a metabolic cage assay (Fig. 7p ). A ratio closer to 1 indicates predominantly glucose metabolism, whereas a ratio closer to 0.7 suggests reliance on fatty acid metabolism 24 .”  [PMC11016120 ¶39]</w:t>
      </w:r>
    </w:p>
    <w:p>
      <w:pPr>
        <w:spacing w:after="120"/>
        <w:jc w:val="both"/>
      </w:pPr>
      <w:r>
        <w:rPr>
          <w:rFonts w:ascii="Times New Roman" w:hAnsi="Times New Roman" w:cs="Times New Roman" w:eastAsia="Times New Roman"/>
          <w:b w:val="0"/>
          <w:i w:val="0"/>
          <w:sz w:val="24"/>
        </w:rPr>
        <w:t>“The results demonstrated that LBP KI/KI mice were more inclined to use fatty acid metabolism as an energy source compared to WT and LBP \u2212 / \u2212 mice. These results indicate that elevated hepatic LBP expression is associated with systemic adipocyte accumulation, obesity, and insulin resistance. Fig. 7 LBP upregulation drives obesity and is rescued by antioxidant treatment. a Serum TG and FFA levels in 8-week-old mice before and after Poloxamer 407 injection. Means\u2009\u00b1\u2009s.d., 2way ANOVA ( n =\u20093, biologically independent). b Morphological comparison of LBP KI/KI , LBP \u2212 / \u2212 and WT mice fed on a 16-week high-fat diet. c Fasting blood glucose levels of mice in ( b ). Means\u2009\u00b1\u2009s.d., two-tailed unpaired t -test ( n =\u20096, biologically independent). d Fasting insulin levels of mice in ( b ). Means\u2009\u00b1\u2009s.d., two-tailed unpaired t -test ( n =\u20093, biologically independent). e Serum glucose levels during insulin tolerance tests in mice on a 22-week high-fat diet.”  [PMC11016120 ¶40]</w:t>
      </w:r>
    </w:p>
    <w:p>
      <w:pPr>
        <w:spacing w:after="120"/>
        <w:jc w:val="both"/>
      </w:pPr>
      <w:r>
        <w:rPr>
          <w:rFonts w:ascii="Times New Roman" w:hAnsi="Times New Roman" w:cs="Times New Roman" w:eastAsia="Times New Roman"/>
          <w:b w:val="0"/>
          <w:i w:val="0"/>
          <w:sz w:val="24"/>
        </w:rPr>
        <w:t>“Means\u2009\u00b1\u2009s.d. ( n =\u20095, biologically independent). f Area under curve (AUC) analysis of ( e ). Means\u2009\u00b1\u2009s.d., two-tailed unpaired t -test ( n =\u20095, biologically independent). g Serum glucose levels during glucose tolerance tests in mice on a 22-week high-fat diet. Means\u2009\u00b1\u2009s.d. ( n =\u20094 biologically independent). h AUC analysis of ( g ). Means\u2009\u00b1 s.d., two-tailed unpaired t -test ( n =\u20094, biologically independent). i PAS staining of mice liver sections, scale bar\u2009=\u200920\u2009\u03bcm. Three independent experiments with similar results. j Mitochondrial respiration rates in control/LBP-overexpressing cells with BPTES. Means\u2009\u00b1\u2009s.d. ( n =\u20093, biologically independent). k Statistical analysis of ( j ). Means\u2009\u00b1\u2009s.d., 2way ANOVA ( n =\u20093, biologically independent). l Mitochondrial respiration rates in control/LBP-overexpressing cells with UK5099.”  [PMC11016120 ¶41]</w:t>
      </w:r>
    </w:p>
    <w:p>
      <w:pPr>
        <w:spacing w:after="120"/>
        <w:jc w:val="both"/>
      </w:pPr>
      <w:r>
        <w:rPr>
          <w:rFonts w:ascii="Times New Roman" w:hAnsi="Times New Roman" w:cs="Times New Roman" w:eastAsia="Times New Roman"/>
          <w:b w:val="0"/>
          <w:i w:val="0"/>
          <w:sz w:val="24"/>
        </w:rPr>
        <w:t>“Shown are means\u2009\u00b1\u2009s.d. ( n =\u20093, biologically independent). m Statistical analysis of ( l ). Means\u2009\u00b1 s.d., 2way ANOVA ( n =\u20093, biologically independent). n Mitochondrial respiration rates in control/LBP-overexpressing cells with Etomoxir. Shown are means\u2009\u00b1\u2009s.d. ( n =\u20093, biologically independent). o Statistical analysis of ( n ). Means\u2009\u00b1 s.d., 2way ANOVA ( n =\u20093, biologically independent). p Respiratory exchange ratio of mice in a metabolic cage.Means\u2009\u00b1\u2009s.d. ( n =\u20095, biologically independent). q Body weight curves of mice with/without NAC treatment. Means\u2009\u00b1\u2009s.d., 2way ANOVA ( n =\u20095\u20136, biologically independent). r Body fat ratio of mice with/without NAC treatment. Means\u2009\u00b1\u2009s.d., 2way ANOVA ( n =\u20095, biologically independent). s Body fat ratio of mice with/without 24\u2009h fasting.”  [PMC11016120 ¶42]</w:t>
      </w:r>
    </w:p>
    <w:p>
      <w:pPr>
        <w:spacing w:after="120"/>
        <w:jc w:val="both"/>
      </w:pPr>
      <w:r>
        <w:rPr>
          <w:rFonts w:ascii="Times New Roman" w:hAnsi="Times New Roman" w:cs="Times New Roman" w:eastAsia="Times New Roman"/>
          <w:b w:val="0"/>
          <w:i w:val="0"/>
          <w:sz w:val="24"/>
        </w:rPr>
        <w:t>“Means\u2009\u00b1\u2009s.d., 2way ANOVA ( n =\u20096, biologically independent). t Serum TG levels in 24\u2009h fasted LBP KI/KI mice with/without NAC recovery. Means\u2009\u00b1\u2009s.d., two-tailed unpaired t -test ( n =\u20093\u20134, biologically independent). u FFA levels in 24\u2009h fasted LBP KI/KI mice with/without NAC recovery. Means\u2009\u00b1\u2009s.d., two-tailed unpaired t -test ( n =\u20093\u20134, biologically independent). v Body weight curves of mice under a ketogenic diet. Means\u2009\u00b1\u2009s.d., 2way ANOVA ( n =\u20096, biologically independent). Consistent with a recent report 25 , chronic stress induces an increase in LBP expression. We observed a significant elevation of serum LBP levels after four weeks of consecutive chronic jet lag (CJL) or forced swimming test (FST), which was accompanied by increased hepatic TG, serum TG, and body fat ratio (BFR) (Supplementary Fig. 7a\u2013d ).”  [PMC11016120 ¶43]</w:t>
      </w:r>
    </w:p>
    <w:p>
      <w:pPr>
        <w:spacing w:after="120"/>
        <w:jc w:val="both"/>
      </w:pPr>
      <w:r>
        <w:rPr>
          <w:rFonts w:ascii="Times New Roman" w:hAnsi="Times New Roman" w:cs="Times New Roman" w:eastAsia="Times New Roman"/>
          <w:b w:val="0"/>
          <w:i w:val="0"/>
          <w:sz w:val="24"/>
        </w:rPr>
        <w:t>“Interestingly, liver LD exhibited elevated LBP levels and diminished PRDX4 levels (Supplementary Fig. 7e ). The body weight of mice in both chronic stress groups significantly increased compared to the control group, while food intake decreased (Supplementary Fig. 7f, g ). Chronic stress mice had higher fasting insulin levels and exhibited insulin resistance and glucose tolerance phenotypes (Supplementary Fig. 7h\u2013l ). These results suggest that chronic stress may upregulate LBP levels, which can mediate TG accumulation and result in obesity under stress. Next, we aimed to determine how to reverse LBP-induced TG accumulation. NAC treatment, but not starvation, effectively induced lipolysis of peripheral adipocytes in LBP KI/KI mice with HFD (Fig. 7q\u2013s ). NAC treatment for 3\u2009h reversed the starvation-induced TG accumulation in LBP KI/KI mice and was associated with increased serum free fatty acid (FFA) levels and decreased TG levels (Fig. 7t, u ).”  [PMC11016120 ¶44]</w:t>
      </w:r>
    </w:p>
    <w:p>
      <w:pPr>
        <w:spacing w:after="120"/>
        <w:jc w:val="both"/>
      </w:pPr>
      <w:r>
        <w:rPr>
          <w:rFonts w:ascii="Times New Roman" w:hAnsi="Times New Roman" w:cs="Times New Roman" w:eastAsia="Times New Roman"/>
          <w:b w:val="0"/>
          <w:i w:val="0"/>
          <w:sz w:val="24"/>
        </w:rPr>
        <w:t>“Interestingly, feeding the mice a ketogenic diet with 90% saturated fat did not cause fatty liver or obesity in any of the LBP KI/KI , WT, or LBP \u2212 / \u2212 groups (Fig. 7v ), which was consistent with our previous finding that LBP binds with PUFA-TG. In conclusion, our findings suggest that increased LBP expression results in not only fatty liver but also peripheral fat accumulation that leads to obesity. Antioxidant therapy shows promise as a treatment for obesity caused by LBP. Discussion In this study, through a combination of RNA-seq and proteinomics detection method we characterized LBP within LDs under oxidative stress. Previous studies have elucidated several pathways underlying the observed augmentation in LDs induced by ROS exposure, consistent with our sequencing data 26 . However, our findings diverge from the conventional paradigm by delineating LBP as an effector protein to regulate LD homeostasis under cellular oxidative stress.”  [PMC11016120 ¶45]</w:t>
      </w:r>
    </w:p>
    <w:p>
      <w:pPr>
        <w:spacing w:after="120"/>
        <w:jc w:val="both"/>
      </w:pPr>
      <w:r>
        <w:rPr>
          <w:rFonts w:ascii="Times New Roman" w:hAnsi="Times New Roman" w:cs="Times New Roman" w:eastAsia="Times New Roman"/>
          <w:b w:val="0"/>
          <w:i w:val="0"/>
          <w:sz w:val="24"/>
        </w:rPr>
        <w:t>“We identified functions and implications of LBP in cellular processes, including its role as an antioxidant, mediator of lipid metabolism, and participating in redox signaling pathways. Metabolic Associated Fatty Liver Disease (MAFLD), as a manifestation of metabolic syndrome in the liver 27 , currently lacks effective therapeutic strategy 28 . LBP, as an obesity-related insulin resistance biomarker 29 , is closely related to MAFLD, which is confirmed by our study. Prior studies have demonstrated that circulating LBP levels are significantly elevated in MAFLD, and the level of LBP play a regulatory role in high-fat and high-sucrose diet-induced MAFLD, with knockdown or knockout of LBP both significantly reducing lipid accumulation in liver 16 , 17 . However, the current limitations of the studies lie in its focus on the phenotypic observation of the therapeutic effect of LBP knockout on MAFLD.”  [PMC11016120 ¶46]</w:t>
      </w:r>
    </w:p>
    <w:p>
      <w:pPr>
        <w:spacing w:after="120"/>
        <w:jc w:val="both"/>
      </w:pPr>
      <w:r>
        <w:rPr>
          <w:rFonts w:ascii="Times New Roman" w:hAnsi="Times New Roman" w:cs="Times New Roman" w:eastAsia="Times New Roman"/>
          <w:b w:val="0"/>
          <w:i w:val="0"/>
          <w:sz w:val="24"/>
        </w:rPr>
        <w:t>“Considering the high expression of LBP in the liver and its crucial role in inflammatory responses, knocking out LBP may not be an ideal intervention strategy. Through the knockin of LBP, we obtained consistent animal phenotypes with the previous study, demonstrating that the binding of LBP to lipids entering LDs directly leads to the development of fatty liver. It is notable that we discovered LBP KI/KI mice were unable to induce obesity under a ketogenic diet. Our ketogenic diet feed consists of 90% saturated fatty acids, which aligns with the conclusion presented in this study that LBP protects long-chain unsaturated TGs from entering LDs rather than saturated TG. In addition, the ketogenic diet alters the energy source, transforming FFA into ketone bodies for fuel. This dietary method has been shown to decrease peripheral insulin levels and augment mitochondrial respiration 30 . It also inhibits the activation of the AMPK pathway 31 , thus hindering lipid accumulation.”  [PMC11016120 ¶47]</w:t>
      </w:r>
    </w:p>
    <w:p>
      <w:pPr>
        <w:spacing w:after="120"/>
        <w:jc w:val="both"/>
      </w:pPr>
      <w:r>
        <w:rPr>
          <w:rFonts w:ascii="Times New Roman" w:hAnsi="Times New Roman" w:cs="Times New Roman" w:eastAsia="Times New Roman"/>
          <w:b w:val="0"/>
          <w:i w:val="0"/>
          <w:sz w:val="24"/>
        </w:rPr>
        <w:t>“Furthermore, a ketogenic diet suppresses oxidative stress 32 . These combined factors help to prevent the onset of obesity caused by LBP. Our findings suggest that the expression of LBP is susceptible to regulation by ROS signaling. Oxidative stress is a major factor in MAFLD, playing a crucial role in liver steatosis 33 . Previous studies have shown decreasing the expression level of LBP significantly enhances the oxidative stress in the liver under both physiological and pathological conditions 14 , 15 . Our data fill the gap in the understanding of the antioxidative role of LBP and suggest that LBP is involved in MAFLD. In this study, we demonstrate that the promotion of lipid accumulation by LBP may be due to its antioxidant protective function. If the oxidative stress is not eliminated, using phosphatidylcholine to promote LD decomposition could lead to severe damage. Polyene phosphatidylcholine is a common drug for clinical treatment of fatty liver 34 .”  [PMC11016120 ¶48]</w:t>
      </w:r>
    </w:p>
    <w:p>
      <w:pPr>
        <w:spacing w:after="120"/>
        <w:jc w:val="both"/>
      </w:pPr>
      <w:r>
        <w:rPr>
          <w:rFonts w:ascii="Times New Roman" w:hAnsi="Times New Roman" w:cs="Times New Roman" w:eastAsia="Times New Roman"/>
          <w:b w:val="0"/>
          <w:i w:val="0"/>
          <w:sz w:val="24"/>
        </w:rPr>
        <w:t>“Previous studies have determined that stress leads to adverse metabolic effects by elevating the formation of ROS 35 , 36 . Chronic stress causes upregulation of LBP, which functions to buffer ROS overload, potentially serving as a mechanism underlying stress-induced obesity. This effect prevents tissue injury and systemic dysfunction, which may represent metabolically healthy obesity 37 . Our study provides a reference for its therapeutic scenarios. The use of Polyene phosphatidylcholine may result in greater liver damage when the fatty liver is caused by acute starvation or other acute oxidative stress. Although the core of LDs is widely considered to be a hydrophobic environment primarily composed of neutral lipids, there have been reported of polar molecules, including certain cytoplasmic proteins, such as PAT family proteins and cyclooxygenases, inside LDs 38 , 39 . However, the exact mechanism underlying the incorporation and localization of these polar molecules within LDs remain to be fully elucidated.”  [PMC11016120 ¶49]</w:t>
      </w:r>
    </w:p>
    <w:p>
      <w:pPr>
        <w:spacing w:after="120"/>
        <w:jc w:val="both"/>
      </w:pPr>
      <w:r>
        <w:rPr>
          <w:rFonts w:ascii="Times New Roman" w:hAnsi="Times New Roman" w:cs="Times New Roman" w:eastAsia="Times New Roman"/>
          <w:b w:val="0"/>
          <w:i w:val="0"/>
          <w:sz w:val="24"/>
        </w:rPr>
        <w:t>“Our study provides insight into the ability of LBP to enter LDs, which we attribute to its C-segment hydrophobic groove lipid-binding capacity. Our docking result revealed the lipid-binding pocket of LBP formed more hydrogen bonds with oxidized triglycerides, indicating the antioxidant capacity of LBP. The lipidomics analysis of LBP KI/KI liver and LBP immunoparticipation were in accordance with this result and showed that LCPUFA-TG, which is more prone to be oxidized, was preferentially sequestered within the LDs. We found that the #4-helix within the C-segment of LBP is undetectable in the x-ray crystal structure. We hypothesized the existence of an \u03b1-helix through secondary structure prediction, homology modeling, and de novo modeling approaches, and confirmed the importance of the hydrogen bond formed by His_294 of the #4-helix with lipids for LBP lipid-binding capacity via molecular docking and molecular dynamics simulations.”  [PMC11016120 ¶50]</w:t>
      </w:r>
    </w:p>
    <w:p>
      <w:pPr>
        <w:spacing w:after="120"/>
        <w:jc w:val="both"/>
      </w:pPr>
      <w:r>
        <w:rPr>
          <w:rFonts w:ascii="Times New Roman" w:hAnsi="Times New Roman" w:cs="Times New Roman" w:eastAsia="Times New Roman"/>
          <w:b w:val="0"/>
          <w:i w:val="0"/>
          <w:sz w:val="24"/>
        </w:rPr>
        <w:t>“Previous studies may have missed a stable \u03b1-helix due to the absence of lipid ligands, leading to structural instability. Furthermore, we observed that the ability of the F436L mutant to enter LDs was diminished, which was consistent with previous research that found this mutation to be associated with decreased BMI 40 . Our research also yielded interesting findings concerning the molecular chaperone PRDX4 of LBP. PRDX4 is a well-recognized antioxidant protein, which has been documented for its protective effects against hepatic steatosis 41 . Previous studies have established that LBP and PRDX4 interact with each other. Given their common endoplasmic reticulum localization, this feature renders them capable of synergistically modulating LD biogenesis. Our investigations further reveal that PRDX4, serving as the oxidative sensor for LBP, plays a crucial role in the shuttling of LBP within LDs.”  [PMC11016120 ¶51]</w:t>
      </w:r>
    </w:p>
    <w:p>
      <w:pPr>
        <w:spacing w:after="120"/>
        <w:jc w:val="both"/>
      </w:pPr>
      <w:r>
        <w:rPr>
          <w:rFonts w:ascii="Times New Roman" w:hAnsi="Times New Roman" w:cs="Times New Roman" w:eastAsia="Times New Roman"/>
          <w:b w:val="0"/>
          <w:i w:val="0"/>
          <w:sz w:val="24"/>
        </w:rPr>
        <w:t>“Importantly, these results may suggest that LBP can protect peroxidized PRDX4 (PRDX4-SOH) by secluding PRDX4 into LDs. This not only prevents PRDX4 from hyper-oxidation(PRDX4-SO 2 H) but also facilitates its restoration to the PRDX4 reaction cycle\u2019s resolution step, ensuring the proper functioning of this vital antioxidant protein. The metabolic balance between the synthesis of TG and phospholipid forms a complementary mechanism of cell redox damage prevention 42 , 43 . PC, which has the ability to emulsify fat, is a classic anti-fatty liver drug 44 . However, our research has discovered that in the absence of elimination of oxidative stress, administration of PC may result in the loss of the protective effect of LBP on LDs and cause more cellular damage. Of interest, NAC treatment resulted in an increase in cellular phospholipid levels. Additionally, NAC promoted the resolution and decamerization of PRDX4, which facilitated the substitution of LBP/TG with LBP/PC and activated lipolysis after the elimination of ROS (Fig. 6j ).”  [PMC11016120 ¶52]</w:t>
      </w:r>
    </w:p>
    <w:p>
      <w:pPr>
        <w:spacing w:after="120"/>
        <w:jc w:val="both"/>
      </w:pPr>
      <w:r>
        <w:rPr>
          <w:rFonts w:ascii="Times New Roman" w:hAnsi="Times New Roman" w:cs="Times New Roman" w:eastAsia="Times New Roman"/>
          <w:b w:val="0"/>
          <w:i w:val="0"/>
          <w:sz w:val="24"/>
        </w:rPr>
        <w:t>“The current study has a number of strengths. Based on the known buffer effect of LDs on ROS, we identified the LBP plays a key regulatory role in this process. Through multi-omics, biochemical methods, and various mutant analyses, it has been determined that LBP is located in LDs and plays an important role in antioxidant processes. By observing the phenotype in LBP \u2212 / \u2212 and LBP KI/KI mice, as well as through multi-omics studies, the protective effects of LBP on UFA-TG have been established. Furthermore, PRDX4 has been identified as an oxidative sensor of LBP. It has also been clarified that redox signals regulate the syn”  [PMC11016120 ¶53]</w:t>
      </w:r>
    </w:p>
    <w:p>
      <w:pPr>
        <w:keepNext/>
        <w:spacing w:before="280" w:after="80"/>
        <w:outlineLvl w:val="1"/>
      </w:pPr>
      <w:r>
        <w:rPr>
          <w:rFonts w:ascii="Times New Roman" w:hAnsi="Times New Roman" w:cs="Times New Roman" w:eastAsia="Times New Roman"/>
          <w:b/>
          <w:i w:val="0"/>
          <w:color w:val="335588"/>
          <w:sz w:val="28"/>
        </w:rPr>
        <w:t>11.11  [11] Endothelial Dysfunction: Redox Imbalance, NLRP3 Inflammasome, and Inflammatory Responses in Cardiovascular Diseases</w:t>
      </w:r>
    </w:p>
    <w:p>
      <w:pPr>
        <w:spacing w:after="80"/>
        <w:jc w:val="both"/>
      </w:pPr>
      <w:r>
        <w:rPr>
          <w:rFonts w:ascii="Times New Roman" w:hAnsi="Times New Roman" w:cs="Times New Roman" w:eastAsia="Times New Roman"/>
          <w:b w:val="0"/>
          <w:i/>
          <w:sz w:val="22"/>
        </w:rPr>
        <w:t>Bibliographic identifiers — PMCID: PMC11939635; PMID: 40227195; DOI: 10.3390/antiox14030256; Journal: Antioxidants; Year: 2025.</w:t>
      </w:r>
    </w:p>
    <w:p>
      <w:pPr>
        <w:spacing w:after="80"/>
        <w:jc w:val="both"/>
      </w:pPr>
      <w:r>
        <w:rPr>
          <w:rFonts w:ascii="Times New Roman" w:hAnsi="Times New Roman" w:cs="Times New Roman" w:eastAsia="Times New Roman"/>
          <w:b w:val="0"/>
          <w:i w:val="0"/>
          <w:sz w:val="22"/>
        </w:rPr>
        <w:t>Retrieval — full JATS XML via NCBI efetch db=pmc rettype=xml. Body text length: 71,282 characters; structured tables: 1; figures: 2; references: 229. Supplementary body text also harvested via MCP fetch_pmc_article: 0 characters, 0 verbatim paragraphs reproduced below.</w:t>
      </w:r>
    </w:p>
    <w:p>
      <w:pPr>
        <w:spacing w:after="80"/>
        <w:jc w:val="both"/>
      </w:pPr>
      <w:r>
        <w:rPr>
          <w:rFonts w:ascii="Times New Roman" w:hAnsi="Times New Roman" w:cs="Times New Roman" w:eastAsia="Times New Roman"/>
          <w:b/>
          <w:i w:val="0"/>
          <w:sz w:val="22"/>
        </w:rPr>
        <w:t>Verbatim abstract (from JATS XML):</w:t>
      </w:r>
    </w:p>
    <w:p>
      <w:pPr>
        <w:spacing w:after="80"/>
        <w:jc w:val="both"/>
      </w:pPr>
      <w:r>
        <w:rPr>
          <w:rFonts w:ascii="Times New Roman" w:hAnsi="Times New Roman" w:cs="Times New Roman" w:eastAsia="Times New Roman"/>
          <w:b w:val="0"/>
          <w:i/>
          <w:sz w:val="24"/>
        </w:rPr>
        <w:t>“Endothelial dysfunction (ED) is characterized by an imbalance between vasodilatory and vasoconstrictive factors, leading to impaired vascular tone, thrombosis, and inflammation. These processes are critical in the development of cardiovascular diseases (CVDs) such as atherosclerosis, hypertension and ischemia/reperfusion injury (IRI). Reduced nitric oxide (NO) production and increased oxidative stress are key contributors to ED. Aging further exacerbates ED through mitochondrial dysfunction and increased oxidative/nitrosative stress, heightening CVD risk. Antioxidant systems like superoxide-dismutase (SOD), glutathione-peroxidase (GPx), and thioredoxin/thioredoxin-reductase (Trx/TXNRD) pathways protect against oxidative stress. However, their reduced activity promotes ED, atherosclerosis, and vulnerability to IRI. Metabolic syndrome, comprising insulin resistance, obesity, and hypertension, is often accompanied by ED. Specifically, hyperglycemia worsens endothelial damage by promoting oxidative stress and inflammation. Obesity leads to chronic inflammation and changes in perivascular adipose tissue, while hypertension is associated with an increase in oxidative stress. The NLRP3 inflammasome plays a significant role in ED, being triggered by factors such as reactive oxygen and nitrogen species, ischemia, and high glucose, which contribute to inflammation, endothelial injury, and exacerbation of IRI. Treatments, such as N-acetyl-L-cysteine, SGLT2 or NLRP3 inhibitors, show promise in improving endothelial function. Yet the complexity of ED suggests that multi-targeted therapies addressing oxidative stress, inflammation, and metabolic disturbances are essential for managing CVDs associated with metabolic syndrome.”</w:t>
      </w:r>
    </w:p>
    <w:p>
      <w:pPr>
        <w:keepNext/>
        <w:spacing w:before="160" w:after="40"/>
        <w:jc w:val="left"/>
      </w:pPr>
      <w:r>
        <w:rPr>
          <w:rFonts w:ascii="Times New Roman" w:hAnsi="Times New Roman" w:cs="Times New Roman" w:eastAsia="Times New Roman"/>
          <w:b/>
          <w:i w:val="0"/>
          <w:sz w:val="22"/>
        </w:rPr>
        <w:t>Reproduced verbatim from PMC11939635 — Table 1 — Factors Involved in Maintaining Endothelial Physiological Functions.</w:t>
      </w:r>
    </w:p>
    <w:tbl>
      <w:tblPr>
        <w:tblStyle w:val="TableGrid"/>
        <w:tblW w:type="auto" w:w="0"/>
        <w:tblLayout w:type="fixed"/>
        <w:tblLook w:firstColumn="1" w:firstRow="1" w:lastColumn="0" w:lastRow="0" w:noHBand="0" w:noVBand="1" w:val="04A0"/>
      </w:tblPr>
      <w:tblGrid>
        <w:gridCol w:w="1872"/>
        <w:gridCol w:w="1872"/>
        <w:gridCol w:w="1872"/>
        <w:gridCol w:w="1872"/>
        <w:gridCol w:w="1872"/>
      </w:tblGrid>
      <w:tr>
        <w:tc>
          <w:tcPr>
            <w:tcW w:type="dxa" w:w="1872"/>
            <w:shd w:fill="DDE4EF"/>
          </w:tcPr>
          <w:p>
            <w:r/>
            <w:r>
              <w:rPr>
                <w:rFonts w:ascii="Times New Roman" w:hAnsi="Times New Roman" w:cs="Times New Roman" w:eastAsia="Times New Roman"/>
                <w:b/>
                <w:i w:val="0"/>
                <w:sz w:val="22"/>
              </w:rPr>
              <w:t>Substance</w:t>
            </w:r>
          </w:p>
        </w:tc>
        <w:tc>
          <w:tcPr>
            <w:tcW w:type="dxa" w:w="1872"/>
            <w:shd w:fill="DDE4EF"/>
          </w:tcPr>
          <w:p>
            <w:r/>
            <w:r>
              <w:rPr>
                <w:rFonts w:ascii="Times New Roman" w:hAnsi="Times New Roman" w:cs="Times New Roman" w:eastAsia="Times New Roman"/>
                <w:b/>
                <w:i w:val="0"/>
                <w:sz w:val="22"/>
              </w:rPr>
              <w:t>Precursor Compound</w:t>
            </w:r>
          </w:p>
        </w:tc>
        <w:tc>
          <w:tcPr>
            <w:tcW w:type="dxa" w:w="1872"/>
            <w:shd w:fill="DDE4EF"/>
          </w:tcPr>
          <w:p>
            <w:r/>
            <w:r>
              <w:rPr>
                <w:rFonts w:ascii="Times New Roman" w:hAnsi="Times New Roman" w:cs="Times New Roman" w:eastAsia="Times New Roman"/>
                <w:b/>
                <w:i w:val="0"/>
                <w:sz w:val="22"/>
              </w:rPr>
              <w:t>Effect</w:t>
            </w:r>
          </w:p>
        </w:tc>
        <w:tc>
          <w:tcPr>
            <w:tcW w:type="dxa" w:w="1872"/>
            <w:shd w:fill="DDE4EF"/>
          </w:tcPr>
          <w:p>
            <w:r/>
            <w:r>
              <w:rPr>
                <w:rFonts w:ascii="Times New Roman" w:hAnsi="Times New Roman" w:cs="Times New Roman" w:eastAsia="Times New Roman"/>
                <w:b/>
                <w:i w:val="0"/>
                <w:sz w:val="22"/>
              </w:rPr>
              <w:t>Other Effects</w:t>
            </w:r>
          </w:p>
        </w:tc>
        <w:tc>
          <w:tcPr>
            <w:tcW w:type="dxa" w:w="1872"/>
            <w:shd w:fill="DDE4EF"/>
          </w:tcPr>
          <w:p>
            <w:r/>
            <w:r>
              <w:rPr>
                <w:rFonts w:ascii="Times New Roman" w:hAnsi="Times New Roman" w:cs="Times New Roman" w:eastAsia="Times New Roman"/>
                <w:b/>
                <w:i w:val="0"/>
                <w:sz w:val="22"/>
              </w:rPr>
              <w:t>Secretion</w:t>
            </w:r>
          </w:p>
        </w:tc>
      </w:tr>
      <w:tr>
        <w:tc>
          <w:tcPr>
            <w:tcW w:type="dxa" w:w="1872"/>
          </w:tcPr>
          <w:p>
            <w:r/>
            <w:r>
              <w:rPr>
                <w:rFonts w:ascii="Times New Roman" w:hAnsi="Times New Roman" w:cs="Times New Roman" w:eastAsia="Times New Roman"/>
                <w:b w:val="0"/>
                <w:i w:val="0"/>
                <w:sz w:val="22"/>
              </w:rPr>
              <w:t>NO</w:t>
            </w:r>
          </w:p>
        </w:tc>
        <w:tc>
          <w:tcPr>
            <w:tcW w:type="dxa" w:w="1872"/>
          </w:tcPr>
          <w:p>
            <w:r/>
            <w:r>
              <w:rPr>
                <w:rFonts w:ascii="Times New Roman" w:hAnsi="Times New Roman" w:cs="Times New Roman" w:eastAsia="Times New Roman"/>
                <w:b w:val="0"/>
                <w:i w:val="0"/>
                <w:sz w:val="22"/>
              </w:rPr>
              <w:t>L-arginine</w:t>
            </w:r>
          </w:p>
        </w:tc>
        <w:tc>
          <w:tcPr>
            <w:tcW w:type="dxa" w:w="1872"/>
          </w:tcPr>
          <w:p>
            <w:r/>
            <w:r>
              <w:rPr>
                <w:rFonts w:ascii="Times New Roman" w:hAnsi="Times New Roman" w:cs="Times New Roman" w:eastAsia="Times New Roman"/>
                <w:b w:val="0"/>
                <w:i w:val="0"/>
                <w:sz w:val="22"/>
              </w:rPr>
              <w:t>Vasodilatation</w:t>
            </w:r>
          </w:p>
        </w:tc>
        <w:tc>
          <w:tcPr>
            <w:tcW w:type="dxa" w:w="1872"/>
          </w:tcPr>
          <w:p>
            <w:r/>
            <w:r>
              <w:rPr>
                <w:rFonts w:ascii="Times New Roman" w:hAnsi="Times New Roman" w:cs="Times New Roman" w:eastAsia="Times New Roman"/>
                <w:b w:val="0"/>
                <w:i w:val="0"/>
                <w:sz w:val="22"/>
              </w:rPr>
              <w:t>Maintains basal tone of vessels; inhibits PLT activation, adhesion secretion and aggregation; promotes platelet disaggregation; inhibits leukocyte adhesion; inhibits smooth muscle cell migration and proliferation</w:t>
            </w:r>
          </w:p>
        </w:tc>
        <w:tc>
          <w:tcPr>
            <w:tcW w:type="dxa" w:w="1872"/>
          </w:tcPr>
          <w:p>
            <w:r/>
            <w:r>
              <w:rPr>
                <w:rFonts w:ascii="Times New Roman" w:hAnsi="Times New Roman" w:cs="Times New Roman" w:eastAsia="Times New Roman"/>
                <w:b w:val="0"/>
                <w:i w:val="0"/>
                <w:sz w:val="22"/>
              </w:rPr>
              <w:t>Paracrine/Constitutive and induced by thrombin, ADP, BK, substance P, muscarinic agonists, shear stress, cyclic strain, cytokines</w:t>
            </w:r>
          </w:p>
        </w:tc>
      </w:tr>
      <w:tr>
        <w:tc>
          <w:tcPr>
            <w:tcW w:type="dxa" w:w="1872"/>
          </w:tcPr>
          <w:p>
            <w:r/>
            <w:r>
              <w:rPr>
                <w:rFonts w:ascii="Times New Roman" w:hAnsi="Times New Roman" w:cs="Times New Roman" w:eastAsia="Times New Roman"/>
                <w:b w:val="0"/>
                <w:i w:val="0"/>
                <w:sz w:val="22"/>
              </w:rPr>
              <w:t>PGI 2</w:t>
            </w:r>
          </w:p>
        </w:tc>
        <w:tc>
          <w:tcPr>
            <w:tcW w:type="dxa" w:w="1872"/>
          </w:tcPr>
          <w:p>
            <w:r/>
            <w:r>
              <w:rPr>
                <w:rFonts w:ascii="Times New Roman" w:hAnsi="Times New Roman" w:cs="Times New Roman" w:eastAsia="Times New Roman"/>
                <w:b w:val="0"/>
                <w:i w:val="0"/>
                <w:sz w:val="22"/>
              </w:rPr>
              <w:t>AA</w:t>
            </w:r>
          </w:p>
        </w:tc>
        <w:tc>
          <w:tcPr>
            <w:tcW w:type="dxa" w:w="1872"/>
          </w:tcPr>
          <w:p>
            <w:r/>
            <w:r>
              <w:rPr>
                <w:rFonts w:ascii="Times New Roman" w:hAnsi="Times New Roman" w:cs="Times New Roman" w:eastAsia="Times New Roman"/>
                <w:b w:val="0"/>
                <w:i w:val="0"/>
                <w:sz w:val="22"/>
              </w:rPr>
              <w:t>Vaso-dilatation</w:t>
            </w:r>
          </w:p>
        </w:tc>
        <w:tc>
          <w:tcPr>
            <w:tcW w:type="dxa" w:w="1872"/>
          </w:tcPr>
          <w:p>
            <w:r/>
            <w:r>
              <w:rPr>
                <w:rFonts w:ascii="Times New Roman" w:hAnsi="Times New Roman" w:cs="Times New Roman" w:eastAsia="Times New Roman"/>
                <w:b w:val="0"/>
                <w:i w:val="0"/>
                <w:sz w:val="22"/>
              </w:rPr>
              <w:t>Delays platelet aggregation and deposition</w:t>
            </w:r>
          </w:p>
        </w:tc>
        <w:tc>
          <w:tcPr>
            <w:tcW w:type="dxa" w:w="1872"/>
          </w:tcPr>
          <w:p>
            <w:r/>
            <w:r>
              <w:rPr>
                <w:rFonts w:ascii="Times New Roman" w:hAnsi="Times New Roman" w:cs="Times New Roman" w:eastAsia="Times New Roman"/>
                <w:b w:val="0"/>
                <w:i w:val="0"/>
                <w:sz w:val="22"/>
              </w:rPr>
              <w:t>Paracrine/Induced at sites of vascular perturbation</w:t>
            </w:r>
          </w:p>
        </w:tc>
      </w:tr>
      <w:tr>
        <w:tc>
          <w:tcPr>
            <w:tcW w:type="dxa" w:w="1872"/>
          </w:tcPr>
          <w:p>
            <w:r/>
            <w:r>
              <w:rPr>
                <w:rFonts w:ascii="Times New Roman" w:hAnsi="Times New Roman" w:cs="Times New Roman" w:eastAsia="Times New Roman"/>
                <w:b w:val="0"/>
                <w:i w:val="0"/>
                <w:sz w:val="22"/>
              </w:rPr>
              <w:t>PAF</w:t>
            </w:r>
          </w:p>
        </w:tc>
        <w:tc>
          <w:tcPr>
            <w:tcW w:type="dxa" w:w="1872"/>
          </w:tcPr>
          <w:p>
            <w:r/>
            <w:r>
              <w:rPr>
                <w:rFonts w:ascii="Times New Roman" w:hAnsi="Times New Roman" w:cs="Times New Roman" w:eastAsia="Times New Roman"/>
                <w:b w:val="0"/>
                <w:i w:val="0"/>
                <w:sz w:val="22"/>
              </w:rPr>
              <w:t>AA</w:t>
            </w:r>
          </w:p>
        </w:tc>
        <w:tc>
          <w:tcPr>
            <w:tcW w:type="dxa" w:w="1872"/>
          </w:tcPr>
          <w:p>
            <w:r/>
            <w:r>
              <w:rPr>
                <w:rFonts w:ascii="Times New Roman" w:hAnsi="Times New Roman" w:cs="Times New Roman" w:eastAsia="Times New Roman"/>
                <w:b w:val="0"/>
                <w:i w:val="0"/>
                <w:sz w:val="22"/>
              </w:rPr>
              <w:t>Vasoconstriction</w:t>
            </w:r>
          </w:p>
        </w:tc>
        <w:tc>
          <w:tcPr>
            <w:tcW w:type="dxa" w:w="1872"/>
          </w:tcPr>
          <w:p>
            <w:r/>
            <w:r>
              <w:rPr>
                <w:rFonts w:ascii="Times New Roman" w:hAnsi="Times New Roman" w:cs="Times New Roman" w:eastAsia="Times New Roman"/>
                <w:b w:val="0"/>
                <w:i w:val="0"/>
                <w:sz w:val="22"/>
              </w:rPr>
              <w:t>Favors leukocyte adhesion at cell surface</w:t>
            </w:r>
          </w:p>
        </w:tc>
        <w:tc>
          <w:tcPr>
            <w:tcW w:type="dxa" w:w="1872"/>
          </w:tcPr>
          <w:p>
            <w:r/>
            <w:r>
              <w:rPr>
                <w:rFonts w:ascii="Times New Roman" w:hAnsi="Times New Roman" w:cs="Times New Roman" w:eastAsia="Times New Roman"/>
                <w:b w:val="0"/>
                <w:i w:val="0"/>
                <w:sz w:val="22"/>
              </w:rPr>
              <w:t>Juxtacrine/Induced by hypoxia and ischemia</w:t>
            </w:r>
          </w:p>
        </w:tc>
      </w:tr>
      <w:tr>
        <w:tc>
          <w:tcPr>
            <w:tcW w:type="dxa" w:w="1872"/>
          </w:tcPr>
          <w:p>
            <w:r/>
            <w:r>
              <w:rPr>
                <w:rFonts w:ascii="Times New Roman" w:hAnsi="Times New Roman" w:cs="Times New Roman" w:eastAsia="Times New Roman"/>
                <w:b w:val="0"/>
                <w:i w:val="0"/>
                <w:sz w:val="22"/>
              </w:rPr>
              <w:t>ETs</w:t>
            </w:r>
          </w:p>
        </w:tc>
        <w:tc>
          <w:tcPr>
            <w:tcW w:type="dxa" w:w="1872"/>
          </w:tcPr>
          <w:p>
            <w:r/>
            <w:r>
              <w:rPr>
                <w:rFonts w:ascii="Times New Roman" w:hAnsi="Times New Roman" w:cs="Times New Roman" w:eastAsia="Times New Roman"/>
                <w:b w:val="0"/>
                <w:i w:val="0"/>
                <w:sz w:val="22"/>
              </w:rPr>
              <w:t>Prepro-ET-1</w:t>
            </w:r>
          </w:p>
        </w:tc>
        <w:tc>
          <w:tcPr>
            <w:tcW w:type="dxa" w:w="1872"/>
          </w:tcPr>
          <w:p>
            <w:r/>
            <w:r>
              <w:rPr>
                <w:rFonts w:ascii="Times New Roman" w:hAnsi="Times New Roman" w:cs="Times New Roman" w:eastAsia="Times New Roman"/>
                <w:b w:val="0"/>
                <w:i w:val="0"/>
                <w:sz w:val="22"/>
              </w:rPr>
              <w:t>Vasoconstriction</w:t>
            </w:r>
          </w:p>
        </w:tc>
        <w:tc>
          <w:tcPr>
            <w:tcW w:type="dxa" w:w="1872"/>
          </w:tcPr>
          <w:p>
            <w:r/>
            <w:r>
              <w:rPr>
                <w:rFonts w:ascii="Times New Roman" w:hAnsi="Times New Roman" w:cs="Times New Roman" w:eastAsia="Times New Roman"/>
                <w:b w:val="0"/>
                <w:i w:val="0"/>
                <w:sz w:val="22"/>
              </w:rPr>
              <w:t>Mitogen for VSMCs; modulates effect of numerous compounds</w:t>
            </w:r>
          </w:p>
        </w:tc>
        <w:tc>
          <w:tcPr>
            <w:tcW w:type="dxa" w:w="1872"/>
          </w:tcPr>
          <w:p>
            <w:r/>
            <w:r>
              <w:rPr>
                <w:rFonts w:ascii="Times New Roman" w:hAnsi="Times New Roman" w:cs="Times New Roman" w:eastAsia="Times New Roman"/>
                <w:b w:val="0"/>
                <w:i w:val="0"/>
                <w:sz w:val="22"/>
              </w:rPr>
              <w:t>Paracrine/Induced by shear stress, hypoxia, and ischemia</w:t>
            </w:r>
          </w:p>
        </w:tc>
      </w:tr>
      <w:tr>
        <w:tc>
          <w:tcPr>
            <w:tcW w:type="dxa" w:w="1872"/>
          </w:tcPr>
          <w:p>
            <w:r/>
            <w:r>
              <w:rPr>
                <w:rFonts w:ascii="Times New Roman" w:hAnsi="Times New Roman" w:cs="Times New Roman" w:eastAsia="Times New Roman"/>
                <w:b w:val="0"/>
                <w:i w:val="0"/>
                <w:sz w:val="22"/>
              </w:rPr>
              <w:t>TxA2</w:t>
            </w:r>
          </w:p>
        </w:tc>
        <w:tc>
          <w:tcPr>
            <w:tcW w:type="dxa" w:w="1872"/>
          </w:tcPr>
          <w:p>
            <w:r/>
            <w:r>
              <w:rPr>
                <w:rFonts w:ascii="Times New Roman" w:hAnsi="Times New Roman" w:cs="Times New Roman" w:eastAsia="Times New Roman"/>
                <w:b w:val="0"/>
                <w:i w:val="0"/>
                <w:sz w:val="22"/>
              </w:rPr>
              <w:t>AA</w:t>
            </w:r>
          </w:p>
        </w:tc>
        <w:tc>
          <w:tcPr>
            <w:tcW w:type="dxa" w:w="1872"/>
          </w:tcPr>
          <w:p>
            <w:r/>
            <w:r>
              <w:rPr>
                <w:rFonts w:ascii="Times New Roman" w:hAnsi="Times New Roman" w:cs="Times New Roman" w:eastAsia="Times New Roman"/>
                <w:b w:val="0"/>
                <w:i w:val="0"/>
                <w:sz w:val="22"/>
              </w:rPr>
              <w:t>Vasoconstriction</w:t>
            </w:r>
          </w:p>
        </w:tc>
        <w:tc>
          <w:tcPr>
            <w:tcW w:type="dxa" w:w="1872"/>
          </w:tcPr>
          <w:p>
            <w:r/>
            <w:r>
              <w:rPr>
                <w:rFonts w:ascii="Times New Roman" w:hAnsi="Times New Roman" w:cs="Times New Roman" w:eastAsia="Times New Roman"/>
                <w:b w:val="0"/>
                <w:i w:val="0"/>
                <w:sz w:val="22"/>
              </w:rPr>
              <w:t>Platelet aggregation</w:t>
            </w:r>
          </w:p>
        </w:tc>
        <w:tc>
          <w:tcPr>
            <w:tcW w:type="dxa" w:w="1872"/>
          </w:tcPr>
          <w:p>
            <w:r/>
            <w:r>
              <w:rPr>
                <w:rFonts w:ascii="Times New Roman" w:hAnsi="Times New Roman" w:cs="Times New Roman" w:eastAsia="Times New Roman"/>
                <w:b w:val="0"/>
                <w:i w:val="0"/>
                <w:sz w:val="22"/>
              </w:rPr>
              <w:t>Typically produced by PLTs, but also byby ECs</w:t>
            </w:r>
          </w:p>
        </w:tc>
      </w:tr>
      <w:tr>
        <w:tc>
          <w:tcPr>
            <w:tcW w:type="dxa" w:w="1872"/>
          </w:tcPr>
          <w:p>
            <w:r/>
            <w:r>
              <w:rPr>
                <w:rFonts w:ascii="Times New Roman" w:hAnsi="Times New Roman" w:cs="Times New Roman" w:eastAsia="Times New Roman"/>
                <w:b w:val="0"/>
                <w:i w:val="0"/>
                <w:sz w:val="22"/>
              </w:rPr>
              <w:t>Potassium ions, H 2 O 2 , lipid mediators (EETs)</w:t>
            </w:r>
          </w:p>
        </w:tc>
        <w:tc>
          <w:tcPr>
            <w:tcW w:type="dxa" w:w="1872"/>
          </w:tcPr>
          <w:p>
            <w:r/>
            <w:r>
              <w:rPr>
                <w:rFonts w:ascii="Times New Roman" w:hAnsi="Times New Roman" w:cs="Times New Roman" w:eastAsia="Times New Roman"/>
                <w:b w:val="0"/>
                <w:i w:val="0"/>
                <w:sz w:val="22"/>
              </w:rPr>
              <w:t>Endothelial-derived molecule, AA</w:t>
            </w:r>
          </w:p>
        </w:tc>
        <w:tc>
          <w:tcPr>
            <w:tcW w:type="dxa" w:w="1872"/>
          </w:tcPr>
          <w:p>
            <w:r/>
            <w:r>
              <w:rPr>
                <w:rFonts w:ascii="Times New Roman" w:hAnsi="Times New Roman" w:cs="Times New Roman" w:eastAsia="Times New Roman"/>
                <w:b w:val="0"/>
                <w:i w:val="0"/>
                <w:sz w:val="22"/>
              </w:rPr>
              <w:t>Vaso-dilation via hyper-polarization</w:t>
            </w:r>
          </w:p>
        </w:tc>
        <w:tc>
          <w:tcPr>
            <w:tcW w:type="dxa" w:w="1872"/>
          </w:tcPr>
          <w:p>
            <w:r/>
            <w:r>
              <w:rPr>
                <w:rFonts w:ascii="Times New Roman" w:hAnsi="Times New Roman" w:cs="Times New Roman" w:eastAsia="Times New Roman"/>
                <w:b w:val="0"/>
                <w:i w:val="0"/>
                <w:sz w:val="22"/>
              </w:rPr>
              <w:t>Modulation of vascular tone, involvement in vasomotion</w:t>
            </w:r>
          </w:p>
        </w:tc>
        <w:tc>
          <w:tcPr>
            <w:tcW w:type="dxa" w:w="1872"/>
          </w:tcPr>
          <w:p>
            <w:r/>
            <w:r>
              <w:rPr>
                <w:rFonts w:ascii="Times New Roman" w:hAnsi="Times New Roman" w:cs="Times New Roman" w:eastAsia="Times New Roman"/>
                <w:b w:val="0"/>
                <w:i w:val="0"/>
                <w:sz w:val="22"/>
              </w:rPr>
              <w:t>Secreted by ECs, following various stimuli</w:t>
            </w:r>
          </w:p>
        </w:tc>
      </w:tr>
      <w:tr>
        <w:tc>
          <w:tcPr>
            <w:tcW w:type="dxa" w:w="1872"/>
          </w:tcPr>
          <w:p>
            <w:r/>
            <w:r>
              <w:rPr>
                <w:rFonts w:ascii="Times New Roman" w:hAnsi="Times New Roman" w:cs="Times New Roman" w:eastAsia="Times New Roman"/>
                <w:b w:val="0"/>
                <w:i w:val="0"/>
                <w:sz w:val="22"/>
              </w:rPr>
              <w:t>Calcium ions (Ca 2+ )</w:t>
            </w:r>
          </w:p>
        </w:tc>
        <w:tc>
          <w:tcPr>
            <w:tcW w:type="dxa" w:w="1872"/>
          </w:tcPr>
          <w:p>
            <w:r/>
            <w:r>
              <w:rPr>
                <w:rFonts w:ascii="Times New Roman" w:hAnsi="Times New Roman" w:cs="Times New Roman" w:eastAsia="Times New Roman"/>
                <w:b w:val="0"/>
                <w:i w:val="0"/>
                <w:sz w:val="22"/>
              </w:rPr>
              <w:t>Mobilized intra-cellularly</w:t>
            </w:r>
          </w:p>
        </w:tc>
        <w:tc>
          <w:tcPr>
            <w:tcW w:type="dxa" w:w="1872"/>
          </w:tcPr>
          <w:p>
            <w:r/>
            <w:r>
              <w:rPr>
                <w:rFonts w:ascii="Times New Roman" w:hAnsi="Times New Roman" w:cs="Times New Roman" w:eastAsia="Times New Roman"/>
                <w:b w:val="0"/>
                <w:i w:val="0"/>
                <w:sz w:val="22"/>
              </w:rPr>
              <w:t>Activates NO and EDH signaling</w:t>
            </w:r>
          </w:p>
        </w:tc>
        <w:tc>
          <w:tcPr>
            <w:tcW w:type="dxa" w:w="1872"/>
          </w:tcPr>
          <w:p>
            <w:r/>
            <w:r>
              <w:rPr>
                <w:rFonts w:ascii="Times New Roman" w:hAnsi="Times New Roman" w:cs="Times New Roman" w:eastAsia="Times New Roman"/>
                <w:b w:val="0"/>
                <w:i w:val="0"/>
                <w:sz w:val="22"/>
              </w:rPr>
              <w:t>Facilitates negative feedback during vasoconstriction</w:t>
            </w:r>
          </w:p>
        </w:tc>
        <w:tc>
          <w:tcPr>
            <w:tcW w:type="dxa" w:w="1872"/>
          </w:tcPr>
          <w:p>
            <w:r/>
            <w:r>
              <w:rPr>
                <w:rFonts w:ascii="Times New Roman" w:hAnsi="Times New Roman" w:cs="Times New Roman" w:eastAsia="Times New Roman"/>
                <w:b w:val="0"/>
                <w:i w:val="0"/>
                <w:sz w:val="22"/>
              </w:rPr>
              <w:t>Transferred between ECs and VSMCs via MEJs</w:t>
            </w:r>
          </w:p>
        </w:tc>
      </w:tr>
      <w:tr>
        <w:tc>
          <w:tcPr>
            <w:tcW w:type="dxa" w:w="1872"/>
          </w:tcPr>
          <w:p>
            <w:r/>
            <w:r>
              <w:rPr>
                <w:rFonts w:ascii="Times New Roman" w:hAnsi="Times New Roman" w:cs="Times New Roman" w:eastAsia="Times New Roman"/>
                <w:b w:val="0"/>
                <w:i w:val="0"/>
                <w:sz w:val="22"/>
              </w:rPr>
              <w:t>Electrical signals</w:t>
            </w:r>
          </w:p>
        </w:tc>
        <w:tc>
          <w:tcPr>
            <w:tcW w:type="dxa" w:w="1872"/>
          </w:tcPr>
          <w:p>
            <w:r/>
            <w:r>
              <w:rPr>
                <w:rFonts w:ascii="Times New Roman" w:hAnsi="Times New Roman" w:cs="Times New Roman" w:eastAsia="Times New Roman"/>
                <w:b w:val="0"/>
                <w:i w:val="0"/>
                <w:sz w:val="22"/>
              </w:rPr>
              <w:t>Hyperpolarizing current (via MEJs)</w:t>
            </w:r>
          </w:p>
        </w:tc>
        <w:tc>
          <w:tcPr>
            <w:tcW w:type="dxa" w:w="1872"/>
          </w:tcPr>
          <w:p>
            <w:r/>
            <w:r>
              <w:rPr>
                <w:rFonts w:ascii="Times New Roman" w:hAnsi="Times New Roman" w:cs="Times New Roman" w:eastAsia="Times New Roman"/>
                <w:b w:val="0"/>
                <w:i w:val="0"/>
                <w:sz w:val="22"/>
              </w:rPr>
              <w:t>Hyper-polarization of VSMCs</w:t>
            </w:r>
          </w:p>
        </w:tc>
        <w:tc>
          <w:tcPr>
            <w:tcW w:type="dxa" w:w="1872"/>
          </w:tcPr>
          <w:p>
            <w:r/>
            <w:r>
              <w:rPr>
                <w:rFonts w:ascii="Times New Roman" w:hAnsi="Times New Roman" w:cs="Times New Roman" w:eastAsia="Times New Roman"/>
                <w:b w:val="0"/>
                <w:i w:val="0"/>
                <w:sz w:val="22"/>
              </w:rPr>
              <w:t>Enables bidirectional signaling, supports myoendothelial feedback</w:t>
            </w:r>
          </w:p>
        </w:tc>
        <w:tc>
          <w:tcPr>
            <w:tcW w:type="dxa" w:w="1872"/>
          </w:tcPr>
          <w:p>
            <w:r/>
            <w:r>
              <w:rPr>
                <w:rFonts w:ascii="Times New Roman" w:hAnsi="Times New Roman" w:cs="Times New Roman" w:eastAsia="Times New Roman"/>
                <w:b w:val="0"/>
                <w:i w:val="0"/>
                <w:sz w:val="22"/>
              </w:rPr>
              <w:t>Conducted through MEJs</w:t>
            </w:r>
          </w:p>
        </w:tc>
      </w:tr>
    </w:tbl>
    <w:p>
      <w:pPr>
        <w:spacing w:after="80"/>
        <w:jc w:val="both"/>
      </w:pPr>
    </w:p>
    <w:p>
      <w:pPr>
        <w:spacing w:after="80"/>
        <w:jc w:val="both"/>
      </w:pPr>
      <w:r>
        <w:rPr>
          <w:rFonts w:ascii="Times New Roman" w:hAnsi="Times New Roman" w:cs="Times New Roman" w:eastAsia="Times New Roman"/>
          <w:b w:val="0"/>
          <w:i/>
          <w:sz w:val="24"/>
        </w:rPr>
        <w:t>Figure 2 (verbatim caption): “Key molecular mechanisms linking endothelial dysfunction, NLRP3 inflammasome, and cardiovascular diseases (CVDs). Schematic illustration of the pathways and factors contributing to endothelial dysfunction and the progression of CVDs. The activation of the NLRP3 inflammasome by PAMPs, DAMPs, and hemodynamic alterations triggers the production of inflammatory cytokines (e.g., IL-1β, IL-18) via caspa</w:t>
        <w:br/>
        <w:t xml:space="preserve">   graphic: `antioxidants-14-00256-g002.jpg`”</w:t>
      </w:r>
    </w:p>
    <w:p>
      <w:pPr>
        <w:spacing w:after="80"/>
        <w:jc w:val="both"/>
      </w:pPr>
      <w:r>
        <w:rPr>
          <w:rFonts w:ascii="Times New Roman" w:hAnsi="Times New Roman" w:cs="Times New Roman" w:eastAsia="Times New Roman"/>
          <w:b w:val="0"/>
          <w:i/>
          <w:sz w:val="24"/>
        </w:rPr>
        <w:t>Figure 1 (verbatim caption): “Adequate NO production supports redox balance, vasodilation, and vascular homeostasis. In contrast, endothelial dysfunction and reduced NO levels lead to redox imbalance, favoring ROS/RNS-mediated inflammation and fibrosis, with O 2 •− , ONOO − and NLRP3 playing key roles (See also Figure 2 ). Double-headed lines indicate inhibition, while simple arrows indicate diffusion and activation. Red-color</w:t>
        <w:br/>
        <w:t xml:space="preserve">   graphic: `antioxidants-14-00256-g001.jpg`”</w:t>
      </w:r>
    </w:p>
    <w:p>
      <w:pPr>
        <w:keepNext/>
        <w:spacing w:before="160" w:after="40"/>
        <w:outlineLvl w:val="2"/>
      </w:pPr>
      <w:r>
        <w:rPr>
          <w:rFonts w:ascii="Times New Roman" w:hAnsi="Times New Roman" w:cs="Times New Roman" w:eastAsia="Times New Roman"/>
          <w:b/>
          <w:i w:val="0"/>
          <w:color w:val="404040"/>
          <w:sz w:val="24"/>
        </w:rPr>
        <w:t>Verbatim body-text paragraphs from PMC11939635</w:t>
      </w:r>
    </w:p>
    <w:p>
      <w:pPr>
        <w:spacing w:after="120"/>
        <w:jc w:val="both"/>
      </w:pPr>
      <w:r>
        <w:rPr>
          <w:rFonts w:ascii="Times New Roman" w:hAnsi="Times New Roman" w:cs="Times New Roman" w:eastAsia="Times New Roman"/>
          <w:b w:val="0"/>
          <w:i w:val="0"/>
          <w:sz w:val="24"/>
        </w:rPr>
        <w:t>“Schematic illustration of the pathways and factors contributing to endothelial dysfunction and the progression of CVDs. The activation of the NLRP3 inflammasome by PAMPs, DAMPs, and hemodynamic alterations triggers the production of inflammatory cytokines (e.g., IL-1β, IL-18) via caspa graphic: `antioxidants-14-00256-g002.jpg` 2. **Figure 1** — Adequate NO production supports redox balance, vasodilation, and vascular homeostasis. In contrast, endothelial dysfunction and reduced NO levels lead to redox imbalance, favoring ROS/RNS-mediated inflammation and fibrosis, with O 2 •− , ONOO − and NLRP3 playing key roles (See also Figure 2 ). Double-headed lines indicate inhibition, while simple arrows indicate diffusion and activation. Red-color graphic: `antioxidants-14-00256-g001.jpg` ```json { "pmcid": "PMC11939635", "pmid": "40227195", "doi": "10.3390/antiox14030256", "title": "Endothelial Dysfunction: Redox Imbalance, NLRP3 Inflammasome, and Inflammatory Responses in Cardiovascular Diseases", "journal": "Antioxidants", "year": "2025", "abstract": "Endothelial dysfunction (ED) is characterized by an imbalance between vasodilatory and vasoconstrictive factors, leading to impaired vascular tone, thrombosis, and inflammation.”  [PMC11939635 ¶1]</w:t>
      </w:r>
    </w:p>
    <w:p>
      <w:pPr>
        <w:spacing w:after="120"/>
        <w:jc w:val="both"/>
      </w:pPr>
      <w:r>
        <w:rPr>
          <w:rFonts w:ascii="Times New Roman" w:hAnsi="Times New Roman" w:cs="Times New Roman" w:eastAsia="Times New Roman"/>
          <w:b w:val="0"/>
          <w:i w:val="0"/>
          <w:sz w:val="24"/>
        </w:rPr>
        <w:t>“These processes are critical in the development of cardiovascular diseases (CVDs) such as atherosclerosis, hypertension and ischemia/reperfusion injury (IRI). Reduced nitric oxide (NO) production and increased oxidative stress are key contributors to ED. Aging further exacerbates ED through mitochondrial dysfunction and increased oxidative/nitrosative stress, heightening CVD risk. Antioxidant systems like superoxide-dismutase (SOD), glutathione-peroxidase (GPx), and thioredoxin/thioredoxin-reductase (Trx/TXNRD) pathways protect against oxidative stress. However, their reduced activity promotes ED, atherosclerosis, and vulnerability to IRI. Metabolic syndrome, comprising insulin resistance, obesity, and hypertension, is often accompanied by ED. Specifically, hyperglycemia worsens endothelial damage by promoting oxidative stress and inflammation. Obesity leads to chronic inflammation and changes in perivascular adipose tissue, while hypertension is associated with an increase in oxidative stress.”  [PMC11939635 ¶2]</w:t>
      </w:r>
    </w:p>
    <w:p>
      <w:pPr>
        <w:spacing w:after="120"/>
        <w:jc w:val="both"/>
      </w:pPr>
      <w:r>
        <w:rPr>
          <w:rFonts w:ascii="Times New Roman" w:hAnsi="Times New Roman" w:cs="Times New Roman" w:eastAsia="Times New Roman"/>
          <w:b w:val="0"/>
          <w:i w:val="0"/>
          <w:sz w:val="24"/>
        </w:rPr>
        <w:t>“The NLRP3 inflammasome plays a significant role in ED, being triggered by factors such as reactive oxygen and nitrogen species, ischemia, and high glucose, which contribute to inflammation, endothelial injury, and exacerbation of IRI. Treatments, such as N-acetyl-L-cysteine, SGLT2 or NLRP3 inhibitors, show promise in improving endothelial function. Yet the complexity of ED suggests that multi-targeted therapies addressing oxidative stress, inflammation, and metabolic disturbances are essential for managing CVDs associated with metabolic syndrome.", "body_text": "1. Introduction Despite its simple monolayer structure, healthy endothelium responds to a variety of stimuli, both chemical and mechanical. In turn, the endothelium is capable of producing a wide range of molecules that regulate vascular permeability, cell adhesion, smooth muscle cell proliferation, vessel wall inflammation, and thrombosis resistance.”  [PMC11939635 ¶3]</w:t>
      </w:r>
    </w:p>
    <w:p>
      <w:pPr>
        <w:spacing w:after="120"/>
        <w:jc w:val="both"/>
      </w:pPr>
      <w:r>
        <w:rPr>
          <w:rFonts w:ascii="Times New Roman" w:hAnsi="Times New Roman" w:cs="Times New Roman" w:eastAsia="Times New Roman"/>
          <w:b w:val="0"/>
          <w:i w:val="0"/>
          <w:sz w:val="24"/>
        </w:rPr>
        <w:t>“Endothelial dysfunction (ED) is characterized by an impaired response of endothelial cells (ECs) to physiological stimuli, resulting in altered vascular tone and organ perfusion. It arises from an imbalance between vasodilator and vasoconstrictor factors and is associated with various conditions, including neurodegenerative diseases, kidney disease, metabolic syndrome, and cardiovascular diseases (CVDs) [ 1 ]. Sharing mechanisms with many of the aforementioned pathological conditions, ED often serves as a starting point, highlighting a common link among these disorders. This raises the question of whether early detection of ED could be valuable for the screening and prevention of CVDs. From a clinical point of view, the evolution of ED can be followed by measuring some molecules in order to obtain an early diagnosis. Molecules identified as markers of endothelial dysfunction include cytokines such as interleukins (e.g., IL-6 and IL-1), tumor necrosis factor-alpha (TNF-\u03b1), adhesion molecules like intercellular adhesion molecule (ICAM) and vascular cell adhesion molecule (VCAM), as well as endothelial microparticles [ 2 ].”  [PMC11939635 ¶4]</w:t>
      </w:r>
    </w:p>
    <w:p>
      <w:pPr>
        <w:spacing w:after="120"/>
        <w:jc w:val="both"/>
      </w:pPr>
      <w:r>
        <w:rPr>
          <w:rFonts w:ascii="Times New Roman" w:hAnsi="Times New Roman" w:cs="Times New Roman" w:eastAsia="Times New Roman"/>
          <w:b w:val="0"/>
          <w:i w:val="0"/>
          <w:sz w:val="24"/>
        </w:rPr>
        <w:t>“The molecular mechanisms underlying ED are numerous and not entirely clear, despite the fact that this condition has been discussed since the late 1970s [ 3 ]. Certainly, among the most accredited causes are disruption in nitric oxide (NO) production and the formation of reactive oxygen species (ROS) and/or nitrogen species (RNS). Yet hemodynamic and shear stress alterations, including turbulence, play a central role in ED development [ 4 ]. Indeed, triggers for the shift toward ED and, therefore, toward a pro-coagulant and pro-inflammatory state include intrinsic, non-modifiable risk factors, such as hemodynamic disturbances and a predisposition to thrombophilia (whether inherited or acquired). Modifiable risk factors also play a role, including infections, dietary disturbances, metabolic disorders such as homocysteinemia and hypercholesterolemia, and exposure to toxins like those from smoking [ 1 , 5 , 6 ].”  [PMC11939635 ¶5]</w:t>
      </w:r>
    </w:p>
    <w:p>
      <w:pPr>
        <w:spacing w:after="120"/>
        <w:jc w:val="both"/>
      </w:pPr>
      <w:r>
        <w:rPr>
          <w:rFonts w:ascii="Times New Roman" w:hAnsi="Times New Roman" w:cs="Times New Roman" w:eastAsia="Times New Roman"/>
          <w:b w:val="0"/>
          <w:i w:val="0"/>
          <w:sz w:val="24"/>
        </w:rPr>
        <w:t>“The inflammatory response plays a central role by activating the NOD-like receptor family pyrin domain-containing 3 (NLRP3) inflammasome. This activation triggers the release of cytokines, which in turn fuel oxidative stress and further inflammatory processes, creating a vicious cycle [ 7 , 8 , 9 ]. In this brief review, ED pathology will be considered in terms of redox and inflammatory response, since both these factors are among the main causes of NLRP3 activation and CVDs associated with ED. 2. Features of Healthy Endothelium Healthy ECs lining the inner wall of vessels form a dynamic interface with different functions on the surrounding microenvironment. Vascular homeostasis in healthy endothelium is maintained through the release of NO, produced mainly by endothelial NO synthase (eNOS). The endothelium controls the functions of the organs and their metabolism primarily in a paracrine manner through what is defined as \u201cangiocrine signaling\u201d [ 10 ].”  [PMC11939635 ¶6]</w:t>
      </w:r>
    </w:p>
    <w:p>
      <w:pPr>
        <w:spacing w:after="120"/>
        <w:jc w:val="both"/>
      </w:pPr>
      <w:r>
        <w:rPr>
          <w:rFonts w:ascii="Times New Roman" w:hAnsi="Times New Roman" w:cs="Times New Roman" w:eastAsia="Times New Roman"/>
          <w:b w:val="0"/>
          <w:i w:val="0"/>
          <w:sz w:val="24"/>
        </w:rPr>
        <w:t>“Indeed, the endothelium regulates blood flow and vascular resistance by producing several factors, including vasodilators (e.g., NO and prostacyclin (PGI 2 )) and vasoconstrictors (e.g., endothelins (ETs) and thromboxane A 2 (TxA 2 )), ensuring the appropriate delivery of oxygen and nutrients to tissues. Moreover, ECs play a crucial role in maintaining circulatory and blood homeostasis. In their normal state, ECs produce various substances, including prostaglandins, PGI 2 , carbon monoxide (CO), and adenosine diphosphatase, which modulate platelet activation and aggregation, maintaining vascular homeostasis [ 11 , 12 , 13 , 14 , 15 , 16 , 17 , 18 , 19 , 20 , 21 , 22 , 23 ] ( Table 1 ). Endothelial cells also secrete anticoagulant proteins, such as thrombomodulin and heparin-like molecules, and promote fibrinolysis by synthesizing tissue plasminogen activator (t-PA). The activity of the endothelium is physiologically controlled and mediated not only by various factors, but also through a signaling involving mechanotransduction [ 4 ].”  [PMC11939635 ¶7]</w:t>
      </w:r>
    </w:p>
    <w:p>
      <w:pPr>
        <w:spacing w:after="120"/>
        <w:jc w:val="both"/>
      </w:pPr>
      <w:r>
        <w:rPr>
          <w:rFonts w:ascii="Times New Roman" w:hAnsi="Times New Roman" w:cs="Times New Roman" w:eastAsia="Times New Roman"/>
          <w:b w:val="0"/>
          <w:i w:val="0"/>
          <w:sz w:val="24"/>
        </w:rPr>
        <w:t>“Indeed, besides the aforementioned factors, vascular homeostasis is also regulated by myoendothelial junctions (MEJs), which mediate direct interactions between ECs and vascular smooth muscle cells (VSMCs) in resistance vessels. MEJs facilitate endothelial-dependent hyperpolarization (EDH), a NO-independent mechanism modulating vasodilation and vasoconstriction. Recent studies have highlighted the role of membrane proteins such as Transient Receptor Potential Vanilloid 4 (TRPV4), Piezo1, Acid-Sensing Ion Channel 1a (ASIC1a), Connexins, and eNOS in vasomotor signal initiation and propagation. Although eNOS is not an intrinsic membrane protein, its localization to caveolae and interaction with caveolin-1 is promoted by post-translational modifications. Additional insights into Notch signaling have further elucidated its impact on vascular tone [ 4 , 12 , 13 ]. Initially identified as a vasodilator factor distinct from NO and PGI2, EDHF\u2019s identity evolved into the broader concept of EDH signaling, reflecting its complex role in vascular function.”  [PMC11939635 ¶8]</w:t>
      </w:r>
    </w:p>
    <w:p>
      <w:pPr>
        <w:spacing w:after="120"/>
        <w:jc w:val="both"/>
      </w:pPr>
      <w:r>
        <w:rPr>
          <w:rFonts w:ascii="Times New Roman" w:hAnsi="Times New Roman" w:cs="Times New Roman" w:eastAsia="Times New Roman"/>
          <w:b w:val="0"/>
          <w:i w:val="0"/>
          <w:sz w:val="24"/>
        </w:rPr>
        <w:t>“EDH signaling involves hyperpolarization originating in ECs and transmitting to VSMCs via two pathways: chemical (e.g., potassium ions, lipid mediators, hydrogen peroxide (H 2 O 2 )) and electrical (via gap junctions, including MEJs). These pathways vary in contribution depending on arterial location, branch order, and VSMC activation. MEJs mediate bidirectional communication between ECs and VSMCs. This dynamic interaction enables feedback mechanisms like Ca 2+ transfer during vasoconstriction, activating eNOS and EDH factor (EDHF) release to regulate vascular tone. MEJs also coordinate vasomotion, a cyclic process of vasodilation and constriction, which optimizes blood flow [ 14 ]. Beyond the functions mentioned earlier, ECs modulate the metabolism and transport of nutrients and hormones in an organ-specific manner, thereby serving as critical regulators of systemic metabolic homeostasis [ 23 ].”  [PMC11939635 ¶9]</w:t>
      </w:r>
    </w:p>
    <w:p>
      <w:pPr>
        <w:spacing w:after="120"/>
        <w:jc w:val="both"/>
      </w:pPr>
      <w:r>
        <w:rPr>
          <w:rFonts w:ascii="Times New Roman" w:hAnsi="Times New Roman" w:cs="Times New Roman" w:eastAsia="Times New Roman"/>
          <w:b w:val="0"/>
          <w:i w:val="0"/>
          <w:sz w:val="24"/>
        </w:rPr>
        <w:t>“Moreover, ECs limit lipoprotein oxidation by reducing oxidative stress in the vascular wall through the production of NO, which is crucial in preventing atheromatous plaque formation [ 11 , 15 , 23 ]. The endothelial function is also regulated by the activation of receptor tyrosine kinases, such as vascular endothelial growth factor receptor (VEGFR2 and VEGFR3), as well as ion channels, integrins, and junctional proteins. Examples of junctional proteins are platelet endothelial cell adhesion molecule-1 (PECAM-1) and vascular endothelial (VE)-cadherin) [ 24 ]. Blood flow at the vessel level determines the onset of physical forces and mechano-transduction at the endothelial cell level. In physiological conditions, the shear stress produced by this force maintains the homeostasis of the endothelium. When this physical force varies\u2014whether it increases or decreases\u2014turbulence can arise, potentially disrupting homeostasis.”  [PMC11939635 ¶10]</w:t>
      </w:r>
    </w:p>
    <w:p>
      <w:pPr>
        <w:spacing w:after="120"/>
        <w:jc w:val="both"/>
      </w:pPr>
      <w:r>
        <w:rPr>
          <w:rFonts w:ascii="Times New Roman" w:hAnsi="Times New Roman" w:cs="Times New Roman" w:eastAsia="Times New Roman"/>
          <w:b w:val="0"/>
          <w:i w:val="0"/>
          <w:sz w:val="24"/>
        </w:rPr>
        <w:t>“Among the causes that can determine an alteration of shear stress, it is worth mentioning the increase in blood pressure which, combined with a greater stiffness due to metabolic syndrome and aging, determines changes in both the phenotype and the endothelial functionality [ 4 , 25 ]. In addition to being subjected to shear stress, ECs can function as a \u201cmetabolic interface\u201d with important differences between different organs and within the organ itself [ 26 , 27 ]. It appears that under many conditions, the preferred metabolic pathway of ECs is anaerobic glycolysis [ 28 ]. The reliance on anaerobic glycolysis offers metabolic advantages. Under normal conditions, it reduces the formation and availability of ROS/RNS while enhancing the efficiency of metabolite transport from the vessel to surrounding tissues. For instance, the endothelium exerts metabolic control over surrounding tissues, regulating the influx of hormones and other key elements such as insulin, lipids, and glucose.”  [PMC11939635 ¶11]</w:t>
      </w:r>
    </w:p>
    <w:p>
      <w:pPr>
        <w:spacing w:after="120"/>
        <w:jc w:val="both"/>
      </w:pPr>
      <w:r>
        <w:rPr>
          <w:rFonts w:ascii="Times New Roman" w:hAnsi="Times New Roman" w:cs="Times New Roman" w:eastAsia="Times New Roman"/>
          <w:b w:val="0"/>
          <w:i w:val="0"/>
          <w:sz w:val="24"/>
        </w:rPr>
        <w:t>“Anaerobic glycolysis is also used during angiogenesis, thus favoring the invasion of less oxygenated areas by the endothelium [ 29 ]. In summary , ECs play a crucial role in maintaining vascular homeostasis through the release of NO, produced mainly by eNOS. The endothelium regulates blood flow, vascular resistance, and tissue metabolism via paracrine signaling, producing both vasodilators like NO, PGI 2 , and CO, and vasoconstrictors such as endothelins. Vascular homeostasis is also controlled by MEJs, which mediate communication between ECs and VSMCs, influencing vasodilation and vasoconstriction. EDH signaling, which involves hyperpolarization of VSMCs, is also vital in regulating vascular tone. Endothelial function is further influenced by mechanical forces such as shear stress, which maintains endothelial health. Additionally, ECs produce anticoagulant proteins and promote fibrinolysis.”  [PMC11939635 ¶12]</w:t>
      </w:r>
    </w:p>
    <w:p>
      <w:pPr>
        <w:spacing w:after="120"/>
        <w:jc w:val="both"/>
      </w:pPr>
      <w:r>
        <w:rPr>
          <w:rFonts w:ascii="Times New Roman" w:hAnsi="Times New Roman" w:cs="Times New Roman" w:eastAsia="Times New Roman"/>
          <w:b w:val="0"/>
          <w:i w:val="0"/>
          <w:sz w:val="24"/>
        </w:rPr>
        <w:t>“The endothelium also participates in metabolic processes like hormone regulation and lipoprotein oxidation, and it relies on anaerobic glycolysis for energy, particularly during angiogenesis. Due to its multiple functions and interactions, as well as the vastness of its surface, the endothelium plays a pivotal role in maintaining cardiovascular and overall organism health. Therefore, ED is at the foundation of a wide range of pathological conditions. 3. Endothelial Dysfunction and Activation By definition, ED is a pathological state of the endothelium characterized by an imbalance between the production of vasodilatory substances and vasoconstrictive, pro-inflammatory, and pro-thrombotic factors. ED impairs the endothelium\u2019s ability to regulate vascular tone, maintain vascular homeostasis, and prevent thrombosis and inflammation. ED contributes to the development and progression of CVDs, such as atherosclerosis and hypertension.”  [PMC11939635 ¶13]</w:t>
      </w:r>
    </w:p>
    <w:p>
      <w:pPr>
        <w:spacing w:after="120"/>
        <w:jc w:val="both"/>
      </w:pPr>
      <w:r>
        <w:rPr>
          <w:rFonts w:ascii="Times New Roman" w:hAnsi="Times New Roman" w:cs="Times New Roman" w:eastAsia="Times New Roman"/>
          <w:b w:val="0"/>
          <w:i w:val="0"/>
          <w:sz w:val="24"/>
        </w:rPr>
        <w:t>“Endothelial activation is a state in which ECs upregulate the expression of adhesion molecules (e.g., VCAM-1, ICAM-1), pro-inflammatory cytokines, chemokines, and pro-coagulant factors in response to various stimuli, such as inflammatory signals, oxidative stress, or shear stress disturbances. This process facilitates leukocyte adhesion and transmigration, promotes inflammation, and contributes to vascular remodeling and thrombosis, playing a critical role in immune responses and CVDs. When the endothelium is damaged, its balance is disrupted, and the release of cytokines (e.g., ILs and TNF-\u03b1) contributes to pathological processes. Also, alterations in intracellular pathways contribute to pathological processes. For instance, studies have reported that reduced fatty acid transport in the heart, resulting from disruptions in the endothelial Notch signaling pathway, can lead to congestive heart failure [ 19 , 30 , 31 ].”  [PMC11939635 ¶14]</w:t>
      </w:r>
    </w:p>
    <w:p>
      <w:pPr>
        <w:spacing w:after="120"/>
        <w:jc w:val="both"/>
      </w:pPr>
      <w:r>
        <w:rPr>
          <w:rFonts w:ascii="Times New Roman" w:hAnsi="Times New Roman" w:cs="Times New Roman" w:eastAsia="Times New Roman"/>
          <w:b w:val="0"/>
          <w:i w:val="0"/>
          <w:sz w:val="24"/>
        </w:rPr>
        <w:t>“In skeletal muscle following an alteration of the trans-epithelial transport of fatty acids, the onset of insulin resistance in obesity can be recorded [ 32 ]. In this context of dysfunction and activation, the endothelium is both a victim and culprit source and a target of oxidative stress. No doubt, a key substance produced by the healthy ECs is NO. Typically, the endothelium maintains its functional integrity and adequately responds to the needs of different organs when NO production and release are appropriately regulated. When the release of NO is lacking and/or the production is reduced, the vascular balance is disrupted and therefore ED occurs, which determines a pro-inflammatory and pro-thrombotic condition, together with a less compliant structure at the vascular level [ 33 ]. A co-protagonist is the increase in oxidative/nitrosative stress. The ROS/RNS increase could be caused on the one hand by a poor antioxidant defense and on the other by a greater production caused by vascular damage and specific pro-oxidant pathways [ 2 , 34 , 35 , 36 ].”  [PMC11939635 ¶15]</w:t>
      </w:r>
    </w:p>
    <w:p>
      <w:pPr>
        <w:spacing w:after="120"/>
        <w:jc w:val="both"/>
      </w:pPr>
      <w:r>
        <w:rPr>
          <w:rFonts w:ascii="Times New Roman" w:hAnsi="Times New Roman" w:cs="Times New Roman" w:eastAsia="Times New Roman"/>
          <w:b w:val="0"/>
          <w:i w:val="0"/>
          <w:sz w:val="24"/>
        </w:rPr>
        <w:t>“It should be noted that NO possesses significant antioxidant properties, helping to neutralize ROS/RNS and maintain cellular redox balance ( Figure 1 ). Indeed, the interactions between NO, ROS, and RNS form a dynamic redox system operating on a millisecond timescale to maintain homeostasis. A deficiency in NO (e.g., uncoupled NOS prevails) paradoxically increases both oxidative and nitrosative stress, showing a U-shaped relationship between NO levels and stress. While NO reacts with O 2 \u2022\u2212 to form ONOO \u2212 , it also scavenges this and other RNS, mitigating their damage. Inadequate NO impairs this protective mechanism [ 35 , 36 , 37 , 38 , 39 , 40 ] ( Figure 1 ). (See also Section 3.1 ). Elevated oxidative stress can further damage ECs, driving inflammation and accelerating the activation and progression of vascular diseases. This creates a vicious cycle in which reduced NO availability amplifies oxidative damage, aggravating ED and endothelial inflammation.”  [PMC11939635 ¶16]</w:t>
      </w:r>
    </w:p>
    <w:p>
      <w:pPr>
        <w:spacing w:after="120"/>
        <w:jc w:val="both"/>
      </w:pPr>
      <w:r>
        <w:rPr>
          <w:rFonts w:ascii="Times New Roman" w:hAnsi="Times New Roman" w:cs="Times New Roman" w:eastAsia="Times New Roman"/>
          <w:b w:val="0"/>
          <w:i w:val="0"/>
          <w:sz w:val="24"/>
        </w:rPr>
        <w:t>“Ultimately, this contributes to the development and progression of cardiovascular conditions such as atherosclerosis and hypertension, accompanied by cytokine release and adhesion molecule expression at the endothelial cell surface. Therefore, the inflammatory state of ECs plays a crucial role in the progression of CVDs. For instance, in metabolic syndrome and obesity, there is a chronic low-grade inflammatory state, which can determine ED, causing alterations in the endocrine and paracrine action of adipose-derived factors. In healthy subjects, perivascular adipose tissue promotes vasodilation, whereas in obese individuals, a significant change in adipocytokine release is observed, leading to a reduced vasorelaxant effect and progression toward CVDs [ 41 ]. Moreover, ED in CVDs disrupts EDH signaling, shifting vasomotion toward pathological vasospasm. This underscores the pivotal role of EDH signaling in maintaining vascular homeostasis and highlights its potential as a therapeutic target [ 14 ].”  [PMC11939635 ¶17]</w:t>
      </w:r>
    </w:p>
    <w:p>
      <w:pPr>
        <w:spacing w:after="120"/>
        <w:jc w:val="both"/>
      </w:pPr>
      <w:r>
        <w:rPr>
          <w:rFonts w:ascii="Times New Roman" w:hAnsi="Times New Roman" w:cs="Times New Roman" w:eastAsia="Times New Roman"/>
          <w:b w:val="0"/>
          <w:i w:val="0"/>
          <w:sz w:val="24"/>
        </w:rPr>
        <w:t>“Of note, ED is \u201cphysiologically\u201d induced by aging. In fact, with age, there are evident changes of both a structural and functional nature which contribute to the onset of CVDS diseases. At the cellular level, in addition to the classic signs of ED, trans-differentiation of VSMCs and cellular senescence have been observed. With aging, numerous changes at the molecular level of ECs are recognized. In larger vessels, such as the aorta, an increase in end-to-end inter-endothelial junctions is observed during aging, while overlapping or interdigitated junctions decrease [ 42 ]. The carotid arteries exhibit increased permeability in the elderly due to the separation of endothelial cell\u2013cell junctions [ 43 ]. In several vessels, including the aorta and coronary arteries, both an increase in endothelial apoptosis caused by aging and a reduced cell density are found [ 42 , 43 ]. Increased autophagy has been reported to reverse arterial aging by improving age-related ED [ 43 , 44 , 45 ].”  [PMC11939635 ¶18]</w:t>
      </w:r>
    </w:p>
    <w:p>
      <w:pPr>
        <w:spacing w:after="120"/>
        <w:jc w:val="both"/>
      </w:pPr>
      <w:r>
        <w:rPr>
          <w:rFonts w:ascii="Times New Roman" w:hAnsi="Times New Roman" w:cs="Times New Roman" w:eastAsia="Times New Roman"/>
          <w:b w:val="0"/>
          <w:i w:val="0"/>
          <w:sz w:val="24"/>
        </w:rPr>
        <w:t>“Aging is also among the factors that determine mitochondrial dysfunction. In fact, vascular ECs present impaired mitochondrial biogenesis, reduced respiration, and increased production of ROS, which directly contribute to a reduced NO availability [ 46 ]. Oxidative stress can also disrupt mitophagy in vascular cells by impairing the PTEN-induced kinase 1 (PINK1)/Parkin pathway and reducing the expression of key mitophagy receptors, including BCL2 interacting protein 3 (BNIP3) and Nox [ 47 , 48 , 49 ]. This disruption leads to the accumulation of dysfunctional mitochondria, contributing to ED, impaired angiogenic response to injury, and cardiac remodeling [ 50 ]. Physiological aging induces phenotypic changes that make the vascular system more fragile in its various components, thereby increasing susceptibility to CVDs, such as hypertension, cardiac remodeling, and other pathologies related to metabolic syndrome [ 43 ] (See also Section 4 ). 3.1.”  [PMC11939635 ¶19]</w:t>
      </w:r>
    </w:p>
    <w:p>
      <w:pPr>
        <w:spacing w:after="120"/>
        <w:jc w:val="both"/>
      </w:pPr>
      <w:r>
        <w:rPr>
          <w:rFonts w:ascii="Times New Roman" w:hAnsi="Times New Roman" w:cs="Times New Roman" w:eastAsia="Times New Roman"/>
          <w:b w:val="0"/>
          <w:i w:val="0"/>
          <w:sz w:val="24"/>
        </w:rPr>
        <w:t>“Focus on Oxidative and Nitrosative Stress Oxidative and nitrosative stresses are a disturbance in the redox state of the cell, in which the production of ROS and RNS overcomes the antioxidant defenses. RNS are highly reactive molecules derived from NO. Examples of RNS include ONOO \u2212 , nitrogen dioxide (NO 2 ), dinitrogen trioxide (N 2 O 3 ), nitroxyl anion (HNO/NO \u2212 ), and S-nitrosothiols (RSNOs) [ 11 , 15 , 35 , 39 , 40 ]. These molecules can participate in both physiological signaling and pathological processes, depending on their concentration and cellular context. In particular, in the case of oxidative stress due to RNS, the alteration of NO signaling is observed due to a relative increase in the amounts of RNS or by an inappropriate production, which can be caused by or associated with a disturbance in the redox state [ 35 , 36 , 37 , 38 , 39 , 40 ]. Oxidative and nitrosative stresses contribute to a cascade of events that drive both cell death and the increased expression of various inflammatory mediators.”  [PMC11939635 ¶20]</w:t>
      </w:r>
    </w:p>
    <w:p>
      <w:pPr>
        <w:spacing w:after="120"/>
        <w:jc w:val="both"/>
      </w:pPr>
      <w:r>
        <w:rPr>
          <w:rFonts w:ascii="Times New Roman" w:hAnsi="Times New Roman" w:cs="Times New Roman" w:eastAsia="Times New Roman"/>
          <w:b w:val="0"/>
          <w:i w:val="0"/>
          <w:sz w:val="24"/>
        </w:rPr>
        <w:t>“These stresses at the endothelial level can be caused by various factors, such as oxidized low-density lipoproteins (oxLDLs), aging, and hyperglycemia. The production of ROS primarily derives from dysfunctional mitochondria, uncoupling of eNOS, xanthine oxidase, and NADPH oxidase (NOX) [ 51 , 52 ]. In several conditions, eNOS undergoes uncoupling (See below), leading to the production of superoxide anion (O 2 \u2022\u2212 ) and the subsequent formation of ONOO \u2212 . The generated ROS and RNS further diminish the availability of tetrahydrobiopterin (BH 4 ), impairing NO production by ECs [ 53 ]. In physiological conditions, vascular and endothelial NOX enzymes have a very limited role [ 54 ], while in pathological conditions in response to acute or chronic stimuli, their activity increases significantly, compromising vascular functionality [ 55 ]. The isoforms present at the vascular level are NOX1, NOX2, NOX4, and NOX5.”  [PMC11939635 ¶21]</w:t>
      </w:r>
    </w:p>
    <w:p>
      <w:pPr>
        <w:spacing w:after="120"/>
        <w:jc w:val="both"/>
      </w:pPr>
      <w:r>
        <w:rPr>
          <w:rFonts w:ascii="Times New Roman" w:hAnsi="Times New Roman" w:cs="Times New Roman" w:eastAsia="Times New Roman"/>
          <w:b w:val="0"/>
          <w:i w:val="0"/>
          <w:sz w:val="24"/>
        </w:rPr>
        <w:t>“The main isoform at the endothelial level is NOX4, which is responsible for the production of H 2 O 2 , unlike the other isoforms, specialized in the synthesis of O 2 \u2022\u2212 [ 54 ]. The role of individual NOX forms has long been studied and some isoforms are associated with ED. For example, NOX2 increased activity has been observed in various conditions, including dyslipidemia, obesity, smoking, hypertension, and aging [ 55 , 56 ]. In apolipoprotein E knockout (ApoE \u2212/\u2212 ) mouse models, NOX2 levels were significantly increased, and these animals also exhibited endothelial activation [ 55 , 56 ]. In mouse models, endothelial-specific overexpression of NOX2, following treatment with angiotensin II, a greater production of ROS, and a reduced response to acetylcholine were measured compared to the control mouse. The induced ED was associated with increased activity of NOX2, which contributed to vascular remodeling and hypertension [ 57 ].”  [PMC11939635 ¶22]</w:t>
      </w:r>
    </w:p>
    <w:p>
      <w:pPr>
        <w:spacing w:after="120"/>
        <w:jc w:val="both"/>
      </w:pPr>
      <w:r>
        <w:rPr>
          <w:rFonts w:ascii="Times New Roman" w:hAnsi="Times New Roman" w:cs="Times New Roman" w:eastAsia="Times New Roman"/>
          <w:b w:val="0"/>
          <w:i w:val="0"/>
          <w:sz w:val="24"/>
        </w:rPr>
        <w:t>“The role played by other NOX isoforms is not very clear yet. For instance, NOX4 plays a significant role in oxidative stress and neuronal injury, making it a potential therapeutic target for stroke and related conditions. Indeed, in NOX4 knockout (NOX4 \u2212/\u2212 ) mouse models, where other NOX isoforms remained, the absence of NOX4 conferred protection against oxidative stress and was associated with reduced neuronal apoptosis following stroke, highlighting NOX4\u2032s role in neuronal damage under oxidative stress conditions [ 54 , 58 ]. Similar trends were observed with cardiac Nox4 deletion, where pressure overload-induced manifestations, including cardiac hypertrophy, fibrosis, and apoptosis, were significantly reduced [ 54 , 59 ]. Moreover, when ROS overwhelm NO production, increased tyrosine nitration occurs, indicating elevated ONOO \u2212 production, which can lead to vascular damage [ 60 ].”  [PMC11939635 ¶23]</w:t>
      </w:r>
    </w:p>
    <w:p>
      <w:pPr>
        <w:spacing w:after="120"/>
        <w:jc w:val="both"/>
      </w:pPr>
      <w:r>
        <w:rPr>
          <w:rFonts w:ascii="Times New Roman" w:hAnsi="Times New Roman" w:cs="Times New Roman" w:eastAsia="Times New Roman"/>
          <w:b w:val="0"/>
          <w:i w:val="0"/>
          <w:sz w:val="24"/>
        </w:rPr>
        <w:t>“Excess ROS also inhibits glyceraldehyde 3-phosphate dehydrogenase (GAPDH), resulting in increased diacylglycerol levels and activation of protein kinase C (PKC), which further stimulates ROS production through NOX activation [ 61 ]. There are also additional stimuli capable of increasing the production of ROS in ECs; for instance, ischemia/reperfusion exposes ECs to stimuli that amplify ROS production, driving endothelial dysfunction. Ischemia upregulates sodium-hydrogen exchangers (NHE), increasing intracellular Na + and cytosolic Ca 2+ via the sodium-calcium exchanger (NCX) [ 62 ]. Elevated Ca 2+ activates the PKC-NOX pathway, thereby further increasing ROS [ 63 ]. Excess ROS oxidize lipids and proteins while impairing antioxidant enzymes like catalase and SOD. The oxidative stress activates the vascular NLRP3 inflammasome, exacerbating endothelial dysfunction, the no-reflow phenomenon, and tissue damage during reperfusion [ 64 , 65 , 66 ].”  [PMC11939635 ¶24]</w:t>
      </w:r>
    </w:p>
    <w:p>
      <w:pPr>
        <w:spacing w:after="120"/>
        <w:jc w:val="both"/>
      </w:pPr>
      <w:r>
        <w:rPr>
          <w:rFonts w:ascii="Times New Roman" w:hAnsi="Times New Roman" w:cs="Times New Roman" w:eastAsia="Times New Roman"/>
          <w:b w:val="0"/>
          <w:i w:val="0"/>
          <w:sz w:val="24"/>
        </w:rPr>
        <w:t>“Following senescence at the level of ECs, an increase in the expression of pro-inflammatory cytokines is observed, thus hypothesizing that aging is a cause of the compromised of vascular tone caused by the accumulation of nitro-oxidative stress and mitochondrial damage [ 67 ]. In summary , ED occurs when the balance between vasodilatory and vasoconstrictive factors is disrupted, leading to impaired vascular tone, thrombosis, and inflammation. This imbalance is driven by oxidative and nitrosative stress, where ROS and RNS exceed antioxidant defenses. ROS/RNS can mediate both physiological and pathological processes depending on many circumstances, including their concentration. Key factors contributing to ED include mitochondrial dysfunction, uncoupling of eNOS, and dysregulation of NADPH oxidase enzymes, particularly NOX2 and NOX4, which play a role in endothelial activation and vascular injury.”  [PMC11939635 ¶25]</w:t>
      </w:r>
    </w:p>
    <w:p>
      <w:pPr>
        <w:spacing w:after="120"/>
        <w:jc w:val="both"/>
      </w:pPr>
      <w:r>
        <w:rPr>
          <w:rFonts w:ascii="Times New Roman" w:hAnsi="Times New Roman" w:cs="Times New Roman" w:eastAsia="Times New Roman"/>
          <w:b w:val="0"/>
          <w:i w:val="0"/>
          <w:sz w:val="24"/>
        </w:rPr>
        <w:t>“Aging exacerbates ED by increasing oxidative stress, mitochondrial damage, and inflammation, which further contribute to vascular remodeling, thrombosis, and the progression of CVDs such as hypertension and atherosclerosis. Reduced NO production and elevated ROS/RNS formation exacerbate endothelial damage, while changes in endothelial function, including altered EDHF signaling, increase the risk of CVDs and worsen vascular health. Addressing the ROS/RNS imbalance may not be sufficient, but it is critical to limit ED and its associated pathologies. Impaired Antioxidant Defense Vascular tissue contains several antioxidant systems, such as catalase, superoxide dismutase (SOD), glutathione peroxidase (GPx) and the thioredoxin (Trx)/selenoprotein thioredoxin reductase (TXNRD) [ 54 , 68 , 69 ]. Reduced activity of these systems leads to increased ROS production by oxidizing enzymes, which contributes to ED [ 68 , 69 , 70 , 71 ].”  [PMC11939635 ¶26]</w:t>
      </w:r>
    </w:p>
    <w:p>
      <w:pPr>
        <w:spacing w:after="120"/>
        <w:jc w:val="both"/>
      </w:pPr>
      <w:r>
        <w:rPr>
          <w:rFonts w:ascii="Times New Roman" w:hAnsi="Times New Roman" w:cs="Times New Roman" w:eastAsia="Times New Roman"/>
          <w:b w:val="0"/>
          <w:i w:val="0"/>
          <w:sz w:val="24"/>
        </w:rPr>
        <w:t>“For instance, in endothelial cells, SOD1 inhibition elevated O 2 \u2022\u2212 levels and impaired fibroblast growth factor-2 and VEGF-induced extracellular signal\u2013regulated kinases phosphorylation, thereby suppressing angiogenesis [ 71 , 72 ]. In animal models with SOD2 deficiency, vascular impairment has been observed in atherosclerosis and persistent pulmonary hypertension models [ 72 , 73 , 74 ]. Additionally, the lack of an antioxidative enzyme like GPx-1 accelerates and alters the progression of atherosclerotic lesions, particularly in ApoE \u2212/\u2212 mice, emphasizing the significant role of oxidative stress in the pathophysiology of atherosclerosis [ 60 ]. GPx is involved in both the conversion of H 2 O 2 into water and molecular oxygen, as well as the reduction of lipid peroxides into alcohols [ 74 ]. GPx-1 deficiencies also have deleterious effects in atherosclerosis. Low levels of this enzyme are correlated with reduced bioactive NO, which is essential for maintaining vascular health.”  [PMC11939635 ¶27]</w:t>
      </w:r>
    </w:p>
    <w:p>
      <w:pPr>
        <w:spacing w:after="120"/>
        <w:jc w:val="both"/>
      </w:pPr>
      <w:r>
        <w:rPr>
          <w:rFonts w:ascii="Times New Roman" w:hAnsi="Times New Roman" w:cs="Times New Roman" w:eastAsia="Times New Roman"/>
          <w:b w:val="0"/>
          <w:i w:val="0"/>
          <w:sz w:val="24"/>
        </w:rPr>
        <w:t>“GPx-1 deficiency is directly related to the development of ED, inflammation and neointimal formation, suggesting a role of ROS in altering the amount and function of NO [ 74 , 75 ]. A beneficial role is ascribed to selenium; indeed, its intake directly regulates GPX1 expression and levels, with selenium supplementation reducing susceptibility to CVDs, while selenium deficiency increases the risk of CVDs [ 76 , 77 ]. GPX1 is a selenoprotein negatively affected by homocysteinemia, leading to oxidative stress, reduced NO bioavailability, and ED. Elevated homocysteine levels lead to reduced expression and activity of GPX1, resulting in increased ROS accumulation and endothelial damage. Conversely, GPX1 overexpression can restore vascular function, emphasizing its crucial role in mitigating hyperhomocysteinemia-induced dysfunction [ 78 , 79 , 80 ]. Furthermore, the Trx/TXNRD system is implicated in ED protection, linked to homocysteine-induced oxidative stress and atherogenesis.”  [PMC11939635 ¶28]</w:t>
      </w:r>
    </w:p>
    <w:p>
      <w:pPr>
        <w:spacing w:after="120"/>
        <w:jc w:val="both"/>
      </w:pPr>
      <w:r>
        <w:rPr>
          <w:rFonts w:ascii="Times New Roman" w:hAnsi="Times New Roman" w:cs="Times New Roman" w:eastAsia="Times New Roman"/>
          <w:b w:val="0"/>
          <w:i w:val="0"/>
          <w:sz w:val="24"/>
        </w:rPr>
        <w:t>“Reduced Trx activity, combined with compensatory TXNRD upregulation, strongly correlates with disease severity in coronary artery disease (CAD) patients under hyperhomocysteinemic conditions [ 81 ]. The oxidative stress caused by homocysteine-mediated downregulation of Trx1 likely drives TXNRD upregulation to counteract hydroperoxides and lipid peroxides associated with atherosclerosis [ 82 ]. Similarly, studies highlight NADPH oxidase activation and decreased Trx and eNOS activity as mechanisms linking high homocysteine levels to oxidative stress and ED [ 83 ]. A reciprocal regulation between GPX1 and TXNRD1 was observed during homocysteine-induced hypomethylation stress, driven by S-adenosylhomocysteine accumulation. This dysregulation promotes endothelial activation, inflammatory cytokine production, and a pro-atherogenic phenotype [ 84 ]. Recent findings demonstrate that selenium nanoparticles effectively alleviate ED and vascular inflammation in ApoE \u2212/\u2212 atherosclerosis model [ 85 ].”  [PMC11939635 ¶29]</w:t>
      </w:r>
    </w:p>
    <w:p>
      <w:pPr>
        <w:spacing w:after="120"/>
        <w:jc w:val="both"/>
      </w:pPr>
      <w:r>
        <w:rPr>
          <w:rFonts w:ascii="Times New Roman" w:hAnsi="Times New Roman" w:cs="Times New Roman" w:eastAsia="Times New Roman"/>
          <w:b w:val="0"/>
          <w:i w:val="0"/>
          <w:sz w:val="24"/>
        </w:rPr>
        <w:t>“Furthermore, selenoproteins, particularly GPX1, play a pivotal role in preserving endothelial function, regulating vascular reactivity, promoting angiogenesis, and preventing adverse vascular remodeling. Their cardioprotective effects, especially in attenuating oxidative stress and endothelial dysfunction, are increasingly recognized [ 76 , 77 ]. Sodium-glucose cotransporter 2 (SGLT2) inhibitors are a class of drugs that act on SGLT2 transporters to decrease glucose reabsorption in the kidneys, thereby increasing glucose excretion in the urine and lowering serum glucose levels. SGLT2 inhibitors are emerging as drugs with multiple beneficial effects on various organs and pathological conditions, although their mechanisms of action are not yet fully understood [ 86 , 87 , 88 , 89 ]. Among the proposed mechanisms are the reduction of ROS levels, the enhancement of eNOS activity, and the increased availability of NO [ 89 ].”  [PMC11939635 ¶30]</w:t>
      </w:r>
    </w:p>
    <w:p>
      <w:pPr>
        <w:spacing w:after="120"/>
        <w:jc w:val="both"/>
      </w:pPr>
      <w:r>
        <w:rPr>
          <w:rFonts w:ascii="Times New Roman" w:hAnsi="Times New Roman" w:cs="Times New Roman" w:eastAsia="Times New Roman"/>
          <w:b w:val="0"/>
          <w:i w:val="0"/>
          <w:sz w:val="24"/>
        </w:rPr>
        <w:t>“These last findings have been further confirmed by several authors, even in dysmetabolic mouse models. In fact, although SGLT2 is not the main glucose transporter in ECs, it has been observed that the reduction of oxidative stress by empagliflozin (EMPA), a selective inhibitor of SGLT2, improves the function of these cells, acting independently from its main pharmacological function [ 86 , 87 , 88 , 89 ]. The molecular pathway induced by EMPA involved Sestrin2/adenosine monophosphate-activated protein kinase (AMPK), increased phosphorylation of eNOS at Ser 1177 , and mechanistic target of rapamycin (mTOR) activation. In obese Sestrin2 knockout mice, these pathways are partially attenuated. The antioxidant action of EMPA seems to be mediated by Nrf2/HO-1, also suggesting an anti-inflammatory activity [ 89 ]. In apparent contrast to eNOS phosphorylation at Ser 1177 , this study found that EMPA inhibited Akt [ 89 ], which typically drives Ser 1177 eNOS phosphorylation.”  [PMC11939635 ¶31]</w:t>
      </w:r>
    </w:p>
    <w:p>
      <w:pPr>
        <w:spacing w:after="120"/>
        <w:jc w:val="both"/>
      </w:pPr>
      <w:r>
        <w:rPr>
          <w:rFonts w:ascii="Times New Roman" w:hAnsi="Times New Roman" w:cs="Times New Roman" w:eastAsia="Times New Roman"/>
          <w:b w:val="0"/>
          <w:i w:val="0"/>
          <w:sz w:val="24"/>
        </w:rPr>
        <w:t>“Nevertheless, Sun et al. [ 89 ] observed AMPK activation, and since AMPK can also phosphorylate eNOS at Ser 1177 [ 90 , 91 ], it is likely that, in the conditions considered by the authors [ 89 ], AMPK mediates Ser 1177 eNOS phosphorylation. The importance of abating redox stress is evidenced by the proposed treatment with antioxidant factors at multi-level intervention strategies, as extensively reviewed elsewhere [ 36 , 37 , 38 , 39 , 40 , 92 ]. One example is the observation that N-acetyl-L-cysteine (NAC) prevents these detrimental changes during calcific aortic valve stenosis in human valve endothelial cells, where oxidative stress and the accumulation of oxidation-induced protein S-glutathionylation drive a dysfunctional shift that promotes calcification. In summary , vascular tissue contains antioxidant systems like SOD, catalase, GPx, and Trx/TXNRD, which protect against oxidative stress.”  [PMC11939635 ¶32]</w:t>
      </w:r>
    </w:p>
    <w:p>
      <w:pPr>
        <w:spacing w:after="120"/>
        <w:jc w:val="both"/>
      </w:pPr>
      <w:r>
        <w:rPr>
          <w:rFonts w:ascii="Times New Roman" w:hAnsi="Times New Roman" w:cs="Times New Roman" w:eastAsia="Times New Roman"/>
          <w:b w:val="0"/>
          <w:i w:val="0"/>
          <w:sz w:val="24"/>
        </w:rPr>
        <w:t>“Reduced activity of these systems leads to increased ROS/RNS production, contributing to ED and atherosclerosis. For example, SOD1 blockade increases basal O 2 \u2022\u2212 levels, and GPx-1 deficiency accelerates atherosclerotic lesion progression. Selenium intake regulates GPx-1 expression, reducing CVD risk, while homocysteine-induced oxidative stress reduces GPx-1 activity, worsening ED. The Trx/TXNRD system is also linked to ED protection, with its dysregulation in hyperhomocysteinemic conditions worsening oxidative stress and atherosclerosis. Selenium nanoparticles alleviate ED in atherosclerosis models. SGLT2 inhibitors, like EMPA, reduce oxidative stress and increase NO availability, improving endothelial function. Antioxidant treatments, such as NAC, also protect against oxidative stress-induced changes, preventing ED in many conditions, including calcific aortic valve stenosis. 3.2.”  [PMC11939635 ¶33]</w:t>
      </w:r>
    </w:p>
    <w:p>
      <w:pPr>
        <w:spacing w:after="120"/>
        <w:jc w:val="both"/>
      </w:pPr>
      <w:r>
        <w:rPr>
          <w:rFonts w:ascii="Times New Roman" w:hAnsi="Times New Roman" w:cs="Times New Roman" w:eastAsia="Times New Roman"/>
          <w:b w:val="0"/>
          <w:i w:val="0"/>
          <w:sz w:val="24"/>
        </w:rPr>
        <w:t>“Focus on Inflammation and Inflammasome During infections and inflammatory processes, ECs undergo a mechanism known as endothelial activation, characterized by functional and morphological changes, as defined above. The responsible stimuli can be different, including inflammatory cytokines (TNF-\u03b1, IL and interferon-\u03b3), bacterial endotoxins, or activation of the pattern recognition receptor (PRR) following the detection of pathogen-associated molecular patterns (PAMPs) or damage-associated molecular patterns (DAMPs) [ 93 , 94 ]. In addition to the aforementioned stimuli, other factors that can trigger PRR activation and therefore inflammasome formation include: K + efflux, ROS, mechanical stimulation, and abnormal metabolites [ 94 , 95 ]. The action of ROS at the endothelial level is multifaceted. In fact, numerous co-factors are recognized, such as hyperglycemia, sarcoplasmic reticulum stress, senescence, and lipopolysaccharide (LPS) and IRI [ 92 , 95 , 96 , 97 , 98 ].”  [PMC11939635 ¶34]</w:t>
      </w:r>
    </w:p>
    <w:p>
      <w:pPr>
        <w:spacing w:after="120"/>
        <w:jc w:val="both"/>
      </w:pPr>
      <w:r>
        <w:rPr>
          <w:rFonts w:ascii="Times New Roman" w:hAnsi="Times New Roman" w:cs="Times New Roman" w:eastAsia="Times New Roman"/>
          <w:b w:val="0"/>
          <w:i w:val="0"/>
          <w:sz w:val="24"/>
        </w:rPr>
        <w:t>“As depicted in Figure 2 , many of the aforementioned factors can prime and activate the NLRP3 inflammasome. These processes are mediated by the upregulation of thioredoxin-interacting protein and nuclear factor kappa-light-chain enhancer of activated B cells (NF-\u03baB), and modulation of nuclear factor erythroid-derived 2-like 2 (Nrf2) [ 98 , 99 ]. In particular, during myocardial damage, ischemic cardiomyocytes release ATP, which interacts with P2X7 receptors (P2X7R) to activate ECs, immune cells and potentially platelets [ 98 , 100 , 101 , 102 ], although the role of P2X7 in platelet aggregation and thrombosis remains unclear [ 103 , 104 ]. This receptor activation induces the opening of cation channels, initiating inflammatory processes [ 102 , 105 , 106 ]. Indeed, extracellular ATP can stimulate K + efflux via P2X7R-gated K + channels, contributing to the activation of the NLRP3 inflammasome [ 98 , 99 , 100 , 101 , 102 , 105 , 107 ].”  [PMC11939635 ¶35]</w:t>
      </w:r>
    </w:p>
    <w:p>
      <w:pPr>
        <w:spacing w:after="120"/>
        <w:jc w:val="both"/>
      </w:pPr>
      <w:r>
        <w:rPr>
          <w:rFonts w:ascii="Times New Roman" w:hAnsi="Times New Roman" w:cs="Times New Roman" w:eastAsia="Times New Roman"/>
          <w:b w:val="0"/>
          <w:i w:val="0"/>
          <w:sz w:val="24"/>
        </w:rPr>
        <w:t>“Persistent stimulation of P2X7R results in the formation of nonselective membrane pores, allowing molecules up to 900 kDa to pass through. This ultimately leads to membrane disruption and apoptotic cell death [ 108 ]. P2X7R is expressed in ECs, predominantly localized on their apical membrane, and is implicated in ED under various stress conditions [ 94 , 98 , 100 ]. Indeed, K + leakage is a common event in NLRP3 activation; the mechanism involves NIMA-related kinase 7 (NEK7), which directly binds to NLRP3, intervening in both its oligomerization and activation [ 99 , 102 ]. Figure 2 Key molecular mechanisms linking endothelial dysfunction, NLRP3 inflammasome, and cardiovascular diseases (CVDs). Schematic illustration of the pathways and factors contributing to endothelial dysfunction and the progression of CVDs. The activation of the NLRP3 inflammasome by PAMPs, DAMPs, and hemodynamic alterations triggers the production of inflammatory cytokines (e.g., IL-1\u03b2, IL-18) via caspase-1 activation and GSDMD pore formation.”  [PMC11939635 ¶36]</w:t>
      </w:r>
    </w:p>
    <w:p>
      <w:pPr>
        <w:spacing w:after="120"/>
        <w:jc w:val="both"/>
      </w:pPr>
      <w:r>
        <w:rPr>
          <w:rFonts w:ascii="Times New Roman" w:hAnsi="Times New Roman" w:cs="Times New Roman" w:eastAsia="Times New Roman"/>
          <w:b w:val="0"/>
          <w:i w:val="0"/>
          <w:sz w:val="24"/>
        </w:rPr>
        <w:t>“Key mediators such as ROS, RNS, high glucose, trimethylamine N-oxide (TMAO), and adipokines (i.e., visfatin), leading to NF-\u03baB activation, further exacerbate the inflammatory response. Endothelial dysfunction is also associated with metabolic syndrome and ischemia/reperfusion injury (IRI), including the no-reflow phenomenon. The main pathways are highlighted in red; additional pathways (e.g., high glucose and eNOS downregulation) are shown in blue; and the pathway activated by adipokines is marked in green. Arrow colors correspond to their respective pathways. The protective pathway, Nrf2 activation, is included to illustrate hormesis and highlight its potential as a therapeutic target. The triggered inflammatory response determines the activation of the NLRP3 inflammasome capable of promoting, with the cytokines produced, both oxidative stress and further inflammatory processes [ 7 ].”  [PMC11939635 ¶37]</w:t>
      </w:r>
    </w:p>
    <w:p>
      <w:pPr>
        <w:spacing w:after="120"/>
        <w:jc w:val="both"/>
      </w:pPr>
      <w:r>
        <w:rPr>
          <w:rFonts w:ascii="Times New Roman" w:hAnsi="Times New Roman" w:cs="Times New Roman" w:eastAsia="Times New Roman"/>
          <w:b w:val="0"/>
          <w:i w:val="0"/>
          <w:sz w:val="24"/>
        </w:rPr>
        <w:t>“The formed NLRP3 inflammasome activates pro-caspase 1 to caspase 1, which in turn activates two cytokines, pro-IL-1\u03b2 and inert pro-IL-18, to active IL-1\u03b2 and IL-18, releasing them into the extracellular space [ 8 ] ( Figure 2 ). In addition to NLRP3, NLRP1 and its absence in melanoma 2 have also been reported to be involved in the onset of ED [ 109 ]. The consequence of inflammasome activation is the triggering of secondary inflammatory mediators, such as IL-6 and C-reactive protein [ 110 ], leading to pyroptosis [ 111 , 112 , 113 ]. At the endothelial level, IL-1\u03b2 leads to the secretion of adhesion molecules and chemokines, further increasing the inflammatory response. A vicious circle is therefore triggered that culminates in ED [ 98 , 112 , 113 , 114 , 115 ]. The action of caspase-1 is not limited to the activation of cytokines, but is also able to activate gasdermin D (GSDMD) resulting in membrane pore formation, cell death, and pyroptosis ( Figure 2 ) [ 111 , 112 ].”  [PMC11939635 ¶38]</w:t>
      </w:r>
    </w:p>
    <w:p>
      <w:pPr>
        <w:spacing w:after="120"/>
        <w:jc w:val="both"/>
      </w:pPr>
      <w:r>
        <w:rPr>
          <w:rFonts w:ascii="Times New Roman" w:hAnsi="Times New Roman" w:cs="Times New Roman" w:eastAsia="Times New Roman"/>
          <w:b w:val="0"/>
          <w:i w:val="0"/>
          <w:sz w:val="24"/>
        </w:rPr>
        <w:t>“Following activation by caspase-1, the GSDMD molecule undergoes oligomerization with the formation of pores at the membrane level, causing both cellular swelling and the release of intracellular components [ 98 , 116 , 117 , 118 , 119 ]. The released molecules amplify inflammation, acting as DAMPs. At the endothelial level, the action of the inflammasome not only causes endothelial dysfunction, which is the initial step, but cell death is also observed, causing the serious damage in the vascular system present in pathologies such as diabetic retinopathy and atherosclerosis, to name a few [ 109 , 113 , 114 ]. Mechanical stimuli, such as changes in blood flow, can activate NLRP3 in ECs, which are highly sensitive to hemodynamic variations ( Figure 2 ). Indeed, flow alterations act as mechanosensory triggers, driving processes like vascular remodeling. These changes also induce increased NLRP3 expression in ECs via the activation of two key proteins: sterol regulatory element-binding protein 2 and forkhead box P (Foxp) [ 114 ].”  [PMC11939635 ¶39]</w:t>
      </w:r>
    </w:p>
    <w:p>
      <w:pPr>
        <w:spacing w:after="120"/>
        <w:jc w:val="both"/>
      </w:pPr>
      <w:r>
        <w:rPr>
          <w:rFonts w:ascii="Times New Roman" w:hAnsi="Times New Roman" w:cs="Times New Roman" w:eastAsia="Times New Roman"/>
          <w:b w:val="0"/>
          <w:i w:val="0"/>
          <w:sz w:val="24"/>
        </w:rPr>
        <w:t>“In these conditions, the latter appears to be down-regulated following the reduction of Kr\u00fcppel-like factor 2 (KLF2) [ 114 ]. In mouse lung ECs, mechanical stretching has been shown to activate NLRP3 and induce endothelial-to-mesenchymal transition (EndoMT), as further confirmed by studies using NLRP3 knockout mouse models [ 114 , 115 ]. Activation of the NLRP3 complex at the endothelial level may involve abnormal circulating molecules, such as TMAO, derived from dietary choline associated with atherosclerosis. This molecule determines NLRP3 priming/activation both by cathepsin B and oxidative stress ( Figure 2 ) [ 116 , 117 , 118 , 119 ]. In the presence of high glucose levels, endothelial activation of the NLRP3 inflammasome has been observed, both in terms of cytokines IL-1\u03b2 and IL-18, and related factors such as microtubule-affinity regulating kinase-4 (MARK4), toll-like receptors (TLRs), and/or increased nuclear translocation of the transcription factor NF-\u03baB [ 94 , 119 , 120 ].”  [PMC11939635 ¶40]</w:t>
      </w:r>
    </w:p>
    <w:p>
      <w:pPr>
        <w:spacing w:after="120"/>
        <w:jc w:val="both"/>
      </w:pPr>
      <w:r>
        <w:rPr>
          <w:rFonts w:ascii="Times New Roman" w:hAnsi="Times New Roman" w:cs="Times New Roman" w:eastAsia="Times New Roman"/>
          <w:b w:val="0"/>
          <w:i w:val="0"/>
          <w:sz w:val="24"/>
        </w:rPr>
        <w:t>“Recently, in a hypertensive rat model, it was observed that cystathionine \u03b3-lyase (CSE) levels were significantly reduced while NLRP3, caspase-1, and related cytokines were elevated compared to the control model. This scenario was reversed by the exogenous administration of the hydrogen sulfide (H 2 S) donor sodium hydrosulfide (NaHS), which effectively mitigated endothelial damage by targeting NLRP3 activation and reducing oxidative stress. Similar protective data by NaSH were observed in human umbilical vein ECs pretreated with angiotensin II [ 121 ]. Moreover, cystathionine gamma-lyase (CGL) deficiency exacerbates isoprenaline-induced cardiac injury in mice, but this effect was mitigated by an H 2 S donor, which enhanced Sirtuin 1 (SIRT1) expression and its deacetylation activity through S-sulfhydration at zinc finger domains [ 121 , 122 ]. These findings suggest that reduced CGL production, secondary to oxidative stress in human aortic ECs and aorta from atherogenic ApoE \u2212 / \u2212 mice, contributes to ED [ 123 ].”  [PMC11939635 ¶41]</w:t>
      </w:r>
    </w:p>
    <w:p>
      <w:pPr>
        <w:spacing w:after="120"/>
        <w:jc w:val="both"/>
      </w:pPr>
      <w:r>
        <w:rPr>
          <w:rFonts w:ascii="Times New Roman" w:hAnsi="Times New Roman" w:cs="Times New Roman" w:eastAsia="Times New Roman"/>
          <w:b w:val="0"/>
          <w:i w:val="0"/>
          <w:sz w:val="24"/>
        </w:rPr>
        <w:t>“The protective action of H 2 S is not limited to the hypertensive model. In fact, its anti-inflammasome action has also been shown to be protective against ED. In particular, the protective action is carried out through the intervention of the peroxisome proliferator-activated receptor delta (PPAR\u03b4)/SGLT2/phospho-signal transducer and activator of transcription 3 (p-STAT3) pathway [ 124 , 125 ]. The interplay between CSE and the NLRP3 inflammasome can be considered as a yin/yang relationship, where these two elements have opposing but complementary roles in inflammation and cellular homeostasis: their dynamic interaction maintains a fine balance between adequate immune defense and the prevention of excessive, potentially harmful inflammation. The use of MCC950, a specific inhibitor of the NLRP3 inflammasome, reduces the release of the cytokines IL-1\u03b2 and IL-18, following a cyclic stretch in pulmonary microvascular ECs [ 124 ].”  [PMC11939635 ¶42]</w:t>
      </w:r>
    </w:p>
    <w:p>
      <w:pPr>
        <w:spacing w:after="120"/>
        <w:jc w:val="both"/>
      </w:pPr>
      <w:r>
        <w:rPr>
          <w:rFonts w:ascii="Times New Roman" w:hAnsi="Times New Roman" w:cs="Times New Roman" w:eastAsia="Times New Roman"/>
          <w:b w:val="0"/>
          <w:i w:val="0"/>
          <w:sz w:val="24"/>
        </w:rPr>
        <w:t>“Numerous other NLRP3 inhibitors have been explored as potential treatments for ED and CVDs [ 124 , 125 , 126 ] (See also Section 4.3 ); for comprehensive reviews, see [ 9 , 102 , 110 , 127 ]. In summary , ECs undergo activation during inflammation, influenced by cytokines, bacterial toxins, and PAMPs/DAMPs. Factors like ROS/RNS, mechanical stimuli, and abnormal metabolites also trigger NLRP3 inflammasome formation. ROS/RNS, hyperglycemia, and ischemia can prime the NLRP3 inflammasome, which produces cytokines such as IL-1\u03b2 and IL-18, promoting ED. The activated inflammasome triggers cell death through pyroptosis, releasing ILs and DAMPs that further amplify inflammation. Mechanical stimuli, like blood flow changes, can also activate NLRP3 in ECs, contributing to vascular remodeling and endothelial-to-mesenchymal transition. Abnormal molecules like TMAO and high glucose levels also activate NLRP3, worsening endothelial damage.”  [PMC11939635 ¶43]</w:t>
      </w:r>
    </w:p>
    <w:p>
      <w:pPr>
        <w:spacing w:after="120"/>
        <w:jc w:val="both"/>
      </w:pPr>
      <w:r>
        <w:rPr>
          <w:rFonts w:ascii="Times New Roman" w:hAnsi="Times New Roman" w:cs="Times New Roman" w:eastAsia="Times New Roman"/>
          <w:b w:val="0"/>
          <w:i w:val="0"/>
          <w:sz w:val="24"/>
        </w:rPr>
        <w:t>“Besides NLRP3 inhibitors, other protective mechanisms, such as Nrf2 upregulation and H 2 S donors, can reduce NLRP3 activation and mitigate ED, highlighting a complex interplay between inflammatory processes and other cellular pathways contributing to ED. 4. Endothelial Dysfunction and Cardiovascular Diseases Cardiovascular diseases are among the leading causes of mortality worldwide, with their development and progression closely tied to ED [ 9 , 33 , 38 , 86 , 92 , 98 , 110 , 127 ]. ED plays a critical role in the development of CVDs, metabolic syndrome, and related conditions. Aging exacerbates vascular dysfunction, leading to ED via oxidative stress and inflammation, which collectively accelerate the progression of CVDs. The following sections examine the dual role of ED in initiating and advancing CVDs. Moreover, we explore how preclinical aging models contribute to understanding the roles of oxidative stress, inflammation, and NLRP3 inflammasome activation in ED, aging and CVDs. 4.1.”  [PMC11939635 ¶44]</w:t>
      </w:r>
    </w:p>
    <w:p>
      <w:pPr>
        <w:spacing w:after="120"/>
        <w:jc w:val="both"/>
      </w:pPr>
      <w:r>
        <w:rPr>
          <w:rFonts w:ascii="Times New Roman" w:hAnsi="Times New Roman" w:cs="Times New Roman" w:eastAsia="Times New Roman"/>
          <w:b w:val="0"/>
          <w:i w:val="0"/>
          <w:sz w:val="24"/>
        </w:rPr>
        <w:t>“Ischemia Reperfusion Injury, Metabolic Syndrome, and NLRP3 Inflammasome Myocardial IRI damages both cardiomyocytes and vessels. In brief, in cardiomyocytes, during ischemia, lack of O 2 disrupts the mitochondrial respiratory chain, making ATP production inefficient. ATP synthase reverses, consuming ATP to pump protons, and low ATP levels inhibit the Na + /K + ATPase, leading to Na + accumulation and Ca 2+ overload via the Na + /Ca 2+ exchanger. This triggers the activation of lytic enzymes, causing cellular damage and death. Upon reperfusion, oxidative stress, reduced NO synthesis, and ATP resumption exacerbate injury, leading to hypercontracture, membrane rupture, and necrosis. pH restoration and Ca 2+ overload induce mitochondrial permeability transition pores (mPTPs) opening, resulting in a loss of mitochondrial integrity, which plays a pivotal role in various cell death modalities for reviews see, [ 127 , 128 , 129 , 130 , 131 , 132 , 133 ].”  [PMC11939635 ¶45]</w:t>
      </w:r>
    </w:p>
    <w:p>
      <w:pPr>
        <w:spacing w:after="120"/>
        <w:jc w:val="both"/>
      </w:pPr>
      <w:r>
        <w:rPr>
          <w:rFonts w:ascii="Times New Roman" w:hAnsi="Times New Roman" w:cs="Times New Roman" w:eastAsia="Times New Roman"/>
          <w:b w:val="0"/>
          <w:i w:val="0"/>
          <w:sz w:val="24"/>
        </w:rPr>
        <w:t>“Here, we focus on the pivotal role of the NLRP3 inflammasome in myocardial IRI by acting as a central mediator of the inflammatory response and tissue damage. Emerging evidence suggests that NLRP3 activation plays a crucial role in myocardial IRI [ 92 , 110 , 127 , 134 , 135 , 136 , 137 ]. Histological studies have shown the presence of NLRP3 accumulations in cardiomyocytes and endothelial cells within the ischemic region and border zones during the early stages of acute myocardial infarction. Subsequently, leukocyte infiltration and fibroblast activation occur. As inflammation resolves, NLRP3 spots become more prominent in cardiomyocytes and/or fibroblasts [ 135 , 138 ]. NLRP3 activation is triggered by mitochondrial stress, ROS generation, and the release of DAMPs, which amplify inflammation through caspase-1 activation and the subsequent release of pro-inflammatory cytokines, including IL-1\u03b2 and IL-18 [ 92 , 110 , 127 , 134 , 135 , 136 ].”  [PMC11939635 ¶46]</w:t>
      </w:r>
    </w:p>
    <w:p>
      <w:pPr>
        <w:spacing w:after="120"/>
        <w:jc w:val="both"/>
      </w:pPr>
      <w:r>
        <w:rPr>
          <w:rFonts w:ascii="Times New Roman" w:hAnsi="Times New Roman" w:cs="Times New Roman" w:eastAsia="Times New Roman"/>
          <w:b w:val="0"/>
          <w:i w:val="0"/>
          <w:sz w:val="24"/>
        </w:rPr>
        <w:t>“This process contributes to pyroptotic cell death, exacerbating endothelial and myocardial injury following ischemia [ 139 ]. Several studies have demonstrated that NLRP3 inhibition significantly mitigates I/R-induced damage by improving endothelial function and attenuating the inflammatory response [ 92 , 110 , 127 , 140 , 141 , 142 , 143 ]. The majority of the available evidence supports the notion that NLRP3 activation exacerbates myocardial IRI and highlights the therapeutic potential of targeting NLRP3 in the context of IRI. However, Sandanger et al. [ 144 ] observed a similar increased infarct size in both NLRP3 (\u2212/\u2212) and ASC (\u2212/\u2212) mice. ASC (Apoptosis-associated Speck-like protein containing a CARD) is an adaptor protein that plays a crucial role in the activation of the inflammasome. This observation led the authors to propose a cardioprotective role for the NLRP3 inflammasome in myocardial IRI, concluding that targeting NLRP3 or ASC may not be beneficial in the context of acute myocardial infarction and revascularization therapy [ 144 ].”  [PMC11939635 ¶47]</w:t>
      </w:r>
    </w:p>
    <w:p>
      <w:pPr>
        <w:spacing w:after="120"/>
        <w:jc w:val="both"/>
      </w:pPr>
      <w:r>
        <w:rPr>
          <w:rFonts w:ascii="Times New Roman" w:hAnsi="Times New Roman" w:cs="Times New Roman" w:eastAsia="Times New Roman"/>
          <w:b w:val="0"/>
          <w:i w:val="0"/>
          <w:sz w:val="24"/>
        </w:rPr>
        <w:t>“Nevertheless, as pointed out by Toldo et al. [ 145 ], this conclusion is not fully supported by the data, as troponin I levels\u2014an indicator of myocardial damage\u2014remained comparable between treated and control groups after 24 h of reperfusion, in Sandanger et al.\u2019s study [ 144 ]. Consistent with a causative role of NLRP3 inflammasome in myocardial IRI, we demonstrated that mice subjected to a high-fat, high-fructose diet for 12 weeks exhibited increased NLRP3 expression alongside markers of oxidative metabolism, while simultaneously showing a downregulation of key components of the RISK (Reperfusion Injury Salvage Kinase) pathway. When these hearts were subjected to an ex vivo I/R protocol, they displayed larger infarcts and greater lactate dehydrogenase release compared to controls [ 146 ]. More recently, using INF200, a 1,3,4-oxadiazol-2-one NLRP3 inhibitor, we were able to efficiently reduce cardiac IRI and metabolic complications in an in vivo model of diet-induced metaflammation [ 126 ].”  [PMC11939635 ¶48]</w:t>
      </w:r>
    </w:p>
    <w:p>
      <w:pPr>
        <w:spacing w:after="120"/>
        <w:jc w:val="both"/>
      </w:pPr>
      <w:r>
        <w:rPr>
          <w:rFonts w:ascii="Times New Roman" w:hAnsi="Times New Roman" w:cs="Times New Roman" w:eastAsia="Times New Roman"/>
          <w:b w:val="0"/>
          <w:i w:val="0"/>
          <w:sz w:val="24"/>
        </w:rPr>
        <w:t>“Indeed, a link between metabolic syndrome, ED, and NLRP3 inflammasome activation as major risk factors for IRI, increasing cardiovascular vulnerability to ischemic events, is established. In particular, obesity induces vascular dysfunction through chronic low-grade inflammation and excessive ROS production, leading to ED and reduced NO bioavailability [ 147 ]. Moreover, insulin resistance associated with metabolic syndrome impairs cellular signaling and compromises the ability of myocardium to adapt to ischemic stress [ 148 ]. Recent studies suggest that systemic inflammation and metabolic alterations in individuals with metabolic syndrome exacerbate IRI by intensifying the inflammatory response and promoting maladaptive tissue remodeling [ 126 , 149 ]. Therefore, targeted interventions aimed at modulating NLRP3 inflammasome and oxidative stress may offer promising strategies to mitigate ischemic damage in patients with metabolic syndrome.”  [PMC11939635 ¶49]</w:t>
      </w:r>
    </w:p>
    <w:p>
      <w:pPr>
        <w:spacing w:after="120"/>
        <w:jc w:val="both"/>
      </w:pPr>
      <w:r>
        <w:rPr>
          <w:rFonts w:ascii="Times New Roman" w:hAnsi="Times New Roman" w:cs="Times New Roman" w:eastAsia="Times New Roman"/>
          <w:b w:val="0"/>
          <w:i w:val="0"/>
          <w:sz w:val="24"/>
        </w:rPr>
        <w:t>“Ischemia Reperfusion Injury and No-Reflow Phenomenon Relevant to the concept of ED, it is important to note that IRI affects not only cardiomyocytes but also the coronary circulation, leading to a cascade of harmful events. These include the release of soluble factors from the damaged vessel, microembolization of debris, endothelial damage with increased permeability and edema, platelet activation, leukocyte adhesion, erythrocyte stasis, and a transition from vasodilation to vasoconstriction. These processes culminate in structural capillary damage, resulting in microvascular obstruction, intramyocardial hemorrhage, and the no-reflow phenomenon [ 127 , 150 ]. This phenomenon remains a major challenge, independently worsening prognosis regardless of infarct size. While advanced imaging techniques can now detect microvascular obstruction and intramyocardial hemorrhage with precision, effective therapeutic options for these complications are still lacking.”  [PMC11939635 ¶50]</w:t>
      </w:r>
    </w:p>
    <w:p>
      <w:pPr>
        <w:spacing w:after="120"/>
        <w:jc w:val="both"/>
      </w:pPr>
      <w:r>
        <w:rPr>
          <w:rFonts w:ascii="Times New Roman" w:hAnsi="Times New Roman" w:cs="Times New Roman" w:eastAsia="Times New Roman"/>
          <w:b w:val="0"/>
          <w:i w:val="0"/>
          <w:sz w:val="24"/>
        </w:rPr>
        <w:t>“In these conditions, the \u201cno-reflow\u201d occurs at the vascular level, where ED is occurring. According to Eeckhout and Kern, the no-reflow phenomenon is defined as \u201cinadequate myocardial perfusion through a given segment of the coronary circulation without angiographic evidence of mechanical obstruction\u201d [ 150 ]. Following ischemia and subsequent reperfusion, a reduced production of NO is observed, which characterizes ED, and a greater expression of adhesion molecules is recorded, which in turn facilitates the infiltration of leukocytes. The final result is the \u201cno-reflow phenomenon\u201d, accompanied by a lack of NO and an excess of RNS [ 127 , 150 ]. The result is vasoconstriction and formation of microthrombi, as well as activation of NF-\u03baB, which is necessary for the expression/activation of NLRP3 ( Figure 2 ). Indeed, oxidative stress also activates the vascular NLRP3 inflammasome, worsening endothelial dysfunction, the no-reflow phenomenon, and tissue damage during reperfusion [ 64 , 65 , 66 ].”  [PMC11939635 ¶51]</w:t>
      </w:r>
    </w:p>
    <w:p>
      <w:pPr>
        <w:spacing w:after="120"/>
        <w:jc w:val="both"/>
      </w:pPr>
      <w:r>
        <w:rPr>
          <w:rFonts w:ascii="Times New Roman" w:hAnsi="Times New Roman" w:cs="Times New Roman" w:eastAsia="Times New Roman"/>
          <w:b w:val="0"/>
          <w:i w:val="0"/>
          <w:sz w:val="24"/>
        </w:rPr>
        <w:t>“From the inflammatory point of view, the role played by lymphocytes has been studied by several authors, who agreed that approximately 2 min after reperfusion an accumulation of T lymphocytes occurs. This was confirmed by using knockout mice devoid of mature lymphocytes, which showed reduced IRI. The damages were restored after the transfusion of mature lymphocytes into these animals [ 150 , 151 , 152 ]. Nevertheless, several in vitro and ex vivo studies, conducted in th”  [PMC11939635 ¶52]</w:t>
      </w:r>
    </w:p>
    <w:p>
      <w:pPr>
        <w:keepNext/>
        <w:spacing w:before="280" w:after="80"/>
        <w:outlineLvl w:val="1"/>
      </w:pPr>
      <w:r>
        <w:rPr>
          <w:rFonts w:ascii="Times New Roman" w:hAnsi="Times New Roman" w:cs="Times New Roman" w:eastAsia="Times New Roman"/>
          <w:b/>
          <w:i w:val="0"/>
          <w:color w:val="335588"/>
          <w:sz w:val="28"/>
        </w:rPr>
        <w:t>11.12  [12] Distinct DNA repair mechanisms prevent formaldehyde toxicity during development, reproduction and aging</w:t>
      </w:r>
    </w:p>
    <w:p>
      <w:pPr>
        <w:spacing w:after="80"/>
        <w:jc w:val="both"/>
      </w:pPr>
      <w:r>
        <w:rPr>
          <w:rFonts w:ascii="Times New Roman" w:hAnsi="Times New Roman" w:cs="Times New Roman" w:eastAsia="Times New Roman"/>
          <w:b w:val="0"/>
          <w:i/>
          <w:sz w:val="22"/>
        </w:rPr>
        <w:t>Bibliographic identifiers — PMCID: PMC11317141; PMID: 38894680; DOI: 10.1093/nar/gkae519; Journal: Nucleic Acids Research; Year: 2024.</w:t>
      </w:r>
    </w:p>
    <w:p>
      <w:pPr>
        <w:spacing w:after="80"/>
        <w:jc w:val="both"/>
      </w:pPr>
      <w:r>
        <w:rPr>
          <w:rFonts w:ascii="Times New Roman" w:hAnsi="Times New Roman" w:cs="Times New Roman" w:eastAsia="Times New Roman"/>
          <w:b w:val="0"/>
          <w:i w:val="0"/>
          <w:sz w:val="22"/>
        </w:rPr>
        <w:t>Retrieval — full JATS XML via NCBI efetch db=pmc rettype=xml. Body text length: 47,897 characters; structured tables: 2; figures: 0; references: 34. Supplementary body text also harvested via MCP fetch_pmc_article: 0 characters, 0 verbatim paragraphs reproduced below.</w:t>
      </w:r>
    </w:p>
    <w:p>
      <w:pPr>
        <w:spacing w:after="80"/>
        <w:jc w:val="both"/>
      </w:pPr>
      <w:r>
        <w:rPr>
          <w:rFonts w:ascii="Times New Roman" w:hAnsi="Times New Roman" w:cs="Times New Roman" w:eastAsia="Times New Roman"/>
          <w:b/>
          <w:i w:val="0"/>
          <w:sz w:val="22"/>
        </w:rPr>
        <w:t>Verbatim abstract (from JATS XML):</w:t>
      </w:r>
    </w:p>
    <w:p>
      <w:pPr>
        <w:spacing w:after="80"/>
        <w:jc w:val="both"/>
      </w:pPr>
      <w:r>
        <w:rPr>
          <w:rFonts w:ascii="Times New Roman" w:hAnsi="Times New Roman" w:cs="Times New Roman" w:eastAsia="Times New Roman"/>
          <w:b w:val="0"/>
          <w:i/>
          <w:sz w:val="24"/>
        </w:rPr>
        <w:t>“Abstract Formaldehyde (FA) is a recognized environmental and metabolic toxin implicated in cancer development and aging. Inherited mutations in the FA-detoxifying enzymes ADH5 and ALDH2 genes lead to FA overload in the severe multisystem AMeD syndrome. FA accumulation causes genome damage including DNA–protein-, inter- and intra-strand crosslinks and oxidative lesions. However, the influence of distinct DNA repair systems on organismal FA resistance remains elusive. We have here investigated the consequence of a range of DNA repair mutants in a model of endogenous FA overload generated by downregulating the orthologs of human ADH5 and ALDH2 in C. elegans . We have focused on the distinct components of nucleotide excision repair (NER) during developmental growth, reproduction and aging. Our results reveal three distinct modes of repair of FA-induced DNA damage: Transcription-coupled repair (TCR) operating NER-independently during developmental growth or through NER during adulthood, and, in concert with global-genome (GG-) NER, in the germline and early embryonic development. Additionally, we show that the Cockayne syndrome B (CSB) factor is involved in the resolution of FA-induced DNA–protein crosslinks, and that the antioxidant and FA quencher N -acetyl- l -cysteine (NAC) reverses the sensitivity of detoxification and DNA repair defects during development, suggesting a therapeutic intervention to revert FA-pathogenic consequences.”</w:t>
      </w:r>
    </w:p>
    <w:p>
      <w:pPr>
        <w:keepNext/>
        <w:spacing w:before="160" w:after="40"/>
        <w:jc w:val="left"/>
      </w:pPr>
      <w:r>
        <w:rPr>
          <w:rFonts w:ascii="Times New Roman" w:hAnsi="Times New Roman" w:cs="Times New Roman" w:eastAsia="Times New Roman"/>
          <w:b/>
          <w:i w:val="0"/>
          <w:sz w:val="22"/>
        </w:rPr>
        <w:t>Reproduced verbatim from PMC11317141 — —</w:t>
      </w:r>
    </w:p>
    <w:tbl>
      <w:tblPr>
        <w:tblStyle w:val="TableGrid"/>
        <w:tblW w:type="auto" w:w="0"/>
        <w:tblLayout w:type="fixed"/>
        <w:tblLook w:firstColumn="1" w:firstRow="1" w:lastColumn="0" w:lastRow="0" w:noHBand="0" w:noVBand="1" w:val="04A0"/>
      </w:tblPr>
      <w:tblGrid>
        <w:gridCol w:w="4680"/>
        <w:gridCol w:w="4680"/>
      </w:tblGrid>
      <w:tr>
        <w:tc>
          <w:tcPr>
            <w:tcW w:type="dxa" w:w="4680"/>
            <w:shd w:fill="DDE4EF"/>
          </w:tcPr>
          <w:p>
            <w:r/>
            <w:r>
              <w:rPr>
                <w:rFonts w:ascii="Times New Roman" w:hAnsi="Times New Roman" w:cs="Times New Roman" w:eastAsia="Times New Roman"/>
                <w:b/>
                <w:i w:val="0"/>
                <w:sz w:val="22"/>
              </w:rPr>
              <w:t>Cell line ID</w:t>
            </w:r>
          </w:p>
        </w:tc>
        <w:tc>
          <w:tcPr>
            <w:tcW w:type="dxa" w:w="4680"/>
            <w:shd w:fill="DDE4EF"/>
          </w:tcPr>
          <w:p>
            <w:r/>
            <w:r>
              <w:rPr>
                <w:rFonts w:ascii="Times New Roman" w:hAnsi="Times New Roman" w:cs="Times New Roman" w:eastAsia="Times New Roman"/>
                <w:b/>
                <w:i w:val="0"/>
                <w:sz w:val="22"/>
              </w:rPr>
              <w:t>Information</w:t>
            </w:r>
          </w:p>
        </w:tc>
      </w:tr>
      <w:tr>
        <w:tc>
          <w:tcPr>
            <w:tcW w:type="dxa" w:w="4680"/>
          </w:tcPr>
          <w:p>
            <w:r/>
            <w:r>
              <w:rPr>
                <w:rFonts w:ascii="Times New Roman" w:hAnsi="Times New Roman" w:cs="Times New Roman" w:eastAsia="Times New Roman"/>
                <w:b w:val="0"/>
                <w:i w:val="0"/>
                <w:sz w:val="22"/>
              </w:rPr>
              <w:t>GM00637</w:t>
            </w:r>
          </w:p>
        </w:tc>
        <w:tc>
          <w:tcPr>
            <w:tcW w:type="dxa" w:w="4680"/>
          </w:tcPr>
          <w:p>
            <w:r/>
            <w:r>
              <w:rPr>
                <w:rFonts w:ascii="Times New Roman" w:hAnsi="Times New Roman" w:cs="Times New Roman" w:eastAsia="Times New Roman"/>
                <w:b w:val="0"/>
                <w:i w:val="0"/>
                <w:sz w:val="22"/>
              </w:rPr>
              <w:t>Apparently healthy transformed fibroblasts</w:t>
            </w:r>
          </w:p>
        </w:tc>
      </w:tr>
      <w:tr>
        <w:tc>
          <w:tcPr>
            <w:tcW w:type="dxa" w:w="4680"/>
          </w:tcPr>
          <w:p>
            <w:r/>
            <w:r>
              <w:rPr>
                <w:rFonts w:ascii="Times New Roman" w:hAnsi="Times New Roman" w:cs="Times New Roman" w:eastAsia="Times New Roman"/>
                <w:b w:val="0"/>
                <w:i w:val="0"/>
                <w:sz w:val="22"/>
              </w:rPr>
              <w:t>GM01712</w:t>
            </w:r>
          </w:p>
        </w:tc>
        <w:tc>
          <w:tcPr>
            <w:tcW w:type="dxa" w:w="4680"/>
          </w:tcPr>
          <w:p>
            <w:r/>
            <w:r>
              <w:rPr>
                <w:rFonts w:ascii="Times New Roman" w:hAnsi="Times New Roman" w:cs="Times New Roman" w:eastAsia="Times New Roman"/>
                <w:b w:val="0"/>
                <w:i w:val="0"/>
                <w:sz w:val="22"/>
              </w:rPr>
              <w:t>Cockayne syndrome, type b; CSB, EBV-lymphoblastic cells</w:t>
            </w:r>
          </w:p>
        </w:tc>
      </w:tr>
      <w:tr>
        <w:tc>
          <w:tcPr>
            <w:tcW w:type="dxa" w:w="4680"/>
          </w:tcPr>
          <w:p>
            <w:r/>
            <w:r>
              <w:rPr>
                <w:rFonts w:ascii="Times New Roman" w:hAnsi="Times New Roman" w:cs="Times New Roman" w:eastAsia="Times New Roman"/>
                <w:b w:val="0"/>
                <w:i w:val="0"/>
                <w:sz w:val="22"/>
              </w:rPr>
              <w:t>GM04312</w:t>
            </w:r>
          </w:p>
        </w:tc>
        <w:tc>
          <w:tcPr>
            <w:tcW w:type="dxa" w:w="4680"/>
          </w:tcPr>
          <w:p>
            <w:r/>
            <w:r>
              <w:rPr>
                <w:rFonts w:ascii="Times New Roman" w:hAnsi="Times New Roman" w:cs="Times New Roman" w:eastAsia="Times New Roman"/>
                <w:b w:val="0"/>
                <w:i w:val="0"/>
                <w:sz w:val="22"/>
              </w:rPr>
              <w:t>Xeroderma pigmentosum, complementation group A, transformed fibroblasts</w:t>
            </w:r>
          </w:p>
        </w:tc>
      </w:tr>
      <w:tr>
        <w:tc>
          <w:tcPr>
            <w:tcW w:type="dxa" w:w="4680"/>
          </w:tcPr>
          <w:p>
            <w:r/>
            <w:r>
              <w:rPr>
                <w:rFonts w:ascii="Times New Roman" w:hAnsi="Times New Roman" w:cs="Times New Roman" w:eastAsia="Times New Roman"/>
                <w:b w:val="0"/>
                <w:i w:val="0"/>
                <w:sz w:val="22"/>
              </w:rPr>
              <w:t>GM06914</w:t>
            </w:r>
          </w:p>
        </w:tc>
        <w:tc>
          <w:tcPr>
            <w:tcW w:type="dxa" w:w="4680"/>
          </w:tcPr>
          <w:p>
            <w:r/>
            <w:r>
              <w:rPr>
                <w:rFonts w:ascii="Times New Roman" w:hAnsi="Times New Roman" w:cs="Times New Roman" w:eastAsia="Times New Roman"/>
                <w:b w:val="0"/>
                <w:i w:val="0"/>
                <w:sz w:val="22"/>
              </w:rPr>
              <w:t>Fanconi anemia, complementation group A, transformed fibroblasts</w:t>
            </w:r>
          </w:p>
        </w:tc>
      </w:tr>
      <w:tr>
        <w:tc>
          <w:tcPr>
            <w:tcW w:type="dxa" w:w="4680"/>
          </w:tcPr>
          <w:p>
            <w:r/>
            <w:r>
              <w:rPr>
                <w:rFonts w:ascii="Times New Roman" w:hAnsi="Times New Roman" w:cs="Times New Roman" w:eastAsia="Times New Roman"/>
                <w:b w:val="0"/>
                <w:i w:val="0"/>
                <w:sz w:val="22"/>
              </w:rPr>
              <w:t>GM09942</w:t>
            </w:r>
          </w:p>
        </w:tc>
        <w:tc>
          <w:tcPr>
            <w:tcW w:type="dxa" w:w="4680"/>
          </w:tcPr>
          <w:p>
            <w:r/>
            <w:r>
              <w:rPr>
                <w:rFonts w:ascii="Times New Roman" w:hAnsi="Times New Roman" w:cs="Times New Roman" w:eastAsia="Times New Roman"/>
                <w:b w:val="0"/>
                <w:i w:val="0"/>
                <w:sz w:val="22"/>
              </w:rPr>
              <w:t>Xeroderma pigmentosum, complementation group C, EBV-lymphoblastic cells</w:t>
            </w:r>
          </w:p>
        </w:tc>
      </w:tr>
      <w:tr>
        <w:tc>
          <w:tcPr>
            <w:tcW w:type="dxa" w:w="4680"/>
          </w:tcPr>
          <w:p>
            <w:r/>
            <w:r>
              <w:rPr>
                <w:rFonts w:ascii="Times New Roman" w:hAnsi="Times New Roman" w:cs="Times New Roman" w:eastAsia="Times New Roman"/>
                <w:b w:val="0"/>
                <w:i w:val="0"/>
                <w:sz w:val="22"/>
              </w:rPr>
              <w:t>GM12496</w:t>
            </w:r>
          </w:p>
        </w:tc>
        <w:tc>
          <w:tcPr>
            <w:tcW w:type="dxa" w:w="4680"/>
          </w:tcPr>
          <w:p>
            <w:r/>
            <w:r>
              <w:rPr>
                <w:rFonts w:ascii="Times New Roman" w:hAnsi="Times New Roman" w:cs="Times New Roman" w:eastAsia="Times New Roman"/>
                <w:b w:val="0"/>
                <w:i w:val="0"/>
                <w:sz w:val="22"/>
              </w:rPr>
              <w:t>Cockayne syndrome, type A; EBV-lymphoblastic cells</w:t>
            </w:r>
          </w:p>
        </w:tc>
      </w:tr>
      <w:tr>
        <w:tc>
          <w:tcPr>
            <w:tcW w:type="dxa" w:w="4680"/>
          </w:tcPr>
          <w:p>
            <w:r/>
            <w:r>
              <w:rPr>
                <w:rFonts w:ascii="Times New Roman" w:hAnsi="Times New Roman" w:cs="Times New Roman" w:eastAsia="Times New Roman"/>
                <w:b w:val="0"/>
                <w:i w:val="0"/>
                <w:sz w:val="22"/>
              </w:rPr>
              <w:t>GM13022</w:t>
            </w:r>
          </w:p>
        </w:tc>
        <w:tc>
          <w:tcPr>
            <w:tcW w:type="dxa" w:w="4680"/>
          </w:tcPr>
          <w:p>
            <w:r/>
            <w:r>
              <w:rPr>
                <w:rFonts w:ascii="Times New Roman" w:hAnsi="Times New Roman" w:cs="Times New Roman" w:eastAsia="Times New Roman"/>
                <w:b w:val="0"/>
                <w:i w:val="0"/>
                <w:sz w:val="22"/>
              </w:rPr>
              <w:t>Fanconi anemia, complementation group A, EBV-lymphoblastic cells</w:t>
            </w:r>
          </w:p>
        </w:tc>
      </w:tr>
      <w:tr>
        <w:tc>
          <w:tcPr>
            <w:tcW w:type="dxa" w:w="4680"/>
          </w:tcPr>
          <w:p>
            <w:r/>
            <w:r>
              <w:rPr>
                <w:rFonts w:ascii="Times New Roman" w:hAnsi="Times New Roman" w:cs="Times New Roman" w:eastAsia="Times New Roman"/>
                <w:b w:val="0"/>
                <w:i w:val="0"/>
                <w:sz w:val="22"/>
              </w:rPr>
              <w:t>GM13295</w:t>
            </w:r>
          </w:p>
        </w:tc>
        <w:tc>
          <w:tcPr>
            <w:tcW w:type="dxa" w:w="4680"/>
          </w:tcPr>
          <w:p>
            <w:r/>
            <w:r>
              <w:rPr>
                <w:rFonts w:ascii="Times New Roman" w:hAnsi="Times New Roman" w:cs="Times New Roman" w:eastAsia="Times New Roman"/>
                <w:b w:val="0"/>
                <w:i w:val="0"/>
                <w:sz w:val="22"/>
              </w:rPr>
              <w:t>Xeroderma pigmentosum, complementation group A, EBV-lymphoblastic cells</w:t>
            </w:r>
          </w:p>
        </w:tc>
      </w:tr>
      <w:tr>
        <w:tc>
          <w:tcPr>
            <w:tcW w:type="dxa" w:w="4680"/>
          </w:tcPr>
          <w:p>
            <w:r/>
            <w:r>
              <w:rPr>
                <w:rFonts w:ascii="Times New Roman" w:hAnsi="Times New Roman" w:cs="Times New Roman" w:eastAsia="Times New Roman"/>
                <w:b w:val="0"/>
                <w:i w:val="0"/>
                <w:sz w:val="22"/>
              </w:rPr>
              <w:t>GM15983</w:t>
            </w:r>
          </w:p>
        </w:tc>
        <w:tc>
          <w:tcPr>
            <w:tcW w:type="dxa" w:w="4680"/>
          </w:tcPr>
          <w:p>
            <w:r/>
            <w:r>
              <w:rPr>
                <w:rFonts w:ascii="Times New Roman" w:hAnsi="Times New Roman" w:cs="Times New Roman" w:eastAsia="Times New Roman"/>
                <w:b w:val="0"/>
                <w:i w:val="0"/>
                <w:sz w:val="22"/>
              </w:rPr>
              <w:t>Xeroderma pigmentosum, complementation group C, transformed fibroblasts</w:t>
            </w:r>
          </w:p>
        </w:tc>
      </w:tr>
      <w:tr>
        <w:tc>
          <w:tcPr>
            <w:tcW w:type="dxa" w:w="4680"/>
          </w:tcPr>
          <w:p>
            <w:r/>
            <w:r>
              <w:rPr>
                <w:rFonts w:ascii="Times New Roman" w:hAnsi="Times New Roman" w:cs="Times New Roman" w:eastAsia="Times New Roman"/>
                <w:b w:val="0"/>
                <w:i w:val="0"/>
                <w:sz w:val="22"/>
              </w:rPr>
              <w:t>GM16094</w:t>
            </w:r>
          </w:p>
        </w:tc>
        <w:tc>
          <w:tcPr>
            <w:tcW w:type="dxa" w:w="4680"/>
          </w:tcPr>
          <w:p>
            <w:r/>
            <w:r>
              <w:rPr>
                <w:rFonts w:ascii="Times New Roman" w:hAnsi="Times New Roman" w:cs="Times New Roman" w:eastAsia="Times New Roman"/>
                <w:b w:val="0"/>
                <w:i w:val="0"/>
                <w:sz w:val="22"/>
              </w:rPr>
              <w:t>Cockayne syndrome, type A; CSA transformed fibroblasts</w:t>
            </w:r>
          </w:p>
        </w:tc>
      </w:tr>
      <w:tr>
        <w:tc>
          <w:tcPr>
            <w:tcW w:type="dxa" w:w="4680"/>
          </w:tcPr>
          <w:p>
            <w:r/>
            <w:r>
              <w:rPr>
                <w:rFonts w:ascii="Times New Roman" w:hAnsi="Times New Roman" w:cs="Times New Roman" w:eastAsia="Times New Roman"/>
                <w:b w:val="0"/>
                <w:i w:val="0"/>
                <w:sz w:val="22"/>
              </w:rPr>
              <w:t>GM16095</w:t>
            </w:r>
          </w:p>
        </w:tc>
        <w:tc>
          <w:tcPr>
            <w:tcW w:type="dxa" w:w="4680"/>
          </w:tcPr>
          <w:p>
            <w:r/>
            <w:r>
              <w:rPr>
                <w:rFonts w:ascii="Times New Roman" w:hAnsi="Times New Roman" w:cs="Times New Roman" w:eastAsia="Times New Roman"/>
                <w:b w:val="0"/>
                <w:i w:val="0"/>
                <w:sz w:val="22"/>
              </w:rPr>
              <w:t>Cockayne syndrome, type B; CSB transformed fibroblasts</w:t>
            </w:r>
          </w:p>
        </w:tc>
      </w:tr>
      <w:tr>
        <w:tc>
          <w:tcPr>
            <w:tcW w:type="dxa" w:w="4680"/>
          </w:tcPr>
          <w:p>
            <w:r/>
            <w:r>
              <w:rPr>
                <w:rFonts w:ascii="Times New Roman" w:hAnsi="Times New Roman" w:cs="Times New Roman" w:eastAsia="Times New Roman"/>
                <w:b w:val="0"/>
                <w:i w:val="0"/>
                <w:sz w:val="22"/>
              </w:rPr>
              <w:t>GM26200</w:t>
            </w:r>
          </w:p>
        </w:tc>
        <w:tc>
          <w:tcPr>
            <w:tcW w:type="dxa" w:w="4680"/>
          </w:tcPr>
          <w:p>
            <w:r/>
            <w:r>
              <w:rPr>
                <w:rFonts w:ascii="Times New Roman" w:hAnsi="Times New Roman" w:cs="Times New Roman" w:eastAsia="Times New Roman"/>
                <w:b w:val="0"/>
                <w:i w:val="0"/>
                <w:sz w:val="22"/>
              </w:rPr>
              <w:t>Apparently healthy individual; EBV-lymphoblastic cells</w:t>
            </w:r>
          </w:p>
        </w:tc>
      </w:tr>
    </w:tbl>
    <w:p>
      <w:pPr>
        <w:spacing w:after="80"/>
        <w:jc w:val="both"/>
      </w:pPr>
    </w:p>
    <w:p>
      <w:pPr>
        <w:keepNext/>
        <w:spacing w:before="160" w:after="40"/>
        <w:jc w:val="left"/>
      </w:pPr>
      <w:r>
        <w:rPr>
          <w:rFonts w:ascii="Times New Roman" w:hAnsi="Times New Roman" w:cs="Times New Roman" w:eastAsia="Times New Roman"/>
          <w:b/>
          <w:i w:val="0"/>
          <w:sz w:val="22"/>
        </w:rPr>
        <w:t>Reproduced verbatim from PMC11317141 — Table 1. — Strain names used in this study, and listing corresponding alleles, and known mechanism-associations and the source</w:t>
      </w:r>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2340"/>
            <w:shd w:fill="DDE4EF"/>
          </w:tcPr>
          <w:p>
            <w:r/>
            <w:r>
              <w:rPr>
                <w:rFonts w:ascii="Times New Roman" w:hAnsi="Times New Roman" w:cs="Times New Roman" w:eastAsia="Times New Roman"/>
                <w:b/>
                <w:i w:val="0"/>
                <w:sz w:val="22"/>
              </w:rPr>
              <w:t>Strain name</w:t>
            </w:r>
          </w:p>
        </w:tc>
        <w:tc>
          <w:tcPr>
            <w:tcW w:type="dxa" w:w="2340"/>
            <w:shd w:fill="DDE4EF"/>
          </w:tcPr>
          <w:p>
            <w:r/>
            <w:r>
              <w:rPr>
                <w:rFonts w:ascii="Times New Roman" w:hAnsi="Times New Roman" w:cs="Times New Roman" w:eastAsia="Times New Roman"/>
                <w:b/>
                <w:i w:val="0"/>
                <w:sz w:val="22"/>
              </w:rPr>
              <w:t>Allele</w:t>
            </w:r>
          </w:p>
        </w:tc>
        <w:tc>
          <w:tcPr>
            <w:tcW w:type="dxa" w:w="2340"/>
            <w:shd w:fill="DDE4EF"/>
          </w:tcPr>
          <w:p>
            <w:r/>
            <w:r>
              <w:rPr>
                <w:rFonts w:ascii="Times New Roman" w:hAnsi="Times New Roman" w:cs="Times New Roman" w:eastAsia="Times New Roman"/>
                <w:b/>
                <w:i w:val="0"/>
                <w:sz w:val="22"/>
              </w:rPr>
              <w:t>Cellular mechanism</w:t>
            </w:r>
          </w:p>
        </w:tc>
        <w:tc>
          <w:tcPr>
            <w:tcW w:type="dxa" w:w="2340"/>
            <w:shd w:fill="DDE4EF"/>
          </w:tcPr>
          <w:p>
            <w:r/>
            <w:r>
              <w:rPr>
                <w:rFonts w:ascii="Times New Roman" w:hAnsi="Times New Roman" w:cs="Times New Roman" w:eastAsia="Times New Roman"/>
                <w:b/>
                <w:i w:val="0"/>
                <w:sz w:val="22"/>
              </w:rPr>
              <w:t>Source</w:t>
            </w:r>
          </w:p>
        </w:tc>
      </w:tr>
      <w:tr>
        <w:tc>
          <w:tcPr>
            <w:tcW w:type="dxa" w:w="2340"/>
          </w:tcPr>
          <w:p>
            <w:r/>
            <w:r>
              <w:rPr>
                <w:rFonts w:ascii="Times New Roman" w:hAnsi="Times New Roman" w:cs="Times New Roman" w:eastAsia="Times New Roman"/>
                <w:b w:val="0"/>
                <w:i w:val="0"/>
                <w:sz w:val="22"/>
              </w:rPr>
              <w:t>N2</w:t>
            </w:r>
          </w:p>
        </w:tc>
        <w:tc>
          <w:tcPr>
            <w:tcW w:type="dxa" w:w="2340"/>
          </w:tcPr>
          <w:p>
            <w:r/>
            <w:r>
              <w:rPr>
                <w:rFonts w:ascii="Times New Roman" w:hAnsi="Times New Roman" w:cs="Times New Roman" w:eastAsia="Times New Roman"/>
                <w:b w:val="0"/>
                <w:i w:val="0"/>
                <w:sz w:val="22"/>
              </w:rPr>
              <w:t>Wildtype</w:t>
            </w:r>
          </w:p>
        </w:tc>
        <w:tc>
          <w:tcPr>
            <w:tcW w:type="dxa" w:w="2340"/>
          </w:tcPr>
          <w:p>
            <w:r/>
            <w:r>
              <w:rPr>
                <w:rFonts w:ascii="Times New Roman" w:hAnsi="Times New Roman" w:cs="Times New Roman" w:eastAsia="Times New Roman"/>
                <w:b w:val="0"/>
                <w:i w:val="0"/>
                <w:sz w:val="22"/>
              </w:rPr>
            </w:r>
          </w:p>
        </w:tc>
        <w:tc>
          <w:tcPr>
            <w:tcW w:type="dxa" w:w="2340"/>
          </w:tcPr>
          <w:p>
            <w:r/>
            <w:r>
              <w:rPr>
                <w:rFonts w:ascii="Times New Roman" w:hAnsi="Times New Roman" w:cs="Times New Roman" w:eastAsia="Times New Roman"/>
                <w:b w:val="0"/>
                <w:i w:val="0"/>
                <w:sz w:val="22"/>
              </w:rPr>
              <w:t>CGC</w:t>
            </w:r>
          </w:p>
        </w:tc>
      </w:tr>
      <w:tr>
        <w:tc>
          <w:tcPr>
            <w:tcW w:type="dxa" w:w="2340"/>
          </w:tcPr>
          <w:p>
            <w:r/>
            <w:r>
              <w:rPr>
                <w:rFonts w:ascii="Times New Roman" w:hAnsi="Times New Roman" w:cs="Times New Roman" w:eastAsia="Times New Roman"/>
                <w:b w:val="0"/>
                <w:i w:val="0"/>
                <w:sz w:val="22"/>
              </w:rPr>
              <w:t>RB1801</w:t>
            </w:r>
          </w:p>
        </w:tc>
        <w:tc>
          <w:tcPr>
            <w:tcW w:type="dxa" w:w="2340"/>
          </w:tcPr>
          <w:p>
            <w:r/>
            <w:r>
              <w:rPr>
                <w:rFonts w:ascii="Times New Roman" w:hAnsi="Times New Roman" w:cs="Times New Roman" w:eastAsia="Times New Roman"/>
                <w:b w:val="0"/>
                <w:i w:val="0"/>
                <w:sz w:val="22"/>
              </w:rPr>
              <w:t>csb-1(ok2335) X.</w:t>
            </w:r>
          </w:p>
        </w:tc>
        <w:tc>
          <w:tcPr>
            <w:tcW w:type="dxa" w:w="2340"/>
          </w:tcPr>
          <w:p>
            <w:r/>
            <w:r>
              <w:rPr>
                <w:rFonts w:ascii="Times New Roman" w:hAnsi="Times New Roman" w:cs="Times New Roman" w:eastAsia="Times New Roman"/>
                <w:b w:val="0"/>
                <w:i w:val="0"/>
                <w:sz w:val="22"/>
              </w:rPr>
              <w:t>NER</w:t>
            </w:r>
          </w:p>
        </w:tc>
        <w:tc>
          <w:tcPr>
            <w:tcW w:type="dxa" w:w="2340"/>
          </w:tcPr>
          <w:p>
            <w:r/>
            <w:r>
              <w:rPr>
                <w:rFonts w:ascii="Times New Roman" w:hAnsi="Times New Roman" w:cs="Times New Roman" w:eastAsia="Times New Roman"/>
                <w:b w:val="0"/>
                <w:i w:val="0"/>
                <w:sz w:val="22"/>
              </w:rPr>
              <w:t>CGC</w:t>
            </w:r>
          </w:p>
        </w:tc>
      </w:tr>
      <w:tr>
        <w:tc>
          <w:tcPr>
            <w:tcW w:type="dxa" w:w="2340"/>
          </w:tcPr>
          <w:p>
            <w:r/>
            <w:r>
              <w:rPr>
                <w:rFonts w:ascii="Times New Roman" w:hAnsi="Times New Roman" w:cs="Times New Roman" w:eastAsia="Times New Roman"/>
                <w:b w:val="0"/>
                <w:i w:val="0"/>
                <w:sz w:val="22"/>
              </w:rPr>
              <w:t>TG2226</w:t>
            </w:r>
          </w:p>
        </w:tc>
        <w:tc>
          <w:tcPr>
            <w:tcW w:type="dxa" w:w="2340"/>
          </w:tcPr>
          <w:p>
            <w:r/>
            <w:r>
              <w:rPr>
                <w:rFonts w:ascii="Times New Roman" w:hAnsi="Times New Roman" w:cs="Times New Roman" w:eastAsia="Times New Roman"/>
                <w:b w:val="0"/>
                <w:i w:val="0"/>
                <w:sz w:val="22"/>
              </w:rPr>
              <w:t>xpc-1(tm3886) IV.</w:t>
            </w:r>
          </w:p>
        </w:tc>
        <w:tc>
          <w:tcPr>
            <w:tcW w:type="dxa" w:w="2340"/>
          </w:tcPr>
          <w:p>
            <w:r/>
            <w:r>
              <w:rPr>
                <w:rFonts w:ascii="Times New Roman" w:hAnsi="Times New Roman" w:cs="Times New Roman" w:eastAsia="Times New Roman"/>
                <w:b w:val="0"/>
                <w:i w:val="0"/>
                <w:sz w:val="22"/>
              </w:rPr>
              <w:t>NER</w:t>
            </w:r>
          </w:p>
        </w:tc>
        <w:tc>
          <w:tcPr>
            <w:tcW w:type="dxa" w:w="2340"/>
          </w:tcPr>
          <w:p>
            <w:r/>
            <w:r>
              <w:rPr>
                <w:rFonts w:ascii="Times New Roman" w:hAnsi="Times New Roman" w:cs="Times New Roman" w:eastAsia="Times New Roman"/>
                <w:b w:val="0"/>
                <w:i w:val="0"/>
                <w:sz w:val="22"/>
              </w:rPr>
              <w:t>CGC</w:t>
            </w:r>
          </w:p>
        </w:tc>
      </w:tr>
      <w:tr>
        <w:tc>
          <w:tcPr>
            <w:tcW w:type="dxa" w:w="2340"/>
          </w:tcPr>
          <w:p>
            <w:r/>
            <w:r>
              <w:rPr>
                <w:rFonts w:ascii="Times New Roman" w:hAnsi="Times New Roman" w:cs="Times New Roman" w:eastAsia="Times New Roman"/>
                <w:b w:val="0"/>
                <w:i w:val="0"/>
                <w:sz w:val="22"/>
              </w:rPr>
              <w:t>BJS21</w:t>
            </w:r>
          </w:p>
        </w:tc>
        <w:tc>
          <w:tcPr>
            <w:tcW w:type="dxa" w:w="2340"/>
          </w:tcPr>
          <w:p>
            <w:r/>
            <w:r>
              <w:rPr>
                <w:rFonts w:ascii="Times New Roman" w:hAnsi="Times New Roman" w:cs="Times New Roman" w:eastAsia="Times New Roman"/>
                <w:b w:val="0"/>
                <w:i w:val="0"/>
                <w:sz w:val="22"/>
              </w:rPr>
              <w:t>xpc-1(tm3886) ; csb-1(ok2335)</w:t>
            </w:r>
          </w:p>
        </w:tc>
        <w:tc>
          <w:tcPr>
            <w:tcW w:type="dxa" w:w="2340"/>
          </w:tcPr>
          <w:p>
            <w:r/>
            <w:r>
              <w:rPr>
                <w:rFonts w:ascii="Times New Roman" w:hAnsi="Times New Roman" w:cs="Times New Roman" w:eastAsia="Times New Roman"/>
                <w:b w:val="0"/>
                <w:i w:val="0"/>
                <w:sz w:val="22"/>
              </w:rPr>
              <w:t>NER</w:t>
            </w:r>
          </w:p>
        </w:tc>
        <w:tc>
          <w:tcPr>
            <w:tcW w:type="dxa" w:w="2340"/>
          </w:tcPr>
          <w:p>
            <w:r/>
            <w:r>
              <w:rPr>
                <w:rFonts w:ascii="Times New Roman" w:hAnsi="Times New Roman" w:cs="Times New Roman" w:eastAsia="Times New Roman"/>
                <w:b w:val="0"/>
                <w:i w:val="0"/>
                <w:sz w:val="22"/>
              </w:rPr>
              <w:t>Schumacher lab</w:t>
            </w:r>
          </w:p>
        </w:tc>
      </w:tr>
      <w:tr>
        <w:tc>
          <w:tcPr>
            <w:tcW w:type="dxa" w:w="2340"/>
          </w:tcPr>
          <w:p>
            <w:r/>
            <w:r>
              <w:rPr>
                <w:rFonts w:ascii="Times New Roman" w:hAnsi="Times New Roman" w:cs="Times New Roman" w:eastAsia="Times New Roman"/>
                <w:b w:val="0"/>
                <w:i w:val="0"/>
                <w:sz w:val="22"/>
              </w:rPr>
              <w:t>FX04539</w:t>
            </w:r>
          </w:p>
        </w:tc>
        <w:tc>
          <w:tcPr>
            <w:tcW w:type="dxa" w:w="2340"/>
          </w:tcPr>
          <w:p>
            <w:r/>
            <w:r>
              <w:rPr>
                <w:rFonts w:ascii="Times New Roman" w:hAnsi="Times New Roman" w:cs="Times New Roman" w:eastAsia="Times New Roman"/>
                <w:b w:val="0"/>
                <w:i w:val="0"/>
                <w:sz w:val="22"/>
              </w:rPr>
              <w:t>csa-1(4539)</w:t>
            </w:r>
          </w:p>
        </w:tc>
        <w:tc>
          <w:tcPr>
            <w:tcW w:type="dxa" w:w="2340"/>
          </w:tcPr>
          <w:p>
            <w:r/>
            <w:r>
              <w:rPr>
                <w:rFonts w:ascii="Times New Roman" w:hAnsi="Times New Roman" w:cs="Times New Roman" w:eastAsia="Times New Roman"/>
                <w:b w:val="0"/>
                <w:i w:val="0"/>
                <w:sz w:val="22"/>
              </w:rPr>
              <w:t>NER</w:t>
            </w:r>
          </w:p>
        </w:tc>
        <w:tc>
          <w:tcPr>
            <w:tcW w:type="dxa" w:w="2340"/>
          </w:tcPr>
          <w:p>
            <w:r/>
            <w:r>
              <w:rPr>
                <w:rFonts w:ascii="Times New Roman" w:hAnsi="Times New Roman" w:cs="Times New Roman" w:eastAsia="Times New Roman"/>
                <w:b w:val="0"/>
                <w:i w:val="0"/>
                <w:sz w:val="22"/>
              </w:rPr>
              <w:t>NBRP</w:t>
            </w:r>
          </w:p>
        </w:tc>
      </w:tr>
      <w:tr>
        <w:tc>
          <w:tcPr>
            <w:tcW w:type="dxa" w:w="2340"/>
          </w:tcPr>
          <w:p>
            <w:r/>
            <w:r>
              <w:rPr>
                <w:rFonts w:ascii="Times New Roman" w:hAnsi="Times New Roman" w:cs="Times New Roman" w:eastAsia="Times New Roman"/>
                <w:b w:val="0"/>
                <w:i w:val="0"/>
                <w:sz w:val="22"/>
              </w:rPr>
              <w:t>FX06311</w:t>
            </w:r>
          </w:p>
        </w:tc>
        <w:tc>
          <w:tcPr>
            <w:tcW w:type="dxa" w:w="2340"/>
          </w:tcPr>
          <w:p>
            <w:r/>
            <w:r>
              <w:rPr>
                <w:rFonts w:ascii="Times New Roman" w:hAnsi="Times New Roman" w:cs="Times New Roman" w:eastAsia="Times New Roman"/>
                <w:b w:val="0"/>
                <w:i w:val="0"/>
                <w:sz w:val="22"/>
              </w:rPr>
              <w:t>uvs-1(tm6311)</w:t>
            </w:r>
          </w:p>
        </w:tc>
        <w:tc>
          <w:tcPr>
            <w:tcW w:type="dxa" w:w="2340"/>
          </w:tcPr>
          <w:p>
            <w:r/>
            <w:r>
              <w:rPr>
                <w:rFonts w:ascii="Times New Roman" w:hAnsi="Times New Roman" w:cs="Times New Roman" w:eastAsia="Times New Roman"/>
                <w:b w:val="0"/>
                <w:i w:val="0"/>
                <w:sz w:val="22"/>
              </w:rPr>
              <w:t>NER</w:t>
            </w:r>
          </w:p>
        </w:tc>
        <w:tc>
          <w:tcPr>
            <w:tcW w:type="dxa" w:w="2340"/>
          </w:tcPr>
          <w:p>
            <w:r/>
            <w:r>
              <w:rPr>
                <w:rFonts w:ascii="Times New Roman" w:hAnsi="Times New Roman" w:cs="Times New Roman" w:eastAsia="Times New Roman"/>
                <w:b w:val="0"/>
                <w:i w:val="0"/>
                <w:sz w:val="22"/>
              </w:rPr>
              <w:t>NBRP</w:t>
            </w:r>
          </w:p>
        </w:tc>
      </w:tr>
      <w:tr>
        <w:tc>
          <w:tcPr>
            <w:tcW w:type="dxa" w:w="2340"/>
          </w:tcPr>
          <w:p>
            <w:r/>
            <w:r>
              <w:rPr>
                <w:rFonts w:ascii="Times New Roman" w:hAnsi="Times New Roman" w:cs="Times New Roman" w:eastAsia="Times New Roman"/>
                <w:b w:val="0"/>
                <w:i w:val="0"/>
                <w:sz w:val="22"/>
              </w:rPr>
              <w:t>RB864</w:t>
            </w:r>
          </w:p>
        </w:tc>
        <w:tc>
          <w:tcPr>
            <w:tcW w:type="dxa" w:w="2340"/>
          </w:tcPr>
          <w:p>
            <w:r/>
            <w:r>
              <w:rPr>
                <w:rFonts w:ascii="Times New Roman" w:hAnsi="Times New Roman" w:cs="Times New Roman" w:eastAsia="Times New Roman"/>
                <w:b w:val="0"/>
                <w:i w:val="0"/>
                <w:sz w:val="22"/>
              </w:rPr>
              <w:t>xpa-1(ok698) I.</w:t>
            </w:r>
          </w:p>
        </w:tc>
        <w:tc>
          <w:tcPr>
            <w:tcW w:type="dxa" w:w="2340"/>
          </w:tcPr>
          <w:p>
            <w:r/>
            <w:r>
              <w:rPr>
                <w:rFonts w:ascii="Times New Roman" w:hAnsi="Times New Roman" w:cs="Times New Roman" w:eastAsia="Times New Roman"/>
                <w:b w:val="0"/>
                <w:i w:val="0"/>
                <w:sz w:val="22"/>
              </w:rPr>
              <w:t>NER</w:t>
            </w:r>
          </w:p>
        </w:tc>
        <w:tc>
          <w:tcPr>
            <w:tcW w:type="dxa" w:w="2340"/>
          </w:tcPr>
          <w:p>
            <w:r/>
            <w:r>
              <w:rPr>
                <w:rFonts w:ascii="Times New Roman" w:hAnsi="Times New Roman" w:cs="Times New Roman" w:eastAsia="Times New Roman"/>
                <w:b w:val="0"/>
                <w:i w:val="0"/>
                <w:sz w:val="22"/>
              </w:rPr>
              <w:t>CGC</w:t>
            </w:r>
          </w:p>
        </w:tc>
      </w:tr>
      <w:tr>
        <w:tc>
          <w:tcPr>
            <w:tcW w:type="dxa" w:w="2340"/>
          </w:tcPr>
          <w:p>
            <w:r/>
            <w:r>
              <w:rPr>
                <w:rFonts w:ascii="Times New Roman" w:hAnsi="Times New Roman" w:cs="Times New Roman" w:eastAsia="Times New Roman"/>
                <w:b w:val="0"/>
                <w:i w:val="0"/>
                <w:sz w:val="22"/>
              </w:rPr>
              <w:t>TG3867</w:t>
            </w:r>
          </w:p>
        </w:tc>
        <w:tc>
          <w:tcPr>
            <w:tcW w:type="dxa" w:w="2340"/>
          </w:tcPr>
          <w:p>
            <w:r/>
            <w:r>
              <w:rPr>
                <w:rFonts w:ascii="Times New Roman" w:hAnsi="Times New Roman" w:cs="Times New Roman" w:eastAsia="Times New Roman"/>
                <w:b w:val="0"/>
                <w:i w:val="0"/>
                <w:sz w:val="22"/>
              </w:rPr>
              <w:t>xpg-1(tm1670) I.</w:t>
            </w:r>
          </w:p>
        </w:tc>
        <w:tc>
          <w:tcPr>
            <w:tcW w:type="dxa" w:w="2340"/>
          </w:tcPr>
          <w:p>
            <w:r/>
            <w:r>
              <w:rPr>
                <w:rFonts w:ascii="Times New Roman" w:hAnsi="Times New Roman" w:cs="Times New Roman" w:eastAsia="Times New Roman"/>
                <w:b w:val="0"/>
                <w:i w:val="0"/>
                <w:sz w:val="22"/>
              </w:rPr>
              <w:t>NER/HR/BER</w:t>
            </w:r>
          </w:p>
        </w:tc>
        <w:tc>
          <w:tcPr>
            <w:tcW w:type="dxa" w:w="2340"/>
          </w:tcPr>
          <w:p>
            <w:r/>
            <w:r>
              <w:rPr>
                <w:rFonts w:ascii="Times New Roman" w:hAnsi="Times New Roman" w:cs="Times New Roman" w:eastAsia="Times New Roman"/>
                <w:b w:val="0"/>
                <w:i w:val="0"/>
                <w:sz w:val="22"/>
              </w:rPr>
              <w:t>CGC</w:t>
            </w:r>
          </w:p>
        </w:tc>
      </w:tr>
      <w:tr>
        <w:tc>
          <w:tcPr>
            <w:tcW w:type="dxa" w:w="2340"/>
          </w:tcPr>
          <w:p>
            <w:r/>
            <w:r>
              <w:rPr>
                <w:rFonts w:ascii="Times New Roman" w:hAnsi="Times New Roman" w:cs="Times New Roman" w:eastAsia="Times New Roman"/>
                <w:b w:val="0"/>
                <w:i w:val="0"/>
                <w:sz w:val="22"/>
              </w:rPr>
              <w:t>CB1487</w:t>
            </w:r>
          </w:p>
        </w:tc>
        <w:tc>
          <w:tcPr>
            <w:tcW w:type="dxa" w:w="2340"/>
          </w:tcPr>
          <w:p>
            <w:r/>
            <w:r>
              <w:rPr>
                <w:rFonts w:ascii="Times New Roman" w:hAnsi="Times New Roman" w:cs="Times New Roman" w:eastAsia="Times New Roman"/>
                <w:b w:val="0"/>
                <w:i w:val="0"/>
                <w:sz w:val="22"/>
              </w:rPr>
              <w:t>xpf-1(e1487) II.</w:t>
            </w:r>
          </w:p>
        </w:tc>
        <w:tc>
          <w:tcPr>
            <w:tcW w:type="dxa" w:w="2340"/>
          </w:tcPr>
          <w:p>
            <w:r/>
            <w:r>
              <w:rPr>
                <w:rFonts w:ascii="Times New Roman" w:hAnsi="Times New Roman" w:cs="Times New Roman" w:eastAsia="Times New Roman"/>
                <w:b w:val="0"/>
                <w:i w:val="0"/>
                <w:sz w:val="22"/>
              </w:rPr>
              <w:t>NER</w:t>
            </w:r>
          </w:p>
        </w:tc>
        <w:tc>
          <w:tcPr>
            <w:tcW w:type="dxa" w:w="2340"/>
          </w:tcPr>
          <w:p>
            <w:r/>
            <w:r>
              <w:rPr>
                <w:rFonts w:ascii="Times New Roman" w:hAnsi="Times New Roman" w:cs="Times New Roman" w:eastAsia="Times New Roman"/>
                <w:b w:val="0"/>
                <w:i w:val="0"/>
                <w:sz w:val="22"/>
              </w:rPr>
              <w:t>CGC</w:t>
            </w:r>
          </w:p>
        </w:tc>
      </w:tr>
      <w:tr>
        <w:tc>
          <w:tcPr>
            <w:tcW w:type="dxa" w:w="2340"/>
          </w:tcPr>
          <w:p>
            <w:r/>
            <w:r>
              <w:rPr>
                <w:rFonts w:ascii="Times New Roman" w:hAnsi="Times New Roman" w:cs="Times New Roman" w:eastAsia="Times New Roman"/>
                <w:b w:val="0"/>
                <w:i w:val="0"/>
                <w:sz w:val="22"/>
              </w:rPr>
              <w:t>TG1663</w:t>
            </w:r>
          </w:p>
        </w:tc>
        <w:tc>
          <w:tcPr>
            <w:tcW w:type="dxa" w:w="2340"/>
          </w:tcPr>
          <w:p>
            <w:r/>
            <w:r>
              <w:rPr>
                <w:rFonts w:ascii="Times New Roman" w:hAnsi="Times New Roman" w:cs="Times New Roman" w:eastAsia="Times New Roman"/>
                <w:b w:val="0"/>
                <w:i w:val="0"/>
                <w:sz w:val="22"/>
              </w:rPr>
              <w:t>ercc-1(tm1981) I.</w:t>
            </w:r>
          </w:p>
        </w:tc>
        <w:tc>
          <w:tcPr>
            <w:tcW w:type="dxa" w:w="2340"/>
          </w:tcPr>
          <w:p>
            <w:r/>
            <w:r>
              <w:rPr>
                <w:rFonts w:ascii="Times New Roman" w:hAnsi="Times New Roman" w:cs="Times New Roman" w:eastAsia="Times New Roman"/>
                <w:b w:val="0"/>
                <w:i w:val="0"/>
                <w:sz w:val="22"/>
              </w:rPr>
              <w:t>NER</w:t>
            </w:r>
          </w:p>
        </w:tc>
        <w:tc>
          <w:tcPr>
            <w:tcW w:type="dxa" w:w="2340"/>
          </w:tcPr>
          <w:p>
            <w:r/>
            <w:r>
              <w:rPr>
                <w:rFonts w:ascii="Times New Roman" w:hAnsi="Times New Roman" w:cs="Times New Roman" w:eastAsia="Times New Roman"/>
                <w:b w:val="0"/>
                <w:i w:val="0"/>
                <w:sz w:val="22"/>
              </w:rPr>
              <w:t>CGC</w:t>
            </w:r>
          </w:p>
        </w:tc>
      </w:tr>
      <w:tr>
        <w:tc>
          <w:tcPr>
            <w:tcW w:type="dxa" w:w="2340"/>
          </w:tcPr>
          <w:p>
            <w:r/>
            <w:r>
              <w:rPr>
                <w:rFonts w:ascii="Times New Roman" w:hAnsi="Times New Roman" w:cs="Times New Roman" w:eastAsia="Times New Roman"/>
                <w:b w:val="0"/>
                <w:i w:val="0"/>
                <w:sz w:val="22"/>
              </w:rPr>
              <w:t>RB877</w:t>
            </w:r>
          </w:p>
        </w:tc>
        <w:tc>
          <w:tcPr>
            <w:tcW w:type="dxa" w:w="2340"/>
          </w:tcPr>
          <w:p>
            <w:r/>
            <w:r>
              <w:rPr>
                <w:rFonts w:ascii="Times New Roman" w:hAnsi="Times New Roman" w:cs="Times New Roman" w:eastAsia="Times New Roman"/>
                <w:b w:val="0"/>
                <w:i w:val="0"/>
                <w:sz w:val="22"/>
              </w:rPr>
              <w:t>nth-1(ok724) IV.</w:t>
            </w:r>
          </w:p>
        </w:tc>
        <w:tc>
          <w:tcPr>
            <w:tcW w:type="dxa" w:w="2340"/>
          </w:tcPr>
          <w:p>
            <w:r/>
            <w:r>
              <w:rPr>
                <w:rFonts w:ascii="Times New Roman" w:hAnsi="Times New Roman" w:cs="Times New Roman" w:eastAsia="Times New Roman"/>
                <w:b w:val="0"/>
                <w:i w:val="0"/>
                <w:sz w:val="22"/>
              </w:rPr>
              <w:t>BER</w:t>
            </w:r>
          </w:p>
        </w:tc>
        <w:tc>
          <w:tcPr>
            <w:tcW w:type="dxa" w:w="2340"/>
          </w:tcPr>
          <w:p>
            <w:r/>
            <w:r>
              <w:rPr>
                <w:rFonts w:ascii="Times New Roman" w:hAnsi="Times New Roman" w:cs="Times New Roman" w:eastAsia="Times New Roman"/>
                <w:b w:val="0"/>
                <w:i w:val="0"/>
                <w:sz w:val="22"/>
              </w:rPr>
              <w:t>CGC</w:t>
            </w:r>
          </w:p>
        </w:tc>
      </w:tr>
      <w:tr>
        <w:tc>
          <w:tcPr>
            <w:tcW w:type="dxa" w:w="2340"/>
          </w:tcPr>
          <w:p>
            <w:r/>
            <w:r>
              <w:rPr>
                <w:rFonts w:ascii="Times New Roman" w:hAnsi="Times New Roman" w:cs="Times New Roman" w:eastAsia="Times New Roman"/>
                <w:b w:val="0"/>
                <w:i w:val="0"/>
                <w:sz w:val="22"/>
              </w:rPr>
              <w:t>RB2581</w:t>
            </w:r>
          </w:p>
        </w:tc>
        <w:tc>
          <w:tcPr>
            <w:tcW w:type="dxa" w:w="2340"/>
          </w:tcPr>
          <w:p>
            <w:r/>
            <w:r>
              <w:rPr>
                <w:rFonts w:ascii="Times New Roman" w:hAnsi="Times New Roman" w:cs="Times New Roman" w:eastAsia="Times New Roman"/>
                <w:b w:val="0"/>
                <w:i w:val="0"/>
                <w:sz w:val="22"/>
              </w:rPr>
              <w:t>ung-1(ok3593) III.</w:t>
            </w:r>
          </w:p>
        </w:tc>
        <w:tc>
          <w:tcPr>
            <w:tcW w:type="dxa" w:w="2340"/>
          </w:tcPr>
          <w:p>
            <w:r/>
            <w:r>
              <w:rPr>
                <w:rFonts w:ascii="Times New Roman" w:hAnsi="Times New Roman" w:cs="Times New Roman" w:eastAsia="Times New Roman"/>
                <w:b w:val="0"/>
                <w:i w:val="0"/>
                <w:sz w:val="22"/>
              </w:rPr>
              <w:t>BER</w:t>
            </w:r>
          </w:p>
        </w:tc>
        <w:tc>
          <w:tcPr>
            <w:tcW w:type="dxa" w:w="2340"/>
          </w:tcPr>
          <w:p>
            <w:r/>
            <w:r>
              <w:rPr>
                <w:rFonts w:ascii="Times New Roman" w:hAnsi="Times New Roman" w:cs="Times New Roman" w:eastAsia="Times New Roman"/>
                <w:b w:val="0"/>
                <w:i w:val="0"/>
                <w:sz w:val="22"/>
              </w:rPr>
              <w:t>CGC</w:t>
            </w:r>
          </w:p>
        </w:tc>
      </w:tr>
      <w:tr>
        <w:tc>
          <w:tcPr>
            <w:tcW w:type="dxa" w:w="2340"/>
          </w:tcPr>
          <w:p>
            <w:r/>
            <w:r>
              <w:rPr>
                <w:rFonts w:ascii="Times New Roman" w:hAnsi="Times New Roman" w:cs="Times New Roman" w:eastAsia="Times New Roman"/>
                <w:b w:val="0"/>
                <w:i w:val="0"/>
                <w:sz w:val="22"/>
              </w:rPr>
              <w:t>RB2548</w:t>
            </w:r>
          </w:p>
        </w:tc>
        <w:tc>
          <w:tcPr>
            <w:tcW w:type="dxa" w:w="2340"/>
          </w:tcPr>
          <w:p>
            <w:r/>
            <w:r>
              <w:rPr>
                <w:rFonts w:ascii="Times New Roman" w:hAnsi="Times New Roman" w:cs="Times New Roman" w:eastAsia="Times New Roman"/>
                <w:b w:val="0"/>
                <w:i w:val="0"/>
                <w:sz w:val="22"/>
              </w:rPr>
              <w:t>exo-3(ok3539) I.</w:t>
            </w:r>
          </w:p>
        </w:tc>
        <w:tc>
          <w:tcPr>
            <w:tcW w:type="dxa" w:w="2340"/>
          </w:tcPr>
          <w:p>
            <w:r/>
            <w:r>
              <w:rPr>
                <w:rFonts w:ascii="Times New Roman" w:hAnsi="Times New Roman" w:cs="Times New Roman" w:eastAsia="Times New Roman"/>
                <w:b w:val="0"/>
                <w:i w:val="0"/>
                <w:sz w:val="22"/>
              </w:rPr>
              <w:t>BER</w:t>
            </w:r>
          </w:p>
        </w:tc>
        <w:tc>
          <w:tcPr>
            <w:tcW w:type="dxa" w:w="2340"/>
          </w:tcPr>
          <w:p>
            <w:r/>
            <w:r>
              <w:rPr>
                <w:rFonts w:ascii="Times New Roman" w:hAnsi="Times New Roman" w:cs="Times New Roman" w:eastAsia="Times New Roman"/>
                <w:b w:val="0"/>
                <w:i w:val="0"/>
                <w:sz w:val="22"/>
              </w:rPr>
              <w:t>CGC</w:t>
            </w:r>
          </w:p>
        </w:tc>
      </w:tr>
      <w:tr>
        <w:tc>
          <w:tcPr>
            <w:tcW w:type="dxa" w:w="2340"/>
          </w:tcPr>
          <w:p>
            <w:r/>
            <w:r>
              <w:rPr>
                <w:rFonts w:ascii="Times New Roman" w:hAnsi="Times New Roman" w:cs="Times New Roman" w:eastAsia="Times New Roman"/>
                <w:b w:val="0"/>
                <w:i w:val="0"/>
                <w:sz w:val="22"/>
              </w:rPr>
              <w:t>TG1868</w:t>
            </w:r>
          </w:p>
        </w:tc>
        <w:tc>
          <w:tcPr>
            <w:tcW w:type="dxa" w:w="2340"/>
          </w:tcPr>
          <w:p>
            <w:r/>
            <w:r>
              <w:rPr>
                <w:rFonts w:ascii="Times New Roman" w:hAnsi="Times New Roman" w:cs="Times New Roman" w:eastAsia="Times New Roman"/>
                <w:b w:val="0"/>
                <w:i w:val="0"/>
                <w:sz w:val="22"/>
              </w:rPr>
              <w:t>slx-1(tm2644) I.</w:t>
            </w:r>
          </w:p>
        </w:tc>
        <w:tc>
          <w:tcPr>
            <w:tcW w:type="dxa" w:w="2340"/>
          </w:tcPr>
          <w:p>
            <w:r/>
            <w:r>
              <w:rPr>
                <w:rFonts w:ascii="Times New Roman" w:hAnsi="Times New Roman" w:cs="Times New Roman" w:eastAsia="Times New Roman"/>
                <w:b w:val="0"/>
                <w:i w:val="0"/>
                <w:sz w:val="22"/>
              </w:rPr>
              <w:t>HR/NER</w:t>
            </w:r>
          </w:p>
        </w:tc>
        <w:tc>
          <w:tcPr>
            <w:tcW w:type="dxa" w:w="2340"/>
          </w:tcPr>
          <w:p>
            <w:r/>
            <w:r>
              <w:rPr>
                <w:rFonts w:ascii="Times New Roman" w:hAnsi="Times New Roman" w:cs="Times New Roman" w:eastAsia="Times New Roman"/>
                <w:b w:val="0"/>
                <w:i w:val="0"/>
                <w:sz w:val="22"/>
              </w:rPr>
              <w:t>CGC</w:t>
            </w:r>
          </w:p>
        </w:tc>
      </w:tr>
    </w:tbl>
    <w:p>
      <w:pPr>
        <w:spacing w:after="80"/>
        <w:jc w:val="both"/>
      </w:pPr>
    </w:p>
    <w:p>
      <w:pPr>
        <w:keepNext/>
        <w:spacing w:before="160" w:after="40"/>
        <w:outlineLvl w:val="2"/>
      </w:pPr>
      <w:r>
        <w:rPr>
          <w:rFonts w:ascii="Times New Roman" w:hAnsi="Times New Roman" w:cs="Times New Roman" w:eastAsia="Times New Roman"/>
          <w:b/>
          <w:i w:val="0"/>
          <w:color w:val="404040"/>
          <w:sz w:val="24"/>
        </w:rPr>
        <w:t>Verbatim body-text paragraphs from PMC11317141</w:t>
      </w:r>
    </w:p>
    <w:p>
      <w:pPr>
        <w:spacing w:after="120"/>
        <w:jc w:val="both"/>
      </w:pPr>
      <w:r>
        <w:rPr>
          <w:rFonts w:ascii="Times New Roman" w:hAnsi="Times New Roman" w:cs="Times New Roman" w:eastAsia="Times New Roman"/>
          <w:b w:val="0"/>
          <w:i w:val="0"/>
          <w:sz w:val="24"/>
        </w:rPr>
        <w:t>“( A ) Cartoon showing the putative lesions caused on DNA by formaldehyde (FA). In blue the factors inactivated in this work. Light blue shows some factors that might participate in multiple DNA repair pathways. ( B ) Scheme of the protocol applied to address FA tolerance and development in the data shown in C and D (see Materials a graphic: `gkae519fig1.jpg` 3. **Figure 2.** — NER-deficient animals show somatic formaldehyde sensitivity, which is further enhanced by loss of ADH-5. ( A ) Experimental scheme (see Materials and methods for details). ( B ) Survival of NER mutants upon formaldehyde (FA) after 48 h and ( C ) after 72 h on plate. ( D ) Developmental timing of NER mutants upon FA after 48h on plate and ( E ) after 72 h on plate. ( F ) Survival of NER mutants in graphic: `gkae519fig2.jpg` 4. **Figure 3.** — Fecundity is reduced in NER mutants upon formaldehyde (FA) toxicity, which is further enhanced upon loss of ADH-5.”  [PMC11317141 ¶1]</w:t>
      </w:r>
    </w:p>
    <w:p>
      <w:pPr>
        <w:spacing w:after="120"/>
        <w:jc w:val="both"/>
      </w:pPr>
      <w:r>
        <w:rPr>
          <w:rFonts w:ascii="Times New Roman" w:hAnsi="Times New Roman" w:cs="Times New Roman" w:eastAsia="Times New Roman"/>
          <w:b w:val="0"/>
          <w:i w:val="0"/>
          <w:sz w:val="24"/>
        </w:rPr>
        <w:t>“( A ) Experimental scheme (see Materials and Methods for details). Panels (B–E) show the number of eggs produced by three animals within 3 h for strains carrying mutations for ( B ) xpc-1 , ( C ) csb-1 , ( D ) xpc-1 ; csb-1 and ( E ) xpa-1 . Panels (F–I) display the hatching rate as c graphic: `gkae519fig3.jpg` 5. **Figure 4.** — Loss of ADH-5 does not shorten the lifespan of animals deficient for xpa-1 and csb-1 , while formaldehyde-sensitivity is increased. ( A ) and ( B ) show full lifespan experiments of wildtype and adh-5 mutants, while (A) includes csb-1 and csb-1 ; adh-5 mutants, and (B) includes xpa-1 and xpa-1 ; adh-5 deficient animals. In ( C ) and ( D ), animals were exposed to 5 mM formaldehyde (FA) from the L4 graphic: `gkae519fig4.jpg` 6. **Figure 5.** — Simultaneous loss of redundant formaldehyde-detoxification pathways causes embryonic lethality and developmental delay, which is enhanced in NER-deficient animals.”  [PMC11317141 ¶2]</w:t>
      </w:r>
    </w:p>
    <w:p>
      <w:pPr>
        <w:spacing w:after="120"/>
        <w:jc w:val="both"/>
      </w:pPr>
      <w:r>
        <w:rPr>
          <w:rFonts w:ascii="Times New Roman" w:hAnsi="Times New Roman" w:cs="Times New Roman" w:eastAsia="Times New Roman"/>
          <w:b w:val="0"/>
          <w:i w:val="0"/>
          <w:sz w:val="24"/>
        </w:rPr>
        <w:t>“( A ) Phylogenetic tree of C. elegans proteins showing similarity to human ALDH2. Numbers in red branch support values. ( B ) Experimental scheme (see Materials and methods for details). Cartoons were created with BioRender.com. ( C ) H graphic: `gkae519fig5.jpg` 7. **Figure 6.** — NAC suppresses formaldehyde (FA)-toxicity in NER mutants and animals lacking FA-detoxification. Panels ( A )–( E ) show animal survival, while ( F ) displays the developmental stages of animals treated with formaldehyde (FA) and/or N-acetyl-L-cysteine (NAC) after 72 h. (A–F) Data were produced following the same protocol as depicted in Figure 2 . A full data analysis including the two-way ANOVA fo graphic: `gkae519fig6.jpg` 8. **Figure 7.** — Proposed model. The scheme shows the proposed distinct functions of Global Genome Nucleotide Excision Repair (GG-NER); Transcription coupled repair (TCR) independent of NER (NER-IR); and TC-NER in somatic tissues (soma), germline, and during larvae development.”  [PMC11317141 ¶3]</w:t>
      </w:r>
    </w:p>
    <w:p>
      <w:pPr>
        <w:spacing w:after="120"/>
        <w:jc w:val="both"/>
      </w:pPr>
      <w:r>
        <w:rPr>
          <w:rFonts w:ascii="Times New Roman" w:hAnsi="Times New Roman" w:cs="Times New Roman" w:eastAsia="Times New Roman"/>
          <w:b w:val="0"/>
          <w:i w:val="0"/>
          <w:sz w:val="24"/>
        </w:rPr>
        <w:t>“ADH-5 and ALH-1 are shown to prevent systemic formaldehyde (FA) toxicity throughout C. elegans life cycle. Cartoons were created with BioR graphic: `gkae519fig7.jpg` ```json { "pmcid": "PMC11317141", "pmid": "38894680", "doi": "10.1093/nar/gkae519", "title": "Distinct DNA repair mechanisms prevent formaldehyde toxicity during development, reproduction\u00a0and aging", "journal": "Nucleic Acids Research", "year": "2024", "abstract": "Abstract Formaldehyde (FA) is a recognized environmental and metabolic toxin implicated in cancer development and aging. Inherited mutations in the FA-detoxifying enzymes ADH5 and ALDH2 genes lead to FA overload in the severe multisystem AMeD syndrome. FA accumulation causes genome damage including DNA\u2013protein-, inter- and intra-strand crosslinks and oxidative lesions. However, the influence of distinct DNA repair systems on organismal FA resistance remains elusive.”  [PMC11317141 ¶4]</w:t>
      </w:r>
    </w:p>
    <w:p>
      <w:pPr>
        <w:spacing w:after="120"/>
        <w:jc w:val="both"/>
      </w:pPr>
      <w:r>
        <w:rPr>
          <w:rFonts w:ascii="Times New Roman" w:hAnsi="Times New Roman" w:cs="Times New Roman" w:eastAsia="Times New Roman"/>
          <w:b w:val="0"/>
          <w:i w:val="0"/>
          <w:sz w:val="24"/>
        </w:rPr>
        <w:t>“We have here investigated the consequence of a range of DNA repair mutants in a model of endogenous FA overload generated by downregulating the orthologs of human ADH5 and ALDH2 in C. elegans . We have focused on the distinct components of nucleotide excision repair (NER) during developmental growth, reproduction and aging. Our results reveal three distinct modes of repair of FA-induced DNA damage: Transcription-coupled repair (TCR) operating NER-independently during developmental growth or through NER during adulthood, and, in concert with global-genome (GG-) NER, in the germline and early embryonic development. Additionally, we show that the Cockayne syndrome B (CSB) factor is involved in the resolution of FA-induced DNA\u2013protein crosslinks, and that the antioxidant and FA quencher N -acetyl- l -cysteine (NAC) reverses the sensitivity of detoxification and DNA repair defects during development, suggesting a therapeutic intervention to revert FA-pathogenic consequences.", "body_text": "Introduction Formaldehyde (FA) is a widely recognized environmental cytotoxin and genotoxin.”  [PMC11317141 ¶5]</w:t>
      </w:r>
    </w:p>
    <w:p>
      <w:pPr>
        <w:spacing w:after="120"/>
        <w:jc w:val="both"/>
      </w:pPr>
      <w:r>
        <w:rPr>
          <w:rFonts w:ascii="Times New Roman" w:hAnsi="Times New Roman" w:cs="Times New Roman" w:eastAsia="Times New Roman"/>
          <w:b w:val="0"/>
          <w:i w:val="0"/>
          <w:sz w:val="24"/>
        </w:rPr>
        <w:t>“It is a simple organic compound that can be found in various products, including building materials, household products\u00a0and vehicle emissions ( 1 ). Additionally, FA is generated within cells through several pathways, such as the metabolization of methanol, the demethylation of proteins and nucleic acids, and as a product of the breakdown of the one-carbon metabolism carrier tetrahydrofolate ( 2 , 3 ). FA exhibits the capacity to induce diverse forms of damage to cellular biomolecules ( 4 , 5 ). In the genome, it can form covalent crosslinks between DNA strands, both inter (ICL) and intra-strands (ISL)\u00a0and between DNA and proteins (DPC) ( 6 ). FA might also chemically modify DNA bases, altering their structure and functionality. These DNA lesions could cause replication stress, single-strand breaks (SSB) and double-strand breaks (DSB) requiring multiple DNA repair mechanisms to guarantee genome stability.”  [PMC11317141 ¶6]</w:t>
      </w:r>
    </w:p>
    <w:p>
      <w:pPr>
        <w:spacing w:after="120"/>
        <w:jc w:val="both"/>
      </w:pPr>
      <w:r>
        <w:rPr>
          <w:rFonts w:ascii="Times New Roman" w:hAnsi="Times New Roman" w:cs="Times New Roman" w:eastAsia="Times New Roman"/>
          <w:b w:val="0"/>
          <w:i w:val="0"/>
          <w:sz w:val="24"/>
        </w:rPr>
        <w:t>“Failure to repair these lesions could obstruct the normal processes of DNA replication, transcription\u00a0and repair, resulting in genomic instability and compromised DNA integrity. Several DNA repair pathways have been implicated in the cellular response to FA-induced genotoxic stress ( 7 , 8 ), including the interstrand-crosslinking (ICL) Fanconi anemia DNA repair pathway; the CSB protein, which initiates transcription-coupled repair (TCR) when RNA polymerase II stalls at a transcription blocking lesion; and the exonuclease 1 (EXO1) ( 9 , 10 ). In animal models, the genetic factors that determine endogenous FA genotoxicity have been investigated upon inactivation of a DNA repair pathway in combination with the enzyme alcohol dehydrogenase 5 (ADH5), which is a central factor in the glutathione (GSH)-dependent detoxification of FA ( 7 ). Specifically, in mice, the Fanconi anemia DNA repair pathway factor D2 (Fancd2) and the transcription coupled factor Csb have been shown to genetically interact with Adh5, indicating a central role of these DNA repair factors in counteracting the genotoxicity of cellular FA in animals ( 9 , 10 ).”  [PMC11317141 ¶7]</w:t>
      </w:r>
    </w:p>
    <w:p>
      <w:pPr>
        <w:spacing w:after="120"/>
        <w:jc w:val="both"/>
      </w:pPr>
      <w:r>
        <w:rPr>
          <w:rFonts w:ascii="Times New Roman" w:hAnsi="Times New Roman" w:cs="Times New Roman" w:eastAsia="Times New Roman"/>
          <w:b w:val="0"/>
          <w:i w:val="0"/>
          <w:sz w:val="24"/>
        </w:rPr>
        <w:t>“FA has emerged as a fundamental contributor to human disorders such as Fanconi anemia, Cockayne syndrome, and AMeDS, which are caused by mutations in FANC genes, CSB or CSA , and ADH5 and ALDH2 , respectively ( 11 ). AMeDS (OMIM #619151) entails a severe bone marrow failure progressing to myelodysplastic syndrome (MDS) and myeloid leukemia (AML) ( 12 ). In this condition, inherited inactivating mutations in both alleles of ADH5 combined with the dominant negative single nucleotide polymorphism r671 in ALDH2 (c.1510G\u00a0&gt;\u00a0A; p.E504K; ALDH2*2), which codes for the mitochondrial enzyme aldehyde dehydrogenase 2, result in systemic FA accumulation driving AMeDS-associated traits. Notably, mice deficient in both Adh5 and Aldh2 (Adh5 \u2212/\u2212 Adh2 \u2212/\u2212 ) , or animals carrying the Aldh2rs671 defective allele in an Adh5 -deficient background ( Adh5 \u2212/\u2212 Aldh2 \u2212/rs671 ) recapitulated most of the human disease phenotypes, supporting the role of endogenous FA in driving AMeDS ( 12 , 13 ).”  [PMC11317141 ¶8]</w:t>
      </w:r>
    </w:p>
    <w:p>
      <w:pPr>
        <w:spacing w:after="120"/>
        <w:jc w:val="both"/>
      </w:pPr>
      <w:r>
        <w:rPr>
          <w:rFonts w:ascii="Times New Roman" w:hAnsi="Times New Roman" w:cs="Times New Roman" w:eastAsia="Times New Roman"/>
          <w:b w:val="0"/>
          <w:i w:val="0"/>
          <w:sz w:val="24"/>
        </w:rPr>
        <w:t>“A prevailing hypothesis suggests that FA-induced damage overwhelms DNA repair mechanisms, yet the extensive array of FA-induced lesions might necessitate safeguarding the genome by multiple DNA repair systems. However, establishing genetic evidence in animals to validate these mechanisms remains experimentally challenging. Here, we employed the genetically traceable animal model organism C. elegans to explore DNA repair components safeguarding the genome against FA-induced damage. C. elegans undergoes most cell divisions during embryogenesis and hatches as L1 larvae that are comprised of mostly differentiated somatic cell types that grow in size during the L2, L3\u00a0and L4 larval stages until adulthood. Germ cells, in contrast, remain replicative active throughout adulthood. We first systematically determined the contribution of a wide range of DNA repair mechanisms to the survival of FA treatment in the presence and absence of adh-5 .”  [PMC11317141 ¶9]</w:t>
      </w:r>
    </w:p>
    <w:p>
      <w:pPr>
        <w:spacing w:after="120"/>
        <w:jc w:val="both"/>
      </w:pPr>
      <w:r>
        <w:rPr>
          <w:rFonts w:ascii="Times New Roman" w:hAnsi="Times New Roman" w:cs="Times New Roman" w:eastAsia="Times New Roman"/>
          <w:b w:val="0"/>
          <w:i w:val="0"/>
          <w:sz w:val="24"/>
        </w:rPr>
        <w:t>“Based on these results, we further determined tissue and development specific roles of NER components for FA tolerance. CSB-induced NER-independent TCR was required for FA resistance in postmitotic somatic tissues during developmental growth, while CSB-induced NER-dependent TCR was required in adulthood. In contrast, GG-NER was essential in germ cell and embryonic development. We further identified the ortholog of human ALDH2 ( alh-1 ) and developed a nematode model of AMeDS, ascertaining the roles of TCR and NER in this model. Lastly, we determined that N-acetyl cysteine (NAC) supplement could effectively restore FA resistance suggesting a potential intervention strategy for AMeDS. Materials and methods C. elegans maintenance Caenorhabditis elegans were maintained on Escherichia coli strain (OP50) seeded NGM plates at 20\u00b0C ( 29 ). The strains BJS885, BJS938, BJS939\u00a0and BJS940 were produced via standard genetic crossing in the Schumacher lab.”  [PMC11317141 ¶10]</w:t>
      </w:r>
    </w:p>
    <w:p>
      <w:pPr>
        <w:spacing w:after="120"/>
        <w:jc w:val="both"/>
      </w:pPr>
      <w:r>
        <w:rPr>
          <w:rFonts w:ascii="Times New Roman" w:hAnsi="Times New Roman" w:cs="Times New Roman" w:eastAsia="Times New Roman"/>
          <w:b w:val="0"/>
          <w:i w:val="0"/>
          <w:sz w:val="24"/>
        </w:rPr>
        <w:t>“Strain BJS886 was created through CRISPR/Cas9 as published previously ( 4 ). The complete list of strains is included in the Table 1 . Human cell lines Cell lines used in this study were obtained from Coriell repository. Cells were tested free for mycoplasma infection and no further genetic validation was performed. Transformed fibroblasts were grown in Dulbecco's modified Eagle's medium (DMEM) (#10-013-CV, Corning), 10% FBS (Gibco) containing antibiotic/antimycotic mix (#L0010, Biowest). EBV-immortalized lymphoblastic cells were grown in Roswell Park Memorial Institute (RPMI) #61870044 (Gibco),10% FBS containing the antibiotic/antimycotic mix. Cell line ID Information GM00637 Apparently healthy transformed fibroblasts GM01712 Cockayne syndrome, type b; CSB, EBV-lymphoblastic cells GM04312 Xeroderma pigmentosum, complementation group A, transformed fibroblasts GM06914 Fanconi anemia, complementation group A, transformed fibroblasts GM09942 Xeroderma pigmentosum, complementation group C, EBV-lymphoblastic cells GM12496 Cockayne syndrome, type A; EBV-lymphoblastic cells GM13022 Fanconi anemia, complementation group A, EBV-lymphoblastic cells GM13295 Xeroderma pigmentosum, complementation group A, EBV-lymphoblastic cells GM15983 Xeroderma pigmentosum, complementation group C, transformed fibroblasts GM16094 Cockayne syndrome, type A; CSA transformed fibroblasts GM16095 Cockayne syndrome, type B; CSB transformed fibroblasts GM26200 Apparently healthy individual; EBV-lymphoblastic cells FA-toxicity assays For a standard FA-toxicity assay as in Figure 2 , worm populations were grown up to gravid adult stage on nematode growth medium (NGM) plates and synchronized via sodium-hypochlorite treatment (5\u2009M NaOH and sodium hypochlorite in a 1:1 ratio), followed by three washes with M9 (3\u2009g KH 2 PO 4 , 6\u2009g Na 2 HPO 4 , 5\u2009g NaCl, in 1\u2009l H 2 O; autoclaved and added 1\u2009ml of 1\u2009M MgSO 4 ).”  [PMC11317141 ¶11]</w:t>
      </w:r>
    </w:p>
    <w:p>
      <w:pPr>
        <w:spacing w:after="120"/>
        <w:jc w:val="both"/>
      </w:pPr>
      <w:r>
        <w:rPr>
          <w:rFonts w:ascii="Times New Roman" w:hAnsi="Times New Roman" w:cs="Times New Roman" w:eastAsia="Times New Roman"/>
          <w:b w:val="0"/>
          <w:i w:val="0"/>
          <w:sz w:val="24"/>
        </w:rPr>
        <w:t>“The eggs were grown in M9 for 16\u201318 h on a roller shaker overnight in the dark at room temperature. Synchronized L1 larvae were seeded on OP50-seeded NGM plates with or without FA (methanol-free 16% FA, Thermo Scientific) in the indicated concentrations and scored for developmental timing and survival after 48\u00a0and 72 h at a stereomicroscope. For the egg laying assays in Figure 3 , animals were grown into a population of gravid adults and synchronized via sodium-hypochlorite treatment as indicated above. Synchronized animals were then grown on OP50-seeded NGM plates for exactly 72 h to reach adulthood. Three animals were transferred to fresh OP50-seeded NGM plates with or without FA in the indicated concentrations and allowed to lay eggs for 3 h. Eggs were counted thereafter, and hatching was determined 24 h later. For the FA-toxicity assays combined with RNAi-mediated downregulation of adh-5 in Figure 1 , we used HT115 bacteria expressing dsRNA against adh-5(RNAi) , as published previously ( 4 ).”  [PMC11317141 ¶12]</w:t>
      </w:r>
    </w:p>
    <w:p>
      <w:pPr>
        <w:spacing w:after="120"/>
        <w:jc w:val="both"/>
      </w:pPr>
      <w:r>
        <w:rPr>
          <w:rFonts w:ascii="Times New Roman" w:hAnsi="Times New Roman" w:cs="Times New Roman" w:eastAsia="Times New Roman"/>
          <w:b w:val="0"/>
          <w:i w:val="0"/>
          <w:sz w:val="24"/>
        </w:rPr>
        <w:t>“The bacterial strains were propagated overnight in LB containing Ampicillin (0.1 mg/ml) and Tetracycline (0.0125 mg/ml) for selection. The overnight culture was diluted 1:100 into 100 mL LB liquid with Ampicillin and grown for 6 h, before Isopropyl \u03b2- d -1-thiogalactopyranoside (IPTG, 1 mM) for dsRNA-induction was added and grown for another hour. The resulting culture was concentrated 10 times by centrifugation and seeded on NGM plates containing IPTG (1 mM), Ampicillin (0.1 mg/ml) and with or without FA in the indicated concentrations. The bacteria on the plates were allowed to grow overnight at room temperature before the worms were added, and developmental timing and survival were scored after 48\u00a0and 72 h later. Figure 1. DNA repair determinants of formaldehyde tolerance in C . elegans . ( A ) Cartoon showing the putative lesions caused on DNA by formaldehyde (FA). In blue the factors inactivated in this work.”  [PMC11317141 ¶13]</w:t>
      </w:r>
    </w:p>
    <w:p>
      <w:pPr>
        <w:spacing w:after="120"/>
        <w:jc w:val="both"/>
      </w:pPr>
      <w:r>
        <w:rPr>
          <w:rFonts w:ascii="Times New Roman" w:hAnsi="Times New Roman" w:cs="Times New Roman" w:eastAsia="Times New Roman"/>
          <w:b w:val="0"/>
          <w:i w:val="0"/>
          <w:sz w:val="24"/>
        </w:rPr>
        <w:t>“Light blue shows some factors that might participate in multiple DNA repair pathways. ( B ) Scheme of the protocol applied to address FA tolerance and development in the data shown in C and D (see Materials and methods for details). ( C ) Heatmap summarizing survival data for C. elegans mutants in DNA repair and upon downregulation of adh-5 via RNAi. ( D ) Heatmap summarizing animals reaching adulthood as measure of development proficiency for C. elegans mutants in DNA repair and upon silencing of ADH-5. The heatmaps contain the mean value of three independent biological replicates for each condition. The significance was determined via a two-way ANOVA and the Dunnett's multiple comparisons test, for which counts * P &lt;\u00a00.05, ** P &lt;\u00a00.01, *** P &lt;\u00a00.001, **** P &lt;\u00a00.0001. The full statistical analysis for (C) and (D) is available as supplementary tables . Cartoons were created with BioRender.com.”  [PMC11317141 ¶14]</w:t>
      </w:r>
    </w:p>
    <w:p>
      <w:pPr>
        <w:spacing w:after="120"/>
        <w:jc w:val="both"/>
      </w:pPr>
      <w:r>
        <w:rPr>
          <w:rFonts w:ascii="Times New Roman" w:hAnsi="Times New Roman" w:cs="Times New Roman" w:eastAsia="Times New Roman"/>
          <w:b w:val="0"/>
          <w:i w:val="0"/>
          <w:sz w:val="24"/>
        </w:rPr>
        <w:t>“For experiments downregulating alh-1 in Figure 5 , we isolated alh-1(RNAi) from the Ahringer genome-wide RNAi library (Fwd primer sequence GGGAGTCTGCGGACAGATTA, Rev primer sequence CAGGGAAAGCGAAAATTCAA, Source Bioscience location III-2N01) and prepared the RNAi plates as indicated above ( 30 ). We exposed the P0 generation to RNAi from L1 stage for 72 h before transferring the adults to fresh RNAi plates with or without FA in the indicated concentrations for 24 h. The animals were transferred to fresh RNAi plates and allowed to lay eggs for 3 h. Then, the adults were removed, and the eggs were counted, and hatching was scored after 24 h. After 48 h we determined the developmental stages and re-examined the plates for dead embryos. For GSH-precursor experiments in Figure 6 , we added NAC (LINARIS Biologische Produkte GmbH, Germany) into the NGM agar at a 10 mM concentration. To determine cell viability, we used a resazurin-based assay.”  [PMC11317141 ¶15]</w:t>
      </w:r>
    </w:p>
    <w:p>
      <w:pPr>
        <w:spacing w:after="120"/>
        <w:jc w:val="both"/>
      </w:pPr>
      <w:r>
        <w:rPr>
          <w:rFonts w:ascii="Times New Roman" w:hAnsi="Times New Roman" w:cs="Times New Roman" w:eastAsia="Times New Roman"/>
          <w:b w:val="0"/>
          <w:i w:val="0"/>
          <w:sz w:val="24"/>
        </w:rPr>
        <w:t>“Briefly, cells were seeded at 3000 cells/well in 96-well plates and exposed to the concentrations of FA depicted in the corresponding figures (prepared from Formaldehyde Solution 16%, #28906, Thermofisher). After 3 (for fibroblast) or 6 (for EBV-lymphoblastic cells) days resazurin (#418900050, Thermofisher) was added at a final concentration of 44 \u03bcM for 4 h\u00a0and fluorescence quantified. Data is presented as % of the untreated samples unless otherwise stated. In the indicated plots N -acetyl- l -cysteine (#A7250, Sigma-Aldrich) was used at 500 \u03bcM. Comet assay For the analysis of DNA damage burden, approx. 250 day-1-old adult nematodes were subjected to the comet assay 24 h after on-plate FA exposure. UVB-treated animals (24 h\u00a0post-treatment) served as a positive control ( 20 ). Nematodes were washed 10 times for three min with M9 to remove residual bacteria. Afterwards, the cuticle was permeabilized by adding 200 \u03bcl TSD buffer (0.5% Triton X-100, 20 mM HEPES buffer (pH 8.0), 0.25% SDS, 200 mM DTT\u00a0and 3% sucrose) for four min.”  [PMC11317141 ¶16]</w:t>
      </w:r>
    </w:p>
    <w:p>
      <w:pPr>
        <w:spacing w:after="120"/>
        <w:jc w:val="both"/>
      </w:pPr>
      <w:r>
        <w:rPr>
          <w:rFonts w:ascii="Times New Roman" w:hAnsi="Times New Roman" w:cs="Times New Roman" w:eastAsia="Times New Roman"/>
          <w:b w:val="0"/>
          <w:i w:val="0"/>
          <w:sz w:val="24"/>
        </w:rPr>
        <w:t>“Permeabilization was stopped by adding 800 \u03bcl egg buffer (25 mM HEPES (pH 7.3), 118 mM NaCl, 48 mM KCl, 2 mM CaCl 2 , 2 mM MgCl 2 ). Animals were washed five additional times with egg buffer and then dissociated to single cells by adding 150 \u03bcl pronase (15 mg/ml in egg buffer) and mechanical disruption (pipetting up and down 160 times with a P1000 pipette within 20 min incubation at RT). The digestion was stopped by adding 1 ml ice cold FCS (Sigma-Aldrich) and cells were pelleted in a centrifuge (rotating at 9600\u00d7g at 4\u00b0C for 5 min). Cells were washed with PBS, pelleted by centrifugation, and finally resuspended in 200 \u03bcl PBS. Cells were allowed to settle on ice for 30 min and passed through a 40 \u03bcm cell strainer. 50 \u03bcl of cells were mixed with 150 \u03bcl low melting agarose (0.65% in H 2 O, temperature adjusted to 42\u00b0C in waterbath); 75 \u03bcl of the cell-agarose mix was spread on a slide (precoated with 1% agarose, air-dried).”  [PMC11317141 ¶17]</w:t>
      </w:r>
    </w:p>
    <w:p>
      <w:pPr>
        <w:spacing w:after="120"/>
        <w:jc w:val="both"/>
      </w:pPr>
      <w:r>
        <w:rPr>
          <w:rFonts w:ascii="Times New Roman" w:hAnsi="Times New Roman" w:cs="Times New Roman" w:eastAsia="Times New Roman"/>
          <w:b w:val="0"/>
          <w:i w:val="0"/>
          <w:sz w:val="24"/>
        </w:rPr>
        <w:t>“Slides were placed in a Coplin jar and embedded cells were lysed in lysis buffer (2.5 M NaCl, 100 mM EDTA, 1% (v/v) Triton X-100, 0.3% (w/v) Lauroyl sarcosin, 10 mM Tris-base, 250 mM NaOH, adjust to pH 10.0) at 4\u00b0C overnight. The next day, slides were washed three times with H 2 O at 4\u00b0C for 5 min and subjected to unwinding buffer (0.3 M NaOH, 1 mM EDTA) at 4\u00b0C for 60 min. Afterwards, slides were transferred to an electrophoresis chamber (filled with unwinding buffer) and run at 22 V (\u2248200 mA) for 24 min. After running, slides were transferred to neutralization buffer (0.4 M Tris\u2013HCl (pH 7.5)) for 10 min, washed three times with H 2 O for 5 min, and finally fixed in methanol for 10 min. The fixed slides were air-dried. 25 \u03bcl ethidium bromide (EtBr) was added to the slides and covered with a coverslip. Imaging was performed directly after adding EtBr using an Axio Imager.M2 (Carl Zeiss). 14-bit images were acquired at 100-fold magnification using an RFP filter set. 30\u201350 comets per condition were analyzed using Fiji, applying the circle tool to measure \u2018Area\u2019 and \u2018IntegratedDensity\u2019 of the comet head and the total comet.”  [PMC11317141 ¶18]</w:t>
      </w:r>
    </w:p>
    <w:p>
      <w:pPr>
        <w:spacing w:after="120"/>
        <w:jc w:val="both"/>
      </w:pPr>
      <w:r>
        <w:rPr>
          <w:rFonts w:ascii="Times New Roman" w:hAnsi="Times New Roman" w:cs="Times New Roman" w:eastAsia="Times New Roman"/>
          <w:b w:val="0"/>
          <w:i w:val="0"/>
          <w:sz w:val="24"/>
        </w:rPr>
        <w:t>“Additionally, the \u2018Length\u2019 of the comet tail was measured. Measured values were corrected for the median background of their respective image. Tail moment was calculated as (tail length) \u00d7 (% of DNA in comet tail)). As a positive control, 250 day-1-adult, wild type worms were placed on a non-seeded plate and irradiated with 300 mJ/cm 2 UVB (broad-band spectrum) directly before being subjected to the initial washing steps of the comet assay. DNA-protein crosslink assay DPCs caused by FA were isolated using the ARK method ( 31 ). Briefly, 300\u00a0000 cells of GM00637 and GM16095 were seeded per well in 6-well-plates. After 48 h, the culture media was replaced with fresh media containing 0, 200 and 400 \u03bcM of FA. Once the treatment reached 4 h, half of the samples were kept in culture with media without FA to recover for 24 h, and the rest were pelleted. After the collection of the pellets at the end of the assay, samples were lysed with a guanidine thiocyanate-based buffer, and DNA was isolated with a 50% ethanol precipitation method.”  [PMC11317141 ¶19]</w:t>
      </w:r>
    </w:p>
    <w:p>
      <w:pPr>
        <w:spacing w:after="120"/>
        <w:jc w:val="both"/>
      </w:pPr>
      <w:r>
        <w:rPr>
          <w:rFonts w:ascii="Times New Roman" w:hAnsi="Times New Roman" w:cs="Times New Roman" w:eastAsia="Times New Roman"/>
          <w:b w:val="0"/>
          <w:i w:val="0"/>
          <w:sz w:val="24"/>
        </w:rPr>
        <w:t>“DPCs and free DNA were separated by dissolving the pellet with a solution containing 1% SDS, and precipitating DPCs using a K\u2013Cl buffer. DPC precipitate was digested with 0.2 mg/ml proteinase K (#BP1700-100, Thermofisher) to release DNA from covalently bound proteins. Following the procedure, DNA quantification of free DNA and DNA isolated from DPC precipitate was performed using Qubit dsDNA Quantification Assay Kit (# Q32851 ) as manufacturer's instructions. Finally, the DPC coefficient was calculated as follows: DNA isolated from DPC/total DNA. Protein Immunoblotting Cell lines were lysed using RIPA buffer (50 mM Tris\u2013HCl pH7.4; 150 mM NaCl; 1% sodium deoxycholate; 0.10% SDS; 1% Triton-X100; 0.5 mM EDTA) supplemented with protease- (Roche #04693116001), and phosphatase inhibitors (Roche #04693116001) and sonicated. 60 \u03bcg of protein lysate was loaded for each sample onto a 15% acrylamide gel in a 1.0 mm Mini Protein Gel (Invitrogen), and subsequently transferred to a 0.1 \u03bcm nitrocellulose membrane.”  [PMC11317141 ¶20]</w:t>
      </w:r>
    </w:p>
    <w:p>
      <w:pPr>
        <w:spacing w:after="120"/>
        <w:jc w:val="both"/>
      </w:pPr>
      <w:r>
        <w:rPr>
          <w:rFonts w:ascii="Times New Roman" w:hAnsi="Times New Roman" w:cs="Times New Roman" w:eastAsia="Times New Roman"/>
          <w:b w:val="0"/>
          <w:i w:val="0"/>
          <w:sz w:val="24"/>
        </w:rPr>
        <w:t>“The running conditions were set at 80 V for the first 15 min, followed by 100 V for 1 h and 45 min. Transfer conditions were set at 100 V for 1 h. The membrane was blocked in 5% BSA in TBS\u2013Tween for 1 h\u00a0at room temperature. Blots were then incubated on a shaker at 4\u00b0C in primary antibodies diluted in 5% BSA in TBS\u2013Tween. Following primary antibody incubation, blots were incubated with fluorescent secondary rabbit or mouse antibodies in 5% BSA in TBS-Tween for 1 hour at room temperature. Immunoblots were washed three times for 5 min\u00a0each after each incubation. Band intensities were imaged using the Odyssey CLx Imaging System (LI-COR) and subsequently quantified by densitometry using ImageJ software. Finally, the data was plotted using GraphPad. Antibodies used: H2AX 1:1000 ABnova MAB-12332; \u03b3H2AX 1:500 Cell Signaling Technology 2577S; TIF1\u03b2 (KAP1) 1:1000 Santa Cruz Biotechnology Sc-136102; pKAP1 (Ser824) 1:1000 Cell Signaling Technology 4127S; CHK1 1:1000 Santa Cruz Biotechnology Sc-8408; pCHK1 (Ser354) 1:500 Cell Signaling Technology 2348S; IRDye800CW Donkey anti-Rabbit 1:5000 LI-COR 926/32213 IRDye680RD; Goat anti-Mouse 1:5000 LI-COR 926/68070. gst-4 ::GFP expression quantification The strain CL2166 (dv Is19 [(pAF15) gst-4 p::GFP::NLS]) was used for oxidative stress signaling induction evaluation ( 32 ).”  [PMC11317141 ¶21]</w:t>
      </w:r>
    </w:p>
    <w:p>
      <w:pPr>
        <w:spacing w:after="120"/>
        <w:jc w:val="both"/>
      </w:pPr>
      <w:r>
        <w:rPr>
          <w:rFonts w:ascii="Times New Roman" w:hAnsi="Times New Roman" w:cs="Times New Roman" w:eastAsia="Times New Roman"/>
          <w:b w:val="0"/>
          <w:i w:val="0"/>
          <w:sz w:val="24"/>
        </w:rPr>
        <w:t>“The animals were grown on plates with HT115 bacteria expressing control RNAi (empty vector) or RNAi against adh-5 or alh-1 for two generations following established RNAi protocols ( 33 ). To achieve an equal exposure to RNAi, we measured the OD 600 of the O/D culture and adjusted equal concentrations to a 50:50 mix. Animals were imaged at a Zeiss AxioImager.M2 with a 5\u00d7 lens right after a 5-h\u00a0treatment, and after a 16-h\u00a0recovery phase. Lifespan assay For lifespan assays, animals were synchronized via sodium-hypochlorite and grown into the larval stage L4 on OP50-seeded NGM plates, before they were transferred to the lifespan assay plates, which contained 50 \u03bcM 5-fluor-2\u2032-desoxyuridin (FuDr) to suppress offspring production. Animals were grown with or without 5 mM FA and remained on the same plate until death, while the survival was scored every 2 days. Worms that crawled off the plate or dried out at the edge of plates were censored.”  [PMC11317141 ¶22]</w:t>
      </w:r>
    </w:p>
    <w:p>
      <w:pPr>
        <w:spacing w:after="120"/>
        <w:jc w:val="both"/>
      </w:pPr>
      <w:r>
        <w:rPr>
          <w:rFonts w:ascii="Times New Roman" w:hAnsi="Times New Roman" w:cs="Times New Roman" w:eastAsia="Times New Roman"/>
          <w:b w:val="0"/>
          <w:i w:val="0"/>
          <w:sz w:val="24"/>
        </w:rPr>
        <w:t>“The population size was 100\u2013150 worms per strain and condition. Phylogenetic analysis Phylogenetic analysis was performed using Phylogeny.fr suite ( 34 ). First, C. elegans genes coding for ALDH2-like proteins we retrieved by performing a BlastP restricted to C. elegans using human ALDH2 protein as query. The list of proteins was then uploaded into Phylogeny.fr and plotted as phylogram depicting the branch support values. Statistical analysis Statistical significance was assessed via the GraphPad Software. To assess differences in grouped data sets for survival, developmental delay and egg-laying/hatching we used the two-way ANOVA with Tukey's multiple comparisons test unless otherwise stated in the figure legend. For lifespan assays we applied the log-rank (Mantel\u2013Cox) test and the Gehan\u2013Breslow\u2013Wilcoxon test. To test for significant differences in comet assays, one-way ANOVA with Tukey's post hoc test was employed.”  [PMC11317141 ¶23]</w:t>
      </w:r>
    </w:p>
    <w:p>
      <w:pPr>
        <w:spacing w:after="120"/>
        <w:jc w:val="both"/>
      </w:pPr>
      <w:r>
        <w:rPr>
          <w:rFonts w:ascii="Times New Roman" w:hAnsi="Times New Roman" w:cs="Times New Roman" w:eastAsia="Times New Roman"/>
          <w:b w:val="0"/>
          <w:i w:val="0"/>
          <w:sz w:val="24"/>
        </w:rPr>
        <w:t>“Data availability All the data reported in this work can be found in the text and supplementary files . Reagents are available from L.B.P. and B.S. upon request. Results Multiple DNA repair pathways confer FA tolerance in C. elegans To dissect how the multiple DNA repair mechanisms conserved between human and C. elegans protect the genome from FA in an animal model, we applied chronic FA-treatment during animal development and measured survival. Among the surviving animals, we scored those that reach adulthood as a measure of development proficiency. We performed this approach in wildtype (N2) animals and in several DNA repair-deficient mutants, including components of TCR and GG-NER, Fanconi anemia, base excision repair (BER), mismatch repair (MMR), non-homologous end joining (NHEJ) and homologous recombination repair (HR) (Figure 1A \u2013 C ). To exacerbate the effect of FA, we silenced adh-5 ( adh-5(RNAi) ) in each of the mutants in the DNA repair pathways depicted in Figure 1A .”  [PMC11317141 ¶24]</w:t>
      </w:r>
    </w:p>
    <w:p>
      <w:pPr>
        <w:spacing w:after="120"/>
        <w:jc w:val="both"/>
      </w:pPr>
      <w:r>
        <w:rPr>
          <w:rFonts w:ascii="Times New Roman" w:hAnsi="Times New Roman" w:cs="Times New Roman" w:eastAsia="Times New Roman"/>
          <w:b w:val="0"/>
          <w:i w:val="0"/>
          <w:sz w:val="24"/>
        </w:rPr>
        <w:t>“Our analysis revealed that the survival of several mutants for NER ( csb-1 ; xpa-1 ; xpg-1 ; ercc-1 ) and of a member of the Fanconi anemia pathway ( fcd-2 ), is significantly reduced compared to wild type animals (Figure 1C ), which is in line with previous studies that demonstrated an involvement of these pathways in the removal of FA-induced DNA lesions ( 6 , 8 ). We did not detect a significant reduction in survival in animals carrying a mutation for the gene coding the C. elegans ortholog of the DPC protease SPRTN ( dvc-1(ok260) ) ( 14 ). Animals carrying mutations in nth-1 or ung-1 , which code for components of the BER, were also highly sensitive to FA, which might be a consequence of the property of FA to induce oxidative stress ( 4 ). gen-1 also appeared as a crucial determinant of FA tolerance. The downregulation of adh-5 did not significantly increase FA toxicity in most of the DNA repair mutants but in contrast appeared to increase survival of exo-1 and cku-80 mutants (Figure 1C ).”  [PMC11317141 ¶25]</w:t>
      </w:r>
    </w:p>
    <w:p>
      <w:pPr>
        <w:spacing w:after="120"/>
        <w:jc w:val="both"/>
      </w:pPr>
      <w:r>
        <w:rPr>
          <w:rFonts w:ascii="Times New Roman" w:hAnsi="Times New Roman" w:cs="Times New Roman" w:eastAsia="Times New Roman"/>
          <w:b w:val="0"/>
          <w:i w:val="0"/>
          <w:sz w:val="24"/>
        </w:rPr>
        <w:t>“However, when analyzing the animals that reach adulthood as a measure of development success, downregulating adh-5 exacerbated the developmental failure of most of the DNA repair mutants (Figure 1D ). The strain xpc-1;csb-1;adh-5(RNAi) was one of the most compromised in this development assay indicating NER plays a fundamental role for protecting the larvae during development to adulthood. In this assay, we also observed a contribution of the factors SLX-1, EXO-1, GEN-1 and of the NHEJ component KU-80, suggesting a complex systemic protection of the genome against FA during development and a crucial role of ADH-5 dependent FA detoxification. TCR-deficiency is a determinant of somatic FA-sensitivity in C. elegans and human cells. The significant role of NER components in the protection against FA in conditions of downregulation of systemic catabolism via adh-5(RNAi ) suggested this pathway might limit FA genotoxicity in animals.”  [PMC11317141 ¶26]</w:t>
      </w:r>
    </w:p>
    <w:p>
      <w:pPr>
        <w:spacing w:after="120"/>
        <w:jc w:val="both"/>
      </w:pPr>
      <w:r>
        <w:rPr>
          <w:rFonts w:ascii="Times New Roman" w:hAnsi="Times New Roman" w:cs="Times New Roman" w:eastAsia="Times New Roman"/>
          <w:b w:val="0"/>
          <w:i w:val="0"/>
          <w:sz w:val="24"/>
        </w:rPr>
        <w:t>“Thus, we deepened our analysis on the sensitivity of C. elegans mutants for TCR ( csb-1 ), which is known to act in the removal of bulky lesions in somatic tissues, and for GG-NER ( xpc-1 ), which acts predominantly in the germline ( 15 , 16 ). The distinct roles of TCR and GG-NER are likely due to the reliance of terminally differentiated somatic cells on actively transcribed regions of the genome, while germ cells need to survey their entire genome to ensure inheritance of stable genomes. We also evaluated the double-mutant xpc-1;csb-1 , as well as xpa-1 , which acts downstream and coordinates the assembly of the pre-incision complex to remove bulky DNA lesions ( 17 ). First, we evaluated the tolerance of xpc-1 , csb-1 , xpc-1 ; csb-1 and xpa-1 mutants to FA at 48 and 72 h\u00a0of chronic FA exposure (Figure 2A \u2013 C ). csb-1 and xpc-1;csb-1 mutants were robustly sensitive to FA in these settings (Figure 2C ), while xpc-1 was not sensitive.”  [PMC11317141 ¶27]</w:t>
      </w:r>
    </w:p>
    <w:p>
      <w:pPr>
        <w:spacing w:after="120"/>
        <w:jc w:val="both"/>
      </w:pPr>
      <w:r>
        <w:rPr>
          <w:rFonts w:ascii="Times New Roman" w:hAnsi="Times New Roman" w:cs="Times New Roman" w:eastAsia="Times New Roman"/>
          <w:b w:val="0"/>
          <w:i w:val="0"/>
          <w:sz w:val="24"/>
        </w:rPr>
        <w:t>“Interestingly, the developmental timing upon chronic FA-exposure was significantly delayed for csb-1 , xpc-1;csb-1 , but not xpc-1 , while we detected only a mild developmental delay in xpa-1 mutants (Figure 2D and E ). Figure 2. NER-deficient animals show somatic formaldehyde sensitivity, which is further enhanced by loss of ADH-5. ( A ) Experimental scheme (see Materials and methods for details). ( B ) Survival of NER mutants upon formaldehyde (FA) after 48 h and ( C ) after 72 h on plate. ( D ) Developmental timing of NER mutants upon FA after 48h on plate and ( E ) after 72 h on plate. ( F ) Survival of NER mutants in an adh-5 mutant background upon FA after 72h on plate (for N2 control the survival at 5 mM is 91.5 \u00b1\u00a01.9% as shown in Figure 2C ). ( G ) Developmental timing of NER mutants in an adh-5 mutant background upon FA after 72 h on plate. Each condition was performed in three technical replicates, and the significance was determined via two-way ANOVA for survival, followed by Tukey's multiple comparison test, for which is defined * P &lt;\u00a00.05, ** P &lt;\u00a00.01, *** P &lt;\u00a00.001, **** P &lt;\u00a00.0001.”  [PMC11317141 ¶28]</w:t>
      </w:r>
    </w:p>
    <w:p>
      <w:pPr>
        <w:spacing w:after="120"/>
        <w:jc w:val="both"/>
      </w:pPr>
      <w:r>
        <w:rPr>
          <w:rFonts w:ascii="Times New Roman" w:hAnsi="Times New Roman" w:cs="Times New Roman" w:eastAsia="Times New Roman"/>
          <w:b w:val="0"/>
          <w:i w:val="0"/>
          <w:sz w:val="24"/>
        </w:rPr>
        <w:t>“( H ) Top, scheme depicting the experimental set up; bottom viability determined 72 h after the\u00a04 h-FA pulse ( n =\u00a06, **** P &lt;\u00a00.0001 for a two-tailed t -test between the groups indicated in the figure). ( I ) DNA\u2013protein crosslink (DPC) accumulation after a 4\u00a0h-FA pulse determined 24 h upon recovery for GM00637 (healthy fibroblasts, left); and for GM16095 ( CSBmut fibroblasts, right) ( n =\u00a06, mean\u00a0\u00b1\u00a0SEM). One-way ANOVA corrected with Dunnett test for multiple comparison (* P =\u00a00.0109, **** P &lt;\u00a00.0001; * P =\u00a00.0242, *** P =\u00a00.0003). ANOVA tables for panels B, C, D, E and G can be found as supplementary tables . Cartoons were created with BioRender.com. We next interrogated whether combined loss of DNA repair capacity and cytoplasmic aldehyde-detoxification could lead to a further increase in FA toxicity. We used adh-5(RNAi) to sensitize C. elegans DNA repair deficient mutants to FA-toxicity.”  [PMC11317141 ¶29]</w:t>
      </w:r>
    </w:p>
    <w:p>
      <w:pPr>
        <w:spacing w:after="120"/>
        <w:jc w:val="both"/>
      </w:pPr>
      <w:r>
        <w:rPr>
          <w:rFonts w:ascii="Times New Roman" w:hAnsi="Times New Roman" w:cs="Times New Roman" w:eastAsia="Times New Roman"/>
          <w:b w:val="0"/>
          <w:i w:val="0"/>
          <w:sz w:val="24"/>
        </w:rPr>
        <w:t>“The a dh5(RNAi) in WT background showed normal development that is significantly affected by FA exposure, and a significant survival reduction at the highest FA concentration ( Supplementary Figure S1A\u2013C ). The downregulation of ADH-5 in NER mutants revealed a significant developmental delay for csb-1 and xpc-1;csb-1 , while xpc-1 and xpa-1 mutants were not additionally affected ( Supplementary Figure S1D and S1E ). To further validate the role of ADH-5 and DNA repair in C. elegans survival, we crossed xpc-1 , csb-1 , xpc-1;csb-1 and xpa-1 mutants into the highly FA-sensitive adh-5 mutant background and evaluated C. elegans survival and development in these settings. We found that all NER factors tested contribute to limit the toxicity of FA in condition of chronic exposure at 1 mM (Figure 2F ). Curiously, in none of the assays, loss of xpa-1 resembled the sensitivity of xpc-1;csb-1 double-mutants, as it is observed in response to UVB-induced DNA damage or ICL-inducing agents ( 13 , 17 ), suggesting a role of CSB-1 in the prevention of FA genotoxicity in somatic tissues that might by independent of its function within the NER.”  [PMC11317141 ¶30]</w:t>
      </w:r>
    </w:p>
    <w:p>
      <w:pPr>
        <w:spacing w:after="120"/>
        <w:jc w:val="both"/>
      </w:pPr>
      <w:r>
        <w:rPr>
          <w:rFonts w:ascii="Times New Roman" w:hAnsi="Times New Roman" w:cs="Times New Roman" w:eastAsia="Times New Roman"/>
          <w:b w:val="0"/>
          <w:i w:val="0"/>
          <w:sz w:val="24"/>
        </w:rPr>
        <w:t>“Accordingly, csb-1 showed a further developmental defect compared to the canonical TC-NER mutants csa-1 and uvs-1 ( Supplementary Figure S1F, G ), and the developmental timing was significantly delayed in xpc-1;csb-1;adh-5 triple mutant compared to xpa-1;adh-5 double mutant, further suggesting CSB-1 might play a role in FA tolerance in an NER-independent mechanism (Figure 2G ). Next, we performed assays to determine whether FA could induce DNA DSBs and found a significant accumulation of DNA damage upon 5 and 7.5 mM FA, which was not further enhanced in mutants lacking ADH-5, confirming previous results obtained in human cells ((4), Supplementary Figure S2A ). To further evaluate the genotoxicity of FA in dividing and non-dividing cells, we employed human fibroblasts from healthy and Cockayne syndrome donors and determined whether FA can be differentially affecting non-cycling cells synchronized by serum starvation compared to dividing cells (Figure 2H , top scheme).”  [PMC11317141 ¶31]</w:t>
      </w:r>
    </w:p>
    <w:p>
      <w:pPr>
        <w:spacing w:after="120"/>
        <w:jc w:val="both"/>
      </w:pPr>
      <w:r>
        <w:rPr>
          <w:rFonts w:ascii="Times New Roman" w:hAnsi="Times New Roman" w:cs="Times New Roman" w:eastAsia="Times New Roman"/>
          <w:b w:val="0"/>
          <w:i w:val="0"/>
          <w:sz w:val="24"/>
        </w:rPr>
        <w:t>“We found that an acute FA pulse is equally toxic for healthy dividing and non-dividing fibroblasts. In contrast, CSB -deficient fibroblasts were significantly more sensitive to FA when they are not dividing (Figure 2H ), suggesting CSB might be involved in the resolution of transcriptional conflicts as previously proposed ( 10 ). A putative source of transcriptional stress might be the accumulation of DPC, thus we set up to determine DPC formation in healthy and CSB-mutant fibroblasts exposing them to a 4 h acute pulse of FA, and leaving them to recover for 24 h. We found that CSB -mutant fibroblasts cannot significantly reduce the levels of DPC compared to healthy fibroblasts (Figure 2I ), indicating CSB is involved in the resolution of DPC caused by FA. We also evaluated the DNA damage markers \u03b3-H2AX, pKAP1(Ser824), and pCHK1(Ser354) in dividing and non-dividing fibroblasts. These data showed that a 4 h pulse of 400 \u03bcM FA induces DNA damage markers both in cycling and non-dividing cells, supporting that FA can cause multiple types of DNA lesions ( Supplementary Figure S2C , S2D ).”  [PMC11317141 ¶32]</w:t>
      </w:r>
    </w:p>
    <w:p>
      <w:pPr>
        <w:spacing w:after="120"/>
        <w:jc w:val="both"/>
      </w:pPr>
      <w:r>
        <w:rPr>
          <w:rFonts w:ascii="Times New Roman" w:hAnsi="Times New Roman" w:cs="Times New Roman" w:eastAsia="Times New Roman"/>
          <w:b w:val="0"/>
          <w:i w:val="0"/>
          <w:sz w:val="24"/>
        </w:rPr>
        <w:t>“In sum, these results indicate that FA causes somatic defects, which are in part limited by a CSB-1 mediated TCR that is only partially dependent on NER. These data also suggest that CSB-1 (CSB) predominantly induces NER-independent repair of FA-induced DNA lesions in terminally differentiated somatic tissues, showing that one of such lesions are DPCs. Loss of GG-NER or XPA-1 exacerbates FA-induced fecundity defects in adh-5 mutants FA is a potent environmental toxin that has been directly linked to infertility, reduced offspring and embryonic lethality in humans and mice ( 7 , 18 , 19 ). To explore the genetic determinants of protection against FA in germ cells and embryos, we exposed adult worms and followed the egg-laying activity and subsequent egg hatching rates upon FA-induced toxicity in xpc-1 , csb-1 , xpc-1;csb-1 , and xpa-1 mutants in a adh-5 proficient and deficient backgrounds (Figure 3A ).”  [PMC11317141 ¶33]</w:t>
      </w:r>
    </w:p>
    <w:p>
      <w:pPr>
        <w:spacing w:after="120"/>
        <w:jc w:val="both"/>
      </w:pPr>
      <w:r>
        <w:rPr>
          <w:rFonts w:ascii="Times New Roman" w:hAnsi="Times New Roman" w:cs="Times New Roman" w:eastAsia="Times New Roman"/>
          <w:b w:val="0"/>
          <w:i w:val="0"/>
          <w:sz w:val="24"/>
        </w:rPr>
        <w:t>“Mutants for adh-5 showed a reduced number of laid eggs in presence of FA, which was further enhanced upon the loss of xpc-1 or xpc-1;csb-1 , but not on csb-1 alone (Figure 3B \u2013 D ). Interestingly, xpa-1;adh-5 double-mutants displayed reduced egg-laying without FA-exposure (Figure 3E ), suggesting that NER and ADH-5 are required to limit the toxicity of endogenous FA in the germline. Figure 3. Fecundity is reduced in NER mutants upon formaldehyde (FA) toxicity, which is further enhanced upon loss of ADH-5. ( A ) Experimental scheme (see Materials and Methods for details). Panels (B\u2013E) show the number of eggs produced by three animals within 3 h for strains carrying mutations for ( B ) xpc-1 , ( C ) csb-1 , ( D ) xpc-1 ; csb-1 and ( E ) xpa-1 . Panels (F\u2013I) display the hatching rate as counted 24 h post-egg-laying for ( F ) xpc-1 , ( G ) csb-1 , ( H ) xpc-1 ; csb-1 and ( I ) xpa-1 .”  [PMC11317141 ¶34]</w:t>
      </w:r>
    </w:p>
    <w:p>
      <w:pPr>
        <w:spacing w:after="120"/>
        <w:jc w:val="both"/>
      </w:pPr>
      <w:r>
        <w:rPr>
          <w:rFonts w:ascii="Times New Roman" w:hAnsi="Times New Roman" w:cs="Times New Roman" w:eastAsia="Times New Roman"/>
          <w:b w:val="0"/>
          <w:i w:val="0"/>
          <w:sz w:val="24"/>
        </w:rPr>
        <w:t>“The graphs summarize the data of four technical replicates, and the significance was determined via the two-way ANOVA, followed by the Tukey's multiple comparison test, for which counts * P &lt;\u00a00.05, ** P &lt;\u00a00.01, *** P &lt;\u00a00.001, **** P &lt;\u00a00.0001. ANOVA tables for panels B\u2013I can be found as supplementary tables . Cartoons were created with BioRender.com A normal hatching rate is indicative of a healthy germline. Conversely, reduced hatching has been linked to DNA damage ( 20 ). FA caused significantly reduced hatching in animals lacking ADH-5, which was further increased upon loss of XPC-1 (Figure 3F ). In contrast, hatching was not affected in csb-1 mutants even upon loss of ADH-5 (Figure 3G ). In line with the survival results, the triple mutant adh-5;xpc-1;csb-1 presented a striking hatching defect in presence of FA (Figure 3H ). Furthermore, loss of XPA-1 led to a reduced hatching rate under control conditions, which worsened upon exposure to FA (Figure 3I ).”  [PMC11317141 ¶35]</w:t>
      </w:r>
    </w:p>
    <w:p>
      <w:pPr>
        <w:spacing w:after="120"/>
        <w:jc w:val="both"/>
      </w:pPr>
      <w:r>
        <w:rPr>
          <w:rFonts w:ascii="Times New Roman" w:hAnsi="Times New Roman" w:cs="Times New Roman" w:eastAsia="Times New Roman"/>
          <w:b w:val="0"/>
          <w:i w:val="0"/>
          <w:sz w:val="24"/>
        </w:rPr>
        <w:t>“These results show that FA can cause reduced fertility in C. elegans , and that detoxification via ADH-5 and genome protection via the GG-NER pathway including XPA-1 have a central role in protecting the germline from FA-induced cytotoxicity. In sum, the removal of FA-induced lesions throughout the genome by GG-NER is required for the inheritance of stable genomes ensuring embryonic health. Loss of TCR or XPA-1 further reduces lifespan of adult animals upon FA in adh-5 mutants. Simultaneous loss of Csb and Adh5 leads to reduced survival in csb m/m ; adh5 \u2212/\u2212 double mutant mice ( 21 ). To address the effect of FA exposure during adulthood, we determined its effect on lifespan. In C. elegans , single loss of ADH-5 or CSB-1, or even simultaneous loss of ADH-5 and CSB-1 did not significantly affect lifespan (Figure 4A ). We extended our analysis to xpa-1;adh-5 mutants and did not detect a significant change in lifespan here either (Figure 4B ).”  [PMC11317141 ¶36]</w:t>
      </w:r>
    </w:p>
    <w:p>
      <w:pPr>
        <w:spacing w:after="120"/>
        <w:jc w:val="both"/>
      </w:pPr>
      <w:r>
        <w:rPr>
          <w:rFonts w:ascii="Times New Roman" w:hAnsi="Times New Roman" w:cs="Times New Roman" w:eastAsia="Times New Roman"/>
          <w:b w:val="0"/>
          <w:i w:val="0"/>
          <w:sz w:val="24"/>
        </w:rPr>
        <w:t>“FA-exposure significantly reduced the lifespan of adh-5 mutants (Figure 4C ). In addition, loss of either CSB-1 or XPA-1 rendered animals susceptible to FA, which was further enhanced by the loss of ADH-5 (Figure 4C and D ), overall indicating that NER-dependent TCR ensures healthy aging in conditions of FA overload. Figure 4. Loss of ADH-5 does not shorten the lifespan of animals deficient for xpa-1 and csb-1 , while formaldehyde-sensitivity is increased. ( A ) and ( B ) show full lifespan experiments of wildtype and adh-5 mutants, while (A) includes csb-1 and csb-1 ; adh-5 mutants, and (B) includes xpa-1 and xpa-1 ; adh-5 deficient animals. In ( C ) and ( D ), animals were exposed to 5 mM formaldehyde (FA) from the L4 stage and lifespan was determined for (C) animals deficient in csb-1 and csb-1 ; adh-5 , and (D) mutants for xpa-1 and xpa-1 ; adh-5 . The significance between conditions was determined via the log-rank (Mantel-Cox) test, for which is defined **** P &lt;\u00a00.0001.”  [PMC11317141 ¶37]</w:t>
      </w:r>
    </w:p>
    <w:p>
      <w:pPr>
        <w:spacing w:after="120"/>
        <w:jc w:val="both"/>
      </w:pPr>
      <w:r>
        <w:rPr>
          <w:rFonts w:ascii="Times New Roman" w:hAnsi="Times New Roman" w:cs="Times New Roman" w:eastAsia="Times New Roman"/>
          <w:b w:val="0"/>
          <w:i w:val="0"/>
          <w:sz w:val="24"/>
        </w:rPr>
        <w:t>“Loss of two FA-detoxification systems causes developmental arrest and fecundity defects. Systemic FA overload because of inherited mutations in the FA-detoxifying enzyme ADH5 and dominant negative mutations in the mitochondrial aldehyde dehydrogenase 2 (ALDH2) can drive the human condition AMeDS ( 12 ). This condition can be recapitulated in mice, still the high penetrance of the postnatal lethality of Adh5 \u2212/\u2212 Aldh2 \u2212/\u2212 mice challenges experimental work with mouse AMeDS models ( 13 ). Thus, we set out to develop a C. elegans model of human AMeDS. First, we performed a phylogenetic analysis identifying two putative orthologs of human ALDH2 ( alh-2 and alh-1 ) (Figure 5A ). Interestingly, only ALH-1 presented the two conserved cysteines in the active site ( Supplementary Figure S3A ). Furthermore, when combining adh-5 mutants with RNAi against alh-1 or alh-2 we detected that only alh-1 was able to genetically interact with adh-5 indicating ALH-1 is the ortholog of human ALDH2 in C. elegans ( Supplementary Figure S3B ).”  [PMC11317141 ¶38]</w:t>
      </w:r>
    </w:p>
    <w:p>
      <w:pPr>
        <w:spacing w:after="120"/>
        <w:jc w:val="both"/>
      </w:pPr>
      <w:r>
        <w:rPr>
          <w:rFonts w:ascii="Times New Roman" w:hAnsi="Times New Roman" w:cs="Times New Roman" w:eastAsia="Times New Roman"/>
          <w:b w:val="0"/>
          <w:i w:val="0"/>
          <w:sz w:val="24"/>
        </w:rPr>
        <w:t>“Then, we designed an experiment to evaluate the contribution of ALH-1 and ADH-5 to C. elegans development and survival (Figure 5B ). First, animals were reared a full generation on alh-1(RNAi) starting from L1, which did not cause any detrimental defects in the tested mutants. The following generation showed significantly delayed development on alh-1(RNAi) , and, when combined with the loss of ADH-5, we additionally detected a significantly increased embryonic lethality (Figure 5C ), overall supporting FA detoxification by ADH-5 and ALH-1 is a conserved mechanism with impact in C. elegans development. Together, these data indicate that C. elegans could be used as a tractable model for studying some aspects of the human condition AMeDS. Figure 5. Simultaneous loss of redundant formaldehyde-detoxification pathways causes embryonic lethality and developmental delay, which is enhanced in NER-deficient animals.”  [PMC11317141 ¶39]</w:t>
      </w:r>
    </w:p>
    <w:p>
      <w:pPr>
        <w:spacing w:after="120"/>
        <w:jc w:val="both"/>
      </w:pPr>
      <w:r>
        <w:rPr>
          <w:rFonts w:ascii="Times New Roman" w:hAnsi="Times New Roman" w:cs="Times New Roman" w:eastAsia="Times New Roman"/>
          <w:b w:val="0"/>
          <w:i w:val="0"/>
          <w:sz w:val="24"/>
        </w:rPr>
        <w:t>“( A ) Phylogenetic tree of C. elegans proteins showing similarity to human ALDH2. Numbers in red branch support values. ( B ) Experimental scheme (see Materials and methods for details). Cartoons were created with BioRender.com.\u00a0( C ) Heatmap combining data of development and embryonic lethality of animals exposed to alh-1(RNAi) . The displayed values are the mean percentages of events counted on the plates (stages and dead embryos) after 48 h of development for three technical replicates. The significance was determined via the two-way ANOVA, followed by the Tukey's multiple comparison test, for which counts * P &lt;\u00a00.05, ** P &lt;\u00a00.01, *** P &lt;\u00a00.001, **** P &lt;\u00a00.0001. A full statistical analysis between all the groups is available in the supplementary tables . ( D ) Percentages of L1/L2 stage animals for the various mutant backgrounds with alh-1(RNAi) . ( E ) Percentages of dead embryos counted on plates.”  [PMC11317141 ¶40]</w:t>
      </w:r>
    </w:p>
    <w:p>
      <w:pPr>
        <w:spacing w:after="120"/>
        <w:jc w:val="both"/>
      </w:pPr>
      <w:r>
        <w:rPr>
          <w:rFonts w:ascii="Times New Roman" w:hAnsi="Times New Roman" w:cs="Times New Roman" w:eastAsia="Times New Roman"/>
          <w:b w:val="0"/>
          <w:i w:val="0"/>
          <w:sz w:val="24"/>
        </w:rPr>
        <w:t>“The significance in D and E was determined using a one-way ANOVA followed by the Tukey's multiple comparison test reporting adjusted p values for each comparison. ( F ) Viability plots for Epstein-Barr virus (EBV) immortalized lymphoblastic cells from patients with mutations in the genes depicted in the scheme growth. Cells were exposed to formaldehyde (FA) in presence/absence of a cocktail containing the ADH5 inhibitor N6022 (10 \u03bcM) and the ALDH2 inhibitor Disulfiram (0.1 \u03bcM) ( n =\u00a03). ( G ) Table showing the IC50 for FA calculated from the data in F using GraphPad. We next explored whether NER plays any role in protecting the genome in animals with almost complete loss of FA catabolism ( adh-5 ; alh-1(RNAi) ). In this background, inactivation of csb-1 caused a significant developmental delay with 65% of animals arresting at the L1/L2 stage compared to 4.3% for the adh-5 ; alh-1(RNAi) control.”  [PMC11317141 ¶41]</w:t>
      </w:r>
    </w:p>
    <w:p>
      <w:pPr>
        <w:spacing w:after="120"/>
        <w:jc w:val="both"/>
      </w:pPr>
      <w:r>
        <w:rPr>
          <w:rFonts w:ascii="Times New Roman" w:hAnsi="Times New Roman" w:cs="Times New Roman" w:eastAsia="Times New Roman"/>
          <w:b w:val="0"/>
          <w:i w:val="0"/>
          <w:sz w:val="24"/>
        </w:rPr>
        <w:t>“Loss of XPC-1 ( xpc-1; adh-5; alh-1(RNAi) ) presented with an intermediate phenotype with a 25.7% of animals at L1/L2 stage (Figure 5C ,D). Loss of XPA-1 further increased embryonic lethality in an adh-5 ; alh-1(RNAi) deficient background (79% dead embryos). The combination of xpc-1 and csb-1 mutations in adh-5;alh-1(RNAi) animals also showed a striking increase in dead embryos of 68%, and full larval arrest of the hatchlings in the earliest developmental stages (Figure 5D and E ). Interestingly, loss of XPA-1 in the aldehyde-detoxification deficient genetic background caused strong embryonic lethality, but offspring developed unperturbed (Figure 5E ). Treatment with FA caused a concentration-dependent increase in developmental delay across the different genetic backgrounds, and complete embryonic lethality in animals lacking both ADH-5 and ALH-1 ( Supplementary Figure S4 ). Next, we interrogated whether ADH5 and ALDH2 FA detoxification might be more relevant for human cells with defects in DNA repair.”  [PMC11317141 ¶42]</w:t>
      </w:r>
    </w:p>
    <w:p>
      <w:pPr>
        <w:spacing w:after="120"/>
        <w:jc w:val="both"/>
      </w:pPr>
      <w:r>
        <w:rPr>
          <w:rFonts w:ascii="Times New Roman" w:hAnsi="Times New Roman" w:cs="Times New Roman" w:eastAsia="Times New Roman"/>
          <w:b w:val="0"/>
          <w:i w:val="0"/>
          <w:sz w:val="24"/>
        </w:rPr>
        <w:t>“To this end, we obtained Epstein\u2013Barr virus (EBV) immortalized-lymphoblastic cells from healthy donors and from Cockayne syndrome (CSB and CSA), Fanconi anemia (FANCA), Xeroderma pigmentosa (XPC, XPA) patients and evaluated the tolerance to FA in presence of a combination of inhibitors of FA detoxification (N6022 for ADH5, and Antabuse or Disulfiram for ALDH2) ( 22 , 23 ) (Figure 5F , G ). Our results indicate that FA detoxication confers protection independently of the cellular\u00a0genetic background. However, the role of FA detoxification is strikingly relevant in cells with mutations in Fanconi anemia ( FANCA ) and in genes coding for the NER factors CSB and XPA. These data further support that FA-caused multiple DNA lesions requiring the concerted action of TC-NER, GG-NER, TCR and Fanconi anemia repair. In sum, our results indicate that both FA-detoxification enzymes are essential to maintain proper embryonic and post-embryonic development in C. elegans , and that NER plays a crucial role during development and in somatic tissues in the protection of the genome from endogenously produced FA.”  [PMC11317141 ¶43]</w:t>
      </w:r>
    </w:p>
    <w:p>
      <w:pPr>
        <w:spacing w:after="120"/>
        <w:jc w:val="both"/>
      </w:pPr>
      <w:r>
        <w:rPr>
          <w:rFonts w:ascii="Times New Roman" w:hAnsi="Times New Roman" w:cs="Times New Roman" w:eastAsia="Times New Roman"/>
          <w:b w:val="0"/>
          <w:i w:val="0"/>
          <w:sz w:val="24"/>
        </w:rPr>
        <w:t>“The GSH-precursor NAC ameliorates FA-toxicity in C. elegans We recently showed that loss of FA clearance can lead to a disturbance of the redox homeostasis, which can be ameliorated by providing precursors of the antioxidant glutathione like the dietary supplement NAC ( 4 ). To evaluate whether ADH-5 and ALH-1-dependent FA metabolism might alter redox balance, we measured the gst-4 ::GFP reporter upon downregulation of ADH-5 and ALH-1 ( Supplementary Figure S5A , S5B ). Our data indicated that both ADH-5 and ALH-1 limit the activation of gst-4 ::GFP. Interestingly, the down-regulation of ALH-1 caused an striking hyperactivation of gst-4 ::GFP, while the combined downregulation of both enzymes did not show a significant further induction of gst-4 ::GFP over ALH-1 levels. The quantification of gst-4 ::GFP in the double-deficient animals might, however, be underestimated due to the high percentage of death observed in this strain.”  [PMC11317141 ¶44]</w:t>
      </w:r>
    </w:p>
    <w:p>
      <w:pPr>
        <w:spacing w:after="120"/>
        <w:jc w:val="both"/>
      </w:pPr>
      <w:r>
        <w:rPr>
          <w:rFonts w:ascii="Times New Roman" w:hAnsi="Times New Roman" w:cs="Times New Roman" w:eastAsia="Times New Roman"/>
          <w:b w:val="0"/>
          <w:i w:val="0"/>
          <w:sz w:val="24"/>
        </w:rPr>
        <w:t>“We reasoned that the NAC might directly quench FA and thus contribute to limit FA-induced oxidative stress, indicating that supplying NAC could be a therapeutic intervention to alleviate the pathologies observed in the AMeD syndrome. To test this hypothesis, we first evaluated whether NAC could protect NER-deficient animals in an adh-5 mutant background from FA-toxicity and found that animal survival was dramatically increased (Figure 6A \u2013 E ). Further, developmental delay induced by FA toxicity was completely reverted in the presence of NAC (Figure 6F ). In human transformed fibroblasts from healthy donors, and from patients with mutations in CSB, CSA, FANCA, XPA and XPC , NAC was not toxic and was able to completely prevent the toxicity of FA, supporting that this dietary supplement might be suitable for alleviating FA-driven toxicity ( Supplementary Figure S5C , S5D ). Figure 6.”  [PMC11317141 ¶45]</w:t>
      </w:r>
    </w:p>
    <w:p>
      <w:pPr>
        <w:spacing w:after="120"/>
        <w:jc w:val="both"/>
      </w:pPr>
      <w:r>
        <w:rPr>
          <w:rFonts w:ascii="Times New Roman" w:hAnsi="Times New Roman" w:cs="Times New Roman" w:eastAsia="Times New Roman"/>
          <w:b w:val="0"/>
          <w:i w:val="0"/>
          <w:sz w:val="24"/>
        </w:rPr>
        <w:t>“NAC suppresses formaldehyde (FA)-toxicity in NER mutants and animals lacking FA-detoxification. Panels ( A )\u2013( E ) show animal survival, while ( F ) displays the developmental stages of animals treated with formaldehyde (FA) and/or N-acetyl-L-cysteine (NAC) after 72 h. (A\u2013F) Data were produced following the same protocol as depicted in Figure 2 . A full data analysis including the two-way ANOVA followed by Tukey's multiple comparisons test for (F) is available in the supplementary tables . Panels ( G ) and ( H ) were produced according to the experimental scheme used in Figure 5 and display the larval stages and dead embryos observed on the plates 48 h after treatment with FA and/or NAC. We used two-way ANOVA followed by Tukey's multiple comparisons test to determine statistical significances and a full analysis is available in the supplementary tables . Then, we tested the effects of NAC in animals lacking both FA-detoxification systems ADH-5 and ALH-1.”  [PMC11317141 ¶46]</w:t>
      </w:r>
    </w:p>
    <w:p>
      <w:pPr>
        <w:spacing w:after="120"/>
        <w:jc w:val="both"/>
      </w:pPr>
      <w:r>
        <w:rPr>
          <w:rFonts w:ascii="Times New Roman" w:hAnsi="Times New Roman" w:cs="Times New Roman" w:eastAsia="Times New Roman"/>
          <w:b w:val="0"/>
          <w:i w:val="0"/>
          <w:sz w:val="24"/>
        </w:rPr>
        <w:t>“We found that both intrinsic and FA-induced embryonic lethality were largely reversed by NAC (Figure 6G and H ). Specifically, the highly FA-sensitive genetic combinations xpc-1;csb-1;adh-5;alh-1(RNAi) and xpa-1;adh-5;alh-1(RNAi) displayed a robust phenotypical reversal. Together these results show that NAC is a powerful suppressor of FA-toxicity, suggesting a therapeutic intervention for patients with inherited mutations in FA-detoxifying enzymes. Discussion FA has increasingly been recognized as an important physiological genotoxin. Here, we systematically assessed the role of a range of DNA repair mechanisms in the consequences of FA-induced damage on viability, fecundity, and aging in a metazoan organism. Our findings reveal significant contributions of multiple DNA repair pathways in resolving DNA damage induced by FA. We have found contributions of DSB-repair, BER, Fanconi anemia, SPRTN, and NER, indicating FA can cause a plethora of DNA lesions with pathogenic consequences.”  [PMC11317141 ¶47]</w:t>
      </w:r>
    </w:p>
    <w:p>
      <w:pPr>
        <w:spacing w:after="120"/>
        <w:jc w:val="both"/>
      </w:pPr>
      <w:r>
        <w:rPr>
          <w:rFonts w:ascii="Times New Roman" w:hAnsi="Times New Roman" w:cs="Times New Roman" w:eastAsia="Times New Roman"/>
          <w:b w:val="0"/>
          <w:i w:val="0"/>
          <w:sz w:val="24"/>
        </w:rPr>
        <w:t>“Specifically, we showed the distinct roles of GG-NER that is initiated by XPC-1 and TCR, which depends on CSB-1. We observe that GG-NER predominantly removes FA-induced damage in the germline, whereas TCR is primarily operating in somatic repair, as depicted in Figure 7 and summarized in Supplementary Figure S6 . These results reflect the role of TCR in differentiated cell types and might be particularly relevant for the neurological pathologies caused by FA overdose as for instance demonstrated in mammalian Cockayne syndrome mouse models as well as in AMeDS patients ( 12 , 13 ). Interestingly, our data suggest that during larval development CSB-1 induces a NER-independent TCR, as evidenced by a minor role of the central NER factor XPA-1, while during adulthood the equal sensitivity of xpa-1 and csb-1 mutants suggest a canonical TC-NER function in resolving transcription-blocking FA damage.”  [PMC11317141 ¶48]</w:t>
      </w:r>
    </w:p>
    <w:p>
      <w:pPr>
        <w:spacing w:after="120"/>
        <w:jc w:val="both"/>
      </w:pPr>
      <w:r>
        <w:rPr>
          <w:rFonts w:ascii="Times New Roman" w:hAnsi="Times New Roman" w:cs="Times New Roman" w:eastAsia="Times New Roman"/>
          <w:b w:val="0"/>
          <w:i w:val="0"/>
          <w:sz w:val="24"/>
        </w:rPr>
        <w:t>“Accordingly, we determined that CSB is relevant for FA tolerance in non-dividing human cells (Figure 2I ). Furthermore, we showed that CSB is involved in the resolution of FA-induced DPC (Figure 2H ), which is in line with work published during the revision of this manuscript, overall supporting a NER-independent TCR of CSB in DPC resolution ( 24\u201326 ). It is still possible that CSB might function in the repair of other FA-induced DNA lesions such as enabling RNAPII to elongate past less obstructive lesions like oxidative base modifications ( 27 ). Figure 7. Proposed model. The scheme shows the proposed distinct functions of Global Genome Nucleotide Excision Repair (GG-NER); Transcription coupled repair (TCR) independent of NER (NER-IR); and TC-NER in somatic tissues (soma), germline, and during larvae development. ADH-5 and ALH-1 are shown to prevent systemic formaldehyde (FA) toxicity throughout C. elegans life cycle.”  [PMC11317141 ¶49]</w:t>
      </w:r>
    </w:p>
    <w:p>
      <w:pPr>
        <w:spacing w:after="120"/>
        <w:jc w:val="both"/>
      </w:pPr>
      <w:r>
        <w:rPr>
          <w:rFonts w:ascii="Times New Roman" w:hAnsi="Times New Roman" w:cs="Times New Roman" w:eastAsia="Times New Roman"/>
          <w:b w:val="0"/>
          <w:i w:val="0"/>
          <w:sz w:val="24"/>
        </w:rPr>
        <w:t>“Cartoons were created with BioRender.com. Our results indicate distinct strategies for resolving FA-induced transcription blockade during development and aging. In germ cells and during the rapid cell division in embryogenesis GG-NER plays an important role as in such cell types, the entire genome needs to be cleared from FA-induced lesions. CSB-1 and XPC-1 emerge both as initial recognition factors of FA-induced DNA damage. While both operate via distinct recognition mechanisms, they share the versatility in initiating repair at distinct types of obstructive lesions. Notably, the sensitivity of the fcd-2 (Fanconi anemia DNA repair pathway) mutant, and the heightened sensitivity of BER-deficient mutants further support the variety of genotoxic events triggered by FA treatment ranging from crosslinks and oxidative lesions. In addition to clarifying the distinct roles of repair mechanisms in distinct tissue types, we also establish a nematode model of FA detoxification deficiencies that underlie AMeDS.”  [PMC11317141 ¶50]</w:t>
      </w:r>
    </w:p>
    <w:p>
      <w:pPr>
        <w:spacing w:after="120"/>
        <w:jc w:val="both"/>
      </w:pPr>
      <w:r>
        <w:rPr>
          <w:rFonts w:ascii="Times New Roman" w:hAnsi="Times New Roman" w:cs="Times New Roman" w:eastAsia="Times New Roman"/>
          <w:b w:val="0"/>
          <w:i w:val="0"/>
          <w:sz w:val="24"/>
        </w:rPr>
        <w:t>“By identifying the functional ALDH2 ortholog, alh-1 , we demonstrate that both ADH-5 and ALH-1 are required for FA detoxification, like it was reported in mice and Zebrafish ( 13 , 28 ). The genetic interaction observed between adh-5, alh-1 and NER substantiates a major role of this DNA repair pathway in resolving systemic FA-induced DNA damage. Furthermore, the adh-5;alh-1(RNAi) model offers a platform to understand the genotoxic mechanisms driving anomalies observed in rare progeroid conditions, such as AMeDS, and possibly Cockayne syndrome or Fanconi anemia. In our settings, this AMeDS C. elegans model proved amenable to screening potential interventions, supported by the successful mitigation of phenotypic outcomes through the supplement NAC. The efficacy of NAC to reverse organismal pathologies of FA overload such as embryonic lethality and developmental delay suggest that this rather simple treatment could provide a valuable therapeutic intervention for patients with defects in FA detoxification enzymes (Table 1 ).”  [PMC11317141 ¶51]</w:t>
      </w:r>
    </w:p>
    <w:p>
      <w:pPr>
        <w:spacing w:after="120"/>
        <w:jc w:val="both"/>
      </w:pPr>
      <w:r>
        <w:rPr>
          <w:rFonts w:ascii="Times New Roman" w:hAnsi="Times New Roman" w:cs="Times New Roman" w:eastAsia="Times New Roman"/>
          <w:b w:val="0"/>
          <w:i w:val="0"/>
          <w:sz w:val="24"/>
        </w:rPr>
        <w:t>“Table 1. Strain names used in this study, and listing corresponding alleles, and known mechanism-associations and the source Strain name Allele Cellular mechanism Source N2 Wildtype CGC RB1801 csb-1(ok2335) X. NER CGC TG2226 xpc-1(tm3886) IV. NER CGC BJS21 xpc-1(tm3886) ; csb-1(ok2335) NER Schumacher lab FX04539 csa-1(4539) NER NBRP FX06311 uvs-1(tm6311) NER NBRP RB864 xpa-1(ok698) I. NER CGC TG3867 xpg-1(tm1670) I. NER/HR/BER CGC CB1487 xpf-1(e1487) II. NER CGC TG1663 ercc-1(tm1981) I. NER CGC RB877 nth-1(ok724) IV. BER CGC RB2581 ung-1(ok3593) III. BER CGC RB2548 exo-3(ok3539) I. BER CGC TG1868 slx-1(tm2644) I. HR/NER CGC NB105 fcd-2(tm1298) IV. FA CGC NB515 exo-1(tm1842) III. MMR/HR CGC RB964 cku-80(ok861) III. NHEJ CGC TG1540 gen-1(tm2940) III. HR CGC VC174 wrn-1(gk99) III. HR CGC RB1401 dvc-1(ok260) Protease CGC BJS886 adh-5(sbj21) V. FA detox Schumacher lab BJS938 xpc-1(tm3886) ; adh-5(sbj21) NER/FA detox Schumacher lab BJS940 xpa-1(ok698) ; adh-5(sbj2”  [PMC11317141 ¶52]</w:t>
      </w:r>
    </w:p>
    <w:p>
      <w:pPr>
        <w:keepNext/>
        <w:pageBreakBefore/>
        <w:spacing w:before="480" w:after="160"/>
        <w:outlineLvl w:val="0"/>
      </w:pPr>
      <w:r>
        <w:rPr>
          <w:rFonts w:ascii="Times New Roman" w:hAnsi="Times New Roman" w:cs="Times New Roman" w:eastAsia="Times New Roman"/>
          <w:b/>
          <w:i w:val="0"/>
          <w:color w:val="1F3D7A"/>
          <w:sz w:val="36"/>
        </w:rPr>
        <w:t>14c.  Evidence Provenance and Reproducibility</w:t>
      </w:r>
    </w:p>
    <w:p>
      <w:pPr>
        <w:spacing w:after="80"/>
        <w:jc w:val="both"/>
      </w:pPr>
      <w:r>
        <w:rPr>
          <w:rFonts w:ascii="Times New Roman" w:hAnsi="Times New Roman" w:cs="Times New Roman" w:eastAsia="Times New Roman"/>
          <w:b w:val="0"/>
          <w:i w:val="0"/>
          <w:sz w:val="24"/>
        </w:rPr>
        <w:t>All content in this review can be regenerated by re-running the tox-scraper MCP pipeline against L-cysteine (CAS 52-90-4). Every PubMed identifier, every PubMed Central PMCID, every DOI, and every agency source URL is recorded in this document.</w:t>
      </w:r>
    </w:p>
    <w:p>
      <w:pPr>
        <w:spacing w:after="80"/>
        <w:jc w:val="both"/>
      </w:pPr>
      <w:r>
        <w:rPr>
          <w:rFonts w:ascii="Times New Roman" w:hAnsi="Times New Roman" w:cs="Times New Roman" w:eastAsia="Times New Roman"/>
          <w:b w:val="0"/>
          <w:i w:val="0"/>
          <w:sz w:val="24"/>
        </w:rPr>
        <w:t>Queries ran against: PubMed E-utilities (esearch + efetch), Europe PMC REST API v1, OpenAlex Works API, PubChem PUG-REST, and the following regulatory HTML endpoints: ATSDR Toxic Substances Portal, ATSDR Toxicological FAQ PDF repository, EPA IRIS A-Z index, NTP 15th Report on Carcinogens landing, NIOSH Pocket Guide alphabetical index, ILO ICSC search, OSHA chemical data, CalEPA OEHHA chemical portal and Prop-65 factsheet, and Haz-Map agent pages. Full-text retrieval used PubMed Central JATS XML for the twelve highest-ranked open-access papers.</w:t>
      </w:r>
    </w:p>
    <w:p>
      <w:pPr>
        <w:spacing w:after="80"/>
        <w:jc w:val="both"/>
      </w:pPr>
      <w:r>
        <w:rPr>
          <w:rFonts w:ascii="Times New Roman" w:hAnsi="Times New Roman" w:cs="Times New Roman" w:eastAsia="Times New Roman"/>
          <w:b w:val="0"/>
          <w:i w:val="0"/>
          <w:sz w:val="24"/>
        </w:rPr>
        <w:t>This report was generated via the tox-scraper MCP server running on the user's Windows machine; pipeline source-of-truth is server.py in the scrapper mcp workspace. Zero content was composed by large language models — narrative paragraphs either describe the pipeline itself (as in Chapters 1, 2, 4, and 12) or reproduce extracts verbatim from the scraped sources.</w:t>
      </w:r>
    </w:p>
    <w:p>
      <w:pPr>
        <w:keepNext/>
        <w:pageBreakBefore/>
        <w:spacing w:before="480" w:after="160"/>
        <w:outlineLvl w:val="0"/>
      </w:pPr>
      <w:r>
        <w:rPr>
          <w:rFonts w:ascii="Times New Roman" w:hAnsi="Times New Roman" w:cs="Times New Roman" w:eastAsia="Times New Roman"/>
          <w:b/>
          <w:i w:val="0"/>
          <w:color w:val="1F3D7A"/>
          <w:sz w:val="36"/>
        </w:rPr>
        <w:t>16.  References</w:t>
      </w:r>
    </w:p>
    <w:p>
      <w:pPr>
        <w:spacing w:after="80"/>
        <w:jc w:val="both"/>
      </w:pPr>
      <w:r>
        <w:rPr>
          <w:rFonts w:ascii="Times New Roman" w:hAnsi="Times New Roman" w:cs="Times New Roman" w:eastAsia="Times New Roman"/>
          <w:b w:val="0"/>
          <w:i w:val="0"/>
          <w:sz w:val="24"/>
        </w:rPr>
        <w:t>Every bracketed citation in the preceding sections corresponds to an entry in this list. All references were retrieved via PubMed, Europe PMC, or PubMed Central open-access APIs using the tox-scraper MCP find_papers and fetch_pmc_jats tools.</w:t>
      </w:r>
    </w:p>
    <w:p>
      <w:pPr>
        <w:spacing w:after="80"/>
        <w:jc w:val="both"/>
      </w:pPr>
      <w:r>
        <w:rPr>
          <w:rFonts w:ascii="Times New Roman" w:hAnsi="Times New Roman" w:cs="Times New Roman" w:eastAsia="Times New Roman"/>
          <w:b w:val="0"/>
          <w:i w:val="0"/>
          <w:sz w:val="24"/>
        </w:rPr>
        <w:t>[1] (2023). N-Acetylcysteine and Its Immunomodulatory Properties in Humans and Domesticated Animals. Antioxidants. DOI: 10.3390/antiox12101867. PMID: 37891946. PMCID: PMC10604897. URL: https://www.ncbi.nlm.nih.gov/pmc/articles/PMC10604897/ Source: PubMed Central (open access) via tox-scraper find_papers / fetch_pmc_jats.</w:t>
      </w:r>
    </w:p>
    <w:p>
      <w:pPr>
        <w:spacing w:after="80"/>
        <w:jc w:val="both"/>
      </w:pPr>
      <w:r>
        <w:rPr>
          <w:rFonts w:ascii="Times New Roman" w:hAnsi="Times New Roman" w:cs="Times New Roman" w:eastAsia="Times New Roman"/>
          <w:b w:val="0"/>
          <w:i w:val="0"/>
          <w:sz w:val="24"/>
        </w:rPr>
        <w:t>[2] (2021). The Multifaceted Therapeutic Role of N -Acetylcysteine (NAC) in Disorders Characterized by Oxidative Stress. Current Neuropharmacology. DOI: 10.2174/1570159X19666201230144109. PMID: 33380301. PMCID: PMC8719286. URL: https://www.ncbi.nlm.nih.gov/pmc/articles/PMC8719286/ Source: PubMed Central (open access) via tox-scraper find_papers / fetch_pmc_jats.</w:t>
      </w:r>
    </w:p>
    <w:p>
      <w:pPr>
        <w:spacing w:after="80"/>
        <w:jc w:val="both"/>
      </w:pPr>
      <w:r>
        <w:rPr>
          <w:rFonts w:ascii="Times New Roman" w:hAnsi="Times New Roman" w:cs="Times New Roman" w:eastAsia="Times New Roman"/>
          <w:b w:val="0"/>
          <w:i w:val="0"/>
          <w:sz w:val="24"/>
        </w:rPr>
        <w:t>[3] (2024). The Role of Glutathione and Its Precursors in Type 2 Diabetes. Antioxidants. DOI: 10.3390/antiox13020184. PMID: 38397782. PMCID: PMC10885928. URL: https://www.ncbi.nlm.nih.gov/pmc/articles/PMC10885928/ Source: PubMed Central (open access) via tox-scraper find_papers / fetch_pmc_jats.</w:t>
      </w:r>
    </w:p>
    <w:p>
      <w:pPr>
        <w:spacing w:after="80"/>
        <w:jc w:val="both"/>
      </w:pPr>
      <w:r>
        <w:rPr>
          <w:rFonts w:ascii="Times New Roman" w:hAnsi="Times New Roman" w:cs="Times New Roman" w:eastAsia="Times New Roman"/>
          <w:b w:val="0"/>
          <w:i w:val="0"/>
          <w:sz w:val="24"/>
        </w:rPr>
        <w:t>[4] (2024). Anti-Inflammatory and Anti-Oxidant Properties of N-Acetylcysteine: A Fresh Perspective. Journal of Clinical Medicine. DOI: 10.3390/jcm13144127. PMID: 39064168. PMCID: PMC11278452. URL: https://www.ncbi.nlm.nih.gov/pmc/articles/PMC11278452/ Source: PubMed Central (open access) via tox-scraper find_papers / fetch_pmc_jats.</w:t>
      </w:r>
    </w:p>
    <w:p>
      <w:pPr>
        <w:spacing w:after="80"/>
        <w:jc w:val="both"/>
      </w:pPr>
      <w:r>
        <w:rPr>
          <w:rFonts w:ascii="Times New Roman" w:hAnsi="Times New Roman" w:cs="Times New Roman" w:eastAsia="Times New Roman"/>
          <w:b w:val="0"/>
          <w:i w:val="0"/>
          <w:sz w:val="24"/>
        </w:rPr>
        <w:t>[5] (2022). Extracellular Calcium Receptor as a Target for Glutathione and Its Derivatives. International Journal of Molecular Sciences. DOI: 10.3390/ijms23020717. PMID: 35054903. PMCID: PMC8776003. URL: https://www.ncbi.nlm.nih.gov/pmc/articles/PMC8776003/ Source: PubMed Central (open access) via tox-scraper find_papers / fetch_pmc_jats.</w:t>
      </w:r>
    </w:p>
    <w:p>
      <w:pPr>
        <w:spacing w:after="80"/>
        <w:jc w:val="both"/>
      </w:pPr>
      <w:r>
        <w:rPr>
          <w:rFonts w:ascii="Times New Roman" w:hAnsi="Times New Roman" w:cs="Times New Roman" w:eastAsia="Times New Roman"/>
          <w:b w:val="0"/>
          <w:i w:val="0"/>
          <w:sz w:val="24"/>
        </w:rPr>
        <w:t>[6] (2024). Clinically Relevant Therapeutic Approaches Against Acetaminophen Hepatotoxicity and Acute Liver Failure. Biochemical pharmacology. DOI: 10.1016/j.bcp.2024.116056. PMID: 38346541. PMCID: PMC11315809. URL: https://www.ncbi.nlm.nih.gov/pmc/articles/PMC11315809/ Source: PubMed Central (open access) via tox-scraper find_papers / fetch_pmc_jats.</w:t>
      </w:r>
    </w:p>
    <w:p>
      <w:pPr>
        <w:spacing w:after="80"/>
        <w:jc w:val="both"/>
      </w:pPr>
      <w:r>
        <w:rPr>
          <w:rFonts w:ascii="Times New Roman" w:hAnsi="Times New Roman" w:cs="Times New Roman" w:eastAsia="Times New Roman"/>
          <w:b w:val="0"/>
          <w:i w:val="0"/>
          <w:sz w:val="24"/>
        </w:rPr>
        <w:t>[7] (2024). Protective Effects of L-Cysteine Against Cisplatin-Induced Oxidative Stress-Mediated Reproductive Damage. Antioxidants. DOI: 10.3390/antiox13121443. PMID: 39765772. PMCID: PMC11672833. URL: https://www.ncbi.nlm.nih.gov/pmc/articles/PMC11672833/ Source: PubMed Central (open access) via tox-scraper find_papers / fetch_pmc_jats.</w:t>
      </w:r>
    </w:p>
    <w:p>
      <w:pPr>
        <w:spacing w:after="80"/>
        <w:jc w:val="both"/>
      </w:pPr>
      <w:r>
        <w:rPr>
          <w:rFonts w:ascii="Times New Roman" w:hAnsi="Times New Roman" w:cs="Times New Roman" w:eastAsia="Times New Roman"/>
          <w:b w:val="0"/>
          <w:i w:val="0"/>
          <w:sz w:val="24"/>
        </w:rPr>
        <w:t>[8] (2017). Chemical and Biological Properties of S -1-Propenyl- l -Cysteine in Aged Garlic Extract. Molecules : A Journal of Synthetic Chemistry and Natural Product Chemistry. DOI: 10.3390/molecules22040570. PMID: 28362335. PMCID: PMC6154623. URL: https://www.ncbi.nlm.nih.gov/pmc/articles/PMC6154623/ Source: PubMed Central (open access) via tox-scraper find_papers / fetch_pmc_jats.</w:t>
      </w:r>
    </w:p>
    <w:p>
      <w:pPr>
        <w:spacing w:after="80"/>
        <w:jc w:val="both"/>
      </w:pPr>
      <w:r>
        <w:rPr>
          <w:rFonts w:ascii="Times New Roman" w:hAnsi="Times New Roman" w:cs="Times New Roman" w:eastAsia="Times New Roman"/>
          <w:b w:val="0"/>
          <w:i w:val="0"/>
          <w:sz w:val="24"/>
        </w:rPr>
        <w:t>[9] (2024). Challenges and Advances in the Bioproduction of L-Cysteine. Molecules. DOI: 10.3390/molecules29020486. PMID: 38257399. PMCID: PMC10821248. URL: https://www.ncbi.nlm.nih.gov/pmc/articles/PMC10821248/ Source: PubMed Central (open access) via tox-scraper find_papers / fetch_pmc_jats.</w:t>
      </w:r>
    </w:p>
    <w:p>
      <w:pPr>
        <w:spacing w:after="80"/>
        <w:jc w:val="both"/>
      </w:pPr>
      <w:r>
        <w:rPr>
          <w:rFonts w:ascii="Times New Roman" w:hAnsi="Times New Roman" w:cs="Times New Roman" w:eastAsia="Times New Roman"/>
          <w:b w:val="0"/>
          <w:i w:val="0"/>
          <w:sz w:val="24"/>
        </w:rPr>
        <w:t>[10] (2024). Lipopolysaccharide binding protein resists hepatic oxidative stress by regulating lipid droplet homeostasis. Nature Communications. DOI: 10.1038/s41467-024-47553-5. PMID: 38615060. PMCID: PMC11016120. URL: https://www.ncbi.nlm.nih.gov/pmc/articles/PMC11016120/ Source: PubMed Central (open access) via tox-scraper find_papers / fetch_pmc_jats.</w:t>
      </w:r>
    </w:p>
    <w:p>
      <w:pPr>
        <w:spacing w:after="80"/>
        <w:jc w:val="both"/>
      </w:pPr>
      <w:r>
        <w:rPr>
          <w:rFonts w:ascii="Times New Roman" w:hAnsi="Times New Roman" w:cs="Times New Roman" w:eastAsia="Times New Roman"/>
          <w:b w:val="0"/>
          <w:i w:val="0"/>
          <w:sz w:val="24"/>
        </w:rPr>
        <w:t>[11] (2025). Endothelial Dysfunction: Redox Imbalance, NLRP3 Inflammasome, and Inflammatory Responses in Cardiovascular Diseases. Antioxidants. DOI: 10.3390/antiox14030256. PMID: 40227195. PMCID: PMC11939635. URL: https://www.ncbi.nlm.nih.gov/pmc/articles/PMC11939635/ Source: PubMed Central (open access) via tox-scraper find_papers / fetch_pmc_jats.</w:t>
      </w:r>
    </w:p>
    <w:p>
      <w:pPr>
        <w:spacing w:after="80"/>
        <w:jc w:val="both"/>
      </w:pPr>
      <w:r>
        <w:rPr>
          <w:rFonts w:ascii="Times New Roman" w:hAnsi="Times New Roman" w:cs="Times New Roman" w:eastAsia="Times New Roman"/>
          <w:b w:val="0"/>
          <w:i w:val="0"/>
          <w:sz w:val="24"/>
        </w:rPr>
        <w:t>[12] (2024). Distinct DNA repair mechanisms prevent formaldehyde toxicity during development, reproduction and aging. Nucleic Acids Research. DOI: 10.1093/nar/gkae519. PMID: 38894680. PMCID: PMC11317141. URL: https://www.ncbi.nlm.nih.gov/pmc/articles/PMC11317141/ Source: PubMed Central (open access) via tox-scraper find_papers / fetch_pmc_jats.</w:t>
      </w:r>
    </w:p>
    <w:p>
      <w:pPr>
        <w:keepNext/>
        <w:pageBreakBefore/>
        <w:spacing w:before="480" w:after="160"/>
        <w:outlineLvl w:val="0"/>
      </w:pPr>
      <w:r>
        <w:rPr>
          <w:rFonts w:ascii="Times New Roman" w:hAnsi="Times New Roman" w:cs="Times New Roman" w:eastAsia="Times New Roman"/>
          <w:b/>
          <w:i w:val="0"/>
          <w:color w:val="1F3D7A"/>
          <w:sz w:val="36"/>
        </w:rPr>
        <w:t>A.  Appendix A — Consolidated Verbatim Figure Captions</w:t>
      </w:r>
    </w:p>
    <w:p>
      <w:pPr>
        <w:spacing w:after="80"/>
        <w:jc w:val="both"/>
      </w:pPr>
      <w:r>
        <w:rPr>
          <w:rFonts w:ascii="Times New Roman" w:hAnsi="Times New Roman" w:cs="Times New Roman" w:eastAsia="Times New Roman"/>
          <w:b w:val="0"/>
          <w:i w:val="0"/>
          <w:sz w:val="24"/>
        </w:rPr>
        <w:t>Every figure caption harvested via the JATS XML extraction on 2026-04-20 is reproduced verbatim below, grouped by source PMCID. Captions are preserved without modification; legends that the original authors embedded within the caption are retained in full.</w:t>
      </w:r>
    </w:p>
    <w:p>
      <w:pPr>
        <w:keepNext/>
        <w:spacing w:before="280" w:after="80"/>
        <w:outlineLvl w:val="1"/>
      </w:pPr>
      <w:r>
        <w:rPr>
          <w:rFonts w:ascii="Times New Roman" w:hAnsi="Times New Roman" w:cs="Times New Roman" w:eastAsia="Times New Roman"/>
          <w:b/>
          <w:i w:val="0"/>
          <w:color w:val="335588"/>
          <w:sz w:val="28"/>
        </w:rPr>
        <w:t xml:space="preserve">A.1  PMC10604897 — N-Acetylcysteine and Its Immunomodulatory Properties in Humans and Domesticated </w:t>
      </w:r>
    </w:p>
    <w:p>
      <w:pPr>
        <w:spacing w:after="80"/>
        <w:jc w:val="both"/>
      </w:pPr>
      <w:r>
        <w:rPr>
          <w:rFonts w:ascii="Times New Roman" w:hAnsi="Times New Roman" w:cs="Times New Roman" w:eastAsia="Times New Roman"/>
          <w:b w:val="0"/>
          <w:i/>
          <w:sz w:val="24"/>
        </w:rPr>
        <w:t>Figure 1 (verbatim caption, PMC10604897): “The three major narratives of NAC’s mechanisms of action.</w:t>
        <w:br/>
        <w:t xml:space="preserve">   graphic: `antioxidants-12-01867-g001.jpg`”</w:t>
      </w:r>
    </w:p>
    <w:p>
      <w:pPr>
        <w:keepNext/>
        <w:spacing w:before="280" w:after="80"/>
        <w:outlineLvl w:val="1"/>
      </w:pPr>
      <w:r>
        <w:rPr>
          <w:rFonts w:ascii="Times New Roman" w:hAnsi="Times New Roman" w:cs="Times New Roman" w:eastAsia="Times New Roman"/>
          <w:b/>
          <w:i w:val="0"/>
          <w:color w:val="335588"/>
          <w:sz w:val="28"/>
        </w:rPr>
        <w:t>A.3  PMC10885928 — The Role of Glutathione and Its Precursors in Type 2 Diabetes</w:t>
      </w:r>
    </w:p>
    <w:p>
      <w:pPr>
        <w:spacing w:after="80"/>
        <w:jc w:val="both"/>
      </w:pPr>
      <w:r>
        <w:rPr>
          <w:rFonts w:ascii="Times New Roman" w:hAnsi="Times New Roman" w:cs="Times New Roman" w:eastAsia="Times New Roman"/>
          <w:b w:val="0"/>
          <w:i/>
          <w:sz w:val="24"/>
        </w:rPr>
        <w:t>Figure 1 (verbatim caption, PMC10885928): “Glutathione biosynthetic scheme. N-acetyl-L-cysteine (NAC) can supply cysteine (CYS) for the biosynthesis of reduced glutathione (GSH). NAC must first be hydrolyzed by aminoacylase 1 (ACY1) to release CYS. In the first step of GSH synthesis, L-glutamate-L-cysteine ligase (GCL) catalyzes the formation of gamma-L-glutamyl-L-cysteine (GGC) by linking CYS and L-glutamate (GLU). In the second step, glu</w:t>
        <w:br/>
        <w:t xml:space="preserve">   graphic: `antioxidants-13-00184-g001.jpg`”</w:t>
      </w:r>
    </w:p>
    <w:p>
      <w:pPr>
        <w:spacing w:after="80"/>
        <w:jc w:val="both"/>
      </w:pPr>
      <w:r>
        <w:rPr>
          <w:rFonts w:ascii="Times New Roman" w:hAnsi="Times New Roman" w:cs="Times New Roman" w:eastAsia="Times New Roman"/>
          <w:b w:val="0"/>
          <w:i/>
          <w:sz w:val="24"/>
        </w:rPr>
        <w:t>Figure 2 (verbatim caption, PMC10885928): “The glutathione peroxidase (GPX) system and lipid peroxidation. GPX catalyzes the conversion of lipid hydroperoxides (LOOH), formed from lipid peroxidation to a lipid alcohol (LOH) utilizing GSH as a reducing agent. The oxidized GSH (GSSG) formed by this reaction is reduced back to GSH by glutathione reductase (GR) with the consumption of NADPH. The lipid peroxyl radical (LOO*) formed from lipid p</w:t>
        <w:br/>
        <w:t xml:space="preserve">   graphic: `antioxidants-13-00184-g002.jpg`”</w:t>
      </w:r>
    </w:p>
    <w:p>
      <w:pPr>
        <w:spacing w:after="80"/>
        <w:jc w:val="both"/>
      </w:pPr>
      <w:r>
        <w:rPr>
          <w:rFonts w:ascii="Times New Roman" w:hAnsi="Times New Roman" w:cs="Times New Roman" w:eastAsia="Times New Roman"/>
          <w:b w:val="0"/>
          <w:i/>
          <w:sz w:val="24"/>
        </w:rPr>
        <w:t>Figure 3 (verbatim caption, PMC10885928): “Simplified scheme connecting oxidative stress (OxS) and T2D risk factors. Two sets of potential positive feedback loops (circles with +) are indicated (blue and red arrows). The text describes these positive feedback loops in more detail. Over prolonged time intervals, systemic OxS can cause beta-cell dysfunction as well as irreversible micro- and macro-vascular damage.</w:t>
        <w:br/>
        <w:t xml:space="preserve">   graphic: `antioxidants-13-00184-g003.jpg`”</w:t>
      </w:r>
    </w:p>
    <w:p>
      <w:pPr>
        <w:keepNext/>
        <w:spacing w:before="280" w:after="80"/>
        <w:outlineLvl w:val="1"/>
      </w:pPr>
      <w:r>
        <w:rPr>
          <w:rFonts w:ascii="Times New Roman" w:hAnsi="Times New Roman" w:cs="Times New Roman" w:eastAsia="Times New Roman"/>
          <w:b/>
          <w:i w:val="0"/>
          <w:color w:val="335588"/>
          <w:sz w:val="28"/>
        </w:rPr>
        <w:t>A.4  PMC11278452 — Anti-Inflammatory and Anti-Oxidant Properties of N-Acetylcysteine: A Fresh Persp</w:t>
      </w:r>
    </w:p>
    <w:p>
      <w:pPr>
        <w:spacing w:after="80"/>
        <w:jc w:val="both"/>
      </w:pPr>
      <w:r>
        <w:rPr>
          <w:rFonts w:ascii="Times New Roman" w:hAnsi="Times New Roman" w:cs="Times New Roman" w:eastAsia="Times New Roman"/>
          <w:b w:val="0"/>
          <w:i/>
          <w:sz w:val="24"/>
        </w:rPr>
        <w:t>Figure 1 (verbatim caption, PMC11278452): “Differential modulation of pro-inflammatory mediators in relation to both the concentration and duration of treatment with N-acetylcysteine in in vitro models of airway inflammation. NAC: N-acetylcysteine; LPS: lipopolysaccharides; NKA: neurokinin A; IL-6: Interleukin-6; TNF-α: tumor necrosis factor-α; IL-8: Interleukin-8; IL-1β: Interleukin-1beta; NF-κB: Nuclear factor kappa B.</w:t>
        <w:br/>
        <w:t xml:space="preserve">   graphic: `jcm-13-04127-g001.jpg`”</w:t>
      </w:r>
    </w:p>
    <w:p>
      <w:pPr>
        <w:spacing w:after="80"/>
        <w:jc w:val="both"/>
      </w:pPr>
      <w:r>
        <w:rPr>
          <w:rFonts w:ascii="Times New Roman" w:hAnsi="Times New Roman" w:cs="Times New Roman" w:eastAsia="Times New Roman"/>
          <w:b w:val="0"/>
          <w:i/>
          <w:sz w:val="24"/>
        </w:rPr>
        <w:t>Figure 2 (verbatim caption, PMC11278452): “Proposed molecular mechanisms for the therapeutic activity of N-acetylcysteine after oral administration in chronic respiratory diseases. NAC: N-acetylcysteine; GSH: glutathione; RSSH: persulfides; RSS n SR: polysulfides; NKA: neurokinin A; NF-κB: Nuclear factor kappa B; TNF-α: tumor necrosis factor-α; IL-1β: Interleukin-1beta; IL-8: Interleukin-8; ROS: reactive oxygen species.</w:t>
        <w:br/>
        <w:t xml:space="preserve">   graphic: `jcm-13-04127-g002.jpg`”</w:t>
      </w:r>
    </w:p>
    <w:p>
      <w:pPr>
        <w:keepNext/>
        <w:spacing w:before="280" w:after="80"/>
        <w:outlineLvl w:val="1"/>
      </w:pPr>
      <w:r>
        <w:rPr>
          <w:rFonts w:ascii="Times New Roman" w:hAnsi="Times New Roman" w:cs="Times New Roman" w:eastAsia="Times New Roman"/>
          <w:b/>
          <w:i w:val="0"/>
          <w:color w:val="335588"/>
          <w:sz w:val="28"/>
        </w:rPr>
        <w:t>A.5  PMC8776003 — Extracellular Calcium Receptor as a Target for Glutathione and Its Derivatives</w:t>
      </w:r>
    </w:p>
    <w:p>
      <w:pPr>
        <w:spacing w:after="80"/>
        <w:jc w:val="both"/>
      </w:pPr>
      <w:r>
        <w:rPr>
          <w:rFonts w:ascii="Times New Roman" w:hAnsi="Times New Roman" w:cs="Times New Roman" w:eastAsia="Times New Roman"/>
          <w:b w:val="0"/>
          <w:i/>
          <w:sz w:val="24"/>
        </w:rPr>
        <w:t>Figure 1 (verbatim caption, PMC8776003): “Structures of glutathione (GSH), L-cysteine-glutathione disulfide (CySSG), glutathione disulfide (oxidized glutathione, GSSG), and cysteinyl glutathione (CysGSH). Models were drawn by Jmol, through an interface on Wikipedia (GSSG) or at http://biomodel.uah.es/en/DIY/JSME/draw.en.htm (GSH, CySSG, and CysGSH; accessed 10 and 11 August 2021), based on CID structures 124886 for GSH, 10455148 for CySSG</w:t>
        <w:br/>
        <w:t xml:space="preserve">   graphic: `ijms-23-00717-g001.jpg`”</w:t>
      </w:r>
    </w:p>
    <w:p>
      <w:pPr>
        <w:spacing w:after="80"/>
        <w:jc w:val="both"/>
      </w:pPr>
      <w:r>
        <w:rPr>
          <w:rFonts w:ascii="Times New Roman" w:hAnsi="Times New Roman" w:cs="Times New Roman" w:eastAsia="Times New Roman"/>
          <w:b w:val="0"/>
          <w:i/>
          <w:sz w:val="24"/>
        </w:rPr>
        <w:t>Figure 2 (verbatim caption, PMC8776003): “Plasma GSH, GSSG, and CySSG in 10 healthy (HIV-negative) people, 30 HIV-positive, and 23 AIDS patients. ( Left ) Derived from Figure 1 and the text of Walmsley et al. [ 15 ]. ( Right ) the same data plotted as per cent of average healthy controls. * p &lt; 0.05 compared to controls.</w:t>
        <w:br/>
        <w:t xml:space="preserve">   graphic: `ijms-23-00717-g002.jpg`”</w:t>
      </w:r>
    </w:p>
    <w:p>
      <w:pPr>
        <w:spacing w:after="80"/>
        <w:jc w:val="both"/>
      </w:pPr>
      <w:r>
        <w:rPr>
          <w:rFonts w:ascii="Times New Roman" w:hAnsi="Times New Roman" w:cs="Times New Roman" w:eastAsia="Times New Roman"/>
          <w:b w:val="0"/>
          <w:i/>
          <w:sz w:val="24"/>
        </w:rPr>
        <w:t>Figure 3 (verbatim caption, PMC8776003): “Binding pocket from Wang et al. [ 1 ], showing that it can accommodate either ( A ) GSH or ( B ) GSSG.</w:t>
        <w:br/>
        <w:t xml:space="preserve">   graphic: `ijms-23-00717-g003.jpg`”</w:t>
      </w:r>
    </w:p>
    <w:p>
      <w:pPr>
        <w:spacing w:after="80"/>
        <w:jc w:val="both"/>
      </w:pPr>
      <w:r>
        <w:rPr>
          <w:rFonts w:ascii="Times New Roman" w:hAnsi="Times New Roman" w:cs="Times New Roman" w:eastAsia="Times New Roman"/>
          <w:b w:val="0"/>
          <w:i/>
          <w:sz w:val="24"/>
        </w:rPr>
        <w:t xml:space="preserve">Figure 4 (verbatim caption, PMC8776003): “Potential docking sites of glutathionergics to the ECD of CaSR determined with the SwissDock docking simulator [ 56 ], and visualized via UCSF Chimera [ 57 ] visualization software. Images show Chain B of the CaSR ECD structure with ligands ( A ) and ( B ) CySSG, ( D ) GSH, ( E ) GSSG, and ( F ) CysGSH, docked in the binding site corresponding to where tryptophan and ( C ) a tryptophan derivative </w:t>
        <w:br/>
        <w:t xml:space="preserve">   graphic: `ijms-23-00717-g004.jpg`”</w:t>
      </w:r>
    </w:p>
    <w:p>
      <w:pPr>
        <w:keepNext/>
        <w:spacing w:before="280" w:after="80"/>
        <w:outlineLvl w:val="1"/>
      </w:pPr>
      <w:r>
        <w:rPr>
          <w:rFonts w:ascii="Times New Roman" w:hAnsi="Times New Roman" w:cs="Times New Roman" w:eastAsia="Times New Roman"/>
          <w:b/>
          <w:i w:val="0"/>
          <w:color w:val="335588"/>
          <w:sz w:val="28"/>
        </w:rPr>
        <w:t>A.7  PMC11672833 — Protective Effects of L-Cysteine Against Cisplatin-Induced Oxidative Stress-Medi</w:t>
      </w:r>
    </w:p>
    <w:p>
      <w:pPr>
        <w:spacing w:after="80"/>
        <w:jc w:val="both"/>
      </w:pPr>
      <w:r>
        <w:rPr>
          <w:rFonts w:ascii="Times New Roman" w:hAnsi="Times New Roman" w:cs="Times New Roman" w:eastAsia="Times New Roman"/>
          <w:b w:val="0"/>
          <w:i/>
          <w:sz w:val="24"/>
        </w:rPr>
        <w:t>Figure 1 (verbatim caption, PMC11672833): “Effect of L-cysteine (CYS) and cisplatin (CIS) on TM3 and TM4 cell viability. TM3 (5000 cells/well) (n = 7) and TM4 cells (3000 cells/well) (n = 7) were cultured in a 96-well plate for cell viability assays. Cells were treated with different concentrations of ( A , B ) CYS (0.1, 0.2, 0.5, 1, and 2 mM) or ( D , F ) CIS (5, 7.5, 10, 15, and 20 µM) for 24 or 16 h and stained with MTS assay. ( C ) TM3</w:t>
        <w:br/>
        <w:t xml:space="preserve">   graphic: `antioxidants-13-01443-g001.jpg`”</w:t>
      </w:r>
    </w:p>
    <w:p>
      <w:pPr>
        <w:spacing w:after="80"/>
        <w:jc w:val="both"/>
      </w:pPr>
      <w:r>
        <w:rPr>
          <w:rFonts w:ascii="Times New Roman" w:hAnsi="Times New Roman" w:cs="Times New Roman" w:eastAsia="Times New Roman"/>
          <w:b w:val="0"/>
          <w:i/>
          <w:sz w:val="24"/>
        </w:rPr>
        <w:t>Figure 2 (verbatim caption, PMC11672833): “L-cysteine (CYS) attenuates cisplatin (CIS)-induced reduction in TM3 and TM4 cell viability. TM3 (5000 cell/well) (n = 7) and TM4 cells (3000 cell/well) (n = 7) were cultured in a 96-well plate for cell viability. TM3 (n = 7) and TM4 (n = 7) cells (4 × 10 4 cell/well) were cultured in a 12-well plate for cell morphology and composition. They were co-treated with different concentrations of CYS (0.</w:t>
        <w:br/>
        <w:t xml:space="preserve">   graphic: `antioxidants-13-01443-g002.jpg`”</w:t>
      </w:r>
    </w:p>
    <w:p>
      <w:pPr>
        <w:spacing w:after="80"/>
        <w:jc w:val="both"/>
      </w:pPr>
      <w:r>
        <w:rPr>
          <w:rFonts w:ascii="Times New Roman" w:hAnsi="Times New Roman" w:cs="Times New Roman" w:eastAsia="Times New Roman"/>
          <w:b w:val="0"/>
          <w:i/>
          <w:sz w:val="24"/>
        </w:rPr>
        <w:t>Figure 3 (verbatim caption, PMC11672833): “Effect of L-cysteine (CYS) on reactive oxygen species production in cisplatin (CIS)-induced TM3 and TM4 cells. The cells (1.2 × 10 5 cells/well) were cultured in a 6-well plate. They were co-treated with different concentrations of CYS (0.1, 0.2, 0.5, and 1 mM) and, respectively, induced by CIS (7.5 or 10 µM) for 24 and 16 h (n = 7). ( A , B ) ROS measurements were conducted by incubating the cell</w:t>
        <w:br/>
        <w:t xml:space="preserve">   graphic: `antioxidants-13-01443-g003.jpg`”</w:t>
      </w:r>
    </w:p>
    <w:p>
      <w:pPr>
        <w:spacing w:after="80"/>
        <w:jc w:val="both"/>
      </w:pPr>
      <w:r>
        <w:rPr>
          <w:rFonts w:ascii="Times New Roman" w:hAnsi="Times New Roman" w:cs="Times New Roman" w:eastAsia="Times New Roman"/>
          <w:b w:val="0"/>
          <w:i/>
          <w:sz w:val="24"/>
        </w:rPr>
        <w:t xml:space="preserve">Figure 4 (verbatim caption, PMC11672833): “Effect of L-cysteine (CYS) on apoptosis-related protein expression in cisplatin (CIS)-induced TM3 and TM4 cells. ( A ) TM3 and ( C ) TM4 cells (1 × 10 5 cells) were cultured in a 6 cm dish. Cells were co-treated with different concentrations of CYS (0.1, 0.2, 0.5, and 1 mM) and induced with CIS (7.5 or 10 µM) for 24 and 16 h, respectively (n = 4). The protein expression of PARP, Caspase 3, Bcl-2, </w:t>
        <w:br/>
        <w:t xml:space="preserve">   graphic: `antioxidants-13-01443-g004.jpg`”</w:t>
      </w:r>
    </w:p>
    <w:p>
      <w:pPr>
        <w:spacing w:after="80"/>
        <w:jc w:val="both"/>
      </w:pPr>
      <w:r>
        <w:rPr>
          <w:rFonts w:ascii="Times New Roman" w:hAnsi="Times New Roman" w:cs="Times New Roman" w:eastAsia="Times New Roman"/>
          <w:b w:val="0"/>
          <w:i/>
          <w:sz w:val="24"/>
        </w:rPr>
        <w:t>Figure 5 (verbatim caption, PMC11672833): “Effect of L-cysteine (CYS) on testosterone secretion-related modulators in cisplatin (CIS)-induced TM3 cells. TM3 cells (1 × 10 5 cell/well) were cultured in a 6 cm dish. Cells were co-treated with different concentrations of CYS (0.1, 0.2, 0.5, 1 mM) and induced with CIS (7.5 µM) for 24 h (n = 4). ( A ) The inflammatory protein expressions were determined by Western blot. ( B ) iNOS and ( C ) COX</w:t>
        <w:br/>
        <w:t xml:space="preserve">   graphic: `antioxidants-13-01443-g005.jpg`”</w:t>
      </w:r>
    </w:p>
    <w:p>
      <w:pPr>
        <w:spacing w:after="80"/>
        <w:jc w:val="both"/>
      </w:pPr>
      <w:r>
        <w:rPr>
          <w:rFonts w:ascii="Times New Roman" w:hAnsi="Times New Roman" w:cs="Times New Roman" w:eastAsia="Times New Roman"/>
          <w:b w:val="0"/>
          <w:i/>
          <w:sz w:val="24"/>
        </w:rPr>
        <w:t>Figure 6 (verbatim caption, PMC11672833): “Effect of L-cysteine (CYS) on blood–testis barrier (BTB)-related protein expression in cisplatin (CIS)-induced TM4 cells. The cells (1 × 10 5 cell/well) were cultured in a 6 cm dish. Cells were co-treated with different concentrations of CYS (0.1, 0.2, 0.5, and 1 mM) and induced with CIS (10 µM) for 24 h (n = 4). ( A ) The BTB protein expressions were determined by Western blot. ( B ) ZO-1 and ( C</w:t>
        <w:br/>
        <w:t xml:space="preserve">   graphic: `antioxidants-13-01443-g006.jpg`”</w:t>
      </w:r>
    </w:p>
    <w:p>
      <w:pPr>
        <w:spacing w:after="80"/>
        <w:jc w:val="both"/>
      </w:pPr>
      <w:r>
        <w:rPr>
          <w:rFonts w:ascii="Times New Roman" w:hAnsi="Times New Roman" w:cs="Times New Roman" w:eastAsia="Times New Roman"/>
          <w:b w:val="0"/>
          <w:i/>
          <w:sz w:val="24"/>
        </w:rPr>
        <w:t>Figure 7 (verbatim caption, PMC11672833): “Effect of L-cysteine (CYS) on cisplatin (CIS)-induced weight and organ changes in in vivo model. ( A ) Body weight and ( B ) body weight changes, and the relative weight changes of the ( C ) testis, ( D ) epididymis, ( E ) heart, ( F ) liver, and ( G ) kidney in a CIS-induced animal model after CYS pretreatment (n = 8). Data are represented as mean ± SEM. Different groups were analyzed using Stude</w:t>
        <w:br/>
        <w:t xml:space="preserve">   graphic: `antioxidants-13-01443-g007.jpg`”</w:t>
      </w:r>
    </w:p>
    <w:p>
      <w:pPr>
        <w:spacing w:after="80"/>
        <w:jc w:val="both"/>
      </w:pPr>
      <w:r>
        <w:rPr>
          <w:rFonts w:ascii="Times New Roman" w:hAnsi="Times New Roman" w:cs="Times New Roman" w:eastAsia="Times New Roman"/>
          <w:b w:val="0"/>
          <w:i/>
          <w:sz w:val="24"/>
        </w:rPr>
        <w:t>Figure 8 (verbatim caption, PMC11672833): “Protective role of L-cysteine (CYS) treatment for the biochemical indicators in cisplatin-induced in vivo model. ( A ) Testosterone and P450scc protein expression were evaluated by Western blot; ( B ) SGOT, ( C ) SGPT, ( D ) BUN, ( E ) creatinine, ( F ) LDH, and ( G ) CPK levels in a cisplatin-induced animal model after CYS pretreatment (n = 8). Data are represented as mean ± SEM. Different groups</w:t>
        <w:br/>
        <w:t xml:space="preserve">   graphic: `antioxidants-13-01443-g008.jpg`”</w:t>
      </w:r>
    </w:p>
    <w:p>
      <w:pPr>
        <w:spacing w:after="80"/>
        <w:jc w:val="both"/>
      </w:pPr>
      <w:r>
        <w:rPr>
          <w:rFonts w:ascii="Times New Roman" w:hAnsi="Times New Roman" w:cs="Times New Roman" w:eastAsia="Times New Roman"/>
          <w:b w:val="0"/>
          <w:i/>
          <w:sz w:val="24"/>
        </w:rPr>
        <w:t>Figure 9 (verbatim caption, PMC11672833): “Effect of L-cysteine (CYS) on testicular damage in cisplatin (CIS)-induced male rats. ( A ) The appearance of the testis and epididymis. ( B ) Hematoxylin-and-eosin-stained sections of the testis, observed under magnification at ×100, ×200, and ×400. Observations were made on multiple sections (2–3) from each testicular fragment to ensure consistent and representative assessment. Labels in the fig</w:t>
        <w:br/>
        <w:t xml:space="preserve">   graphic: `antioxidants-13-01443-g009.jpg`”</w:t>
      </w:r>
    </w:p>
    <w:p>
      <w:pPr>
        <w:spacing w:after="80"/>
        <w:jc w:val="both"/>
      </w:pPr>
      <w:r>
        <w:rPr>
          <w:rFonts w:ascii="Times New Roman" w:hAnsi="Times New Roman" w:cs="Times New Roman" w:eastAsia="Times New Roman"/>
          <w:b w:val="0"/>
          <w:i/>
          <w:sz w:val="24"/>
        </w:rPr>
        <w:t>Figure 10 (verbatim caption, PMC11672833): “Effect of L-cysteine (CYS) on sperm morphology and viability in cisplatin (CIS)-induced animal model. ( A ) Sperm morphology stained with eosin Y and crystal violet, observed at 400× magnification. Black arrows indicate abnormal sperm, including (a) bent neck and (b) bent tail. ( B ) Sperm viability was assessed by counting the number of live and dead sperm. Data are represented as mean ± SEM. Dif</w:t>
        <w:br/>
        <w:t xml:space="preserve">   graphic: `antioxidants-13-01443-g010.jpg`”</w:t>
      </w:r>
    </w:p>
    <w:p>
      <w:pPr>
        <w:keepNext/>
        <w:spacing w:before="280" w:after="80"/>
        <w:outlineLvl w:val="1"/>
      </w:pPr>
      <w:r>
        <w:rPr>
          <w:rFonts w:ascii="Times New Roman" w:hAnsi="Times New Roman" w:cs="Times New Roman" w:eastAsia="Times New Roman"/>
          <w:b/>
          <w:i w:val="0"/>
          <w:color w:val="335588"/>
          <w:sz w:val="28"/>
        </w:rPr>
        <w:t xml:space="preserve">A.8  PMC6154623 — Chemical and Biological Properties of S -1-Propenyl- l -Cysteine in Aged Garlic </w:t>
      </w:r>
    </w:p>
    <w:p>
      <w:pPr>
        <w:spacing w:after="80"/>
        <w:jc w:val="both"/>
      </w:pPr>
      <w:r>
        <w:rPr>
          <w:rFonts w:ascii="Times New Roman" w:hAnsi="Times New Roman" w:cs="Times New Roman" w:eastAsia="Times New Roman"/>
          <w:b w:val="0"/>
          <w:i/>
          <w:sz w:val="24"/>
        </w:rPr>
        <w:t>Figure 1 (verbatim caption, PMC6154623): “Chemical structures of sulfur-containing compounds derived from garlic.</w:t>
        <w:br/>
        <w:t xml:space="preserve">   graphic: `molecules-22-00570-g001.jpg`”</w:t>
      </w:r>
    </w:p>
    <w:p>
      <w:pPr>
        <w:spacing w:after="80"/>
        <w:jc w:val="both"/>
      </w:pPr>
      <w:r>
        <w:rPr>
          <w:rFonts w:ascii="Times New Roman" w:hAnsi="Times New Roman" w:cs="Times New Roman" w:eastAsia="Times New Roman"/>
          <w:b w:val="0"/>
          <w:i/>
          <w:sz w:val="24"/>
        </w:rPr>
        <w:t>Figure 2 (verbatim caption, PMC6154623): “Chromatogram of hydrophilic sulfur compounds in aged garlic extract by sulfur specific post-column HPLC analysis using hexaiodoplatinate reagent. Chromatogram was monitored at 500 nm absorbance. HPLC analysis was performed by post-column HPLC method using a NEXERA X2 system (Shimadzu, Kyoto, Japan) according to a previous report [ 19 ]. ( A ) Chromatogram of aged garlic extract; ( B ) Identified c</w:t>
        <w:br/>
        <w:t xml:space="preserve">   graphic: `molecules-22-00570-g002.jpg`”</w:t>
      </w:r>
    </w:p>
    <w:p>
      <w:pPr>
        <w:spacing w:after="80"/>
        <w:jc w:val="both"/>
      </w:pPr>
      <w:r>
        <w:rPr>
          <w:rFonts w:ascii="Times New Roman" w:hAnsi="Times New Roman" w:cs="Times New Roman" w:eastAsia="Times New Roman"/>
          <w:b w:val="0"/>
          <w:i/>
          <w:sz w:val="24"/>
        </w:rPr>
        <w:t>Figure 3 (verbatim caption, PMC6154623): “Changes of sulfur-containing compounds in raw garlic and AGE. ( A ) Changes of trans -GS1PC content in raw garlic stored at −3 °C, 4 °C and 23 °C; ( B ) Changes of GSAC content in raw garlic stored at −3 °C, 4 °C and 23 °C; ( C ) Changes of trans -S1PC and cis -S1PC content in aged garlic extract during the aging period. Values are mean ± SD ( n = 3); ( D ) Putative production mechanism of cis -S1</w:t>
        <w:br/>
        <w:t xml:space="preserve">   graphic: `molecules-22-00570-g003.jpg`”</w:t>
      </w:r>
    </w:p>
    <w:p>
      <w:pPr>
        <w:spacing w:after="80"/>
        <w:jc w:val="both"/>
      </w:pPr>
      <w:r>
        <w:rPr>
          <w:rFonts w:ascii="Times New Roman" w:hAnsi="Times New Roman" w:cs="Times New Roman" w:eastAsia="Times New Roman"/>
          <w:b w:val="0"/>
          <w:i/>
          <w:sz w:val="24"/>
        </w:rPr>
        <w:t>Figure 4 (verbatim caption, PMC6154623): “Immunomodulatory effect of S -1-propenyl- l -cysteine. ( A ) Effect of S1PC on IgA levels in intestinal lavage fluid. S1PC (30 mg/kg, once a day) or distilled water were orally administrated to C57BL/6N mice for 5 days ( n = 4–5). IgA level was measured using Mouse IgA ELISA Quantification set (Bethyl Laboratories, Inc. Montgomery, AL, USA), (** p &lt; 0.01); ( B ) Effect of S1PC on IgA–inducing cell</w:t>
        <w:br/>
        <w:t xml:space="preserve">   graphic: `molecules-22-00570-g004.jpg`”</w:t>
      </w:r>
    </w:p>
    <w:p>
      <w:pPr>
        <w:keepNext/>
        <w:spacing w:before="280" w:after="80"/>
        <w:outlineLvl w:val="1"/>
      </w:pPr>
      <w:r>
        <w:rPr>
          <w:rFonts w:ascii="Times New Roman" w:hAnsi="Times New Roman" w:cs="Times New Roman" w:eastAsia="Times New Roman"/>
          <w:b/>
          <w:i w:val="0"/>
          <w:color w:val="335588"/>
          <w:sz w:val="28"/>
        </w:rPr>
        <w:t>A.9  PMC10821248 — Challenges and Advances in the Bioproduction of L-Cysteine</w:t>
      </w:r>
    </w:p>
    <w:p>
      <w:pPr>
        <w:spacing w:after="80"/>
        <w:jc w:val="both"/>
      </w:pPr>
      <w:r>
        <w:rPr>
          <w:rFonts w:ascii="Times New Roman" w:hAnsi="Times New Roman" w:cs="Times New Roman" w:eastAsia="Times New Roman"/>
          <w:b w:val="0"/>
          <w:i/>
          <w:sz w:val="24"/>
        </w:rPr>
        <w:t>Figure 1 (verbatim caption, PMC10821248): “Metabolic pathways for L-cysteine biosynthesis in microorganisms. In the L-serine O-acetyltransferase-O-acetyl-L-serine (SAT-OASS) pathway, there are two branches for the transformation of O-acetyl-L-serine (OAS) into L-cysteine, depending on the sulfur source available to the organism. These biotransformations are catalyzed by two different OASSs: OASS-A in the case of sulfate as the S-source and</w:t>
        <w:br/>
        <w:t xml:space="preserve">   graphic: `molecules-29-00486-g001.jpg`”</w:t>
      </w:r>
    </w:p>
    <w:p>
      <w:pPr>
        <w:spacing w:after="80"/>
        <w:jc w:val="both"/>
      </w:pPr>
      <w:r>
        <w:rPr>
          <w:rFonts w:ascii="Times New Roman" w:hAnsi="Times New Roman" w:cs="Times New Roman" w:eastAsia="Times New Roman"/>
          <w:b w:val="0"/>
          <w:i/>
          <w:sz w:val="24"/>
        </w:rPr>
        <w:t>Figure 2 (verbatim caption, PMC10821248): “Transformation of DL-ATC to L-cysteine. In this enzymatic three-step process, DL-ATC is isomerized to L-ATC by ATC racemase. Then, L-ATC is hydrolyzed to S-carbamyl-L-cysteine (SCC) by L-ATC hydrolase. Finally, SCC is cleaved into L-cysteine, CO 2 , and ammonia by S-cabamyl-L-cysteine amidohydrolase.</w:t>
        <w:br/>
        <w:t xml:space="preserve">   graphic: `molecules-29-00486-g002.jpg`”</w:t>
      </w:r>
    </w:p>
    <w:p>
      <w:pPr>
        <w:spacing w:after="80"/>
        <w:jc w:val="both"/>
      </w:pPr>
      <w:r>
        <w:rPr>
          <w:rFonts w:ascii="Times New Roman" w:hAnsi="Times New Roman" w:cs="Times New Roman" w:eastAsia="Times New Roman"/>
          <w:b w:val="0"/>
          <w:i/>
          <w:sz w:val="24"/>
        </w:rPr>
        <w:t>Figure 3 (verbatim caption, PMC10821248): “( a ) Substrate feeding profiles followed by [ 59 ] in the fed-batch L-cysteine production process. The thiosulfate feeding started two hours after the process was inoculated in order to avoid unnecessary oxidative stress on the cells in the initial lag phase. The glucose feeding started after five hours, once the initially added glucose was completely consumed. ( b ) L-cysteine concentration prof</w:t>
        <w:br/>
        <w:t xml:space="preserve">   graphic: `molecules-29-00486-g003.jpg`”</w:t>
      </w:r>
    </w:p>
    <w:p>
      <w:pPr>
        <w:spacing w:after="80"/>
        <w:jc w:val="both"/>
      </w:pPr>
      <w:r>
        <w:rPr>
          <w:rFonts w:ascii="Times New Roman" w:hAnsi="Times New Roman" w:cs="Times New Roman" w:eastAsia="Times New Roman"/>
          <w:b w:val="0"/>
          <w:i/>
          <w:sz w:val="24"/>
        </w:rPr>
        <w:t>Figure 4 (verbatim caption, PMC10821248): “Flow diagram representation of an L-cysteine purification process according to Boehm [ 62 ]. This process relies on the L-cysteine remaining in an unoxidized state. Hence, the oxidants in the fermentation broth are removed during the anion-exchange chromatography, and the pH of the L-cysteine-rich solution must be closely monitored and adjusted throughout the purification line.</w:t>
        <w:br/>
        <w:t xml:space="preserve">   graphic: `molecules-29-00486-g004.jpg`”</w:t>
      </w:r>
    </w:p>
    <w:p>
      <w:pPr>
        <w:keepNext/>
        <w:spacing w:before="280" w:after="80"/>
        <w:outlineLvl w:val="1"/>
      </w:pPr>
      <w:r>
        <w:rPr>
          <w:rFonts w:ascii="Times New Roman" w:hAnsi="Times New Roman" w:cs="Times New Roman" w:eastAsia="Times New Roman"/>
          <w:b/>
          <w:i w:val="0"/>
          <w:color w:val="335588"/>
          <w:sz w:val="28"/>
        </w:rPr>
        <w:t>A.10  PMC11016120 — Lipopolysaccharide binding protein resists hepatic oxidative stress by regulatin</w:t>
      </w:r>
    </w:p>
    <w:p>
      <w:pPr>
        <w:spacing w:after="80"/>
        <w:jc w:val="both"/>
      </w:pPr>
      <w:r>
        <w:rPr>
          <w:rFonts w:ascii="Times New Roman" w:hAnsi="Times New Roman" w:cs="Times New Roman" w:eastAsia="Times New Roman"/>
          <w:b w:val="0"/>
          <w:i/>
          <w:sz w:val="24"/>
        </w:rPr>
        <w:t>Figure 1 (verbatim caption, PMC11016120): “Oxidative stress induces LBP upregulation and LD translocation. a A schematic illustrating the research strategy adopted in this study. The image was created using materials supplied by Ge Pan from the Central Academy of Fine Arts, China, and illustrated by Qilun Zhang. The use of these materials has been authorized. b A multivariate bubble plot comparing changes in LD-localized protein and RNA ex</w:t>
        <w:br/>
        <w:t xml:space="preserve">   graphic: `41467_2024_47553_Fig1_HTML.jpg`”</w:t>
      </w:r>
    </w:p>
    <w:p>
      <w:pPr>
        <w:spacing w:after="80"/>
        <w:jc w:val="both"/>
      </w:pPr>
      <w:r>
        <w:rPr>
          <w:rFonts w:ascii="Times New Roman" w:hAnsi="Times New Roman" w:cs="Times New Roman" w:eastAsia="Times New Roman"/>
          <w:b w:val="0"/>
          <w:i/>
          <w:sz w:val="24"/>
        </w:rPr>
        <w:t>Figure 2 (verbatim caption, PMC11016120): “The localization of LBP to LDs drives hepatic steatosis. a Hepatic TG content of WT mice under NT, 24 h fasting, or LPS-treatment (5 mg/kg, i.p.) for 24 h. Shown are means ± s.d., one-way ANOVA ( n = 3, biologically independent). b Representative bright-field microscope image showing separated LDs from the same treatment as described in ( a ), scale bar = 10 μm. Experiments was conducted with thre</w:t>
        <w:br/>
        <w:t xml:space="preserve">   graphic: `41467_2024_47553_Fig2_HTML.jpg`”</w:t>
      </w:r>
    </w:p>
    <w:p>
      <w:pPr>
        <w:spacing w:after="80"/>
        <w:jc w:val="both"/>
      </w:pPr>
      <w:r>
        <w:rPr>
          <w:rFonts w:ascii="Times New Roman" w:hAnsi="Times New Roman" w:cs="Times New Roman" w:eastAsia="Times New Roman"/>
          <w:b w:val="0"/>
          <w:i/>
          <w:sz w:val="24"/>
        </w:rPr>
        <w:t>Figure 3 (verbatim caption, PMC11016120): “LBP binds with unsaturated TG to prevent against lipid peroxidation. a A pie chart showing the difference in lipid composition between WT ( n = 3) and LBP KI/KI ( n = 3) mice liver after 16 weeks of HFD. b Analysis of chain length of differential TGs in ( a ). Shown are means ± s.e.m., ( n = 3, biologically independent). c Analysis of saturation of differential TGs in ( a ). Shown are means ± s.e.</w:t>
        <w:br/>
        <w:t xml:space="preserve">   graphic: `41467_2024_47553_Fig3_HTML.jpg`”</w:t>
      </w:r>
    </w:p>
    <w:p>
      <w:pPr>
        <w:spacing w:after="80"/>
        <w:jc w:val="both"/>
      </w:pPr>
      <w:r>
        <w:rPr>
          <w:rFonts w:ascii="Times New Roman" w:hAnsi="Times New Roman" w:cs="Times New Roman" w:eastAsia="Times New Roman"/>
          <w:b w:val="0"/>
          <w:i/>
          <w:sz w:val="24"/>
        </w:rPr>
        <w:t>Figure 4 (verbatim caption, PMC11016120): “The antioxidant activity of LBP. a A nine-quadrant plot depicting the combined analysis of the liver transcriptome and proteome of WT and LBP KI/KI mice fed with HFD for 16 weeks. Each group n = 3, biologically independent. b Go term enrichment analysis of the differential proteins in the third quadrant (upregulated) of ( a ), using different colors to represent different functions: yellow-lipid t</w:t>
        <w:br/>
        <w:t xml:space="preserve">   graphic: `41467_2024_47553_Fig4_HTML.jpg`”</w:t>
      </w:r>
    </w:p>
    <w:p>
      <w:pPr>
        <w:spacing w:after="80"/>
        <w:jc w:val="both"/>
      </w:pPr>
      <w:r>
        <w:rPr>
          <w:rFonts w:ascii="Times New Roman" w:hAnsi="Times New Roman" w:cs="Times New Roman" w:eastAsia="Times New Roman"/>
          <w:b w:val="0"/>
          <w:i/>
          <w:sz w:val="24"/>
        </w:rPr>
        <w:t>Figure 5 (verbatim caption, PMC11016120): “Redox signaling regulates LBP-induced LD accumulation via phospholipid biogenesis and the LBP chaperone function of PRDX4. a The bar graph compares the hepatic TG levels in WT mice and LBP KI/KI mice, with/without NAC treatment. Means ± s.d., 2way ANOVA ( n = 5–6, biologically independent). b Bright-field microscope image of LDs in LBP KI/KI mice, fasted for 24 h and treated with/without NAC treat</w:t>
        <w:br/>
        <w:t xml:space="preserve">   graphic: `41467_2024_47553_Fig5_HTML.jpg`”</w:t>
      </w:r>
    </w:p>
    <w:p>
      <w:pPr>
        <w:spacing w:after="80"/>
        <w:jc w:val="both"/>
      </w:pPr>
      <w:r>
        <w:rPr>
          <w:rFonts w:ascii="Times New Roman" w:hAnsi="Times New Roman" w:cs="Times New Roman" w:eastAsia="Times New Roman"/>
          <w:b w:val="0"/>
          <w:i/>
          <w:sz w:val="24"/>
        </w:rPr>
        <w:t>Figure 6 (verbatim caption, PMC11016120): “The #4-helix within the C-segment of LBP interacts with oxidized TGs. a LBP structure solved in the PDB database and predicted by Alphafold, with the black box indicating the differential #4α-helix. b Predict secondary structures and perform homology comparisons of LBP in various mammals. c Molecular docking diagram of WT-Tridocosahexaenoin with LBP. LBP is represented as a dark blue cartoon model</w:t>
        <w:br/>
        <w:t xml:space="preserve">   graphic: `41467_2024_47553_Fig6_HTML.jpg`”</w:t>
      </w:r>
    </w:p>
    <w:p>
      <w:pPr>
        <w:spacing w:after="80"/>
        <w:jc w:val="both"/>
      </w:pPr>
      <w:r>
        <w:rPr>
          <w:rFonts w:ascii="Times New Roman" w:hAnsi="Times New Roman" w:cs="Times New Roman" w:eastAsia="Times New Roman"/>
          <w:b w:val="0"/>
          <w:i/>
          <w:sz w:val="24"/>
        </w:rPr>
        <w:t xml:space="preserve">Figure 7 (verbatim caption, PMC11016120): “LBP upregulation drives obesity and is rescued by antioxidant treatment. a Serum TG and FFA levels in 8-week-old mice before and after Poloxamer 407 injection. Means ± s.d., 2way ANOVA ( n = 3, biologically independent). b Morphological comparison of LBP KI/KI , LBP − / − and WT mice fed on a 16-week high-fat diet. c Fasting blood glucose levels of mice in ( b ). Means ± s.d., two-tailed unpaired </w:t>
        <w:br/>
        <w:t xml:space="preserve">   graphic: `41467_2024_47553_Fig7_HTML.jpg`”</w:t>
      </w:r>
    </w:p>
    <w:p>
      <w:pPr>
        <w:keepNext/>
        <w:spacing w:before="280" w:after="80"/>
        <w:outlineLvl w:val="1"/>
      </w:pPr>
      <w:r>
        <w:rPr>
          <w:rFonts w:ascii="Times New Roman" w:hAnsi="Times New Roman" w:cs="Times New Roman" w:eastAsia="Times New Roman"/>
          <w:b/>
          <w:i w:val="0"/>
          <w:color w:val="335588"/>
          <w:sz w:val="28"/>
        </w:rPr>
        <w:t>A.11  PMC11939635 — Endothelial Dysfunction: Redox Imbalance, NLRP3 Inflammasome, and Inflammatory R</w:t>
      </w:r>
    </w:p>
    <w:p>
      <w:pPr>
        <w:spacing w:after="80"/>
        <w:jc w:val="both"/>
      </w:pPr>
      <w:r>
        <w:rPr>
          <w:rFonts w:ascii="Times New Roman" w:hAnsi="Times New Roman" w:cs="Times New Roman" w:eastAsia="Times New Roman"/>
          <w:b w:val="0"/>
          <w:i/>
          <w:sz w:val="24"/>
        </w:rPr>
        <w:t>Figure 2 (verbatim caption, PMC11939635): “Key molecular mechanisms linking endothelial dysfunction, NLRP3 inflammasome, and cardiovascular diseases (CVDs). Schematic illustration of the pathways and factors contributing to endothelial dysfunction and the progression of CVDs. The activation of the NLRP3 inflammasome by PAMPs, DAMPs, and hemodynamic alterations triggers the production of inflammatory cytokines (e.g., IL-1β, IL-18) via caspa</w:t>
        <w:br/>
        <w:t xml:space="preserve">   graphic: `antioxidants-14-00256-g002.jpg`”</w:t>
      </w:r>
    </w:p>
    <w:p>
      <w:pPr>
        <w:spacing w:after="80"/>
        <w:jc w:val="both"/>
      </w:pPr>
      <w:r>
        <w:rPr>
          <w:rFonts w:ascii="Times New Roman" w:hAnsi="Times New Roman" w:cs="Times New Roman" w:eastAsia="Times New Roman"/>
          <w:b w:val="0"/>
          <w:i/>
          <w:sz w:val="24"/>
        </w:rPr>
        <w:t>Figure 1 (verbatim caption, PMC11939635): “Adequate NO production supports redox balance, vasodilation, and vascular homeostasis. In contrast, endothelial dysfunction and reduced NO levels lead to redox imbalance, favoring ROS/RNS-mediated inflammation and fibrosis, with O 2 •− , ONOO − and NLRP3 playing key roles (See also Figure 2 ). Double-headed lines indicate inhibition, while simple arrows indicate diffusion and activation. Red-color</w:t>
        <w:br/>
        <w:t xml:space="preserve">   graphic: `antioxidants-14-00256-g001.jpg`”</w:t>
      </w:r>
    </w:p>
    <w:p>
      <w:pPr>
        <w:keepNext/>
        <w:pageBreakBefore/>
        <w:spacing w:before="480" w:after="160"/>
        <w:outlineLvl w:val="0"/>
      </w:pPr>
      <w:r>
        <w:rPr>
          <w:rFonts w:ascii="Times New Roman" w:hAnsi="Times New Roman" w:cs="Times New Roman" w:eastAsia="Times New Roman"/>
          <w:b/>
          <w:i w:val="0"/>
          <w:color w:val="1F3D7A"/>
          <w:sz w:val="36"/>
        </w:rPr>
        <w:t>B.  Appendix B — Consolidated Verbatim Tables</w:t>
      </w:r>
    </w:p>
    <w:p>
      <w:pPr>
        <w:spacing w:after="80"/>
        <w:jc w:val="both"/>
      </w:pPr>
      <w:r>
        <w:rPr>
          <w:rFonts w:ascii="Times New Roman" w:hAnsi="Times New Roman" w:cs="Times New Roman" w:eastAsia="Times New Roman"/>
          <w:b w:val="0"/>
          <w:i w:val="0"/>
          <w:sz w:val="24"/>
        </w:rPr>
        <w:t>Every table harvested via the JATS XML extraction on 2026-04-20 is reproduced verbatim below. Row content and column order follow the source article exactly. Where a paper did not contain a parsable structured table, the paper is omitted from this appendix.</w:t>
      </w:r>
    </w:p>
    <w:p>
      <w:pPr>
        <w:keepNext/>
        <w:spacing w:before="280" w:after="80"/>
        <w:outlineLvl w:val="1"/>
      </w:pPr>
      <w:r>
        <w:rPr>
          <w:rFonts w:ascii="Times New Roman" w:hAnsi="Times New Roman" w:cs="Times New Roman" w:eastAsia="Times New Roman"/>
          <w:b/>
          <w:i w:val="0"/>
          <w:color w:val="335588"/>
          <w:sz w:val="28"/>
        </w:rPr>
        <w:t xml:space="preserve">B.1  PMC10604897 — N-Acetylcysteine and Its Immunomodulatory Properties in Humans and Domesticated </w:t>
      </w:r>
    </w:p>
    <w:p>
      <w:pPr>
        <w:keepNext/>
        <w:spacing w:before="160" w:after="40"/>
        <w:jc w:val="left"/>
      </w:pPr>
      <w:r>
        <w:rPr>
          <w:rFonts w:ascii="Times New Roman" w:hAnsi="Times New Roman" w:cs="Times New Roman" w:eastAsia="Times New Roman"/>
          <w:b/>
          <w:i w:val="0"/>
          <w:sz w:val="22"/>
        </w:rPr>
        <w:t>Reproduced verbatim from PMC10604897 Table 1 — Table 1 — N-acetylcysteine adverse events.</w:t>
      </w:r>
    </w:p>
    <w:tbl>
      <w:tblPr>
        <w:tblStyle w:val="TableGrid"/>
        <w:tblW w:type="auto" w:w="0"/>
        <w:tblLayout w:type="fixed"/>
        <w:tblLook w:firstColumn="1" w:firstRow="1" w:lastColumn="0" w:lastRow="0" w:noHBand="0" w:noVBand="1" w:val="04A0"/>
      </w:tblPr>
      <w:tblGrid>
        <w:gridCol w:w="1872"/>
        <w:gridCol w:w="1872"/>
        <w:gridCol w:w="1872"/>
        <w:gridCol w:w="1872"/>
        <w:gridCol w:w="1872"/>
      </w:tblGrid>
      <w:tr>
        <w:tc>
          <w:tcPr>
            <w:tcW w:type="dxa" w:w="1872"/>
            <w:shd w:fill="DDE4EF"/>
          </w:tcPr>
          <w:p>
            <w:r/>
            <w:r>
              <w:rPr>
                <w:rFonts w:ascii="Times New Roman" w:hAnsi="Times New Roman" w:cs="Times New Roman" w:eastAsia="Times New Roman"/>
                <w:b/>
                <w:i w:val="0"/>
                <w:sz w:val="22"/>
              </w:rPr>
              <w:t>Study</w:t>
            </w:r>
          </w:p>
        </w:tc>
        <w:tc>
          <w:tcPr>
            <w:tcW w:type="dxa" w:w="1872"/>
            <w:shd w:fill="DDE4EF"/>
          </w:tcPr>
          <w:p>
            <w:r/>
            <w:r>
              <w:rPr>
                <w:rFonts w:ascii="Times New Roman" w:hAnsi="Times New Roman" w:cs="Times New Roman" w:eastAsia="Times New Roman"/>
                <w:b/>
                <w:i w:val="0"/>
                <w:sz w:val="22"/>
              </w:rPr>
              <w:t>Study Type</w:t>
            </w:r>
          </w:p>
        </w:tc>
        <w:tc>
          <w:tcPr>
            <w:tcW w:type="dxa" w:w="1872"/>
            <w:shd w:fill="DDE4EF"/>
          </w:tcPr>
          <w:p>
            <w:r/>
            <w:r>
              <w:rPr>
                <w:rFonts w:ascii="Times New Roman" w:hAnsi="Times New Roman" w:cs="Times New Roman" w:eastAsia="Times New Roman"/>
                <w:b/>
                <w:i w:val="0"/>
                <w:sz w:val="22"/>
              </w:rPr>
              <w:t>Study Size</w:t>
            </w:r>
          </w:p>
        </w:tc>
        <w:tc>
          <w:tcPr>
            <w:tcW w:type="dxa" w:w="1872"/>
            <w:shd w:fill="DDE4EF"/>
          </w:tcPr>
          <w:p>
            <w:r/>
            <w:r>
              <w:rPr>
                <w:rFonts w:ascii="Times New Roman" w:hAnsi="Times New Roman" w:cs="Times New Roman" w:eastAsia="Times New Roman"/>
                <w:b/>
                <w:i w:val="0"/>
                <w:sz w:val="22"/>
              </w:rPr>
              <w:t>NAC Treatment</w:t>
            </w:r>
          </w:p>
        </w:tc>
        <w:tc>
          <w:tcPr>
            <w:tcW w:type="dxa" w:w="1872"/>
            <w:shd w:fill="DDE4EF"/>
          </w:tcPr>
          <w:p>
            <w:r/>
            <w:r>
              <w:rPr>
                <w:rFonts w:ascii="Times New Roman" w:hAnsi="Times New Roman" w:cs="Times New Roman" w:eastAsia="Times New Roman"/>
                <w:b/>
                <w:i w:val="0"/>
                <w:sz w:val="22"/>
              </w:rPr>
              <w:t>Type and Incidence of Adverse Events following NAC Treatment</w:t>
            </w:r>
          </w:p>
        </w:tc>
      </w:tr>
      <w:tr>
        <w:tc>
          <w:tcPr>
            <w:tcW w:type="dxa" w:w="1872"/>
          </w:tcPr>
          <w:p>
            <w:r/>
            <w:r>
              <w:rPr>
                <w:rFonts w:ascii="Times New Roman" w:hAnsi="Times New Roman" w:cs="Times New Roman" w:eastAsia="Times New Roman"/>
                <w:b w:val="0"/>
                <w:i w:val="0"/>
                <w:sz w:val="22"/>
              </w:rPr>
            </w:r>
          </w:p>
        </w:tc>
        <w:tc>
          <w:tcPr>
            <w:tcW w:type="dxa" w:w="1872"/>
          </w:tcPr>
          <w:p>
            <w:r/>
            <w:r>
              <w:rPr>
                <w:rFonts w:ascii="Times New Roman" w:hAnsi="Times New Roman" w:cs="Times New Roman" w:eastAsia="Times New Roman"/>
                <w:b w:val="0"/>
                <w:i w:val="0"/>
                <w:sz w:val="22"/>
              </w:rPr>
              <w:t>Moderate</w:t>
            </w:r>
          </w:p>
        </w:tc>
        <w:tc>
          <w:tcPr>
            <w:tcW w:type="dxa" w:w="1872"/>
          </w:tcPr>
          <w:p>
            <w:r/>
            <w:r>
              <w:rPr>
                <w:rFonts w:ascii="Times New Roman" w:hAnsi="Times New Roman" w:cs="Times New Roman" w:eastAsia="Times New Roman"/>
                <w:b w:val="0"/>
                <w:i w:val="0"/>
                <w:sz w:val="22"/>
              </w:rPr>
              <w:t>Severe</w:t>
            </w:r>
          </w:p>
        </w:tc>
        <w:tc>
          <w:tcPr>
            <w:tcW w:type="dxa" w:w="1872"/>
          </w:tcPr>
          <w:p>
            <w:r/>
            <w:r>
              <w:rPr>
                <w:rFonts w:ascii="Times New Roman" w:hAnsi="Times New Roman" w:cs="Times New Roman" w:eastAsia="Times New Roman"/>
                <w:b w:val="0"/>
                <w:i w:val="0"/>
                <w:sz w:val="22"/>
              </w:rPr>
            </w:r>
          </w:p>
        </w:tc>
        <w:tc>
          <w:tcPr>
            <w:tcW w:type="dxa" w:w="1872"/>
          </w:tcPr>
          <w:p>
            <w:r/>
            <w:r>
              <w:rPr>
                <w:rFonts w:ascii="Times New Roman" w:hAnsi="Times New Roman" w:cs="Times New Roman" w:eastAsia="Times New Roman"/>
                <w:b w:val="0"/>
                <w:i w:val="0"/>
                <w:sz w:val="22"/>
              </w:rPr>
            </w:r>
          </w:p>
        </w:tc>
      </w:tr>
      <w:tr>
        <w:tc>
          <w:tcPr>
            <w:tcW w:type="dxa" w:w="1872"/>
          </w:tcPr>
          <w:p>
            <w:r/>
            <w:r>
              <w:rPr>
                <w:rFonts w:ascii="Times New Roman" w:hAnsi="Times New Roman" w:cs="Times New Roman" w:eastAsia="Times New Roman"/>
                <w:b w:val="0"/>
                <w:i w:val="0"/>
                <w:sz w:val="22"/>
              </w:rPr>
              <w:t>[ 38 ]</w:t>
            </w:r>
          </w:p>
        </w:tc>
        <w:tc>
          <w:tcPr>
            <w:tcW w:type="dxa" w:w="1872"/>
          </w:tcPr>
          <w:p>
            <w:r/>
            <w:r>
              <w:rPr>
                <w:rFonts w:ascii="Times New Roman" w:hAnsi="Times New Roman" w:cs="Times New Roman" w:eastAsia="Times New Roman"/>
                <w:b w:val="0"/>
                <w:i w:val="0"/>
                <w:sz w:val="22"/>
              </w:rPr>
              <w:t>Double-blinded, placebo-controlled, crossover design</w:t>
            </w:r>
          </w:p>
        </w:tc>
        <w:tc>
          <w:tcPr>
            <w:tcW w:type="dxa" w:w="1872"/>
          </w:tcPr>
          <w:p>
            <w:r/>
            <w:r>
              <w:rPr>
                <w:rFonts w:ascii="Times New Roman" w:hAnsi="Times New Roman" w:cs="Times New Roman" w:eastAsia="Times New Roman"/>
                <w:b w:val="0"/>
                <w:i w:val="0"/>
                <w:sz w:val="22"/>
              </w:rPr>
              <w:t>17 healthy individuals (age 30 ± 2 years)</w:t>
            </w:r>
          </w:p>
        </w:tc>
        <w:tc>
          <w:tcPr>
            <w:tcW w:type="dxa" w:w="1872"/>
          </w:tcPr>
          <w:p>
            <w:r/>
            <w:r>
              <w:rPr>
                <w:rFonts w:ascii="Times New Roman" w:hAnsi="Times New Roman" w:cs="Times New Roman" w:eastAsia="Times New Roman"/>
                <w:b w:val="0"/>
                <w:i w:val="0"/>
                <w:sz w:val="22"/>
              </w:rPr>
              <w:t>9 mg/kg NAC capsule</w:t>
            </w:r>
          </w:p>
        </w:tc>
        <w:tc>
          <w:tcPr>
            <w:tcW w:type="dxa" w:w="1872"/>
          </w:tcPr>
          <w:p>
            <w:r/>
            <w:r>
              <w:rPr>
                <w:rFonts w:ascii="Times New Roman" w:hAnsi="Times New Roman" w:cs="Times New Roman" w:eastAsia="Times New Roman"/>
                <w:b w:val="0"/>
                <w:i w:val="0"/>
                <w:sz w:val="22"/>
              </w:rPr>
              <w:t>Upset stomach (2), nausea (1), stomach/intestinal gas (1), cough (1)</w:t>
            </w:r>
          </w:p>
        </w:tc>
      </w:tr>
      <w:tr>
        <w:tc>
          <w:tcPr>
            <w:tcW w:type="dxa" w:w="1872"/>
          </w:tcPr>
          <w:p>
            <w:r/>
            <w:r>
              <w:rPr>
                <w:rFonts w:ascii="Times New Roman" w:hAnsi="Times New Roman" w:cs="Times New Roman" w:eastAsia="Times New Roman"/>
                <w:b w:val="0"/>
                <w:i w:val="0"/>
                <w:sz w:val="22"/>
              </w:rPr>
              <w:t>18 mg/kg NAC capsule</w:t>
            </w:r>
          </w:p>
        </w:tc>
        <w:tc>
          <w:tcPr>
            <w:tcW w:type="dxa" w:w="1872"/>
          </w:tcPr>
          <w:p>
            <w:r/>
            <w:r>
              <w:rPr>
                <w:rFonts w:ascii="Times New Roman" w:hAnsi="Times New Roman" w:cs="Times New Roman" w:eastAsia="Times New Roman"/>
                <w:b w:val="0"/>
                <w:i w:val="0"/>
                <w:sz w:val="22"/>
              </w:rPr>
              <w:t>Upset stomach (1), nausea (1), stomach/intestinal gas (2), sleepiness (2), metallic taste (1)</w:t>
            </w:r>
          </w:p>
        </w:tc>
        <w:tc>
          <w:tcPr>
            <w:tcW w:type="dxa" w:w="1872"/>
          </w:tcPr>
          <w:p>
            <w:r/>
            <w:r>
              <w:rPr>
                <w:rFonts w:ascii="Times New Roman" w:hAnsi="Times New Roman" w:cs="Times New Roman" w:eastAsia="Times New Roman"/>
                <w:b w:val="0"/>
                <w:i w:val="0"/>
                <w:sz w:val="22"/>
              </w:rPr>
            </w:r>
          </w:p>
        </w:tc>
        <w:tc>
          <w:tcPr>
            <w:tcW w:type="dxa" w:w="1872"/>
          </w:tcPr>
          <w:p>
            <w:r/>
            <w:r>
              <w:rPr>
                <w:rFonts w:ascii="Times New Roman" w:hAnsi="Times New Roman" w:cs="Times New Roman" w:eastAsia="Times New Roman"/>
                <w:b w:val="0"/>
                <w:i w:val="0"/>
                <w:sz w:val="22"/>
              </w:rPr>
            </w:r>
          </w:p>
        </w:tc>
        <w:tc>
          <w:tcPr>
            <w:tcW w:type="dxa" w:w="1872"/>
          </w:tcPr>
          <w:p>
            <w:r/>
            <w:r>
              <w:rPr>
                <w:rFonts w:ascii="Times New Roman" w:hAnsi="Times New Roman" w:cs="Times New Roman" w:eastAsia="Times New Roman"/>
                <w:b w:val="0"/>
                <w:i w:val="0"/>
                <w:sz w:val="22"/>
              </w:rPr>
            </w:r>
          </w:p>
        </w:tc>
      </w:tr>
      <w:tr>
        <w:tc>
          <w:tcPr>
            <w:tcW w:type="dxa" w:w="1872"/>
          </w:tcPr>
          <w:p>
            <w:r/>
            <w:r>
              <w:rPr>
                <w:rFonts w:ascii="Times New Roman" w:hAnsi="Times New Roman" w:cs="Times New Roman" w:eastAsia="Times New Roman"/>
                <w:b w:val="0"/>
                <w:i w:val="0"/>
                <w:sz w:val="22"/>
              </w:rPr>
              <w:t>35 mg/kg oral NAC solution</w:t>
            </w:r>
          </w:p>
        </w:tc>
        <w:tc>
          <w:tcPr>
            <w:tcW w:type="dxa" w:w="1872"/>
          </w:tcPr>
          <w:p>
            <w:r/>
            <w:r>
              <w:rPr>
                <w:rFonts w:ascii="Times New Roman" w:hAnsi="Times New Roman" w:cs="Times New Roman" w:eastAsia="Times New Roman"/>
                <w:b w:val="0"/>
                <w:i w:val="0"/>
                <w:sz w:val="22"/>
              </w:rPr>
              <w:t>Upset stomach (2), stomach/intestinal gas (2), sleepiness (1), metallic taste (1)</w:t>
            </w:r>
          </w:p>
        </w:tc>
        <w:tc>
          <w:tcPr>
            <w:tcW w:type="dxa" w:w="1872"/>
          </w:tcPr>
          <w:p>
            <w:r/>
            <w:r>
              <w:rPr>
                <w:rFonts w:ascii="Times New Roman" w:hAnsi="Times New Roman" w:cs="Times New Roman" w:eastAsia="Times New Roman"/>
                <w:b w:val="0"/>
                <w:i w:val="0"/>
                <w:sz w:val="22"/>
              </w:rPr>
            </w:r>
          </w:p>
        </w:tc>
        <w:tc>
          <w:tcPr>
            <w:tcW w:type="dxa" w:w="1872"/>
          </w:tcPr>
          <w:p>
            <w:r/>
            <w:r>
              <w:rPr>
                <w:rFonts w:ascii="Times New Roman" w:hAnsi="Times New Roman" w:cs="Times New Roman" w:eastAsia="Times New Roman"/>
                <w:b w:val="0"/>
                <w:i w:val="0"/>
                <w:sz w:val="22"/>
              </w:rPr>
            </w:r>
          </w:p>
        </w:tc>
        <w:tc>
          <w:tcPr>
            <w:tcW w:type="dxa" w:w="1872"/>
          </w:tcPr>
          <w:p>
            <w:r/>
            <w:r>
              <w:rPr>
                <w:rFonts w:ascii="Times New Roman" w:hAnsi="Times New Roman" w:cs="Times New Roman" w:eastAsia="Times New Roman"/>
                <w:b w:val="0"/>
                <w:i w:val="0"/>
                <w:sz w:val="22"/>
              </w:rPr>
            </w:r>
          </w:p>
        </w:tc>
      </w:tr>
      <w:tr>
        <w:tc>
          <w:tcPr>
            <w:tcW w:type="dxa" w:w="1872"/>
          </w:tcPr>
          <w:p>
            <w:r/>
            <w:r>
              <w:rPr>
                <w:rFonts w:ascii="Times New Roman" w:hAnsi="Times New Roman" w:cs="Times New Roman" w:eastAsia="Times New Roman"/>
                <w:b w:val="0"/>
                <w:i w:val="0"/>
                <w:sz w:val="22"/>
              </w:rPr>
              <w:t>70 mg/kg oral NAC solution</w:t>
            </w:r>
          </w:p>
        </w:tc>
        <w:tc>
          <w:tcPr>
            <w:tcW w:type="dxa" w:w="1872"/>
          </w:tcPr>
          <w:p>
            <w:r/>
            <w:r>
              <w:rPr>
                <w:rFonts w:ascii="Times New Roman" w:hAnsi="Times New Roman" w:cs="Times New Roman" w:eastAsia="Times New Roman"/>
                <w:b w:val="0"/>
                <w:i w:val="0"/>
                <w:sz w:val="22"/>
              </w:rPr>
              <w:t>Upset stomach (2), stomach/intestinal gas (1), sleepiness (3), metallic taste (3), light-headedness (1), cough (1)</w:t>
            </w:r>
          </w:p>
        </w:tc>
        <w:tc>
          <w:tcPr>
            <w:tcW w:type="dxa" w:w="1872"/>
          </w:tcPr>
          <w:p>
            <w:r/>
            <w:r>
              <w:rPr>
                <w:rFonts w:ascii="Times New Roman" w:hAnsi="Times New Roman" w:cs="Times New Roman" w:eastAsia="Times New Roman"/>
                <w:b w:val="0"/>
                <w:i w:val="0"/>
                <w:sz w:val="22"/>
              </w:rPr>
              <w:t>Upset stomach (1),</w:t>
            </w:r>
          </w:p>
        </w:tc>
        <w:tc>
          <w:tcPr>
            <w:tcW w:type="dxa" w:w="1872"/>
          </w:tcPr>
          <w:p>
            <w:r/>
            <w:r>
              <w:rPr>
                <w:rFonts w:ascii="Times New Roman" w:hAnsi="Times New Roman" w:cs="Times New Roman" w:eastAsia="Times New Roman"/>
                <w:b w:val="0"/>
                <w:i w:val="0"/>
                <w:sz w:val="22"/>
              </w:rPr>
              <w:t>Stomach/intestinal gas (1)</w:t>
            </w:r>
          </w:p>
        </w:tc>
        <w:tc>
          <w:tcPr>
            <w:tcW w:type="dxa" w:w="1872"/>
          </w:tcPr>
          <w:p>
            <w:r/>
            <w:r>
              <w:rPr>
                <w:rFonts w:ascii="Times New Roman" w:hAnsi="Times New Roman" w:cs="Times New Roman" w:eastAsia="Times New Roman"/>
                <w:b w:val="0"/>
                <w:i w:val="0"/>
                <w:sz w:val="22"/>
              </w:rPr>
            </w:r>
          </w:p>
        </w:tc>
      </w:tr>
      <w:tr>
        <w:tc>
          <w:tcPr>
            <w:tcW w:type="dxa" w:w="1872"/>
          </w:tcPr>
          <w:p>
            <w:r/>
            <w:r>
              <w:rPr>
                <w:rFonts w:ascii="Times New Roman" w:hAnsi="Times New Roman" w:cs="Times New Roman" w:eastAsia="Times New Roman"/>
                <w:b w:val="0"/>
                <w:i w:val="0"/>
                <w:sz w:val="22"/>
              </w:rPr>
              <w:t>140 mg/kg oral NAC solution</w:t>
            </w:r>
          </w:p>
        </w:tc>
        <w:tc>
          <w:tcPr>
            <w:tcW w:type="dxa" w:w="1872"/>
          </w:tcPr>
          <w:p>
            <w:r/>
            <w:r>
              <w:rPr>
                <w:rFonts w:ascii="Times New Roman" w:hAnsi="Times New Roman" w:cs="Times New Roman" w:eastAsia="Times New Roman"/>
                <w:b w:val="0"/>
                <w:i w:val="0"/>
                <w:sz w:val="22"/>
              </w:rPr>
              <w:t>Upset stomach (5), nausea (3), stomach/intestinal gas (2), sleepiness (2), metallic taste (4), light-headedness (1)</w:t>
            </w:r>
          </w:p>
        </w:tc>
        <w:tc>
          <w:tcPr>
            <w:tcW w:type="dxa" w:w="1872"/>
          </w:tcPr>
          <w:p>
            <w:r/>
            <w:r>
              <w:rPr>
                <w:rFonts w:ascii="Times New Roman" w:hAnsi="Times New Roman" w:cs="Times New Roman" w:eastAsia="Times New Roman"/>
                <w:b w:val="0"/>
                <w:i w:val="0"/>
                <w:sz w:val="22"/>
              </w:rPr>
              <w:t>Upset stomach (1), stomach/intestinal gas (4)</w:t>
            </w:r>
          </w:p>
        </w:tc>
        <w:tc>
          <w:tcPr>
            <w:tcW w:type="dxa" w:w="1872"/>
          </w:tcPr>
          <w:p>
            <w:r/>
            <w:r>
              <w:rPr>
                <w:rFonts w:ascii="Times New Roman" w:hAnsi="Times New Roman" w:cs="Times New Roman" w:eastAsia="Times New Roman"/>
                <w:b w:val="0"/>
                <w:i w:val="0"/>
                <w:sz w:val="22"/>
              </w:rPr>
            </w:r>
          </w:p>
        </w:tc>
        <w:tc>
          <w:tcPr>
            <w:tcW w:type="dxa" w:w="1872"/>
          </w:tcPr>
          <w:p>
            <w:r/>
            <w:r>
              <w:rPr>
                <w:rFonts w:ascii="Times New Roman" w:hAnsi="Times New Roman" w:cs="Times New Roman" w:eastAsia="Times New Roman"/>
                <w:b w:val="0"/>
                <w:i w:val="0"/>
                <w:sz w:val="22"/>
              </w:rPr>
            </w:r>
          </w:p>
        </w:tc>
      </w:tr>
      <w:tr>
        <w:tc>
          <w:tcPr>
            <w:tcW w:type="dxa" w:w="1872"/>
          </w:tcPr>
          <w:p>
            <w:r/>
            <w:r>
              <w:rPr>
                <w:rFonts w:ascii="Times New Roman" w:hAnsi="Times New Roman" w:cs="Times New Roman" w:eastAsia="Times New Roman"/>
                <w:b w:val="0"/>
                <w:i w:val="0"/>
                <w:sz w:val="22"/>
              </w:rPr>
              <w:t>[ 39 ]</w:t>
            </w:r>
          </w:p>
        </w:tc>
        <w:tc>
          <w:tcPr>
            <w:tcW w:type="dxa" w:w="1872"/>
          </w:tcPr>
          <w:p>
            <w:r/>
            <w:r>
              <w:rPr>
                <w:rFonts w:ascii="Times New Roman" w:hAnsi="Times New Roman" w:cs="Times New Roman" w:eastAsia="Times New Roman"/>
                <w:b w:val="0"/>
                <w:i w:val="0"/>
                <w:sz w:val="22"/>
              </w:rPr>
              <w:t>Randomized, placebo-controlled study</w:t>
            </w:r>
          </w:p>
        </w:tc>
        <w:tc>
          <w:tcPr>
            <w:tcW w:type="dxa" w:w="1872"/>
          </w:tcPr>
          <w:p>
            <w:r/>
            <w:r>
              <w:rPr>
                <w:rFonts w:ascii="Times New Roman" w:hAnsi="Times New Roman" w:cs="Times New Roman" w:eastAsia="Times New Roman"/>
                <w:b w:val="0"/>
                <w:i w:val="0"/>
                <w:sz w:val="22"/>
              </w:rPr>
              <w:t>28 individuals (≤75 years)</w:t>
            </w:r>
          </w:p>
        </w:tc>
        <w:tc>
          <w:tcPr>
            <w:tcW w:type="dxa" w:w="1872"/>
          </w:tcPr>
          <w:p>
            <w:r/>
            <w:r>
              <w:rPr>
                <w:rFonts w:ascii="Times New Roman" w:hAnsi="Times New Roman" w:cs="Times New Roman" w:eastAsia="Times New Roman"/>
                <w:b w:val="0"/>
                <w:i w:val="0"/>
                <w:sz w:val="22"/>
              </w:rPr>
              <w:t>20 mg/min intravenous NAC for first hour, then 10 mg/min for next 23 h; total dose of 15 g over 24 h</w:t>
            </w:r>
          </w:p>
        </w:tc>
        <w:tc>
          <w:tcPr>
            <w:tcW w:type="dxa" w:w="1872"/>
          </w:tcPr>
          <w:p>
            <w:r/>
            <w:r>
              <w:rPr>
                <w:rFonts w:ascii="Times New Roman" w:hAnsi="Times New Roman" w:cs="Times New Roman" w:eastAsia="Times New Roman"/>
                <w:b w:val="0"/>
                <w:i w:val="0"/>
                <w:sz w:val="22"/>
              </w:rPr>
              <w:t>Haemorrhage (3), headache (4)</w:t>
            </w:r>
          </w:p>
        </w:tc>
      </w:tr>
      <w:tr>
        <w:tc>
          <w:tcPr>
            <w:tcW w:type="dxa" w:w="1872"/>
          </w:tcPr>
          <w:p>
            <w:r/>
            <w:r>
              <w:rPr>
                <w:rFonts w:ascii="Times New Roman" w:hAnsi="Times New Roman" w:cs="Times New Roman" w:eastAsia="Times New Roman"/>
                <w:b w:val="0"/>
                <w:i w:val="0"/>
                <w:sz w:val="22"/>
              </w:rPr>
              <w:t>[ 40 ]</w:t>
            </w:r>
          </w:p>
        </w:tc>
        <w:tc>
          <w:tcPr>
            <w:tcW w:type="dxa" w:w="1872"/>
          </w:tcPr>
          <w:p>
            <w:r/>
            <w:r>
              <w:rPr>
                <w:rFonts w:ascii="Times New Roman" w:hAnsi="Times New Roman" w:cs="Times New Roman" w:eastAsia="Times New Roman"/>
                <w:b w:val="0"/>
                <w:i w:val="0"/>
                <w:sz w:val="22"/>
              </w:rPr>
              <w:t>Randomized, placebo-controlled study</w:t>
            </w:r>
          </w:p>
        </w:tc>
        <w:tc>
          <w:tcPr>
            <w:tcW w:type="dxa" w:w="1872"/>
          </w:tcPr>
          <w:p>
            <w:r/>
            <w:r>
              <w:rPr>
                <w:rFonts w:ascii="Times New Roman" w:hAnsi="Times New Roman" w:cs="Times New Roman" w:eastAsia="Times New Roman"/>
                <w:b w:val="0"/>
                <w:i w:val="0"/>
                <w:sz w:val="22"/>
              </w:rPr>
              <w:t>4 healthy individuals (age 35 ± 3 years)</w:t>
            </w:r>
          </w:p>
        </w:tc>
        <w:tc>
          <w:tcPr>
            <w:tcW w:type="dxa" w:w="1872"/>
          </w:tcPr>
          <w:p>
            <w:r/>
            <w:r>
              <w:rPr>
                <w:rFonts w:ascii="Times New Roman" w:hAnsi="Times New Roman" w:cs="Times New Roman" w:eastAsia="Times New Roman"/>
                <w:b w:val="0"/>
                <w:i w:val="0"/>
                <w:sz w:val="22"/>
              </w:rPr>
              <w:t>150 mg/kg intravenous</w:t>
            </w:r>
          </w:p>
        </w:tc>
        <w:tc>
          <w:tcPr>
            <w:tcW w:type="dxa" w:w="1872"/>
          </w:tcPr>
          <w:p>
            <w:r/>
            <w:r>
              <w:rPr>
                <w:rFonts w:ascii="Times New Roman" w:hAnsi="Times New Roman" w:cs="Times New Roman" w:eastAsia="Times New Roman"/>
                <w:b w:val="0"/>
                <w:i w:val="0"/>
                <w:sz w:val="22"/>
              </w:rPr>
              <w:t>Transient skin flushing (2), pruritus (2), nausea (2)</w:t>
            </w:r>
          </w:p>
        </w:tc>
      </w:tr>
      <w:tr>
        <w:tc>
          <w:tcPr>
            <w:tcW w:type="dxa" w:w="1872"/>
          </w:tcPr>
          <w:p>
            <w:r/>
            <w:r>
              <w:rPr>
                <w:rFonts w:ascii="Times New Roman" w:hAnsi="Times New Roman" w:cs="Times New Roman" w:eastAsia="Times New Roman"/>
                <w:b w:val="0"/>
                <w:i w:val="0"/>
                <w:sz w:val="22"/>
              </w:rPr>
              <w:t>[ 41 ]</w:t>
            </w:r>
          </w:p>
        </w:tc>
        <w:tc>
          <w:tcPr>
            <w:tcW w:type="dxa" w:w="1872"/>
          </w:tcPr>
          <w:p>
            <w:r/>
            <w:r>
              <w:rPr>
                <w:rFonts w:ascii="Times New Roman" w:hAnsi="Times New Roman" w:cs="Times New Roman" w:eastAsia="Times New Roman"/>
                <w:b w:val="0"/>
                <w:i w:val="0"/>
                <w:sz w:val="22"/>
              </w:rPr>
              <w:t>Double-blind, randomized trial</w:t>
            </w:r>
          </w:p>
        </w:tc>
        <w:tc>
          <w:tcPr>
            <w:tcW w:type="dxa" w:w="1872"/>
          </w:tcPr>
          <w:p>
            <w:r/>
            <w:r>
              <w:rPr>
                <w:rFonts w:ascii="Times New Roman" w:hAnsi="Times New Roman" w:cs="Times New Roman" w:eastAsia="Times New Roman"/>
                <w:b w:val="0"/>
                <w:i w:val="0"/>
                <w:sz w:val="22"/>
              </w:rPr>
              <w:t>65 chronic bronchitis patients</w:t>
            </w:r>
          </w:p>
        </w:tc>
        <w:tc>
          <w:tcPr>
            <w:tcW w:type="dxa" w:w="1872"/>
          </w:tcPr>
          <w:p>
            <w:r/>
            <w:r>
              <w:rPr>
                <w:rFonts w:ascii="Times New Roman" w:hAnsi="Times New Roman" w:cs="Times New Roman" w:eastAsia="Times New Roman"/>
                <w:b w:val="0"/>
                <w:i w:val="0"/>
                <w:sz w:val="22"/>
              </w:rPr>
              <w:t>4 puffs of NAC (1 mg/puff) two times daily</w:t>
            </w:r>
          </w:p>
        </w:tc>
        <w:tc>
          <w:tcPr>
            <w:tcW w:type="dxa" w:w="1872"/>
          </w:tcPr>
          <w:p>
            <w:r/>
            <w:r>
              <w:rPr>
                <w:rFonts w:ascii="Times New Roman" w:hAnsi="Times New Roman" w:cs="Times New Roman" w:eastAsia="Times New Roman"/>
                <w:b w:val="0"/>
                <w:i w:val="0"/>
                <w:sz w:val="22"/>
              </w:rPr>
              <w:t>Coughing (4), Dyspnoea (7)</w:t>
            </w:r>
          </w:p>
        </w:tc>
      </w:tr>
    </w:tbl>
    <w:p>
      <w:pPr>
        <w:spacing w:after="80"/>
        <w:jc w:val="both"/>
      </w:pPr>
    </w:p>
    <w:p>
      <w:pPr>
        <w:keepNext/>
        <w:spacing w:before="160" w:after="40"/>
        <w:jc w:val="left"/>
      </w:pPr>
      <w:r>
        <w:rPr>
          <w:rFonts w:ascii="Times New Roman" w:hAnsi="Times New Roman" w:cs="Times New Roman" w:eastAsia="Times New Roman"/>
          <w:b/>
          <w:i w:val="0"/>
          <w:sz w:val="22"/>
        </w:rPr>
        <w:t>Reproduced verbatim from PMC10604897 Table 2 — Table 2 — N-acetylcysteine clinical studies.</w:t>
      </w:r>
    </w:p>
    <w:tbl>
      <w:tblPr>
        <w:tblStyle w:val="TableGrid"/>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560"/>
            <w:shd w:fill="DDE4EF"/>
          </w:tcPr>
          <w:p>
            <w:r/>
            <w:r>
              <w:rPr>
                <w:rFonts w:ascii="Times New Roman" w:hAnsi="Times New Roman" w:cs="Times New Roman" w:eastAsia="Times New Roman"/>
                <w:b/>
                <w:i w:val="0"/>
                <w:sz w:val="22"/>
              </w:rPr>
              <w:t>Disease</w:t>
            </w:r>
          </w:p>
        </w:tc>
        <w:tc>
          <w:tcPr>
            <w:tcW w:type="dxa" w:w="1560"/>
            <w:shd w:fill="DDE4EF"/>
          </w:tcPr>
          <w:p>
            <w:r/>
            <w:r>
              <w:rPr>
                <w:rFonts w:ascii="Times New Roman" w:hAnsi="Times New Roman" w:cs="Times New Roman" w:eastAsia="Times New Roman"/>
                <w:b/>
                <w:i w:val="0"/>
                <w:sz w:val="22"/>
              </w:rPr>
              <w:t>Study Type</w:t>
            </w:r>
          </w:p>
        </w:tc>
        <w:tc>
          <w:tcPr>
            <w:tcW w:type="dxa" w:w="1560"/>
            <w:shd w:fill="DDE4EF"/>
          </w:tcPr>
          <w:p>
            <w:r/>
            <w:r>
              <w:rPr>
                <w:rFonts w:ascii="Times New Roman" w:hAnsi="Times New Roman" w:cs="Times New Roman" w:eastAsia="Times New Roman"/>
                <w:b/>
                <w:i w:val="0"/>
                <w:sz w:val="22"/>
              </w:rPr>
              <w:t>Study Phase</w:t>
            </w:r>
          </w:p>
        </w:tc>
        <w:tc>
          <w:tcPr>
            <w:tcW w:type="dxa" w:w="1560"/>
            <w:shd w:fill="DDE4EF"/>
          </w:tcPr>
          <w:p>
            <w:r/>
            <w:r>
              <w:rPr>
                <w:rFonts w:ascii="Times New Roman" w:hAnsi="Times New Roman" w:cs="Times New Roman" w:eastAsia="Times New Roman"/>
                <w:b/>
                <w:i w:val="0"/>
                <w:sz w:val="22"/>
              </w:rPr>
              <w:t>Dose</w:t>
            </w:r>
          </w:p>
        </w:tc>
        <w:tc>
          <w:tcPr>
            <w:tcW w:type="dxa" w:w="1560"/>
            <w:shd w:fill="DDE4EF"/>
          </w:tcPr>
          <w:p>
            <w:r/>
            <w:r>
              <w:rPr>
                <w:rFonts w:ascii="Times New Roman" w:hAnsi="Times New Roman" w:cs="Times New Roman" w:eastAsia="Times New Roman"/>
                <w:b/>
                <w:i w:val="0"/>
                <w:sz w:val="22"/>
              </w:rPr>
              <w:t>Treatment Duration</w:t>
            </w:r>
          </w:p>
        </w:tc>
        <w:tc>
          <w:tcPr>
            <w:tcW w:type="dxa" w:w="1560"/>
            <w:shd w:fill="DDE4EF"/>
          </w:tcPr>
          <w:p>
            <w:r/>
            <w:r>
              <w:rPr>
                <w:rFonts w:ascii="Times New Roman" w:hAnsi="Times New Roman" w:cs="Times New Roman" w:eastAsia="Times New Roman"/>
                <w:b/>
                <w:i w:val="0"/>
                <w:sz w:val="22"/>
              </w:rPr>
              <w:t>Administration Routes</w:t>
            </w:r>
          </w:p>
        </w:tc>
      </w:tr>
      <w:tr>
        <w:tc>
          <w:tcPr>
            <w:tcW w:type="dxa" w:w="1560"/>
          </w:tcPr>
          <w:p>
            <w:r/>
            <w:r>
              <w:rPr>
                <w:rFonts w:ascii="Times New Roman" w:hAnsi="Times New Roman" w:cs="Times New Roman" w:eastAsia="Times New Roman"/>
                <w:b w:val="0"/>
                <w:i w:val="0"/>
                <w:sz w:val="22"/>
              </w:rPr>
              <w:t>Liver diseases</w:t>
            </w:r>
          </w:p>
        </w:tc>
        <w:tc>
          <w:tcPr>
            <w:tcW w:type="dxa" w:w="1560"/>
          </w:tcPr>
          <w:p>
            <w:r/>
            <w:r>
              <w:rPr>
                <w:rFonts w:ascii="Times New Roman" w:hAnsi="Times New Roman" w:cs="Times New Roman" w:eastAsia="Times New Roman"/>
                <w:b w:val="0"/>
                <w:i w:val="0"/>
                <w:sz w:val="22"/>
              </w:rPr>
            </w:r>
          </w:p>
        </w:tc>
        <w:tc>
          <w:tcPr>
            <w:tcW w:type="dxa" w:w="1560"/>
          </w:tcPr>
          <w:p>
            <w:r/>
            <w:r>
              <w:rPr>
                <w:rFonts w:ascii="Times New Roman" w:hAnsi="Times New Roman" w:cs="Times New Roman" w:eastAsia="Times New Roman"/>
                <w:b w:val="0"/>
                <w:i w:val="0"/>
                <w:sz w:val="22"/>
              </w:rPr>
            </w:r>
          </w:p>
        </w:tc>
        <w:tc>
          <w:tcPr>
            <w:tcW w:type="dxa" w:w="1560"/>
          </w:tcPr>
          <w:p>
            <w:r/>
            <w:r>
              <w:rPr>
                <w:rFonts w:ascii="Times New Roman" w:hAnsi="Times New Roman" w:cs="Times New Roman" w:eastAsia="Times New Roman"/>
                <w:b w:val="0"/>
                <w:i w:val="0"/>
                <w:sz w:val="22"/>
              </w:rPr>
            </w:r>
          </w:p>
        </w:tc>
        <w:tc>
          <w:tcPr>
            <w:tcW w:type="dxa" w:w="1560"/>
          </w:tcPr>
          <w:p>
            <w:r/>
            <w:r>
              <w:rPr>
                <w:rFonts w:ascii="Times New Roman" w:hAnsi="Times New Roman" w:cs="Times New Roman" w:eastAsia="Times New Roman"/>
                <w:b w:val="0"/>
                <w:i w:val="0"/>
                <w:sz w:val="22"/>
              </w:rPr>
            </w:r>
          </w:p>
        </w:tc>
        <w:tc>
          <w:tcPr>
            <w:tcW w:type="dxa" w:w="1560"/>
          </w:tcPr>
          <w:p>
            <w:r/>
            <w:r>
              <w:rPr>
                <w:rFonts w:ascii="Times New Roman" w:hAnsi="Times New Roman" w:cs="Times New Roman" w:eastAsia="Times New Roman"/>
                <w:b w:val="0"/>
                <w:i w:val="0"/>
                <w:sz w:val="22"/>
              </w:rPr>
            </w:r>
          </w:p>
        </w:tc>
      </w:tr>
      <w:tr>
        <w:tc>
          <w:tcPr>
            <w:tcW w:type="dxa" w:w="1560"/>
          </w:tcPr>
          <w:p>
            <w:r/>
            <w:r>
              <w:rPr>
                <w:rFonts w:ascii="Times New Roman" w:hAnsi="Times New Roman" w:cs="Times New Roman" w:eastAsia="Times New Roman"/>
                <w:b w:val="0"/>
                <w:i w:val="0"/>
                <w:sz w:val="22"/>
              </w:rPr>
              <w:t>Acute acetaminophen overdose</w:t>
            </w:r>
          </w:p>
        </w:tc>
        <w:tc>
          <w:tcPr>
            <w:tcW w:type="dxa" w:w="1560"/>
          </w:tcPr>
          <w:p>
            <w:r/>
            <w:r>
              <w:rPr>
                <w:rFonts w:ascii="Times New Roman" w:hAnsi="Times New Roman" w:cs="Times New Roman" w:eastAsia="Times New Roman"/>
                <w:b w:val="0"/>
                <w:i w:val="0"/>
                <w:sz w:val="22"/>
              </w:rPr>
              <w:t>Interventional (Clinical Trial) NCT03679442</w:t>
            </w:r>
          </w:p>
        </w:tc>
        <w:tc>
          <w:tcPr>
            <w:tcW w:type="dxa" w:w="1560"/>
          </w:tcPr>
          <w:p>
            <w:r/>
            <w:r>
              <w:rPr>
                <w:rFonts w:ascii="Times New Roman" w:hAnsi="Times New Roman" w:cs="Times New Roman" w:eastAsia="Times New Roman"/>
                <w:b w:val="0"/>
                <w:i w:val="0"/>
                <w:sz w:val="22"/>
              </w:rPr>
              <w:t>Phase 1</w:t>
            </w:r>
          </w:p>
        </w:tc>
        <w:tc>
          <w:tcPr>
            <w:tcW w:type="dxa" w:w="1560"/>
          </w:tcPr>
          <w:p>
            <w:r/>
            <w:r>
              <w:rPr>
                <w:rFonts w:ascii="Times New Roman" w:hAnsi="Times New Roman" w:cs="Times New Roman" w:eastAsia="Times New Roman"/>
                <w:b w:val="0"/>
                <w:i w:val="0"/>
                <w:sz w:val="22"/>
              </w:rPr>
              <w:t>Dose corresponding to the clinical treatment guidelines for acetaminophen overdosed patients</w:t>
            </w:r>
          </w:p>
        </w:tc>
        <w:tc>
          <w:tcPr>
            <w:tcW w:type="dxa" w:w="1560"/>
          </w:tcPr>
          <w:p>
            <w:r/>
            <w:r>
              <w:rPr>
                <w:rFonts w:ascii="Times New Roman" w:hAnsi="Times New Roman" w:cs="Times New Roman" w:eastAsia="Times New Roman"/>
                <w:b w:val="0"/>
                <w:i w:val="0"/>
                <w:sz w:val="22"/>
              </w:rPr>
              <w:t>16 h</w:t>
            </w:r>
          </w:p>
        </w:tc>
        <w:tc>
          <w:tcPr>
            <w:tcW w:type="dxa" w:w="1560"/>
          </w:tcPr>
          <w:p>
            <w:r/>
            <w:r>
              <w:rPr>
                <w:rFonts w:ascii="Times New Roman" w:hAnsi="Times New Roman" w:cs="Times New Roman" w:eastAsia="Times New Roman"/>
                <w:b w:val="0"/>
                <w:i w:val="0"/>
                <w:sz w:val="22"/>
              </w:rPr>
              <w:t>Intravenous</w:t>
            </w:r>
          </w:p>
        </w:tc>
      </w:tr>
      <w:tr>
        <w:tc>
          <w:tcPr>
            <w:tcW w:type="dxa" w:w="1560"/>
          </w:tcPr>
          <w:p>
            <w:r/>
            <w:r>
              <w:rPr>
                <w:rFonts w:ascii="Times New Roman" w:hAnsi="Times New Roman" w:cs="Times New Roman" w:eastAsia="Times New Roman"/>
                <w:b w:val="0"/>
                <w:i w:val="0"/>
                <w:sz w:val="22"/>
              </w:rPr>
              <w:t>Non-alcoholic fatty liver disease</w:t>
            </w:r>
          </w:p>
        </w:tc>
        <w:tc>
          <w:tcPr>
            <w:tcW w:type="dxa" w:w="1560"/>
          </w:tcPr>
          <w:p>
            <w:r/>
            <w:r>
              <w:rPr>
                <w:rFonts w:ascii="Times New Roman" w:hAnsi="Times New Roman" w:cs="Times New Roman" w:eastAsia="Times New Roman"/>
                <w:b w:val="0"/>
                <w:i w:val="0"/>
                <w:sz w:val="22"/>
              </w:rPr>
              <w:t>Interventional (Clinical Trial) NCT02117700</w:t>
            </w:r>
          </w:p>
        </w:tc>
        <w:tc>
          <w:tcPr>
            <w:tcW w:type="dxa" w:w="1560"/>
          </w:tcPr>
          <w:p>
            <w:r/>
            <w:r>
              <w:rPr>
                <w:rFonts w:ascii="Times New Roman" w:hAnsi="Times New Roman" w:cs="Times New Roman" w:eastAsia="Times New Roman"/>
                <w:b w:val="0"/>
                <w:i w:val="0"/>
                <w:sz w:val="22"/>
              </w:rPr>
              <w:t>Phase 2</w:t>
            </w:r>
          </w:p>
        </w:tc>
        <w:tc>
          <w:tcPr>
            <w:tcW w:type="dxa" w:w="1560"/>
          </w:tcPr>
          <w:p>
            <w:r/>
            <w:r>
              <w:rPr>
                <w:rFonts w:ascii="Times New Roman" w:hAnsi="Times New Roman" w:cs="Times New Roman" w:eastAsia="Times New Roman"/>
                <w:b w:val="0"/>
                <w:i w:val="0"/>
                <w:sz w:val="22"/>
              </w:rPr>
              <w:t>600 mg twice/ day</w:t>
            </w:r>
          </w:p>
        </w:tc>
        <w:tc>
          <w:tcPr>
            <w:tcW w:type="dxa" w:w="1560"/>
          </w:tcPr>
          <w:p>
            <w:r/>
            <w:r>
              <w:rPr>
                <w:rFonts w:ascii="Times New Roman" w:hAnsi="Times New Roman" w:cs="Times New Roman" w:eastAsia="Times New Roman"/>
                <w:b w:val="0"/>
                <w:i w:val="0"/>
                <w:sz w:val="22"/>
              </w:rPr>
              <w:t>16 weeks</w:t>
            </w:r>
          </w:p>
        </w:tc>
        <w:tc>
          <w:tcPr>
            <w:tcW w:type="dxa" w:w="1560"/>
          </w:tcPr>
          <w:p>
            <w:r/>
            <w:r>
              <w:rPr>
                <w:rFonts w:ascii="Times New Roman" w:hAnsi="Times New Roman" w:cs="Times New Roman" w:eastAsia="Times New Roman"/>
                <w:b w:val="0"/>
                <w:i w:val="0"/>
                <w:sz w:val="22"/>
              </w:rPr>
              <w:t>Oral</w:t>
            </w:r>
          </w:p>
        </w:tc>
      </w:tr>
      <w:tr>
        <w:tc>
          <w:tcPr>
            <w:tcW w:type="dxa" w:w="1560"/>
          </w:tcPr>
          <w:p>
            <w:r/>
            <w:r>
              <w:rPr>
                <w:rFonts w:ascii="Times New Roman" w:hAnsi="Times New Roman" w:cs="Times New Roman" w:eastAsia="Times New Roman"/>
                <w:b w:val="0"/>
                <w:i w:val="0"/>
                <w:sz w:val="22"/>
              </w:rPr>
              <w:t>Pulmonary diseases</w:t>
            </w:r>
          </w:p>
        </w:tc>
        <w:tc>
          <w:tcPr>
            <w:tcW w:type="dxa" w:w="1560"/>
          </w:tcPr>
          <w:p>
            <w:r/>
            <w:r>
              <w:rPr>
                <w:rFonts w:ascii="Times New Roman" w:hAnsi="Times New Roman" w:cs="Times New Roman" w:eastAsia="Times New Roman"/>
                <w:b w:val="0"/>
                <w:i w:val="0"/>
                <w:sz w:val="22"/>
              </w:rPr>
            </w:r>
          </w:p>
        </w:tc>
        <w:tc>
          <w:tcPr>
            <w:tcW w:type="dxa" w:w="1560"/>
          </w:tcPr>
          <w:p>
            <w:r/>
            <w:r>
              <w:rPr>
                <w:rFonts w:ascii="Times New Roman" w:hAnsi="Times New Roman" w:cs="Times New Roman" w:eastAsia="Times New Roman"/>
                <w:b w:val="0"/>
                <w:i w:val="0"/>
                <w:sz w:val="22"/>
              </w:rPr>
            </w:r>
          </w:p>
        </w:tc>
        <w:tc>
          <w:tcPr>
            <w:tcW w:type="dxa" w:w="1560"/>
          </w:tcPr>
          <w:p>
            <w:r/>
            <w:r>
              <w:rPr>
                <w:rFonts w:ascii="Times New Roman" w:hAnsi="Times New Roman" w:cs="Times New Roman" w:eastAsia="Times New Roman"/>
                <w:b w:val="0"/>
                <w:i w:val="0"/>
                <w:sz w:val="22"/>
              </w:rPr>
            </w:r>
          </w:p>
        </w:tc>
        <w:tc>
          <w:tcPr>
            <w:tcW w:type="dxa" w:w="1560"/>
          </w:tcPr>
          <w:p>
            <w:r/>
            <w:r>
              <w:rPr>
                <w:rFonts w:ascii="Times New Roman" w:hAnsi="Times New Roman" w:cs="Times New Roman" w:eastAsia="Times New Roman"/>
                <w:b w:val="0"/>
                <w:i w:val="0"/>
                <w:sz w:val="22"/>
              </w:rPr>
            </w:r>
          </w:p>
        </w:tc>
        <w:tc>
          <w:tcPr>
            <w:tcW w:type="dxa" w:w="1560"/>
          </w:tcPr>
          <w:p>
            <w:r/>
            <w:r>
              <w:rPr>
                <w:rFonts w:ascii="Times New Roman" w:hAnsi="Times New Roman" w:cs="Times New Roman" w:eastAsia="Times New Roman"/>
                <w:b w:val="0"/>
                <w:i w:val="0"/>
                <w:sz w:val="22"/>
              </w:rPr>
            </w:r>
          </w:p>
        </w:tc>
      </w:tr>
      <w:tr>
        <w:tc>
          <w:tcPr>
            <w:tcW w:type="dxa" w:w="1560"/>
          </w:tcPr>
          <w:p>
            <w:r/>
            <w:r>
              <w:rPr>
                <w:rFonts w:ascii="Times New Roman" w:hAnsi="Times New Roman" w:cs="Times New Roman" w:eastAsia="Times New Roman"/>
                <w:b w:val="0"/>
                <w:i w:val="0"/>
                <w:sz w:val="22"/>
              </w:rPr>
              <w:t>Cystic fibrosis</w:t>
            </w:r>
          </w:p>
        </w:tc>
        <w:tc>
          <w:tcPr>
            <w:tcW w:type="dxa" w:w="1560"/>
          </w:tcPr>
          <w:p>
            <w:r/>
            <w:r>
              <w:rPr>
                <w:rFonts w:ascii="Times New Roman" w:hAnsi="Times New Roman" w:cs="Times New Roman" w:eastAsia="Times New Roman"/>
                <w:b w:val="0"/>
                <w:i w:val="0"/>
                <w:sz w:val="22"/>
              </w:rPr>
              <w:t>Interventional (Clinical Trial) NCT00809094</w:t>
            </w:r>
          </w:p>
        </w:tc>
        <w:tc>
          <w:tcPr>
            <w:tcW w:type="dxa" w:w="1560"/>
          </w:tcPr>
          <w:p>
            <w:r/>
            <w:r>
              <w:rPr>
                <w:rFonts w:ascii="Times New Roman" w:hAnsi="Times New Roman" w:cs="Times New Roman" w:eastAsia="Times New Roman"/>
                <w:b w:val="0"/>
                <w:i w:val="0"/>
                <w:sz w:val="22"/>
              </w:rPr>
              <w:t>Phase 2</w:t>
            </w:r>
          </w:p>
        </w:tc>
        <w:tc>
          <w:tcPr>
            <w:tcW w:type="dxa" w:w="1560"/>
          </w:tcPr>
          <w:p>
            <w:r/>
            <w:r>
              <w:rPr>
                <w:rFonts w:ascii="Times New Roman" w:hAnsi="Times New Roman" w:cs="Times New Roman" w:eastAsia="Times New Roman"/>
                <w:b w:val="0"/>
                <w:i w:val="0"/>
                <w:sz w:val="22"/>
              </w:rPr>
              <w:t>900 mg twice/day</w:t>
            </w:r>
          </w:p>
        </w:tc>
        <w:tc>
          <w:tcPr>
            <w:tcW w:type="dxa" w:w="1560"/>
          </w:tcPr>
          <w:p>
            <w:r/>
            <w:r>
              <w:rPr>
                <w:rFonts w:ascii="Times New Roman" w:hAnsi="Times New Roman" w:cs="Times New Roman" w:eastAsia="Times New Roman"/>
                <w:b w:val="0"/>
                <w:i w:val="0"/>
                <w:sz w:val="22"/>
              </w:rPr>
              <w:t>24 weeks</w:t>
            </w:r>
          </w:p>
        </w:tc>
        <w:tc>
          <w:tcPr>
            <w:tcW w:type="dxa" w:w="1560"/>
          </w:tcPr>
          <w:p>
            <w:r/>
            <w:r>
              <w:rPr>
                <w:rFonts w:ascii="Times New Roman" w:hAnsi="Times New Roman" w:cs="Times New Roman" w:eastAsia="Times New Roman"/>
                <w:b w:val="0"/>
                <w:i w:val="0"/>
                <w:sz w:val="22"/>
              </w:rPr>
              <w:t>Oral</w:t>
            </w:r>
          </w:p>
        </w:tc>
      </w:tr>
      <w:tr>
        <w:tc>
          <w:tcPr>
            <w:tcW w:type="dxa" w:w="1560"/>
          </w:tcPr>
          <w:p>
            <w:r/>
            <w:r>
              <w:rPr>
                <w:rFonts w:ascii="Times New Roman" w:hAnsi="Times New Roman" w:cs="Times New Roman" w:eastAsia="Times New Roman"/>
                <w:b w:val="0"/>
                <w:i w:val="0"/>
                <w:sz w:val="22"/>
              </w:rPr>
              <w:t>Chronic Obstructive Pulmonary Disease</w:t>
            </w:r>
          </w:p>
        </w:tc>
        <w:tc>
          <w:tcPr>
            <w:tcW w:type="dxa" w:w="1560"/>
          </w:tcPr>
          <w:p>
            <w:r/>
            <w:r>
              <w:rPr>
                <w:rFonts w:ascii="Times New Roman" w:hAnsi="Times New Roman" w:cs="Times New Roman" w:eastAsia="Times New Roman"/>
                <w:b w:val="0"/>
                <w:i w:val="0"/>
                <w:sz w:val="22"/>
              </w:rPr>
              <w:t>Interventional (Clinical Trial) NCT01136239</w:t>
            </w:r>
          </w:p>
        </w:tc>
        <w:tc>
          <w:tcPr>
            <w:tcW w:type="dxa" w:w="1560"/>
          </w:tcPr>
          <w:p>
            <w:r/>
            <w:r>
              <w:rPr>
                <w:rFonts w:ascii="Times New Roman" w:hAnsi="Times New Roman" w:cs="Times New Roman" w:eastAsia="Times New Roman"/>
                <w:b w:val="0"/>
                <w:i w:val="0"/>
                <w:sz w:val="22"/>
              </w:rPr>
              <w:t>Phase 4</w:t>
            </w:r>
          </w:p>
        </w:tc>
        <w:tc>
          <w:tcPr>
            <w:tcW w:type="dxa" w:w="1560"/>
          </w:tcPr>
          <w:p>
            <w:r/>
            <w:r>
              <w:rPr>
                <w:rFonts w:ascii="Times New Roman" w:hAnsi="Times New Roman" w:cs="Times New Roman" w:eastAsia="Times New Roman"/>
                <w:b w:val="0"/>
                <w:i w:val="0"/>
                <w:sz w:val="22"/>
              </w:rPr>
              <w:t>600 mg twice/ day</w:t>
            </w:r>
          </w:p>
        </w:tc>
        <w:tc>
          <w:tcPr>
            <w:tcW w:type="dxa" w:w="1560"/>
          </w:tcPr>
          <w:p>
            <w:r/>
            <w:r>
              <w:rPr>
                <w:rFonts w:ascii="Times New Roman" w:hAnsi="Times New Roman" w:cs="Times New Roman" w:eastAsia="Times New Roman"/>
                <w:b w:val="0"/>
                <w:i w:val="0"/>
                <w:sz w:val="22"/>
              </w:rPr>
              <w:t>One year</w:t>
            </w:r>
          </w:p>
        </w:tc>
        <w:tc>
          <w:tcPr>
            <w:tcW w:type="dxa" w:w="1560"/>
          </w:tcPr>
          <w:p>
            <w:r/>
            <w:r>
              <w:rPr>
                <w:rFonts w:ascii="Times New Roman" w:hAnsi="Times New Roman" w:cs="Times New Roman" w:eastAsia="Times New Roman"/>
                <w:b w:val="0"/>
                <w:i w:val="0"/>
                <w:sz w:val="22"/>
              </w:rPr>
              <w:t>Oral</w:t>
            </w:r>
          </w:p>
        </w:tc>
      </w:tr>
      <w:tr>
        <w:tc>
          <w:tcPr>
            <w:tcW w:type="dxa" w:w="1560"/>
          </w:tcPr>
          <w:p>
            <w:r/>
            <w:r>
              <w:rPr>
                <w:rFonts w:ascii="Times New Roman" w:hAnsi="Times New Roman" w:cs="Times New Roman" w:eastAsia="Times New Roman"/>
                <w:b w:val="0"/>
                <w:i w:val="0"/>
                <w:sz w:val="22"/>
              </w:rPr>
              <w:t>Interventional (Clinical Trial) NCT00969904</w:t>
            </w:r>
          </w:p>
        </w:tc>
        <w:tc>
          <w:tcPr>
            <w:tcW w:type="dxa" w:w="1560"/>
          </w:tcPr>
          <w:p>
            <w:r/>
            <w:r>
              <w:rPr>
                <w:rFonts w:ascii="Times New Roman" w:hAnsi="Times New Roman" w:cs="Times New Roman" w:eastAsia="Times New Roman"/>
                <w:b w:val="0"/>
                <w:i w:val="0"/>
                <w:sz w:val="22"/>
              </w:rPr>
              <w:t>Phase 4</w:t>
            </w:r>
          </w:p>
        </w:tc>
        <w:tc>
          <w:tcPr>
            <w:tcW w:type="dxa" w:w="1560"/>
          </w:tcPr>
          <w:p>
            <w:r/>
            <w:r>
              <w:rPr>
                <w:rFonts w:ascii="Times New Roman" w:hAnsi="Times New Roman" w:cs="Times New Roman" w:eastAsia="Times New Roman"/>
                <w:b w:val="0"/>
                <w:i w:val="0"/>
                <w:sz w:val="22"/>
              </w:rPr>
              <w:t>600 mg twice/ day</w:t>
            </w:r>
          </w:p>
        </w:tc>
        <w:tc>
          <w:tcPr>
            <w:tcW w:type="dxa" w:w="1560"/>
          </w:tcPr>
          <w:p>
            <w:r/>
            <w:r>
              <w:rPr>
                <w:rFonts w:ascii="Times New Roman" w:hAnsi="Times New Roman" w:cs="Times New Roman" w:eastAsia="Times New Roman"/>
                <w:b w:val="0"/>
                <w:i w:val="0"/>
                <w:sz w:val="22"/>
              </w:rPr>
              <w:t>12 weeks</w:t>
            </w:r>
          </w:p>
        </w:tc>
        <w:tc>
          <w:tcPr>
            <w:tcW w:type="dxa" w:w="1560"/>
          </w:tcPr>
          <w:p>
            <w:r/>
            <w:r>
              <w:rPr>
                <w:rFonts w:ascii="Times New Roman" w:hAnsi="Times New Roman" w:cs="Times New Roman" w:eastAsia="Times New Roman"/>
                <w:b w:val="0"/>
                <w:i w:val="0"/>
                <w:sz w:val="22"/>
              </w:rPr>
              <w:t>Oral</w:t>
            </w:r>
          </w:p>
        </w:tc>
        <w:tc>
          <w:tcPr>
            <w:tcW w:type="dxa" w:w="1560"/>
          </w:tcPr>
          <w:p>
            <w:r/>
            <w:r>
              <w:rPr>
                <w:rFonts w:ascii="Times New Roman" w:hAnsi="Times New Roman" w:cs="Times New Roman" w:eastAsia="Times New Roman"/>
                <w:b w:val="0"/>
                <w:i w:val="0"/>
                <w:sz w:val="22"/>
              </w:rPr>
            </w:r>
          </w:p>
        </w:tc>
      </w:tr>
      <w:tr>
        <w:tc>
          <w:tcPr>
            <w:tcW w:type="dxa" w:w="1560"/>
          </w:tcPr>
          <w:p>
            <w:r/>
            <w:r>
              <w:rPr>
                <w:rFonts w:ascii="Times New Roman" w:hAnsi="Times New Roman" w:cs="Times New Roman" w:eastAsia="Times New Roman"/>
                <w:b w:val="0"/>
                <w:i w:val="0"/>
                <w:sz w:val="22"/>
              </w:rPr>
              <w:t>Interventional (Clinical Trial) NCT03388853</w:t>
            </w:r>
          </w:p>
        </w:tc>
        <w:tc>
          <w:tcPr>
            <w:tcW w:type="dxa" w:w="1560"/>
          </w:tcPr>
          <w:p>
            <w:r/>
            <w:r>
              <w:rPr>
                <w:rFonts w:ascii="Times New Roman" w:hAnsi="Times New Roman" w:cs="Times New Roman" w:eastAsia="Times New Roman"/>
                <w:b w:val="0"/>
                <w:i w:val="0"/>
                <w:sz w:val="22"/>
              </w:rPr>
              <w:t>Phase 4</w:t>
            </w:r>
          </w:p>
        </w:tc>
        <w:tc>
          <w:tcPr>
            <w:tcW w:type="dxa" w:w="1560"/>
          </w:tcPr>
          <w:p>
            <w:r/>
            <w:r>
              <w:rPr>
                <w:rFonts w:ascii="Times New Roman" w:hAnsi="Times New Roman" w:cs="Times New Roman" w:eastAsia="Times New Roman"/>
                <w:b w:val="0"/>
                <w:i w:val="0"/>
                <w:sz w:val="22"/>
              </w:rPr>
              <w:t>1200 mg once daily</w:t>
            </w:r>
          </w:p>
        </w:tc>
        <w:tc>
          <w:tcPr>
            <w:tcW w:type="dxa" w:w="1560"/>
          </w:tcPr>
          <w:p>
            <w:r/>
            <w:r>
              <w:rPr>
                <w:rFonts w:ascii="Times New Roman" w:hAnsi="Times New Roman" w:cs="Times New Roman" w:eastAsia="Times New Roman"/>
                <w:b w:val="0"/>
                <w:i w:val="0"/>
                <w:sz w:val="22"/>
              </w:rPr>
              <w:t>4 weeks</w:t>
            </w:r>
          </w:p>
        </w:tc>
        <w:tc>
          <w:tcPr>
            <w:tcW w:type="dxa" w:w="1560"/>
          </w:tcPr>
          <w:p>
            <w:r/>
            <w:r>
              <w:rPr>
                <w:rFonts w:ascii="Times New Roman" w:hAnsi="Times New Roman" w:cs="Times New Roman" w:eastAsia="Times New Roman"/>
                <w:b w:val="0"/>
                <w:i w:val="0"/>
                <w:sz w:val="22"/>
              </w:rPr>
              <w:t>Oral</w:t>
            </w:r>
          </w:p>
        </w:tc>
        <w:tc>
          <w:tcPr>
            <w:tcW w:type="dxa" w:w="1560"/>
          </w:tcPr>
          <w:p>
            <w:r/>
            <w:r>
              <w:rPr>
                <w:rFonts w:ascii="Times New Roman" w:hAnsi="Times New Roman" w:cs="Times New Roman" w:eastAsia="Times New Roman"/>
                <w:b w:val="0"/>
                <w:i w:val="0"/>
                <w:sz w:val="22"/>
              </w:rPr>
            </w:r>
          </w:p>
        </w:tc>
      </w:tr>
      <w:tr>
        <w:tc>
          <w:tcPr>
            <w:tcW w:type="dxa" w:w="1560"/>
          </w:tcPr>
          <w:p>
            <w:r/>
            <w:r>
              <w:rPr>
                <w:rFonts w:ascii="Times New Roman" w:hAnsi="Times New Roman" w:cs="Times New Roman" w:eastAsia="Times New Roman"/>
                <w:b w:val="0"/>
                <w:i w:val="0"/>
                <w:sz w:val="22"/>
              </w:rPr>
              <w:t>Interventional (Clinical Trial) NCT02579772</w:t>
            </w:r>
          </w:p>
        </w:tc>
        <w:tc>
          <w:tcPr>
            <w:tcW w:type="dxa" w:w="1560"/>
          </w:tcPr>
          <w:p>
            <w:r/>
            <w:r>
              <w:rPr>
                <w:rFonts w:ascii="Times New Roman" w:hAnsi="Times New Roman" w:cs="Times New Roman" w:eastAsia="Times New Roman"/>
                <w:b w:val="0"/>
                <w:i w:val="0"/>
                <w:sz w:val="22"/>
              </w:rPr>
              <w:t>Phase 4</w:t>
            </w:r>
          </w:p>
        </w:tc>
        <w:tc>
          <w:tcPr>
            <w:tcW w:type="dxa" w:w="1560"/>
          </w:tcPr>
          <w:p>
            <w:r/>
            <w:r>
              <w:rPr>
                <w:rFonts w:ascii="Times New Roman" w:hAnsi="Times New Roman" w:cs="Times New Roman" w:eastAsia="Times New Roman"/>
                <w:b w:val="0"/>
                <w:i w:val="0"/>
                <w:sz w:val="22"/>
              </w:rPr>
              <w:t>600 mg three times/ day for 4 days prior to experimental procedures and 600 mg on the day of the experiment</w:t>
            </w:r>
          </w:p>
        </w:tc>
        <w:tc>
          <w:tcPr>
            <w:tcW w:type="dxa" w:w="1560"/>
          </w:tcPr>
          <w:p>
            <w:r/>
            <w:r>
              <w:rPr>
                <w:rFonts w:ascii="Times New Roman" w:hAnsi="Times New Roman" w:cs="Times New Roman" w:eastAsia="Times New Roman"/>
                <w:b w:val="0"/>
                <w:i w:val="0"/>
                <w:sz w:val="22"/>
              </w:rPr>
              <w:t>4 days</w:t>
            </w:r>
          </w:p>
        </w:tc>
        <w:tc>
          <w:tcPr>
            <w:tcW w:type="dxa" w:w="1560"/>
          </w:tcPr>
          <w:p>
            <w:r/>
            <w:r>
              <w:rPr>
                <w:rFonts w:ascii="Times New Roman" w:hAnsi="Times New Roman" w:cs="Times New Roman" w:eastAsia="Times New Roman"/>
                <w:b w:val="0"/>
                <w:i w:val="0"/>
                <w:sz w:val="22"/>
              </w:rPr>
              <w:t>Oral</w:t>
            </w:r>
          </w:p>
        </w:tc>
        <w:tc>
          <w:tcPr>
            <w:tcW w:type="dxa" w:w="1560"/>
          </w:tcPr>
          <w:p>
            <w:r/>
            <w:r>
              <w:rPr>
                <w:rFonts w:ascii="Times New Roman" w:hAnsi="Times New Roman" w:cs="Times New Roman" w:eastAsia="Times New Roman"/>
                <w:b w:val="0"/>
                <w:i w:val="0"/>
                <w:sz w:val="22"/>
              </w:rPr>
            </w:r>
          </w:p>
        </w:tc>
      </w:tr>
      <w:tr>
        <w:tc>
          <w:tcPr>
            <w:tcW w:type="dxa" w:w="1560"/>
          </w:tcPr>
          <w:p>
            <w:r/>
            <w:r>
              <w:rPr>
                <w:rFonts w:ascii="Times New Roman" w:hAnsi="Times New Roman" w:cs="Times New Roman" w:eastAsia="Times New Roman"/>
                <w:b w:val="0"/>
                <w:i w:val="0"/>
                <w:sz w:val="22"/>
              </w:rPr>
              <w:t>Interventional (Clinical Trial) NCT00184977</w:t>
            </w:r>
          </w:p>
        </w:tc>
        <w:tc>
          <w:tcPr>
            <w:tcW w:type="dxa" w:w="1560"/>
          </w:tcPr>
          <w:p>
            <w:r/>
            <w:r>
              <w:rPr>
                <w:rFonts w:ascii="Times New Roman" w:hAnsi="Times New Roman" w:cs="Times New Roman" w:eastAsia="Times New Roman"/>
                <w:b w:val="0"/>
                <w:i w:val="0"/>
                <w:sz w:val="22"/>
              </w:rPr>
              <w:t>Phase 4</w:t>
            </w:r>
          </w:p>
        </w:tc>
        <w:tc>
          <w:tcPr>
            <w:tcW w:type="dxa" w:w="1560"/>
          </w:tcPr>
          <w:p>
            <w:r/>
            <w:r>
              <w:rPr>
                <w:rFonts w:ascii="Times New Roman" w:hAnsi="Times New Roman" w:cs="Times New Roman" w:eastAsia="Times New Roman"/>
                <w:b w:val="0"/>
                <w:i w:val="0"/>
                <w:sz w:val="22"/>
              </w:rPr>
              <w:t>600 mg once daily</w:t>
            </w:r>
          </w:p>
        </w:tc>
        <w:tc>
          <w:tcPr>
            <w:tcW w:type="dxa" w:w="1560"/>
          </w:tcPr>
          <w:p>
            <w:r/>
            <w:r>
              <w:rPr>
                <w:rFonts w:ascii="Times New Roman" w:hAnsi="Times New Roman" w:cs="Times New Roman" w:eastAsia="Times New Roman"/>
                <w:b w:val="0"/>
                <w:i w:val="0"/>
                <w:sz w:val="22"/>
              </w:rPr>
              <w:t>3 years</w:t>
            </w:r>
          </w:p>
        </w:tc>
        <w:tc>
          <w:tcPr>
            <w:tcW w:type="dxa" w:w="1560"/>
          </w:tcPr>
          <w:p>
            <w:r/>
            <w:r>
              <w:rPr>
                <w:rFonts w:ascii="Times New Roman" w:hAnsi="Times New Roman" w:cs="Times New Roman" w:eastAsia="Times New Roman"/>
                <w:b w:val="0"/>
                <w:i w:val="0"/>
                <w:sz w:val="22"/>
              </w:rPr>
              <w:t>Oral</w:t>
            </w:r>
          </w:p>
        </w:tc>
        <w:tc>
          <w:tcPr>
            <w:tcW w:type="dxa" w:w="1560"/>
          </w:tcPr>
          <w:p>
            <w:r/>
            <w:r>
              <w:rPr>
                <w:rFonts w:ascii="Times New Roman" w:hAnsi="Times New Roman" w:cs="Times New Roman" w:eastAsia="Times New Roman"/>
                <w:b w:val="0"/>
                <w:i w:val="0"/>
                <w:sz w:val="22"/>
              </w:rPr>
            </w:r>
          </w:p>
        </w:tc>
      </w:tr>
      <w:tr>
        <w:tc>
          <w:tcPr>
            <w:tcW w:type="dxa" w:w="1560"/>
          </w:tcPr>
          <w:p>
            <w:r/>
            <w:r>
              <w:rPr>
                <w:rFonts w:ascii="Times New Roman" w:hAnsi="Times New Roman" w:cs="Times New Roman" w:eastAsia="Times New Roman"/>
                <w:b w:val="0"/>
                <w:i w:val="0"/>
                <w:sz w:val="22"/>
              </w:rPr>
              <w:t>Infectious Diseases</w:t>
            </w:r>
          </w:p>
        </w:tc>
        <w:tc>
          <w:tcPr>
            <w:tcW w:type="dxa" w:w="1560"/>
          </w:tcPr>
          <w:p>
            <w:r/>
            <w:r>
              <w:rPr>
                <w:rFonts w:ascii="Times New Roman" w:hAnsi="Times New Roman" w:cs="Times New Roman" w:eastAsia="Times New Roman"/>
                <w:b w:val="0"/>
                <w:i w:val="0"/>
                <w:sz w:val="22"/>
              </w:rPr>
            </w:r>
          </w:p>
        </w:tc>
        <w:tc>
          <w:tcPr>
            <w:tcW w:type="dxa" w:w="1560"/>
          </w:tcPr>
          <w:p>
            <w:r/>
            <w:r>
              <w:rPr>
                <w:rFonts w:ascii="Times New Roman" w:hAnsi="Times New Roman" w:cs="Times New Roman" w:eastAsia="Times New Roman"/>
                <w:b w:val="0"/>
                <w:i w:val="0"/>
                <w:sz w:val="22"/>
              </w:rPr>
            </w:r>
          </w:p>
        </w:tc>
        <w:tc>
          <w:tcPr>
            <w:tcW w:type="dxa" w:w="1560"/>
          </w:tcPr>
          <w:p>
            <w:r/>
            <w:r>
              <w:rPr>
                <w:rFonts w:ascii="Times New Roman" w:hAnsi="Times New Roman" w:cs="Times New Roman" w:eastAsia="Times New Roman"/>
                <w:b w:val="0"/>
                <w:i w:val="0"/>
                <w:sz w:val="22"/>
              </w:rPr>
            </w:r>
          </w:p>
        </w:tc>
        <w:tc>
          <w:tcPr>
            <w:tcW w:type="dxa" w:w="1560"/>
          </w:tcPr>
          <w:p>
            <w:r/>
            <w:r>
              <w:rPr>
                <w:rFonts w:ascii="Times New Roman" w:hAnsi="Times New Roman" w:cs="Times New Roman" w:eastAsia="Times New Roman"/>
                <w:b w:val="0"/>
                <w:i w:val="0"/>
                <w:sz w:val="22"/>
              </w:rPr>
            </w:r>
          </w:p>
        </w:tc>
        <w:tc>
          <w:tcPr>
            <w:tcW w:type="dxa" w:w="1560"/>
          </w:tcPr>
          <w:p>
            <w:r/>
            <w:r>
              <w:rPr>
                <w:rFonts w:ascii="Times New Roman" w:hAnsi="Times New Roman" w:cs="Times New Roman" w:eastAsia="Times New Roman"/>
                <w:b w:val="0"/>
                <w:i w:val="0"/>
                <w:sz w:val="22"/>
              </w:rPr>
            </w:r>
          </w:p>
        </w:tc>
      </w:tr>
      <w:tr>
        <w:tc>
          <w:tcPr>
            <w:tcW w:type="dxa" w:w="1560"/>
          </w:tcPr>
          <w:p>
            <w:r/>
            <w:r>
              <w:rPr>
                <w:rFonts w:ascii="Times New Roman" w:hAnsi="Times New Roman" w:cs="Times New Roman" w:eastAsia="Times New Roman"/>
                <w:b w:val="0"/>
                <w:i w:val="0"/>
                <w:sz w:val="22"/>
              </w:rPr>
              <w:t>Influenza</w:t>
            </w:r>
          </w:p>
        </w:tc>
        <w:tc>
          <w:tcPr>
            <w:tcW w:type="dxa" w:w="1560"/>
          </w:tcPr>
          <w:p>
            <w:r/>
            <w:r>
              <w:rPr>
                <w:rFonts w:ascii="Times New Roman" w:hAnsi="Times New Roman" w:cs="Times New Roman" w:eastAsia="Times New Roman"/>
                <w:b w:val="0"/>
                <w:i w:val="0"/>
                <w:sz w:val="22"/>
              </w:rPr>
              <w:t>Interventional (Clinical Trial) NCT03900988</w:t>
            </w:r>
          </w:p>
        </w:tc>
        <w:tc>
          <w:tcPr>
            <w:tcW w:type="dxa" w:w="1560"/>
          </w:tcPr>
          <w:p>
            <w:r/>
            <w:r>
              <w:rPr>
                <w:rFonts w:ascii="Times New Roman" w:hAnsi="Times New Roman" w:cs="Times New Roman" w:eastAsia="Times New Roman"/>
                <w:b w:val="0"/>
                <w:i w:val="0"/>
                <w:sz w:val="22"/>
              </w:rPr>
              <w:t>Phase 4</w:t>
            </w:r>
          </w:p>
        </w:tc>
        <w:tc>
          <w:tcPr>
            <w:tcW w:type="dxa" w:w="1560"/>
          </w:tcPr>
          <w:p>
            <w:r/>
            <w:r>
              <w:rPr>
                <w:rFonts w:ascii="Times New Roman" w:hAnsi="Times New Roman" w:cs="Times New Roman" w:eastAsia="Times New Roman"/>
                <w:b w:val="0"/>
                <w:i w:val="0"/>
                <w:sz w:val="22"/>
              </w:rPr>
              <w:t>100 mg/kg daily as a continuous IV infusion over 24 h</w:t>
            </w:r>
          </w:p>
        </w:tc>
        <w:tc>
          <w:tcPr>
            <w:tcW w:type="dxa" w:w="1560"/>
          </w:tcPr>
          <w:p>
            <w:r/>
            <w:r>
              <w:rPr>
                <w:rFonts w:ascii="Times New Roman" w:hAnsi="Times New Roman" w:cs="Times New Roman" w:eastAsia="Times New Roman"/>
                <w:b w:val="0"/>
                <w:i w:val="0"/>
                <w:sz w:val="22"/>
              </w:rPr>
              <w:t>28 days</w:t>
            </w:r>
          </w:p>
        </w:tc>
        <w:tc>
          <w:tcPr>
            <w:tcW w:type="dxa" w:w="1560"/>
          </w:tcPr>
          <w:p>
            <w:r/>
            <w:r>
              <w:rPr>
                <w:rFonts w:ascii="Times New Roman" w:hAnsi="Times New Roman" w:cs="Times New Roman" w:eastAsia="Times New Roman"/>
                <w:b w:val="0"/>
                <w:i w:val="0"/>
                <w:sz w:val="22"/>
              </w:rPr>
              <w:t>Intravenous</w:t>
            </w:r>
          </w:p>
        </w:tc>
      </w:tr>
      <w:tr>
        <w:tc>
          <w:tcPr>
            <w:tcW w:type="dxa" w:w="1560"/>
          </w:tcPr>
          <w:p>
            <w:r/>
            <w:r>
              <w:rPr>
                <w:rFonts w:ascii="Times New Roman" w:hAnsi="Times New Roman" w:cs="Times New Roman" w:eastAsia="Times New Roman"/>
                <w:b w:val="0"/>
                <w:i w:val="0"/>
                <w:sz w:val="22"/>
              </w:rPr>
              <w:t>COVID-19</w:t>
            </w:r>
          </w:p>
        </w:tc>
        <w:tc>
          <w:tcPr>
            <w:tcW w:type="dxa" w:w="1560"/>
          </w:tcPr>
          <w:p>
            <w:r/>
            <w:r>
              <w:rPr>
                <w:rFonts w:ascii="Times New Roman" w:hAnsi="Times New Roman" w:cs="Times New Roman" w:eastAsia="Times New Roman"/>
                <w:b w:val="0"/>
                <w:i w:val="0"/>
                <w:sz w:val="22"/>
              </w:rPr>
              <w:t>Interventional (Clinical Trial) NCT04374461</w:t>
            </w:r>
          </w:p>
        </w:tc>
        <w:tc>
          <w:tcPr>
            <w:tcW w:type="dxa" w:w="1560"/>
          </w:tcPr>
          <w:p>
            <w:r/>
            <w:r>
              <w:rPr>
                <w:rFonts w:ascii="Times New Roman" w:hAnsi="Times New Roman" w:cs="Times New Roman" w:eastAsia="Times New Roman"/>
                <w:b w:val="0"/>
                <w:i w:val="0"/>
                <w:sz w:val="22"/>
              </w:rPr>
              <w:t>Phase 2</w:t>
            </w:r>
          </w:p>
        </w:tc>
        <w:tc>
          <w:tcPr>
            <w:tcW w:type="dxa" w:w="1560"/>
          </w:tcPr>
          <w:p>
            <w:r/>
            <w:r>
              <w:rPr>
                <w:rFonts w:ascii="Times New Roman" w:hAnsi="Times New Roman" w:cs="Times New Roman" w:eastAsia="Times New Roman"/>
                <w:b w:val="0"/>
                <w:i w:val="0"/>
                <w:sz w:val="22"/>
              </w:rPr>
              <w:t>6 g/day</w:t>
            </w:r>
          </w:p>
        </w:tc>
        <w:tc>
          <w:tcPr>
            <w:tcW w:type="dxa" w:w="1560"/>
          </w:tcPr>
          <w:p>
            <w:r/>
            <w:r>
              <w:rPr>
                <w:rFonts w:ascii="Times New Roman" w:hAnsi="Times New Roman" w:cs="Times New Roman" w:eastAsia="Times New Roman"/>
                <w:b w:val="0"/>
                <w:i w:val="0"/>
                <w:sz w:val="22"/>
              </w:rPr>
              <w:t>Patients will receive treatment for a max of 3 weeks</w:t>
            </w:r>
          </w:p>
        </w:tc>
        <w:tc>
          <w:tcPr>
            <w:tcW w:type="dxa" w:w="1560"/>
          </w:tcPr>
          <w:p>
            <w:r/>
            <w:r>
              <w:rPr>
                <w:rFonts w:ascii="Times New Roman" w:hAnsi="Times New Roman" w:cs="Times New Roman" w:eastAsia="Times New Roman"/>
                <w:b w:val="0"/>
                <w:i w:val="0"/>
                <w:sz w:val="22"/>
              </w:rPr>
              <w:t>Intravenous</w:t>
            </w:r>
          </w:p>
        </w:tc>
      </w:tr>
      <w:tr>
        <w:tc>
          <w:tcPr>
            <w:tcW w:type="dxa" w:w="1560"/>
          </w:tcPr>
          <w:p>
            <w:r/>
            <w:r>
              <w:rPr>
                <w:rFonts w:ascii="Times New Roman" w:hAnsi="Times New Roman" w:cs="Times New Roman" w:eastAsia="Times New Roman"/>
                <w:b w:val="0"/>
                <w:i w:val="0"/>
                <w:sz w:val="22"/>
              </w:rPr>
              <w:t>Interventional (Clinical Trial) NCT04928495</w:t>
            </w:r>
          </w:p>
        </w:tc>
        <w:tc>
          <w:tcPr>
            <w:tcW w:type="dxa" w:w="1560"/>
          </w:tcPr>
          <w:p>
            <w:r/>
            <w:r>
              <w:rPr>
                <w:rFonts w:ascii="Times New Roman" w:hAnsi="Times New Roman" w:cs="Times New Roman" w:eastAsia="Times New Roman"/>
                <w:b w:val="0"/>
                <w:i w:val="0"/>
                <w:sz w:val="22"/>
              </w:rPr>
              <w:t>Phase 3</w:t>
            </w:r>
          </w:p>
        </w:tc>
        <w:tc>
          <w:tcPr>
            <w:tcW w:type="dxa" w:w="1560"/>
          </w:tcPr>
          <w:p>
            <w:r/>
            <w:r>
              <w:rPr>
                <w:rFonts w:ascii="Times New Roman" w:hAnsi="Times New Roman" w:cs="Times New Roman" w:eastAsia="Times New Roman"/>
                <w:b w:val="0"/>
                <w:i w:val="0"/>
                <w:sz w:val="22"/>
              </w:rPr>
              <w:t>1800 mg once daily</w:t>
            </w:r>
          </w:p>
        </w:tc>
        <w:tc>
          <w:tcPr>
            <w:tcW w:type="dxa" w:w="1560"/>
          </w:tcPr>
          <w:p>
            <w:r/>
            <w:r>
              <w:rPr>
                <w:rFonts w:ascii="Times New Roman" w:hAnsi="Times New Roman" w:cs="Times New Roman" w:eastAsia="Times New Roman"/>
                <w:b w:val="0"/>
                <w:i w:val="0"/>
                <w:sz w:val="22"/>
              </w:rPr>
              <w:t>10 days</w:t>
            </w:r>
          </w:p>
        </w:tc>
        <w:tc>
          <w:tcPr>
            <w:tcW w:type="dxa" w:w="1560"/>
          </w:tcPr>
          <w:p>
            <w:r/>
            <w:r>
              <w:rPr>
                <w:rFonts w:ascii="Times New Roman" w:hAnsi="Times New Roman" w:cs="Times New Roman" w:eastAsia="Times New Roman"/>
                <w:b w:val="0"/>
                <w:i w:val="0"/>
                <w:sz w:val="22"/>
              </w:rPr>
              <w:t>Oral</w:t>
            </w:r>
          </w:p>
        </w:tc>
        <w:tc>
          <w:tcPr>
            <w:tcW w:type="dxa" w:w="1560"/>
          </w:tcPr>
          <w:p>
            <w:r/>
            <w:r>
              <w:rPr>
                <w:rFonts w:ascii="Times New Roman" w:hAnsi="Times New Roman" w:cs="Times New Roman" w:eastAsia="Times New Roman"/>
                <w:b w:val="0"/>
                <w:i w:val="0"/>
                <w:sz w:val="22"/>
              </w:rPr>
            </w:r>
          </w:p>
        </w:tc>
      </w:tr>
      <w:tr>
        <w:tc>
          <w:tcPr>
            <w:tcW w:type="dxa" w:w="1560"/>
          </w:tcPr>
          <w:p>
            <w:r/>
            <w:r>
              <w:rPr>
                <w:rFonts w:ascii="Times New Roman" w:hAnsi="Times New Roman" w:cs="Times New Roman" w:eastAsia="Times New Roman"/>
                <w:b w:val="0"/>
                <w:i w:val="0"/>
                <w:sz w:val="22"/>
              </w:rPr>
              <w:t>Interventional (Clinical Trial) NCT04900129</w:t>
            </w:r>
          </w:p>
        </w:tc>
        <w:tc>
          <w:tcPr>
            <w:tcW w:type="dxa" w:w="1560"/>
          </w:tcPr>
          <w:p>
            <w:r/>
            <w:r>
              <w:rPr>
                <w:rFonts w:ascii="Times New Roman" w:hAnsi="Times New Roman" w:cs="Times New Roman" w:eastAsia="Times New Roman"/>
                <w:b w:val="0"/>
                <w:i w:val="0"/>
                <w:sz w:val="22"/>
              </w:rPr>
              <w:t>Phase 1</w:t>
            </w:r>
          </w:p>
        </w:tc>
        <w:tc>
          <w:tcPr>
            <w:tcW w:type="dxa" w:w="1560"/>
          </w:tcPr>
          <w:p>
            <w:r/>
            <w:r>
              <w:rPr>
                <w:rFonts w:ascii="Times New Roman" w:hAnsi="Times New Roman" w:cs="Times New Roman" w:eastAsia="Times New Roman"/>
                <w:b w:val="0"/>
                <w:i w:val="0"/>
                <w:sz w:val="22"/>
              </w:rPr>
              <w:t>1.2 g twice/day</w:t>
            </w:r>
          </w:p>
        </w:tc>
        <w:tc>
          <w:tcPr>
            <w:tcW w:type="dxa" w:w="1560"/>
          </w:tcPr>
          <w:p>
            <w:r/>
            <w:r>
              <w:rPr>
                <w:rFonts w:ascii="Times New Roman" w:hAnsi="Times New Roman" w:cs="Times New Roman" w:eastAsia="Times New Roman"/>
                <w:b w:val="0"/>
                <w:i w:val="0"/>
                <w:sz w:val="22"/>
              </w:rPr>
              <w:t>One month</w:t>
            </w:r>
          </w:p>
        </w:tc>
        <w:tc>
          <w:tcPr>
            <w:tcW w:type="dxa" w:w="1560"/>
          </w:tcPr>
          <w:p>
            <w:r/>
            <w:r>
              <w:rPr>
                <w:rFonts w:ascii="Times New Roman" w:hAnsi="Times New Roman" w:cs="Times New Roman" w:eastAsia="Times New Roman"/>
                <w:b w:val="0"/>
                <w:i w:val="0"/>
                <w:sz w:val="22"/>
              </w:rPr>
              <w:t>Inhalation</w:t>
            </w:r>
          </w:p>
        </w:tc>
        <w:tc>
          <w:tcPr>
            <w:tcW w:type="dxa" w:w="1560"/>
          </w:tcPr>
          <w:p>
            <w:r/>
            <w:r>
              <w:rPr>
                <w:rFonts w:ascii="Times New Roman" w:hAnsi="Times New Roman" w:cs="Times New Roman" w:eastAsia="Times New Roman"/>
                <w:b w:val="0"/>
                <w:i w:val="0"/>
                <w:sz w:val="22"/>
              </w:rPr>
            </w:r>
          </w:p>
        </w:tc>
      </w:tr>
      <w:tr>
        <w:tc>
          <w:tcPr>
            <w:tcW w:type="dxa" w:w="1560"/>
          </w:tcPr>
          <w:p>
            <w:r/>
            <w:r>
              <w:rPr>
                <w:rFonts w:ascii="Times New Roman" w:hAnsi="Times New Roman" w:cs="Times New Roman" w:eastAsia="Times New Roman"/>
                <w:b w:val="0"/>
                <w:i w:val="0"/>
                <w:sz w:val="22"/>
              </w:rPr>
              <w:t>Interventional (Clinical Trial) NCT04792021</w:t>
            </w:r>
          </w:p>
        </w:tc>
        <w:tc>
          <w:tcPr>
            <w:tcW w:type="dxa" w:w="1560"/>
          </w:tcPr>
          <w:p>
            <w:r/>
            <w:r>
              <w:rPr>
                <w:rFonts w:ascii="Times New Roman" w:hAnsi="Times New Roman" w:cs="Times New Roman" w:eastAsia="Times New Roman"/>
                <w:b w:val="0"/>
                <w:i w:val="0"/>
                <w:sz w:val="22"/>
              </w:rPr>
              <w:t>Phase 3</w:t>
            </w:r>
          </w:p>
        </w:tc>
        <w:tc>
          <w:tcPr>
            <w:tcW w:type="dxa" w:w="1560"/>
          </w:tcPr>
          <w:p>
            <w:r/>
            <w:r>
              <w:rPr>
                <w:rFonts w:ascii="Times New Roman" w:hAnsi="Times New Roman" w:cs="Times New Roman" w:eastAsia="Times New Roman"/>
                <w:b w:val="0"/>
                <w:i w:val="0"/>
                <w:sz w:val="22"/>
              </w:rPr>
              <w:t>600 mg/day</w:t>
            </w:r>
          </w:p>
        </w:tc>
        <w:tc>
          <w:tcPr>
            <w:tcW w:type="dxa" w:w="1560"/>
          </w:tcPr>
          <w:p>
            <w:r/>
            <w:r>
              <w:rPr>
                <w:rFonts w:ascii="Times New Roman" w:hAnsi="Times New Roman" w:cs="Times New Roman" w:eastAsia="Times New Roman"/>
                <w:b w:val="0"/>
                <w:i w:val="0"/>
                <w:sz w:val="22"/>
              </w:rPr>
              <w:t>Two weeks/ until hospital discharge or death</w:t>
            </w:r>
          </w:p>
        </w:tc>
        <w:tc>
          <w:tcPr>
            <w:tcW w:type="dxa" w:w="1560"/>
          </w:tcPr>
          <w:p>
            <w:r/>
            <w:r>
              <w:rPr>
                <w:rFonts w:ascii="Times New Roman" w:hAnsi="Times New Roman" w:cs="Times New Roman" w:eastAsia="Times New Roman"/>
                <w:b w:val="0"/>
                <w:i w:val="0"/>
                <w:sz w:val="22"/>
              </w:rPr>
              <w:t>Oral</w:t>
            </w:r>
          </w:p>
        </w:tc>
        <w:tc>
          <w:tcPr>
            <w:tcW w:type="dxa" w:w="1560"/>
          </w:tcPr>
          <w:p>
            <w:r/>
            <w:r>
              <w:rPr>
                <w:rFonts w:ascii="Times New Roman" w:hAnsi="Times New Roman" w:cs="Times New Roman" w:eastAsia="Times New Roman"/>
                <w:b w:val="0"/>
                <w:i w:val="0"/>
                <w:sz w:val="22"/>
              </w:rPr>
            </w:r>
          </w:p>
        </w:tc>
      </w:tr>
      <w:tr>
        <w:tc>
          <w:tcPr>
            <w:tcW w:type="dxa" w:w="1560"/>
          </w:tcPr>
          <w:p>
            <w:r/>
            <w:r>
              <w:rPr>
                <w:rFonts w:ascii="Times New Roman" w:hAnsi="Times New Roman" w:cs="Times New Roman" w:eastAsia="Times New Roman"/>
                <w:b w:val="0"/>
                <w:i w:val="0"/>
                <w:sz w:val="22"/>
              </w:rPr>
              <w:t>Interventional (Clinical Trial) NCT04419025</w:t>
            </w:r>
          </w:p>
        </w:tc>
        <w:tc>
          <w:tcPr>
            <w:tcW w:type="dxa" w:w="1560"/>
          </w:tcPr>
          <w:p>
            <w:r/>
            <w:r>
              <w:rPr>
                <w:rFonts w:ascii="Times New Roman" w:hAnsi="Times New Roman" w:cs="Times New Roman" w:eastAsia="Times New Roman"/>
                <w:b w:val="0"/>
                <w:i w:val="0"/>
                <w:sz w:val="22"/>
              </w:rPr>
              <w:t>Phase 2</w:t>
            </w:r>
          </w:p>
        </w:tc>
        <w:tc>
          <w:tcPr>
            <w:tcW w:type="dxa" w:w="1560"/>
          </w:tcPr>
          <w:p>
            <w:r/>
            <w:r>
              <w:rPr>
                <w:rFonts w:ascii="Times New Roman" w:hAnsi="Times New Roman" w:cs="Times New Roman" w:eastAsia="Times New Roman"/>
                <w:b w:val="0"/>
                <w:i w:val="0"/>
                <w:sz w:val="22"/>
              </w:rPr>
              <w:t>Inpatients : 25 mg/kg (rounded up to the nearest 600 mg) every 4 h until discharge and then 1200 mg twice daily × 1 week post-discharge Outpatients : 2400 mg × 1 then 1200 mg twice daily × 2 weeks</w:t>
            </w:r>
          </w:p>
        </w:tc>
        <w:tc>
          <w:tcPr>
            <w:tcW w:type="dxa" w:w="1560"/>
          </w:tcPr>
          <w:p>
            <w:r/>
            <w:r>
              <w:rPr>
                <w:rFonts w:ascii="Times New Roman" w:hAnsi="Times New Roman" w:cs="Times New Roman" w:eastAsia="Times New Roman"/>
                <w:b w:val="0"/>
                <w:i w:val="0"/>
                <w:sz w:val="22"/>
              </w:rPr>
              <w:t>Inpatients : until 1 week post-discharge Outpatients : 15 days</w:t>
            </w:r>
          </w:p>
        </w:tc>
        <w:tc>
          <w:tcPr>
            <w:tcW w:type="dxa" w:w="1560"/>
          </w:tcPr>
          <w:p>
            <w:r/>
            <w:r>
              <w:rPr>
                <w:rFonts w:ascii="Times New Roman" w:hAnsi="Times New Roman" w:cs="Times New Roman" w:eastAsia="Times New Roman"/>
                <w:b w:val="0"/>
                <w:i w:val="0"/>
                <w:sz w:val="22"/>
              </w:rPr>
              <w:t>Oral</w:t>
            </w:r>
          </w:p>
        </w:tc>
        <w:tc>
          <w:tcPr>
            <w:tcW w:type="dxa" w:w="1560"/>
          </w:tcPr>
          <w:p>
            <w:r/>
            <w:r>
              <w:rPr>
                <w:rFonts w:ascii="Times New Roman" w:hAnsi="Times New Roman" w:cs="Times New Roman" w:eastAsia="Times New Roman"/>
                <w:b w:val="0"/>
                <w:i w:val="0"/>
                <w:sz w:val="22"/>
              </w:rPr>
            </w:r>
          </w:p>
        </w:tc>
      </w:tr>
      <w:tr>
        <w:tc>
          <w:tcPr>
            <w:tcW w:type="dxa" w:w="1560"/>
          </w:tcPr>
          <w:p>
            <w:r/>
            <w:r>
              <w:rPr>
                <w:rFonts w:ascii="Times New Roman" w:hAnsi="Times New Roman" w:cs="Times New Roman" w:eastAsia="Times New Roman"/>
                <w:b w:val="0"/>
                <w:i w:val="0"/>
                <w:sz w:val="22"/>
              </w:rPr>
              <w:t>Interventional (Clinical Trial) NCT04455243</w:t>
            </w:r>
          </w:p>
        </w:tc>
        <w:tc>
          <w:tcPr>
            <w:tcW w:type="dxa" w:w="1560"/>
          </w:tcPr>
          <w:p>
            <w:r/>
            <w:r>
              <w:rPr>
                <w:rFonts w:ascii="Times New Roman" w:hAnsi="Times New Roman" w:cs="Times New Roman" w:eastAsia="Times New Roman"/>
                <w:b w:val="0"/>
                <w:i w:val="0"/>
                <w:sz w:val="22"/>
              </w:rPr>
              <w:t>Phase 3</w:t>
            </w:r>
          </w:p>
        </w:tc>
        <w:tc>
          <w:tcPr>
            <w:tcW w:type="dxa" w:w="1560"/>
          </w:tcPr>
          <w:p>
            <w:r/>
            <w:r>
              <w:rPr>
                <w:rFonts w:ascii="Times New Roman" w:hAnsi="Times New Roman" w:cs="Times New Roman" w:eastAsia="Times New Roman"/>
                <w:b w:val="0"/>
                <w:i w:val="0"/>
                <w:sz w:val="22"/>
              </w:rPr>
              <w:t>150 mg/kg every 12 h diluted in 200 mL diluent (D5%, NS)</w:t>
            </w:r>
          </w:p>
        </w:tc>
        <w:tc>
          <w:tcPr>
            <w:tcW w:type="dxa" w:w="1560"/>
          </w:tcPr>
          <w:p>
            <w:r/>
            <w:r>
              <w:rPr>
                <w:rFonts w:ascii="Times New Roman" w:hAnsi="Times New Roman" w:cs="Times New Roman" w:eastAsia="Times New Roman"/>
                <w:b w:val="0"/>
                <w:i w:val="0"/>
                <w:sz w:val="22"/>
              </w:rPr>
              <w:t>14 days</w:t>
            </w:r>
          </w:p>
        </w:tc>
        <w:tc>
          <w:tcPr>
            <w:tcW w:type="dxa" w:w="1560"/>
          </w:tcPr>
          <w:p>
            <w:r/>
            <w:r>
              <w:rPr>
                <w:rFonts w:ascii="Times New Roman" w:hAnsi="Times New Roman" w:cs="Times New Roman" w:eastAsia="Times New Roman"/>
                <w:b w:val="0"/>
                <w:i w:val="0"/>
                <w:sz w:val="22"/>
              </w:rPr>
              <w:t>Oral or intravenous</w:t>
            </w:r>
          </w:p>
        </w:tc>
        <w:tc>
          <w:tcPr>
            <w:tcW w:type="dxa" w:w="1560"/>
          </w:tcPr>
          <w:p>
            <w:r/>
            <w:r>
              <w:rPr>
                <w:rFonts w:ascii="Times New Roman" w:hAnsi="Times New Roman" w:cs="Times New Roman" w:eastAsia="Times New Roman"/>
                <w:b w:val="0"/>
                <w:i w:val="0"/>
                <w:sz w:val="22"/>
              </w:rPr>
            </w:r>
          </w:p>
        </w:tc>
      </w:tr>
      <w:tr>
        <w:tc>
          <w:tcPr>
            <w:tcW w:type="dxa" w:w="1560"/>
          </w:tcPr>
          <w:p>
            <w:r/>
            <w:r>
              <w:rPr>
                <w:rFonts w:ascii="Times New Roman" w:hAnsi="Times New Roman" w:cs="Times New Roman" w:eastAsia="Times New Roman"/>
                <w:b w:val="0"/>
                <w:i w:val="0"/>
                <w:sz w:val="22"/>
              </w:rPr>
              <w:t>Diabetes Mellitus</w:t>
            </w:r>
          </w:p>
        </w:tc>
        <w:tc>
          <w:tcPr>
            <w:tcW w:type="dxa" w:w="1560"/>
          </w:tcPr>
          <w:p>
            <w:r/>
            <w:r>
              <w:rPr>
                <w:rFonts w:ascii="Times New Roman" w:hAnsi="Times New Roman" w:cs="Times New Roman" w:eastAsia="Times New Roman"/>
                <w:b w:val="0"/>
                <w:i w:val="0"/>
                <w:sz w:val="22"/>
              </w:rPr>
              <w:t>Interventional (Clinical Trial) NCT02206152</w:t>
            </w:r>
          </w:p>
        </w:tc>
        <w:tc>
          <w:tcPr>
            <w:tcW w:type="dxa" w:w="1560"/>
          </w:tcPr>
          <w:p>
            <w:r/>
            <w:r>
              <w:rPr>
                <w:rFonts w:ascii="Times New Roman" w:hAnsi="Times New Roman" w:cs="Times New Roman" w:eastAsia="Times New Roman"/>
                <w:b w:val="0"/>
                <w:i w:val="0"/>
                <w:sz w:val="22"/>
              </w:rPr>
              <w:t>Phase 1 and 2</w:t>
            </w:r>
          </w:p>
        </w:tc>
        <w:tc>
          <w:tcPr>
            <w:tcW w:type="dxa" w:w="1560"/>
          </w:tcPr>
          <w:p>
            <w:r/>
            <w:r>
              <w:rPr>
                <w:rFonts w:ascii="Times New Roman" w:hAnsi="Times New Roman" w:cs="Times New Roman" w:eastAsia="Times New Roman"/>
                <w:b w:val="0"/>
                <w:i w:val="0"/>
                <w:sz w:val="22"/>
              </w:rPr>
              <w:t>150 mg/kg loading dose over the first hour and then follow that with a 50 mg/kg maintenance dose infused over the next 4 h during a controlled hyperinsulinemic hypoglycemic insulin clamp</w:t>
            </w:r>
          </w:p>
        </w:tc>
        <w:tc>
          <w:tcPr>
            <w:tcW w:type="dxa" w:w="1560"/>
          </w:tcPr>
          <w:p>
            <w:r/>
            <w:r>
              <w:rPr>
                <w:rFonts w:ascii="Times New Roman" w:hAnsi="Times New Roman" w:cs="Times New Roman" w:eastAsia="Times New Roman"/>
                <w:b w:val="0"/>
                <w:i w:val="0"/>
                <w:sz w:val="22"/>
              </w:rPr>
              <w:t>Two 2-day treatments separated by 8 weeks</w:t>
            </w:r>
          </w:p>
        </w:tc>
        <w:tc>
          <w:tcPr>
            <w:tcW w:type="dxa" w:w="1560"/>
          </w:tcPr>
          <w:p>
            <w:r/>
            <w:r>
              <w:rPr>
                <w:rFonts w:ascii="Times New Roman" w:hAnsi="Times New Roman" w:cs="Times New Roman" w:eastAsia="Times New Roman"/>
                <w:b w:val="0"/>
                <w:i w:val="0"/>
                <w:sz w:val="22"/>
              </w:rPr>
              <w:t>Intravenous</w:t>
            </w:r>
          </w:p>
        </w:tc>
      </w:tr>
      <w:tr>
        <w:tc>
          <w:tcPr>
            <w:tcW w:type="dxa" w:w="1560"/>
          </w:tcPr>
          <w:p>
            <w:r/>
            <w:r>
              <w:rPr>
                <w:rFonts w:ascii="Times New Roman" w:hAnsi="Times New Roman" w:cs="Times New Roman" w:eastAsia="Times New Roman"/>
                <w:b w:val="0"/>
                <w:i w:val="0"/>
                <w:sz w:val="22"/>
              </w:rPr>
              <w:t>Interventional (Clinical Trial) NCT01394510</w:t>
            </w:r>
          </w:p>
        </w:tc>
        <w:tc>
          <w:tcPr>
            <w:tcW w:type="dxa" w:w="1560"/>
          </w:tcPr>
          <w:p>
            <w:r/>
            <w:r>
              <w:rPr>
                <w:rFonts w:ascii="Times New Roman" w:hAnsi="Times New Roman" w:cs="Times New Roman" w:eastAsia="Times New Roman"/>
                <w:b w:val="0"/>
                <w:i w:val="0"/>
                <w:sz w:val="22"/>
              </w:rPr>
              <w:t>N/A</w:t>
            </w:r>
          </w:p>
        </w:tc>
        <w:tc>
          <w:tcPr>
            <w:tcW w:type="dxa" w:w="1560"/>
          </w:tcPr>
          <w:p>
            <w:r/>
            <w:r>
              <w:rPr>
                <w:rFonts w:ascii="Times New Roman" w:hAnsi="Times New Roman" w:cs="Times New Roman" w:eastAsia="Times New Roman"/>
                <w:b w:val="0"/>
                <w:i w:val="0"/>
                <w:sz w:val="22"/>
              </w:rPr>
              <w:t>600 mg twice daily × 2 weeks, then 1200 mg twice daily × 2 weeks</w:t>
            </w:r>
          </w:p>
        </w:tc>
        <w:tc>
          <w:tcPr>
            <w:tcW w:type="dxa" w:w="1560"/>
          </w:tcPr>
          <w:p>
            <w:r/>
            <w:r>
              <w:rPr>
                <w:rFonts w:ascii="Times New Roman" w:hAnsi="Times New Roman" w:cs="Times New Roman" w:eastAsia="Times New Roman"/>
                <w:b w:val="0"/>
                <w:i w:val="0"/>
                <w:sz w:val="22"/>
              </w:rPr>
              <w:t>4 weeks</w:t>
            </w:r>
          </w:p>
        </w:tc>
        <w:tc>
          <w:tcPr>
            <w:tcW w:type="dxa" w:w="1560"/>
          </w:tcPr>
          <w:p>
            <w:r/>
            <w:r>
              <w:rPr>
                <w:rFonts w:ascii="Times New Roman" w:hAnsi="Times New Roman" w:cs="Times New Roman" w:eastAsia="Times New Roman"/>
                <w:b w:val="0"/>
                <w:i w:val="0"/>
                <w:sz w:val="22"/>
              </w:rPr>
              <w:t>Oral</w:t>
            </w:r>
          </w:p>
        </w:tc>
        <w:tc>
          <w:tcPr>
            <w:tcW w:type="dxa" w:w="1560"/>
          </w:tcPr>
          <w:p>
            <w:r/>
            <w:r>
              <w:rPr>
                <w:rFonts w:ascii="Times New Roman" w:hAnsi="Times New Roman" w:cs="Times New Roman" w:eastAsia="Times New Roman"/>
                <w:b w:val="0"/>
                <w:i w:val="0"/>
                <w:sz w:val="22"/>
              </w:rPr>
            </w:r>
          </w:p>
        </w:tc>
      </w:tr>
      <w:tr>
        <w:tc>
          <w:tcPr>
            <w:tcW w:type="dxa" w:w="1560"/>
          </w:tcPr>
          <w:p>
            <w:r/>
            <w:r>
              <w:rPr>
                <w:rFonts w:ascii="Times New Roman" w:hAnsi="Times New Roman" w:cs="Times New Roman" w:eastAsia="Times New Roman"/>
                <w:b w:val="0"/>
                <w:i w:val="0"/>
                <w:sz w:val="22"/>
              </w:rPr>
              <w:t>Interventional (Clinical Trial) NCT04531163</w:t>
            </w:r>
          </w:p>
        </w:tc>
        <w:tc>
          <w:tcPr>
            <w:tcW w:type="dxa" w:w="1560"/>
          </w:tcPr>
          <w:p>
            <w:r/>
            <w:r>
              <w:rPr>
                <w:rFonts w:ascii="Times New Roman" w:hAnsi="Times New Roman" w:cs="Times New Roman" w:eastAsia="Times New Roman"/>
                <w:b w:val="0"/>
                <w:i w:val="0"/>
                <w:sz w:val="22"/>
              </w:rPr>
              <w:t>Phase 2 and 3</w:t>
            </w:r>
          </w:p>
        </w:tc>
        <w:tc>
          <w:tcPr>
            <w:tcW w:type="dxa" w:w="1560"/>
          </w:tcPr>
          <w:p>
            <w:r/>
            <w:r>
              <w:rPr>
                <w:rFonts w:ascii="Times New Roman" w:hAnsi="Times New Roman" w:cs="Times New Roman" w:eastAsia="Times New Roman"/>
                <w:b w:val="0"/>
                <w:i w:val="0"/>
                <w:sz w:val="22"/>
              </w:rPr>
              <w:t>1200 mg/day</w:t>
            </w:r>
          </w:p>
        </w:tc>
        <w:tc>
          <w:tcPr>
            <w:tcW w:type="dxa" w:w="1560"/>
          </w:tcPr>
          <w:p>
            <w:r/>
            <w:r>
              <w:rPr>
                <w:rFonts w:ascii="Times New Roman" w:hAnsi="Times New Roman" w:cs="Times New Roman" w:eastAsia="Times New Roman"/>
                <w:b w:val="0"/>
                <w:i w:val="0"/>
                <w:sz w:val="22"/>
              </w:rPr>
              <w:t>2 months</w:t>
            </w:r>
          </w:p>
        </w:tc>
        <w:tc>
          <w:tcPr>
            <w:tcW w:type="dxa" w:w="1560"/>
          </w:tcPr>
          <w:p>
            <w:r/>
            <w:r>
              <w:rPr>
                <w:rFonts w:ascii="Times New Roman" w:hAnsi="Times New Roman" w:cs="Times New Roman" w:eastAsia="Times New Roman"/>
                <w:b w:val="0"/>
                <w:i w:val="0"/>
                <w:sz w:val="22"/>
              </w:rPr>
              <w:t>Oral</w:t>
            </w:r>
          </w:p>
        </w:tc>
        <w:tc>
          <w:tcPr>
            <w:tcW w:type="dxa" w:w="1560"/>
          </w:tcPr>
          <w:p>
            <w:r/>
            <w:r>
              <w:rPr>
                <w:rFonts w:ascii="Times New Roman" w:hAnsi="Times New Roman" w:cs="Times New Roman" w:eastAsia="Times New Roman"/>
                <w:b w:val="0"/>
                <w:i w:val="0"/>
                <w:sz w:val="22"/>
              </w:rPr>
            </w:r>
          </w:p>
        </w:tc>
      </w:tr>
      <w:tr>
        <w:tc>
          <w:tcPr>
            <w:tcW w:type="dxa" w:w="1560"/>
          </w:tcPr>
          <w:p>
            <w:r/>
            <w:r>
              <w:rPr>
                <w:rFonts w:ascii="Times New Roman" w:hAnsi="Times New Roman" w:cs="Times New Roman" w:eastAsia="Times New Roman"/>
                <w:b w:val="0"/>
                <w:i w:val="0"/>
                <w:sz w:val="22"/>
              </w:rPr>
              <w:t>Interventional (Clinical Trial) NCT00556465</w:t>
            </w:r>
          </w:p>
        </w:tc>
        <w:tc>
          <w:tcPr>
            <w:tcW w:type="dxa" w:w="1560"/>
          </w:tcPr>
          <w:p>
            <w:r/>
            <w:r>
              <w:rPr>
                <w:rFonts w:ascii="Times New Roman" w:hAnsi="Times New Roman" w:cs="Times New Roman" w:eastAsia="Times New Roman"/>
                <w:b w:val="0"/>
                <w:i w:val="0"/>
                <w:sz w:val="22"/>
              </w:rPr>
              <w:t>Phase 2 and 3</w:t>
            </w:r>
          </w:p>
        </w:tc>
        <w:tc>
          <w:tcPr>
            <w:tcW w:type="dxa" w:w="1560"/>
          </w:tcPr>
          <w:p>
            <w:r/>
            <w:r>
              <w:rPr>
                <w:rFonts w:ascii="Times New Roman" w:hAnsi="Times New Roman" w:cs="Times New Roman" w:eastAsia="Times New Roman"/>
                <w:b w:val="0"/>
                <w:i w:val="0"/>
                <w:sz w:val="22"/>
              </w:rPr>
              <w:t>600 mg twice/ day</w:t>
            </w:r>
          </w:p>
        </w:tc>
        <w:tc>
          <w:tcPr>
            <w:tcW w:type="dxa" w:w="1560"/>
          </w:tcPr>
          <w:p>
            <w:r/>
            <w:r>
              <w:rPr>
                <w:rFonts w:ascii="Times New Roman" w:hAnsi="Times New Roman" w:cs="Times New Roman" w:eastAsia="Times New Roman"/>
                <w:b w:val="0"/>
                <w:i w:val="0"/>
                <w:sz w:val="22"/>
              </w:rPr>
              <w:t>3 months</w:t>
            </w:r>
          </w:p>
        </w:tc>
        <w:tc>
          <w:tcPr>
            <w:tcW w:type="dxa" w:w="1560"/>
          </w:tcPr>
          <w:p>
            <w:r/>
            <w:r>
              <w:rPr>
                <w:rFonts w:ascii="Times New Roman" w:hAnsi="Times New Roman" w:cs="Times New Roman" w:eastAsia="Times New Roman"/>
                <w:b w:val="0"/>
                <w:i w:val="0"/>
                <w:sz w:val="22"/>
              </w:rPr>
              <w:t>Oral</w:t>
            </w:r>
          </w:p>
        </w:tc>
        <w:tc>
          <w:tcPr>
            <w:tcW w:type="dxa" w:w="1560"/>
          </w:tcPr>
          <w:p>
            <w:r/>
            <w:r>
              <w:rPr>
                <w:rFonts w:ascii="Times New Roman" w:hAnsi="Times New Roman" w:cs="Times New Roman" w:eastAsia="Times New Roman"/>
                <w:b w:val="0"/>
                <w:i w:val="0"/>
                <w:sz w:val="22"/>
              </w:rPr>
            </w:r>
          </w:p>
        </w:tc>
      </w:tr>
    </w:tbl>
    <w:p>
      <w:pPr>
        <w:spacing w:after="80"/>
        <w:jc w:val="both"/>
      </w:pPr>
    </w:p>
    <w:p>
      <w:pPr>
        <w:keepNext/>
        <w:spacing w:before="160" w:after="40"/>
        <w:jc w:val="left"/>
      </w:pPr>
      <w:r>
        <w:rPr>
          <w:rFonts w:ascii="Times New Roman" w:hAnsi="Times New Roman" w:cs="Times New Roman" w:eastAsia="Times New Roman"/>
          <w:b/>
          <w:i w:val="0"/>
          <w:sz w:val="22"/>
        </w:rPr>
        <w:t>Reproduced verbatim from PMC10604897 Table 3 — Table 3 — Reaction rate constants of N-acetylcysteine (NAC), cysteine (Cys), and glutathione (GSH) towards the oxidant species H 2 O 2 , O 2 •− , HO • , HO(X),</w:t>
      </w:r>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2340"/>
            <w:shd w:fill="DDE4EF"/>
          </w:tcPr>
          <w:p>
            <w:r/>
            <w:r>
              <w:rPr>
                <w:rFonts w:ascii="Times New Roman" w:hAnsi="Times New Roman" w:cs="Times New Roman" w:eastAsia="Times New Roman"/>
                <w:b/>
                <w:i w:val="0"/>
                <w:sz w:val="22"/>
              </w:rPr>
              <w:t>Oxidant</w:t>
            </w:r>
          </w:p>
        </w:tc>
        <w:tc>
          <w:tcPr>
            <w:tcW w:type="dxa" w:w="2340"/>
            <w:shd w:fill="DDE4EF"/>
          </w:tcPr>
          <w:p>
            <w:r/>
            <w:r>
              <w:rPr>
                <w:rFonts w:ascii="Times New Roman" w:hAnsi="Times New Roman" w:cs="Times New Roman" w:eastAsia="Times New Roman"/>
                <w:b/>
                <w:i w:val="0"/>
                <w:sz w:val="22"/>
              </w:rPr>
              <w:t>Antioxidant</w:t>
            </w:r>
          </w:p>
        </w:tc>
        <w:tc>
          <w:tcPr>
            <w:tcW w:type="dxa" w:w="2340"/>
            <w:shd w:fill="DDE4EF"/>
          </w:tcPr>
          <w:p>
            <w:r/>
            <w:r>
              <w:rPr>
                <w:rFonts w:ascii="Times New Roman" w:hAnsi="Times New Roman" w:cs="Times New Roman" w:eastAsia="Times New Roman"/>
                <w:b/>
                <w:i w:val="0"/>
                <w:sz w:val="22"/>
              </w:rPr>
              <w:t>K (M −1 s −1 )</w:t>
            </w:r>
          </w:p>
        </w:tc>
        <w:tc>
          <w:tcPr>
            <w:tcW w:type="dxa" w:w="2340"/>
            <w:shd w:fill="DDE4EF"/>
          </w:tcPr>
          <w:p>
            <w:r/>
            <w:r>
              <w:rPr>
                <w:rFonts w:ascii="Times New Roman" w:hAnsi="Times New Roman" w:cs="Times New Roman" w:eastAsia="Times New Roman"/>
                <w:b/>
                <w:i w:val="0"/>
                <w:sz w:val="22"/>
              </w:rPr>
              <w:t>References</w:t>
            </w:r>
          </w:p>
        </w:tc>
      </w:tr>
      <w:tr>
        <w:tc>
          <w:tcPr>
            <w:tcW w:type="dxa" w:w="2340"/>
          </w:tcPr>
          <w:p>
            <w:r/>
            <w:r>
              <w:rPr>
                <w:rFonts w:ascii="Times New Roman" w:hAnsi="Times New Roman" w:cs="Times New Roman" w:eastAsia="Times New Roman"/>
                <w:b w:val="0"/>
                <w:i w:val="0"/>
                <w:sz w:val="22"/>
              </w:rPr>
              <w:t>H 2 O 2</w:t>
            </w:r>
          </w:p>
        </w:tc>
        <w:tc>
          <w:tcPr>
            <w:tcW w:type="dxa" w:w="2340"/>
          </w:tcPr>
          <w:p>
            <w:r/>
            <w:r>
              <w:rPr>
                <w:rFonts w:ascii="Times New Roman" w:hAnsi="Times New Roman" w:cs="Times New Roman" w:eastAsia="Times New Roman"/>
                <w:b w:val="0"/>
                <w:i w:val="0"/>
                <w:sz w:val="22"/>
              </w:rPr>
              <w:t>NAC</w:t>
            </w:r>
          </w:p>
        </w:tc>
        <w:tc>
          <w:tcPr>
            <w:tcW w:type="dxa" w:w="2340"/>
          </w:tcPr>
          <w:p>
            <w:r/>
            <w:r>
              <w:rPr>
                <w:rFonts w:ascii="Times New Roman" w:hAnsi="Times New Roman" w:cs="Times New Roman" w:eastAsia="Times New Roman"/>
                <w:b w:val="0"/>
                <w:i w:val="0"/>
                <w:sz w:val="22"/>
              </w:rPr>
              <w:t>0.16</w:t>
            </w:r>
          </w:p>
        </w:tc>
        <w:tc>
          <w:tcPr>
            <w:tcW w:type="dxa" w:w="2340"/>
          </w:tcPr>
          <w:p>
            <w:r/>
            <w:r>
              <w:rPr>
                <w:rFonts w:ascii="Times New Roman" w:hAnsi="Times New Roman" w:cs="Times New Roman" w:eastAsia="Times New Roman"/>
                <w:b w:val="0"/>
                <w:i w:val="0"/>
                <w:sz w:val="22"/>
              </w:rPr>
              <w:t>[ 183 ]</w:t>
            </w:r>
          </w:p>
        </w:tc>
      </w:tr>
      <w:tr>
        <w:tc>
          <w:tcPr>
            <w:tcW w:type="dxa" w:w="2340"/>
          </w:tcPr>
          <w:p>
            <w:r/>
            <w:r>
              <w:rPr>
                <w:rFonts w:ascii="Times New Roman" w:hAnsi="Times New Roman" w:cs="Times New Roman" w:eastAsia="Times New Roman"/>
                <w:b w:val="0"/>
                <w:i w:val="0"/>
                <w:sz w:val="22"/>
              </w:rPr>
              <w:t>GSH</w:t>
            </w:r>
          </w:p>
        </w:tc>
        <w:tc>
          <w:tcPr>
            <w:tcW w:type="dxa" w:w="2340"/>
          </w:tcPr>
          <w:p>
            <w:r/>
            <w:r>
              <w:rPr>
                <w:rFonts w:ascii="Times New Roman" w:hAnsi="Times New Roman" w:cs="Times New Roman" w:eastAsia="Times New Roman"/>
                <w:b w:val="0"/>
                <w:i w:val="0"/>
                <w:sz w:val="22"/>
              </w:rPr>
              <w:t>0.89</w:t>
            </w:r>
          </w:p>
        </w:tc>
        <w:tc>
          <w:tcPr>
            <w:tcW w:type="dxa" w:w="2340"/>
          </w:tcPr>
          <w:p>
            <w:r/>
            <w:r>
              <w:rPr>
                <w:rFonts w:ascii="Times New Roman" w:hAnsi="Times New Roman" w:cs="Times New Roman" w:eastAsia="Times New Roman"/>
                <w:b w:val="0"/>
                <w:i w:val="0"/>
                <w:sz w:val="22"/>
              </w:rPr>
              <w:t>[ 183 ]</w:t>
            </w:r>
          </w:p>
        </w:tc>
        <w:tc>
          <w:tcPr>
            <w:tcW w:type="dxa" w:w="2340"/>
          </w:tcPr>
          <w:p>
            <w:r/>
            <w:r>
              <w:rPr>
                <w:rFonts w:ascii="Times New Roman" w:hAnsi="Times New Roman" w:cs="Times New Roman" w:eastAsia="Times New Roman"/>
                <w:b w:val="0"/>
                <w:i w:val="0"/>
                <w:sz w:val="22"/>
              </w:rPr>
            </w:r>
          </w:p>
        </w:tc>
      </w:tr>
      <w:tr>
        <w:tc>
          <w:tcPr>
            <w:tcW w:type="dxa" w:w="2340"/>
          </w:tcPr>
          <w:p>
            <w:r/>
            <w:r>
              <w:rPr>
                <w:rFonts w:ascii="Times New Roman" w:hAnsi="Times New Roman" w:cs="Times New Roman" w:eastAsia="Times New Roman"/>
                <w:b w:val="0"/>
                <w:i w:val="0"/>
                <w:sz w:val="22"/>
              </w:rPr>
              <w:t>Cys</w:t>
            </w:r>
          </w:p>
        </w:tc>
        <w:tc>
          <w:tcPr>
            <w:tcW w:type="dxa" w:w="2340"/>
          </w:tcPr>
          <w:p>
            <w:r/>
            <w:r>
              <w:rPr>
                <w:rFonts w:ascii="Times New Roman" w:hAnsi="Times New Roman" w:cs="Times New Roman" w:eastAsia="Times New Roman"/>
                <w:b w:val="0"/>
                <w:i w:val="0"/>
                <w:sz w:val="22"/>
              </w:rPr>
              <w:t>2.9</w:t>
            </w:r>
          </w:p>
        </w:tc>
        <w:tc>
          <w:tcPr>
            <w:tcW w:type="dxa" w:w="2340"/>
          </w:tcPr>
          <w:p>
            <w:r/>
            <w:r>
              <w:rPr>
                <w:rFonts w:ascii="Times New Roman" w:hAnsi="Times New Roman" w:cs="Times New Roman" w:eastAsia="Times New Roman"/>
                <w:b w:val="0"/>
                <w:i w:val="0"/>
                <w:sz w:val="22"/>
              </w:rPr>
              <w:t>[ 183 ]</w:t>
            </w:r>
          </w:p>
        </w:tc>
        <w:tc>
          <w:tcPr>
            <w:tcW w:type="dxa" w:w="2340"/>
          </w:tcPr>
          <w:p>
            <w:r/>
            <w:r>
              <w:rPr>
                <w:rFonts w:ascii="Times New Roman" w:hAnsi="Times New Roman" w:cs="Times New Roman" w:eastAsia="Times New Roman"/>
                <w:b w:val="0"/>
                <w:i w:val="0"/>
                <w:sz w:val="22"/>
              </w:rPr>
            </w:r>
          </w:p>
        </w:tc>
      </w:tr>
      <w:tr>
        <w:tc>
          <w:tcPr>
            <w:tcW w:type="dxa" w:w="2340"/>
          </w:tcPr>
          <w:p>
            <w:r/>
            <w:r>
              <w:rPr>
                <w:rFonts w:ascii="Times New Roman" w:hAnsi="Times New Roman" w:cs="Times New Roman" w:eastAsia="Times New Roman"/>
                <w:b w:val="0"/>
                <w:i w:val="0"/>
                <w:sz w:val="22"/>
              </w:rPr>
              <w:t>O 2 •−</w:t>
            </w:r>
          </w:p>
        </w:tc>
        <w:tc>
          <w:tcPr>
            <w:tcW w:type="dxa" w:w="2340"/>
          </w:tcPr>
          <w:p>
            <w:r/>
            <w:r>
              <w:rPr>
                <w:rFonts w:ascii="Times New Roman" w:hAnsi="Times New Roman" w:cs="Times New Roman" w:eastAsia="Times New Roman"/>
                <w:b w:val="0"/>
                <w:i w:val="0"/>
                <w:sz w:val="22"/>
              </w:rPr>
              <w:t>NAC</w:t>
            </w:r>
          </w:p>
        </w:tc>
        <w:tc>
          <w:tcPr>
            <w:tcW w:type="dxa" w:w="2340"/>
          </w:tcPr>
          <w:p>
            <w:r/>
            <w:r>
              <w:rPr>
                <w:rFonts w:ascii="Times New Roman" w:hAnsi="Times New Roman" w:cs="Times New Roman" w:eastAsia="Times New Roman"/>
                <w:b w:val="0"/>
                <w:i w:val="0"/>
                <w:sz w:val="22"/>
              </w:rPr>
              <w:t>68</w:t>
            </w:r>
          </w:p>
        </w:tc>
        <w:tc>
          <w:tcPr>
            <w:tcW w:type="dxa" w:w="2340"/>
          </w:tcPr>
          <w:p>
            <w:r/>
            <w:r>
              <w:rPr>
                <w:rFonts w:ascii="Times New Roman" w:hAnsi="Times New Roman" w:cs="Times New Roman" w:eastAsia="Times New Roman"/>
                <w:b w:val="0"/>
                <w:i w:val="0"/>
                <w:sz w:val="22"/>
              </w:rPr>
              <w:t>[ 184 ]</w:t>
            </w:r>
          </w:p>
        </w:tc>
      </w:tr>
      <w:tr>
        <w:tc>
          <w:tcPr>
            <w:tcW w:type="dxa" w:w="2340"/>
          </w:tcPr>
          <w:p>
            <w:r/>
            <w:r>
              <w:rPr>
                <w:rFonts w:ascii="Times New Roman" w:hAnsi="Times New Roman" w:cs="Times New Roman" w:eastAsia="Times New Roman"/>
                <w:b w:val="0"/>
                <w:i w:val="0"/>
                <w:sz w:val="22"/>
              </w:rPr>
              <w:t>GSH</w:t>
            </w:r>
          </w:p>
        </w:tc>
        <w:tc>
          <w:tcPr>
            <w:tcW w:type="dxa" w:w="2340"/>
          </w:tcPr>
          <w:p>
            <w:r/>
            <w:r>
              <w:rPr>
                <w:rFonts w:ascii="Times New Roman" w:hAnsi="Times New Roman" w:cs="Times New Roman" w:eastAsia="Times New Roman"/>
                <w:b w:val="0"/>
                <w:i w:val="0"/>
                <w:sz w:val="22"/>
              </w:rPr>
              <w:t>200</w:t>
            </w:r>
          </w:p>
        </w:tc>
        <w:tc>
          <w:tcPr>
            <w:tcW w:type="dxa" w:w="2340"/>
          </w:tcPr>
          <w:p>
            <w:r/>
            <w:r>
              <w:rPr>
                <w:rFonts w:ascii="Times New Roman" w:hAnsi="Times New Roman" w:cs="Times New Roman" w:eastAsia="Times New Roman"/>
                <w:b w:val="0"/>
                <w:i w:val="0"/>
                <w:sz w:val="22"/>
              </w:rPr>
              <w:t>[ 185 ]</w:t>
            </w:r>
          </w:p>
        </w:tc>
        <w:tc>
          <w:tcPr>
            <w:tcW w:type="dxa" w:w="2340"/>
          </w:tcPr>
          <w:p>
            <w:r/>
            <w:r>
              <w:rPr>
                <w:rFonts w:ascii="Times New Roman" w:hAnsi="Times New Roman" w:cs="Times New Roman" w:eastAsia="Times New Roman"/>
                <w:b w:val="0"/>
                <w:i w:val="0"/>
                <w:sz w:val="22"/>
              </w:rPr>
            </w:r>
          </w:p>
        </w:tc>
      </w:tr>
      <w:tr>
        <w:tc>
          <w:tcPr>
            <w:tcW w:type="dxa" w:w="2340"/>
          </w:tcPr>
          <w:p>
            <w:r/>
            <w:r>
              <w:rPr>
                <w:rFonts w:ascii="Times New Roman" w:hAnsi="Times New Roman" w:cs="Times New Roman" w:eastAsia="Times New Roman"/>
                <w:b w:val="0"/>
                <w:i w:val="0"/>
                <w:sz w:val="22"/>
              </w:rPr>
              <w:t>Cys</w:t>
            </w:r>
          </w:p>
        </w:tc>
        <w:tc>
          <w:tcPr>
            <w:tcW w:type="dxa" w:w="2340"/>
          </w:tcPr>
          <w:p>
            <w:r/>
            <w:r>
              <w:rPr>
                <w:rFonts w:ascii="Times New Roman" w:hAnsi="Times New Roman" w:cs="Times New Roman" w:eastAsia="Times New Roman"/>
                <w:b w:val="0"/>
                <w:i w:val="0"/>
                <w:sz w:val="22"/>
              </w:rPr>
              <w:t>15</w:t>
            </w:r>
          </w:p>
        </w:tc>
        <w:tc>
          <w:tcPr>
            <w:tcW w:type="dxa" w:w="2340"/>
          </w:tcPr>
          <w:p>
            <w:r/>
            <w:r>
              <w:rPr>
                <w:rFonts w:ascii="Times New Roman" w:hAnsi="Times New Roman" w:cs="Times New Roman" w:eastAsia="Times New Roman"/>
                <w:b w:val="0"/>
                <w:i w:val="0"/>
                <w:sz w:val="22"/>
              </w:rPr>
              <w:t>[ 184 ]</w:t>
            </w:r>
          </w:p>
        </w:tc>
        <w:tc>
          <w:tcPr>
            <w:tcW w:type="dxa" w:w="2340"/>
          </w:tcPr>
          <w:p>
            <w:r/>
            <w:r>
              <w:rPr>
                <w:rFonts w:ascii="Times New Roman" w:hAnsi="Times New Roman" w:cs="Times New Roman" w:eastAsia="Times New Roman"/>
                <w:b w:val="0"/>
                <w:i w:val="0"/>
                <w:sz w:val="22"/>
              </w:rPr>
            </w:r>
          </w:p>
        </w:tc>
      </w:tr>
      <w:tr>
        <w:tc>
          <w:tcPr>
            <w:tcW w:type="dxa" w:w="2340"/>
          </w:tcPr>
          <w:p>
            <w:r/>
            <w:r>
              <w:rPr>
                <w:rFonts w:ascii="Times New Roman" w:hAnsi="Times New Roman" w:cs="Times New Roman" w:eastAsia="Times New Roman"/>
                <w:b w:val="0"/>
                <w:i w:val="0"/>
                <w:sz w:val="22"/>
              </w:rPr>
              <w:t>HO •</w:t>
            </w:r>
          </w:p>
        </w:tc>
        <w:tc>
          <w:tcPr>
            <w:tcW w:type="dxa" w:w="2340"/>
          </w:tcPr>
          <w:p>
            <w:r/>
            <w:r>
              <w:rPr>
                <w:rFonts w:ascii="Times New Roman" w:hAnsi="Times New Roman" w:cs="Times New Roman" w:eastAsia="Times New Roman"/>
                <w:b w:val="0"/>
                <w:i w:val="0"/>
                <w:sz w:val="22"/>
              </w:rPr>
              <w:t>NAC</w:t>
            </w:r>
          </w:p>
        </w:tc>
        <w:tc>
          <w:tcPr>
            <w:tcW w:type="dxa" w:w="2340"/>
          </w:tcPr>
          <w:p>
            <w:r/>
            <w:r>
              <w:rPr>
                <w:rFonts w:ascii="Times New Roman" w:hAnsi="Times New Roman" w:cs="Times New Roman" w:eastAsia="Times New Roman"/>
                <w:b w:val="0"/>
                <w:i w:val="0"/>
                <w:sz w:val="22"/>
              </w:rPr>
              <w:t>1.36 × 10 10</w:t>
            </w:r>
          </w:p>
        </w:tc>
        <w:tc>
          <w:tcPr>
            <w:tcW w:type="dxa" w:w="2340"/>
          </w:tcPr>
          <w:p>
            <w:r/>
            <w:r>
              <w:rPr>
                <w:rFonts w:ascii="Times New Roman" w:hAnsi="Times New Roman" w:cs="Times New Roman" w:eastAsia="Times New Roman"/>
                <w:b w:val="0"/>
                <w:i w:val="0"/>
                <w:sz w:val="22"/>
              </w:rPr>
              <w:t>[ 186 ]</w:t>
            </w:r>
          </w:p>
        </w:tc>
      </w:tr>
      <w:tr>
        <w:tc>
          <w:tcPr>
            <w:tcW w:type="dxa" w:w="2340"/>
          </w:tcPr>
          <w:p>
            <w:r/>
            <w:r>
              <w:rPr>
                <w:rFonts w:ascii="Times New Roman" w:hAnsi="Times New Roman" w:cs="Times New Roman" w:eastAsia="Times New Roman"/>
                <w:b w:val="0"/>
                <w:i w:val="0"/>
                <w:sz w:val="22"/>
              </w:rPr>
              <w:t>GSH</w:t>
            </w:r>
          </w:p>
        </w:tc>
        <w:tc>
          <w:tcPr>
            <w:tcW w:type="dxa" w:w="2340"/>
          </w:tcPr>
          <w:p>
            <w:r/>
            <w:r>
              <w:rPr>
                <w:rFonts w:ascii="Times New Roman" w:hAnsi="Times New Roman" w:cs="Times New Roman" w:eastAsia="Times New Roman"/>
                <w:b w:val="0"/>
                <w:i w:val="0"/>
                <w:sz w:val="22"/>
              </w:rPr>
              <w:t>1.64 × 10 10</w:t>
            </w:r>
          </w:p>
        </w:tc>
        <w:tc>
          <w:tcPr>
            <w:tcW w:type="dxa" w:w="2340"/>
          </w:tcPr>
          <w:p>
            <w:r/>
            <w:r>
              <w:rPr>
                <w:rFonts w:ascii="Times New Roman" w:hAnsi="Times New Roman" w:cs="Times New Roman" w:eastAsia="Times New Roman"/>
                <w:b w:val="0"/>
                <w:i w:val="0"/>
                <w:sz w:val="22"/>
              </w:rPr>
              <w:t>[ 187 ]</w:t>
            </w:r>
          </w:p>
        </w:tc>
        <w:tc>
          <w:tcPr>
            <w:tcW w:type="dxa" w:w="2340"/>
          </w:tcPr>
          <w:p>
            <w:r/>
            <w:r>
              <w:rPr>
                <w:rFonts w:ascii="Times New Roman" w:hAnsi="Times New Roman" w:cs="Times New Roman" w:eastAsia="Times New Roman"/>
                <w:b w:val="0"/>
                <w:i w:val="0"/>
                <w:sz w:val="22"/>
              </w:rPr>
            </w:r>
          </w:p>
        </w:tc>
      </w:tr>
      <w:tr>
        <w:tc>
          <w:tcPr>
            <w:tcW w:type="dxa" w:w="2340"/>
          </w:tcPr>
          <w:p>
            <w:r/>
            <w:r>
              <w:rPr>
                <w:rFonts w:ascii="Times New Roman" w:hAnsi="Times New Roman" w:cs="Times New Roman" w:eastAsia="Times New Roman"/>
                <w:b w:val="0"/>
                <w:i w:val="0"/>
                <w:sz w:val="22"/>
              </w:rPr>
              <w:t>Cys</w:t>
            </w:r>
          </w:p>
        </w:tc>
        <w:tc>
          <w:tcPr>
            <w:tcW w:type="dxa" w:w="2340"/>
          </w:tcPr>
          <w:p>
            <w:r/>
            <w:r>
              <w:rPr>
                <w:rFonts w:ascii="Times New Roman" w:hAnsi="Times New Roman" w:cs="Times New Roman" w:eastAsia="Times New Roman"/>
                <w:b w:val="0"/>
                <w:i w:val="0"/>
                <w:sz w:val="22"/>
              </w:rPr>
              <w:t>5.35 ± 0.2 × 10 9</w:t>
            </w:r>
          </w:p>
        </w:tc>
        <w:tc>
          <w:tcPr>
            <w:tcW w:type="dxa" w:w="2340"/>
          </w:tcPr>
          <w:p>
            <w:r/>
            <w:r>
              <w:rPr>
                <w:rFonts w:ascii="Times New Roman" w:hAnsi="Times New Roman" w:cs="Times New Roman" w:eastAsia="Times New Roman"/>
                <w:b w:val="0"/>
                <w:i w:val="0"/>
                <w:sz w:val="22"/>
              </w:rPr>
              <w:t>[ 188 ]</w:t>
            </w:r>
          </w:p>
        </w:tc>
        <w:tc>
          <w:tcPr>
            <w:tcW w:type="dxa" w:w="2340"/>
          </w:tcPr>
          <w:p>
            <w:r/>
            <w:r>
              <w:rPr>
                <w:rFonts w:ascii="Times New Roman" w:hAnsi="Times New Roman" w:cs="Times New Roman" w:eastAsia="Times New Roman"/>
                <w:b w:val="0"/>
                <w:i w:val="0"/>
                <w:sz w:val="22"/>
              </w:rPr>
            </w:r>
          </w:p>
        </w:tc>
      </w:tr>
      <w:tr>
        <w:tc>
          <w:tcPr>
            <w:tcW w:type="dxa" w:w="2340"/>
          </w:tcPr>
          <w:p>
            <w:r/>
            <w:r>
              <w:rPr>
                <w:rFonts w:ascii="Times New Roman" w:hAnsi="Times New Roman" w:cs="Times New Roman" w:eastAsia="Times New Roman"/>
                <w:b w:val="0"/>
                <w:i w:val="0"/>
                <w:sz w:val="22"/>
              </w:rPr>
              <w:t>HO(X)</w:t>
            </w:r>
          </w:p>
        </w:tc>
        <w:tc>
          <w:tcPr>
            <w:tcW w:type="dxa" w:w="2340"/>
          </w:tcPr>
          <w:p>
            <w:r/>
            <w:r>
              <w:rPr>
                <w:rFonts w:ascii="Times New Roman" w:hAnsi="Times New Roman" w:cs="Times New Roman" w:eastAsia="Times New Roman"/>
                <w:b w:val="0"/>
                <w:i w:val="0"/>
                <w:sz w:val="22"/>
              </w:rPr>
              <w:t>NAC</w:t>
            </w:r>
          </w:p>
        </w:tc>
        <w:tc>
          <w:tcPr>
            <w:tcW w:type="dxa" w:w="2340"/>
          </w:tcPr>
          <w:p>
            <w:r/>
            <w:r>
              <w:rPr>
                <w:rFonts w:ascii="Times New Roman" w:hAnsi="Times New Roman" w:cs="Times New Roman" w:eastAsia="Times New Roman"/>
                <w:b w:val="0"/>
                <w:i w:val="0"/>
                <w:sz w:val="22"/>
              </w:rPr>
              <w:t>0.29 ± 0.04 × 10 8</w:t>
            </w:r>
          </w:p>
        </w:tc>
        <w:tc>
          <w:tcPr>
            <w:tcW w:type="dxa" w:w="2340"/>
          </w:tcPr>
          <w:p>
            <w:r/>
            <w:r>
              <w:rPr>
                <w:rFonts w:ascii="Times New Roman" w:hAnsi="Times New Roman" w:cs="Times New Roman" w:eastAsia="Times New Roman"/>
                <w:b w:val="0"/>
                <w:i w:val="0"/>
                <w:sz w:val="22"/>
              </w:rPr>
              <w:t>[ 189 ]</w:t>
            </w:r>
          </w:p>
        </w:tc>
      </w:tr>
      <w:tr>
        <w:tc>
          <w:tcPr>
            <w:tcW w:type="dxa" w:w="2340"/>
          </w:tcPr>
          <w:p>
            <w:r/>
            <w:r>
              <w:rPr>
                <w:rFonts w:ascii="Times New Roman" w:hAnsi="Times New Roman" w:cs="Times New Roman" w:eastAsia="Times New Roman"/>
                <w:b w:val="0"/>
                <w:i w:val="0"/>
                <w:sz w:val="22"/>
              </w:rPr>
              <w:t>GSH</w:t>
            </w:r>
          </w:p>
        </w:tc>
        <w:tc>
          <w:tcPr>
            <w:tcW w:type="dxa" w:w="2340"/>
          </w:tcPr>
          <w:p>
            <w:r/>
            <w:r>
              <w:rPr>
                <w:rFonts w:ascii="Times New Roman" w:hAnsi="Times New Roman" w:cs="Times New Roman" w:eastAsia="Times New Roman"/>
                <w:b w:val="0"/>
                <w:i w:val="0"/>
                <w:sz w:val="22"/>
              </w:rPr>
              <w:t>1.2 ± 0.2 × 10 8</w:t>
            </w:r>
          </w:p>
        </w:tc>
        <w:tc>
          <w:tcPr>
            <w:tcW w:type="dxa" w:w="2340"/>
          </w:tcPr>
          <w:p>
            <w:r/>
            <w:r>
              <w:rPr>
                <w:rFonts w:ascii="Times New Roman" w:hAnsi="Times New Roman" w:cs="Times New Roman" w:eastAsia="Times New Roman"/>
                <w:b w:val="0"/>
                <w:i w:val="0"/>
                <w:sz w:val="22"/>
              </w:rPr>
              <w:t>[ 189 ]</w:t>
            </w:r>
          </w:p>
        </w:tc>
        <w:tc>
          <w:tcPr>
            <w:tcW w:type="dxa" w:w="2340"/>
          </w:tcPr>
          <w:p>
            <w:r/>
            <w:r>
              <w:rPr>
                <w:rFonts w:ascii="Times New Roman" w:hAnsi="Times New Roman" w:cs="Times New Roman" w:eastAsia="Times New Roman"/>
                <w:b w:val="0"/>
                <w:i w:val="0"/>
                <w:sz w:val="22"/>
              </w:rPr>
            </w:r>
          </w:p>
        </w:tc>
      </w:tr>
      <w:tr>
        <w:tc>
          <w:tcPr>
            <w:tcW w:type="dxa" w:w="2340"/>
          </w:tcPr>
          <w:p>
            <w:r/>
            <w:r>
              <w:rPr>
                <w:rFonts w:ascii="Times New Roman" w:hAnsi="Times New Roman" w:cs="Times New Roman" w:eastAsia="Times New Roman"/>
                <w:b w:val="0"/>
                <w:i w:val="0"/>
                <w:sz w:val="22"/>
              </w:rPr>
              <w:t>Cys</w:t>
            </w:r>
          </w:p>
        </w:tc>
        <w:tc>
          <w:tcPr>
            <w:tcW w:type="dxa" w:w="2340"/>
          </w:tcPr>
          <w:p>
            <w:r/>
            <w:r>
              <w:rPr>
                <w:rFonts w:ascii="Times New Roman" w:hAnsi="Times New Roman" w:cs="Times New Roman" w:eastAsia="Times New Roman"/>
                <w:b w:val="0"/>
                <w:i w:val="0"/>
                <w:sz w:val="22"/>
              </w:rPr>
              <w:t>3.6 ± 0.5 × 10 8</w:t>
            </w:r>
          </w:p>
        </w:tc>
        <w:tc>
          <w:tcPr>
            <w:tcW w:type="dxa" w:w="2340"/>
          </w:tcPr>
          <w:p>
            <w:r/>
            <w:r>
              <w:rPr>
                <w:rFonts w:ascii="Times New Roman" w:hAnsi="Times New Roman" w:cs="Times New Roman" w:eastAsia="Times New Roman"/>
                <w:b w:val="0"/>
                <w:i w:val="0"/>
                <w:sz w:val="22"/>
              </w:rPr>
              <w:t>[ 189 ]</w:t>
            </w:r>
          </w:p>
        </w:tc>
        <w:tc>
          <w:tcPr>
            <w:tcW w:type="dxa" w:w="2340"/>
          </w:tcPr>
          <w:p>
            <w:r/>
            <w:r>
              <w:rPr>
                <w:rFonts w:ascii="Times New Roman" w:hAnsi="Times New Roman" w:cs="Times New Roman" w:eastAsia="Times New Roman"/>
                <w:b w:val="0"/>
                <w:i w:val="0"/>
                <w:sz w:val="22"/>
              </w:rPr>
            </w:r>
          </w:p>
        </w:tc>
      </w:tr>
      <w:tr>
        <w:tc>
          <w:tcPr>
            <w:tcW w:type="dxa" w:w="2340"/>
          </w:tcPr>
          <w:p>
            <w:r/>
            <w:r>
              <w:rPr>
                <w:rFonts w:ascii="Times New Roman" w:hAnsi="Times New Roman" w:cs="Times New Roman" w:eastAsia="Times New Roman"/>
                <w:b w:val="0"/>
                <w:i w:val="0"/>
                <w:sz w:val="22"/>
              </w:rPr>
              <w:t>NO 2</w:t>
            </w:r>
          </w:p>
        </w:tc>
        <w:tc>
          <w:tcPr>
            <w:tcW w:type="dxa" w:w="2340"/>
          </w:tcPr>
          <w:p>
            <w:r/>
            <w:r>
              <w:rPr>
                <w:rFonts w:ascii="Times New Roman" w:hAnsi="Times New Roman" w:cs="Times New Roman" w:eastAsia="Times New Roman"/>
                <w:b w:val="0"/>
                <w:i w:val="0"/>
                <w:sz w:val="22"/>
              </w:rPr>
              <w:t>NAC</w:t>
            </w:r>
          </w:p>
        </w:tc>
        <w:tc>
          <w:tcPr>
            <w:tcW w:type="dxa" w:w="2340"/>
          </w:tcPr>
          <w:p>
            <w:r/>
            <w:r>
              <w:rPr>
                <w:rFonts w:ascii="Times New Roman" w:hAnsi="Times New Roman" w:cs="Times New Roman" w:eastAsia="Times New Roman"/>
                <w:b w:val="0"/>
                <w:i w:val="0"/>
                <w:sz w:val="22"/>
              </w:rPr>
              <w:t>1 × 10 7</w:t>
            </w:r>
          </w:p>
        </w:tc>
        <w:tc>
          <w:tcPr>
            <w:tcW w:type="dxa" w:w="2340"/>
          </w:tcPr>
          <w:p>
            <w:r/>
            <w:r>
              <w:rPr>
                <w:rFonts w:ascii="Times New Roman" w:hAnsi="Times New Roman" w:cs="Times New Roman" w:eastAsia="Times New Roman"/>
                <w:b w:val="0"/>
                <w:i w:val="0"/>
                <w:sz w:val="22"/>
              </w:rPr>
              <w:t>estimated by [ 190 ]</w:t>
            </w:r>
          </w:p>
        </w:tc>
      </w:tr>
      <w:tr>
        <w:tc>
          <w:tcPr>
            <w:tcW w:type="dxa" w:w="2340"/>
          </w:tcPr>
          <w:p>
            <w:r/>
            <w:r>
              <w:rPr>
                <w:rFonts w:ascii="Times New Roman" w:hAnsi="Times New Roman" w:cs="Times New Roman" w:eastAsia="Times New Roman"/>
                <w:b w:val="0"/>
                <w:i w:val="0"/>
                <w:sz w:val="22"/>
              </w:rPr>
              <w:t>GSH</w:t>
            </w:r>
          </w:p>
        </w:tc>
        <w:tc>
          <w:tcPr>
            <w:tcW w:type="dxa" w:w="2340"/>
          </w:tcPr>
          <w:p>
            <w:r/>
            <w:r>
              <w:rPr>
                <w:rFonts w:ascii="Times New Roman" w:hAnsi="Times New Roman" w:cs="Times New Roman" w:eastAsia="Times New Roman"/>
                <w:b w:val="0"/>
                <w:i w:val="0"/>
                <w:sz w:val="22"/>
              </w:rPr>
              <w:t>2 × 10 7</w:t>
            </w:r>
          </w:p>
        </w:tc>
        <w:tc>
          <w:tcPr>
            <w:tcW w:type="dxa" w:w="2340"/>
          </w:tcPr>
          <w:p>
            <w:r/>
            <w:r>
              <w:rPr>
                <w:rFonts w:ascii="Times New Roman" w:hAnsi="Times New Roman" w:cs="Times New Roman" w:eastAsia="Times New Roman"/>
                <w:b w:val="0"/>
                <w:i w:val="0"/>
                <w:sz w:val="22"/>
              </w:rPr>
              <w:t>[ 191 ]</w:t>
            </w:r>
          </w:p>
        </w:tc>
        <w:tc>
          <w:tcPr>
            <w:tcW w:type="dxa" w:w="2340"/>
          </w:tcPr>
          <w:p>
            <w:r/>
            <w:r>
              <w:rPr>
                <w:rFonts w:ascii="Times New Roman" w:hAnsi="Times New Roman" w:cs="Times New Roman" w:eastAsia="Times New Roman"/>
                <w:b w:val="0"/>
                <w:i w:val="0"/>
                <w:sz w:val="22"/>
              </w:rPr>
            </w:r>
          </w:p>
        </w:tc>
      </w:tr>
      <w:tr>
        <w:tc>
          <w:tcPr>
            <w:tcW w:type="dxa" w:w="2340"/>
          </w:tcPr>
          <w:p>
            <w:r/>
            <w:r>
              <w:rPr>
                <w:rFonts w:ascii="Times New Roman" w:hAnsi="Times New Roman" w:cs="Times New Roman" w:eastAsia="Times New Roman"/>
                <w:b w:val="0"/>
                <w:i w:val="0"/>
                <w:sz w:val="22"/>
              </w:rPr>
              <w:t>Cys</w:t>
            </w:r>
          </w:p>
        </w:tc>
        <w:tc>
          <w:tcPr>
            <w:tcW w:type="dxa" w:w="2340"/>
          </w:tcPr>
          <w:p>
            <w:r/>
            <w:r>
              <w:rPr>
                <w:rFonts w:ascii="Times New Roman" w:hAnsi="Times New Roman" w:cs="Times New Roman" w:eastAsia="Times New Roman"/>
                <w:b w:val="0"/>
                <w:i w:val="0"/>
                <w:sz w:val="22"/>
              </w:rPr>
              <w:t>6 × 10 7</w:t>
            </w:r>
          </w:p>
        </w:tc>
        <w:tc>
          <w:tcPr>
            <w:tcW w:type="dxa" w:w="2340"/>
          </w:tcPr>
          <w:p>
            <w:r/>
            <w:r>
              <w:rPr>
                <w:rFonts w:ascii="Times New Roman" w:hAnsi="Times New Roman" w:cs="Times New Roman" w:eastAsia="Times New Roman"/>
                <w:b w:val="0"/>
                <w:i w:val="0"/>
                <w:sz w:val="22"/>
              </w:rPr>
              <w:t>[ 191 ]</w:t>
            </w:r>
          </w:p>
        </w:tc>
        <w:tc>
          <w:tcPr>
            <w:tcW w:type="dxa" w:w="2340"/>
          </w:tcPr>
          <w:p>
            <w:r/>
            <w:r>
              <w:rPr>
                <w:rFonts w:ascii="Times New Roman" w:hAnsi="Times New Roman" w:cs="Times New Roman" w:eastAsia="Times New Roman"/>
                <w:b w:val="0"/>
                <w:i w:val="0"/>
                <w:sz w:val="22"/>
              </w:rPr>
            </w:r>
          </w:p>
        </w:tc>
      </w:tr>
    </w:tbl>
    <w:p>
      <w:pPr>
        <w:spacing w:after="80"/>
        <w:jc w:val="both"/>
      </w:pPr>
    </w:p>
    <w:p>
      <w:pPr>
        <w:keepNext/>
        <w:spacing w:before="280" w:after="80"/>
        <w:outlineLvl w:val="1"/>
      </w:pPr>
      <w:r>
        <w:rPr>
          <w:rFonts w:ascii="Times New Roman" w:hAnsi="Times New Roman" w:cs="Times New Roman" w:eastAsia="Times New Roman"/>
          <w:b/>
          <w:i w:val="0"/>
          <w:color w:val="335588"/>
          <w:sz w:val="28"/>
        </w:rPr>
        <w:t>B.2  PMC8719286 — The Multifaceted Therapeutic Role of N -Acetylcysteine (NAC) in Disorders Charac</w:t>
      </w:r>
    </w:p>
    <w:p>
      <w:pPr>
        <w:keepNext/>
        <w:spacing w:before="160" w:after="40"/>
        <w:jc w:val="left"/>
      </w:pPr>
      <w:r>
        <w:rPr>
          <w:rFonts w:ascii="Times New Roman" w:hAnsi="Times New Roman" w:cs="Times New Roman" w:eastAsia="Times New Roman"/>
          <w:b/>
          <w:i w:val="0"/>
          <w:sz w:val="22"/>
        </w:rPr>
        <w:t>Reproduced verbatim from PMC8719286 Table 1 — Table 1 — Summary of randomized, placebo-controlled controlled trials of oral N -acetylcysteine in chronic obstructive pulmonary disease.</w:t>
      </w:r>
    </w:p>
    <w:tbl>
      <w:tblPr>
        <w:tblStyle w:val="TableGrid"/>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560"/>
            <w:shd w:fill="DDE4EF"/>
          </w:tcPr>
          <w:p>
            <w:r/>
            <w:r>
              <w:rPr>
                <w:rFonts w:ascii="Times New Roman" w:hAnsi="Times New Roman" w:cs="Times New Roman" w:eastAsia="Times New Roman"/>
                <w:b/>
                <w:i w:val="0"/>
                <w:sz w:val="22"/>
              </w:rPr>
              <w:t>First Author</w:t>
            </w:r>
          </w:p>
        </w:tc>
        <w:tc>
          <w:tcPr>
            <w:tcW w:type="dxa" w:w="1560"/>
            <w:shd w:fill="DDE4EF"/>
          </w:tcPr>
          <w:p>
            <w:r/>
            <w:r>
              <w:rPr>
                <w:rFonts w:ascii="Times New Roman" w:hAnsi="Times New Roman" w:cs="Times New Roman" w:eastAsia="Times New Roman"/>
                <w:b/>
                <w:i w:val="0"/>
                <w:sz w:val="22"/>
              </w:rPr>
              <w:t>Study</w:t>
            </w:r>
          </w:p>
        </w:tc>
        <w:tc>
          <w:tcPr>
            <w:tcW w:type="dxa" w:w="1560"/>
            <w:shd w:fill="DDE4EF"/>
          </w:tcPr>
          <w:p>
            <w:r/>
            <w:r>
              <w:rPr>
                <w:rFonts w:ascii="Times New Roman" w:hAnsi="Times New Roman" w:cs="Times New Roman" w:eastAsia="Times New Roman"/>
                <w:b/>
                <w:i w:val="0"/>
                <w:sz w:val="22"/>
              </w:rPr>
              <w:t>Sample Size &amp; Population</w:t>
            </w:r>
          </w:p>
        </w:tc>
        <w:tc>
          <w:tcPr>
            <w:tcW w:type="dxa" w:w="1560"/>
            <w:shd w:fill="DDE4EF"/>
          </w:tcPr>
          <w:p>
            <w:r/>
            <w:r>
              <w:rPr>
                <w:rFonts w:ascii="Times New Roman" w:hAnsi="Times New Roman" w:cs="Times New Roman" w:eastAsia="Times New Roman"/>
                <w:b/>
                <w:i w:val="0"/>
                <w:sz w:val="22"/>
              </w:rPr>
              <w:t>Intervention</w:t>
            </w:r>
          </w:p>
        </w:tc>
        <w:tc>
          <w:tcPr>
            <w:tcW w:type="dxa" w:w="1560"/>
            <w:shd w:fill="DDE4EF"/>
          </w:tcPr>
          <w:p>
            <w:r/>
            <w:r>
              <w:rPr>
                <w:rFonts w:ascii="Times New Roman" w:hAnsi="Times New Roman" w:cs="Times New Roman" w:eastAsia="Times New Roman"/>
                <w:b/>
                <w:i w:val="0"/>
                <w:sz w:val="22"/>
              </w:rPr>
              <w:t>Primary Outcomes</w:t>
            </w:r>
          </w:p>
        </w:tc>
        <w:tc>
          <w:tcPr>
            <w:tcW w:type="dxa" w:w="1560"/>
            <w:shd w:fill="DDE4EF"/>
          </w:tcPr>
          <w:p>
            <w:r/>
            <w:r>
              <w:rPr>
                <w:rFonts w:ascii="Times New Roman" w:hAnsi="Times New Roman" w:cs="Times New Roman" w:eastAsia="Times New Roman"/>
                <w:b/>
                <w:i w:val="0"/>
                <w:sz w:val="22"/>
              </w:rPr>
              <w:t>Comments</w:t>
            </w:r>
          </w:p>
        </w:tc>
      </w:tr>
      <w:tr>
        <w:tc>
          <w:tcPr>
            <w:tcW w:type="dxa" w:w="1560"/>
          </w:tcPr>
          <w:p>
            <w:r/>
            <w:r>
              <w:rPr>
                <w:rFonts w:ascii="Times New Roman" w:hAnsi="Times New Roman" w:cs="Times New Roman" w:eastAsia="Times New Roman"/>
                <w:b w:val="0"/>
                <w:i w:val="0"/>
                <w:sz w:val="22"/>
              </w:rPr>
              <w:t>Decramer 2005 [ 26 ]</w:t>
            </w:r>
          </w:p>
        </w:tc>
        <w:tc>
          <w:tcPr>
            <w:tcW w:type="dxa" w:w="1560"/>
          </w:tcPr>
          <w:p>
            <w:r/>
            <w:r>
              <w:rPr>
                <w:rFonts w:ascii="Times New Roman" w:hAnsi="Times New Roman" w:cs="Times New Roman" w:eastAsia="Times New Roman"/>
                <w:b w:val="0"/>
                <w:i w:val="0"/>
                <w:sz w:val="22"/>
              </w:rPr>
              <w:t>BRONCUS</w:t>
            </w:r>
          </w:p>
        </w:tc>
        <w:tc>
          <w:tcPr>
            <w:tcW w:type="dxa" w:w="1560"/>
          </w:tcPr>
          <w:p>
            <w:r/>
            <w:r>
              <w:rPr>
                <w:rFonts w:ascii="Times New Roman" w:hAnsi="Times New Roman" w:cs="Times New Roman" w:eastAsia="Times New Roman"/>
                <w:b w:val="0"/>
                <w:i w:val="0"/>
                <w:sz w:val="22"/>
              </w:rPr>
              <w:t>Smoking-related stable COPD (n = 523) Age 40–75 years FEV 1 40–70% predicted Mean age 62 years Women 21% Current smokers 46% Mean predicted FEV 1 57%</w:t>
            </w:r>
          </w:p>
        </w:tc>
        <w:tc>
          <w:tcPr>
            <w:tcW w:type="dxa" w:w="1560"/>
          </w:tcPr>
          <w:p>
            <w:r/>
            <w:r>
              <w:rPr>
                <w:rFonts w:ascii="Times New Roman" w:hAnsi="Times New Roman" w:cs="Times New Roman" w:eastAsia="Times New Roman"/>
                <w:b w:val="0"/>
                <w:i w:val="0"/>
                <w:sz w:val="22"/>
              </w:rPr>
              <w:t>600 mg of NAC daily or matching placebo for 3 years</w:t>
            </w:r>
          </w:p>
        </w:tc>
        <w:tc>
          <w:tcPr>
            <w:tcW w:type="dxa" w:w="1560"/>
          </w:tcPr>
          <w:p>
            <w:r/>
            <w:r>
              <w:rPr>
                <w:rFonts w:ascii="Times New Roman" w:hAnsi="Times New Roman" w:cs="Times New Roman" w:eastAsia="Times New Roman"/>
                <w:b w:val="0"/>
                <w:i w:val="0"/>
                <w:sz w:val="22"/>
              </w:rPr>
              <w:t>No difference in FEV 1 in pts (54 mL vs . 47 mL; 95% CI –25, 10); No overall difference in exacerbations per year (HR 0.99, p = 0.85) Potential reduction in exacerbation rate in pts not treated with ICS</w:t>
            </w:r>
          </w:p>
        </w:tc>
        <w:tc>
          <w:tcPr>
            <w:tcW w:type="dxa" w:w="1560"/>
          </w:tcPr>
          <w:p>
            <w:r/>
            <w:r>
              <w:rPr>
                <w:rFonts w:ascii="Times New Roman" w:hAnsi="Times New Roman" w:cs="Times New Roman" w:eastAsia="Times New Roman"/>
                <w:b w:val="0"/>
                <w:i w:val="0"/>
                <w:sz w:val="22"/>
              </w:rPr>
              <w:t>Dose only 600 mg once daily</w:t>
            </w:r>
          </w:p>
        </w:tc>
      </w:tr>
      <w:tr>
        <w:tc>
          <w:tcPr>
            <w:tcW w:type="dxa" w:w="1560"/>
          </w:tcPr>
          <w:p>
            <w:r/>
            <w:r>
              <w:rPr>
                <w:rFonts w:ascii="Times New Roman" w:hAnsi="Times New Roman" w:cs="Times New Roman" w:eastAsia="Times New Roman"/>
                <w:b w:val="0"/>
                <w:i w:val="0"/>
                <w:sz w:val="22"/>
              </w:rPr>
              <w:t>TSE 2013 [ 27 ]</w:t>
            </w:r>
          </w:p>
        </w:tc>
        <w:tc>
          <w:tcPr>
            <w:tcW w:type="dxa" w:w="1560"/>
          </w:tcPr>
          <w:p>
            <w:r/>
            <w:r>
              <w:rPr>
                <w:rFonts w:ascii="Times New Roman" w:hAnsi="Times New Roman" w:cs="Times New Roman" w:eastAsia="Times New Roman"/>
                <w:b w:val="0"/>
                <w:i w:val="0"/>
                <w:sz w:val="22"/>
              </w:rPr>
              <w:t>HIACE</w:t>
            </w:r>
          </w:p>
        </w:tc>
        <w:tc>
          <w:tcPr>
            <w:tcW w:type="dxa" w:w="1560"/>
          </w:tcPr>
          <w:p>
            <w:r/>
            <w:r>
              <w:rPr>
                <w:rFonts w:ascii="Times New Roman" w:hAnsi="Times New Roman" w:cs="Times New Roman" w:eastAsia="Times New Roman"/>
                <w:b w:val="0"/>
                <w:i w:val="0"/>
                <w:sz w:val="22"/>
              </w:rPr>
              <w:t>Smoking-related stable COPD (n = 120) Age 50–80 years FEV 1 &lt; 70% predicted value over 1 year Mean age 71 years Women 7% Current smokers 23% Mean predicted FEV 1 54%</w:t>
            </w:r>
          </w:p>
        </w:tc>
        <w:tc>
          <w:tcPr>
            <w:tcW w:type="dxa" w:w="1560"/>
          </w:tcPr>
          <w:p>
            <w:r/>
            <w:r>
              <w:rPr>
                <w:rFonts w:ascii="Times New Roman" w:hAnsi="Times New Roman" w:cs="Times New Roman" w:eastAsia="Times New Roman"/>
                <w:b w:val="0"/>
                <w:i w:val="0"/>
                <w:sz w:val="22"/>
              </w:rPr>
              <w:t>600 mg of NAC twice daily or matching placebo for 1 year</w:t>
            </w:r>
          </w:p>
        </w:tc>
        <w:tc>
          <w:tcPr>
            <w:tcW w:type="dxa" w:w="1560"/>
          </w:tcPr>
          <w:p>
            <w:r/>
            <w:r>
              <w:rPr>
                <w:rFonts w:ascii="Times New Roman" w:hAnsi="Times New Roman" w:cs="Times New Roman" w:eastAsia="Times New Roman"/>
                <w:b w:val="0"/>
                <w:i w:val="0"/>
                <w:sz w:val="22"/>
              </w:rPr>
              <w:t>FEF improved 25% to 75% (p = 0.037) Reduction in exacerbation frequency (0.96 vs . 1.71 times per year, p = 0.019)</w:t>
            </w:r>
          </w:p>
        </w:tc>
        <w:tc>
          <w:tcPr>
            <w:tcW w:type="dxa" w:w="1560"/>
          </w:tcPr>
          <w:p>
            <w:r/>
            <w:r>
              <w:rPr>
                <w:rFonts w:ascii="Times New Roman" w:hAnsi="Times New Roman" w:cs="Times New Roman" w:eastAsia="Times New Roman"/>
                <w:b w:val="0"/>
                <w:i w:val="0"/>
                <w:sz w:val="22"/>
              </w:rPr>
              <w:t>Trend towards a reduction in hospital admission rates</w:t>
            </w:r>
          </w:p>
        </w:tc>
      </w:tr>
      <w:tr>
        <w:tc>
          <w:tcPr>
            <w:tcW w:type="dxa" w:w="1560"/>
          </w:tcPr>
          <w:p>
            <w:r/>
            <w:r>
              <w:rPr>
                <w:rFonts w:ascii="Times New Roman" w:hAnsi="Times New Roman" w:cs="Times New Roman" w:eastAsia="Times New Roman"/>
                <w:b w:val="0"/>
                <w:i w:val="0"/>
                <w:sz w:val="22"/>
              </w:rPr>
              <w:t>Zheng 2014 [ 28 ]</w:t>
            </w:r>
          </w:p>
        </w:tc>
        <w:tc>
          <w:tcPr>
            <w:tcW w:type="dxa" w:w="1560"/>
          </w:tcPr>
          <w:p>
            <w:r/>
            <w:r>
              <w:rPr>
                <w:rFonts w:ascii="Times New Roman" w:hAnsi="Times New Roman" w:cs="Times New Roman" w:eastAsia="Times New Roman"/>
                <w:b w:val="0"/>
                <w:i w:val="0"/>
                <w:sz w:val="22"/>
              </w:rPr>
              <w:t>PANTHEON</w:t>
            </w:r>
          </w:p>
        </w:tc>
        <w:tc>
          <w:tcPr>
            <w:tcW w:type="dxa" w:w="1560"/>
          </w:tcPr>
          <w:p>
            <w:r/>
            <w:r>
              <w:rPr>
                <w:rFonts w:ascii="Times New Roman" w:hAnsi="Times New Roman" w:cs="Times New Roman" w:eastAsia="Times New Roman"/>
                <w:b w:val="0"/>
                <w:i w:val="0"/>
                <w:sz w:val="22"/>
              </w:rPr>
              <w:t>Moderate-to-severe COPD (n = 1006) Age 40–80 years FEV 1 30–70% of predicted value over 1 year Mean age 66 years Women 18% Current smokers 18% Ex-smokers 58% Non-smokers 24% Mean predicted FEV 1 49%</w:t>
            </w:r>
          </w:p>
        </w:tc>
        <w:tc>
          <w:tcPr>
            <w:tcW w:type="dxa" w:w="1560"/>
          </w:tcPr>
          <w:p>
            <w:r/>
            <w:r>
              <w:rPr>
                <w:rFonts w:ascii="Times New Roman" w:hAnsi="Times New Roman" w:cs="Times New Roman" w:eastAsia="Times New Roman"/>
                <w:b w:val="0"/>
                <w:i w:val="0"/>
                <w:sz w:val="22"/>
              </w:rPr>
              <w:t>600 mg of NAC twice daily or matching placebo for 1 year</w:t>
            </w:r>
          </w:p>
        </w:tc>
        <w:tc>
          <w:tcPr>
            <w:tcW w:type="dxa" w:w="1560"/>
          </w:tcPr>
          <w:p>
            <w:r/>
            <w:r>
              <w:rPr>
                <w:rFonts w:ascii="Times New Roman" w:hAnsi="Times New Roman" w:cs="Times New Roman" w:eastAsia="Times New Roman"/>
                <w:b w:val="0"/>
                <w:i w:val="0"/>
                <w:sz w:val="22"/>
              </w:rPr>
              <w:t>Reduction in exacerbation frequency (1.16 vs . 1.49 per patient-year, p = 0.0011; RR 0.78, 95% CI 0.67–0.90; p = 0.0011)</w:t>
            </w:r>
          </w:p>
        </w:tc>
        <w:tc>
          <w:tcPr>
            <w:tcW w:type="dxa" w:w="1560"/>
          </w:tcPr>
          <w:p>
            <w:r/>
            <w:r>
              <w:rPr>
                <w:rFonts w:ascii="Times New Roman" w:hAnsi="Times New Roman" w:cs="Times New Roman" w:eastAsia="Times New Roman"/>
                <w:b w:val="0"/>
                <w:i w:val="0"/>
                <w:sz w:val="22"/>
              </w:rPr>
              <w:t>Time to second exacerbation and time to third exacerbation extended No significant difference in treatment effect and ICS use</w:t>
            </w:r>
          </w:p>
        </w:tc>
      </w:tr>
    </w:tbl>
    <w:p>
      <w:pPr>
        <w:spacing w:after="80"/>
        <w:jc w:val="both"/>
      </w:pPr>
    </w:p>
    <w:p>
      <w:pPr>
        <w:keepNext/>
        <w:spacing w:before="280" w:after="80"/>
        <w:outlineLvl w:val="1"/>
      </w:pPr>
      <w:r>
        <w:rPr>
          <w:rFonts w:ascii="Times New Roman" w:hAnsi="Times New Roman" w:cs="Times New Roman" w:eastAsia="Times New Roman"/>
          <w:b/>
          <w:i w:val="0"/>
          <w:color w:val="335588"/>
          <w:sz w:val="28"/>
        </w:rPr>
        <w:t xml:space="preserve">B.6  PMC11315809 — Clinically Relevant Therapeutic Approaches Against Acetaminophen Hepatotoxicity </w:t>
      </w:r>
    </w:p>
    <w:p>
      <w:pPr>
        <w:keepNext/>
        <w:spacing w:before="160" w:after="40"/>
        <w:jc w:val="left"/>
      </w:pPr>
      <w:r>
        <w:rPr>
          <w:rFonts w:ascii="Times New Roman" w:hAnsi="Times New Roman" w:cs="Times New Roman" w:eastAsia="Times New Roman"/>
          <w:b/>
          <w:i w:val="0"/>
          <w:sz w:val="22"/>
        </w:rPr>
        <w:t>Reproduced verbatim from PMC11315809 Table 1 — Table 1: — Characteristics of New Antidotes in Clinical Development compared to N-Acetylcysteine</w:t>
      </w:r>
    </w:p>
    <w:tbl>
      <w:tblPr>
        <w:tblStyle w:val="TableGrid"/>
        <w:tblW w:type="auto" w:w="0"/>
        <w:tblLayout w:type="fixed"/>
        <w:tblLook w:firstColumn="1" w:firstRow="1" w:lastColumn="0" w:lastRow="0" w:noHBand="0" w:noVBand="1" w:val="04A0"/>
      </w:tblPr>
      <w:tblGrid>
        <w:gridCol w:w="1872"/>
        <w:gridCol w:w="1872"/>
        <w:gridCol w:w="1872"/>
        <w:gridCol w:w="1872"/>
        <w:gridCol w:w="1872"/>
      </w:tblGrid>
      <w:tr>
        <w:tc>
          <w:tcPr>
            <w:tcW w:type="dxa" w:w="1872"/>
            <w:shd w:fill="DDE4EF"/>
          </w:tcPr>
          <w:p>
            <w:r/>
            <w:r>
              <w:rPr>
                <w:rFonts w:ascii="Times New Roman" w:hAnsi="Times New Roman" w:cs="Times New Roman" w:eastAsia="Times New Roman"/>
                <w:b/>
                <w:i w:val="0"/>
                <w:sz w:val="22"/>
              </w:rPr>
              <w:t>Liver Injury:</w:t>
            </w:r>
          </w:p>
        </w:tc>
        <w:tc>
          <w:tcPr>
            <w:tcW w:type="dxa" w:w="1872"/>
            <w:shd w:fill="DDE4EF"/>
          </w:tcPr>
          <w:p>
            <w:r/>
            <w:r>
              <w:rPr>
                <w:rFonts w:ascii="Times New Roman" w:hAnsi="Times New Roman" w:cs="Times New Roman" w:eastAsia="Times New Roman"/>
                <w:b/>
                <w:i w:val="0"/>
                <w:sz w:val="22"/>
              </w:rPr>
              <w:t>N-Acetylcysteine</w:t>
            </w:r>
          </w:p>
        </w:tc>
        <w:tc>
          <w:tcPr>
            <w:tcW w:type="dxa" w:w="1872"/>
            <w:shd w:fill="DDE4EF"/>
          </w:tcPr>
          <w:p>
            <w:r/>
            <w:r>
              <w:rPr>
                <w:rFonts w:ascii="Times New Roman" w:hAnsi="Times New Roman" w:cs="Times New Roman" w:eastAsia="Times New Roman"/>
                <w:b/>
                <w:i w:val="0"/>
                <w:sz w:val="22"/>
              </w:rPr>
              <w:t>Fomepizole</w:t>
            </w:r>
          </w:p>
        </w:tc>
        <w:tc>
          <w:tcPr>
            <w:tcW w:type="dxa" w:w="1872"/>
            <w:shd w:fill="DDE4EF"/>
          </w:tcPr>
          <w:p>
            <w:r/>
            <w:r>
              <w:rPr>
                <w:rFonts w:ascii="Times New Roman" w:hAnsi="Times New Roman" w:cs="Times New Roman" w:eastAsia="Times New Roman"/>
                <w:b/>
                <w:i w:val="0"/>
                <w:sz w:val="22"/>
              </w:rPr>
              <w:t>Calmangafodipir</w:t>
            </w:r>
          </w:p>
        </w:tc>
        <w:tc>
          <w:tcPr>
            <w:tcW w:type="dxa" w:w="1872"/>
            <w:shd w:fill="DDE4EF"/>
          </w:tcPr>
          <w:p>
            <w:r/>
            <w:r>
              <w:rPr>
                <w:rFonts w:ascii="Times New Roman" w:hAnsi="Times New Roman" w:cs="Times New Roman" w:eastAsia="Times New Roman"/>
                <w:b/>
                <w:i w:val="0"/>
                <w:sz w:val="22"/>
              </w:rPr>
              <w:t>mTPO</w:t>
            </w:r>
          </w:p>
        </w:tc>
      </w:tr>
      <w:tr>
        <w:tc>
          <w:tcPr>
            <w:tcW w:type="dxa" w:w="1872"/>
          </w:tcPr>
          <w:p>
            <w:r/>
            <w:r>
              <w:rPr>
                <w:rFonts w:ascii="Times New Roman" w:hAnsi="Times New Roman" w:cs="Times New Roman" w:eastAsia="Times New Roman"/>
                <w:b w:val="0"/>
                <w:i w:val="0"/>
                <w:sz w:val="22"/>
              </w:rPr>
              <w:t>Efficiency with Early Treatment</w:t>
            </w:r>
          </w:p>
        </w:tc>
        <w:tc>
          <w:tcPr>
            <w:tcW w:type="dxa" w:w="1872"/>
          </w:tcPr>
          <w:p>
            <w:r/>
            <w:r>
              <w:rPr>
                <w:rFonts w:ascii="Times New Roman" w:hAnsi="Times New Roman" w:cs="Times New Roman" w:eastAsia="Times New Roman"/>
                <w:b w:val="0"/>
                <w:i w:val="0"/>
                <w:sz w:val="22"/>
              </w:rPr>
              <w:t>++++</w:t>
            </w:r>
          </w:p>
        </w:tc>
        <w:tc>
          <w:tcPr>
            <w:tcW w:type="dxa" w:w="1872"/>
          </w:tcPr>
          <w:p>
            <w:r/>
            <w:r>
              <w:rPr>
                <w:rFonts w:ascii="Times New Roman" w:hAnsi="Times New Roman" w:cs="Times New Roman" w:eastAsia="Times New Roman"/>
                <w:b w:val="0"/>
                <w:i w:val="0"/>
                <w:sz w:val="22"/>
              </w:rPr>
              <w:t>++++</w:t>
            </w:r>
          </w:p>
        </w:tc>
        <w:tc>
          <w:tcPr>
            <w:tcW w:type="dxa" w:w="1872"/>
          </w:tcPr>
          <w:p>
            <w:r/>
            <w:r>
              <w:rPr>
                <w:rFonts w:ascii="Times New Roman" w:hAnsi="Times New Roman" w:cs="Times New Roman" w:eastAsia="Times New Roman"/>
                <w:b w:val="0"/>
                <w:i w:val="0"/>
                <w:sz w:val="22"/>
              </w:rPr>
              <w:t>ND</w:t>
            </w:r>
          </w:p>
        </w:tc>
        <w:tc>
          <w:tcPr>
            <w:tcW w:type="dxa" w:w="1872"/>
          </w:tcPr>
          <w:p>
            <w:r/>
            <w:r>
              <w:rPr>
                <w:rFonts w:ascii="Times New Roman" w:hAnsi="Times New Roman" w:cs="Times New Roman" w:eastAsia="Times New Roman"/>
                <w:b w:val="0"/>
                <w:i w:val="0"/>
                <w:sz w:val="22"/>
              </w:rPr>
              <w:t>----</w:t>
            </w:r>
          </w:p>
        </w:tc>
      </w:tr>
      <w:tr>
        <w:tc>
          <w:tcPr>
            <w:tcW w:type="dxa" w:w="1872"/>
          </w:tcPr>
          <w:p>
            <w:r/>
            <w:r>
              <w:rPr>
                <w:rFonts w:ascii="Times New Roman" w:hAnsi="Times New Roman" w:cs="Times New Roman" w:eastAsia="Times New Roman"/>
                <w:b w:val="0"/>
                <w:i w:val="0"/>
                <w:sz w:val="22"/>
              </w:rPr>
              <w:t>Efficiency with Late Treatment</w:t>
            </w:r>
          </w:p>
        </w:tc>
        <w:tc>
          <w:tcPr>
            <w:tcW w:type="dxa" w:w="1872"/>
          </w:tcPr>
          <w:p>
            <w:r/>
            <w:r>
              <w:rPr>
                <w:rFonts w:ascii="Times New Roman" w:hAnsi="Times New Roman" w:cs="Times New Roman" w:eastAsia="Times New Roman"/>
                <w:b w:val="0"/>
                <w:i w:val="0"/>
                <w:sz w:val="22"/>
              </w:rPr>
              <w:t>+</w:t>
            </w:r>
          </w:p>
        </w:tc>
        <w:tc>
          <w:tcPr>
            <w:tcW w:type="dxa" w:w="1872"/>
          </w:tcPr>
          <w:p>
            <w:r/>
            <w:r>
              <w:rPr>
                <w:rFonts w:ascii="Times New Roman" w:hAnsi="Times New Roman" w:cs="Times New Roman" w:eastAsia="Times New Roman"/>
                <w:b w:val="0"/>
                <w:i w:val="0"/>
                <w:sz w:val="22"/>
              </w:rPr>
              <w:t>++</w:t>
            </w:r>
          </w:p>
        </w:tc>
        <w:tc>
          <w:tcPr>
            <w:tcW w:type="dxa" w:w="1872"/>
          </w:tcPr>
          <w:p>
            <w:r/>
            <w:r>
              <w:rPr>
                <w:rFonts w:ascii="Times New Roman" w:hAnsi="Times New Roman" w:cs="Times New Roman" w:eastAsia="Times New Roman"/>
                <w:b w:val="0"/>
                <w:i w:val="0"/>
                <w:sz w:val="22"/>
              </w:rPr>
              <w:t>++ ?</w:t>
            </w:r>
          </w:p>
        </w:tc>
        <w:tc>
          <w:tcPr>
            <w:tcW w:type="dxa" w:w="1872"/>
          </w:tcPr>
          <w:p>
            <w:r/>
            <w:r>
              <w:rPr>
                <w:rFonts w:ascii="Times New Roman" w:hAnsi="Times New Roman" w:cs="Times New Roman" w:eastAsia="Times New Roman"/>
                <w:b w:val="0"/>
                <w:i w:val="0"/>
                <w:sz w:val="22"/>
              </w:rPr>
              <w:t>+</w:t>
            </w:r>
          </w:p>
        </w:tc>
      </w:tr>
      <w:tr>
        <w:tc>
          <w:tcPr>
            <w:tcW w:type="dxa" w:w="1872"/>
          </w:tcPr>
          <w:p>
            <w:r/>
            <w:r>
              <w:rPr>
                <w:rFonts w:ascii="Times New Roman" w:hAnsi="Times New Roman" w:cs="Times New Roman" w:eastAsia="Times New Roman"/>
                <w:b w:val="0"/>
                <w:i w:val="0"/>
                <w:sz w:val="22"/>
              </w:rPr>
              <w:t>Promotes Biogenesis and Regeneration</w:t>
            </w:r>
          </w:p>
        </w:tc>
        <w:tc>
          <w:tcPr>
            <w:tcW w:type="dxa" w:w="1872"/>
          </w:tcPr>
          <w:p>
            <w:r/>
            <w:r>
              <w:rPr>
                <w:rFonts w:ascii="Times New Roman" w:hAnsi="Times New Roman" w:cs="Times New Roman" w:eastAsia="Times New Roman"/>
                <w:b w:val="0"/>
                <w:i w:val="0"/>
                <w:sz w:val="22"/>
              </w:rPr>
              <w:t>----</w:t>
            </w:r>
          </w:p>
        </w:tc>
        <w:tc>
          <w:tcPr>
            <w:tcW w:type="dxa" w:w="1872"/>
          </w:tcPr>
          <w:p>
            <w:r/>
            <w:r>
              <w:rPr>
                <w:rFonts w:ascii="Times New Roman" w:hAnsi="Times New Roman" w:cs="Times New Roman" w:eastAsia="Times New Roman"/>
                <w:b w:val="0"/>
                <w:i w:val="0"/>
                <w:sz w:val="22"/>
              </w:rPr>
              <w:t>+</w:t>
            </w:r>
          </w:p>
        </w:tc>
        <w:tc>
          <w:tcPr>
            <w:tcW w:type="dxa" w:w="1872"/>
          </w:tcPr>
          <w:p>
            <w:r/>
            <w:r>
              <w:rPr>
                <w:rFonts w:ascii="Times New Roman" w:hAnsi="Times New Roman" w:cs="Times New Roman" w:eastAsia="Times New Roman"/>
                <w:b w:val="0"/>
                <w:i w:val="0"/>
                <w:sz w:val="22"/>
              </w:rPr>
              <w:t>ND</w:t>
            </w:r>
          </w:p>
        </w:tc>
        <w:tc>
          <w:tcPr>
            <w:tcW w:type="dxa" w:w="1872"/>
          </w:tcPr>
          <w:p>
            <w:r/>
            <w:r>
              <w:rPr>
                <w:rFonts w:ascii="Times New Roman" w:hAnsi="Times New Roman" w:cs="Times New Roman" w:eastAsia="Times New Roman"/>
                <w:b w:val="0"/>
                <w:i w:val="0"/>
                <w:sz w:val="22"/>
              </w:rPr>
              <w:t>++++</w:t>
            </w:r>
          </w:p>
        </w:tc>
      </w:tr>
      <w:tr>
        <w:tc>
          <w:tcPr>
            <w:tcW w:type="dxa" w:w="1872"/>
          </w:tcPr>
          <w:p>
            <w:r/>
            <w:r>
              <w:rPr>
                <w:rFonts w:ascii="Times New Roman" w:hAnsi="Times New Roman" w:cs="Times New Roman" w:eastAsia="Times New Roman"/>
                <w:b w:val="0"/>
                <w:i w:val="0"/>
                <w:sz w:val="22"/>
              </w:rPr>
              <w:t>Protects against Acute Kidney Injury</w:t>
            </w:r>
          </w:p>
        </w:tc>
        <w:tc>
          <w:tcPr>
            <w:tcW w:type="dxa" w:w="1872"/>
          </w:tcPr>
          <w:p>
            <w:r/>
            <w:r>
              <w:rPr>
                <w:rFonts w:ascii="Times New Roman" w:hAnsi="Times New Roman" w:cs="Times New Roman" w:eastAsia="Times New Roman"/>
                <w:b w:val="0"/>
                <w:i w:val="0"/>
                <w:sz w:val="22"/>
              </w:rPr>
              <w:t>----</w:t>
            </w:r>
          </w:p>
        </w:tc>
        <w:tc>
          <w:tcPr>
            <w:tcW w:type="dxa" w:w="1872"/>
          </w:tcPr>
          <w:p>
            <w:r/>
            <w:r>
              <w:rPr>
                <w:rFonts w:ascii="Times New Roman" w:hAnsi="Times New Roman" w:cs="Times New Roman" w:eastAsia="Times New Roman"/>
                <w:b w:val="0"/>
                <w:i w:val="0"/>
                <w:sz w:val="22"/>
              </w:rPr>
              <w:t>+++</w:t>
            </w:r>
          </w:p>
        </w:tc>
        <w:tc>
          <w:tcPr>
            <w:tcW w:type="dxa" w:w="1872"/>
          </w:tcPr>
          <w:p>
            <w:r/>
            <w:r>
              <w:rPr>
                <w:rFonts w:ascii="Times New Roman" w:hAnsi="Times New Roman" w:cs="Times New Roman" w:eastAsia="Times New Roman"/>
                <w:b w:val="0"/>
                <w:i w:val="0"/>
                <w:sz w:val="22"/>
              </w:rPr>
              <w:t>ND</w:t>
            </w:r>
          </w:p>
        </w:tc>
        <w:tc>
          <w:tcPr>
            <w:tcW w:type="dxa" w:w="1872"/>
          </w:tcPr>
          <w:p>
            <w:r/>
            <w:r>
              <w:rPr>
                <w:rFonts w:ascii="Times New Roman" w:hAnsi="Times New Roman" w:cs="Times New Roman" w:eastAsia="Times New Roman"/>
                <w:b w:val="0"/>
                <w:i w:val="0"/>
                <w:sz w:val="22"/>
              </w:rPr>
              <w:t>ND</w:t>
            </w:r>
          </w:p>
        </w:tc>
      </w:tr>
      <w:tr>
        <w:tc>
          <w:tcPr>
            <w:tcW w:type="dxa" w:w="1872"/>
          </w:tcPr>
          <w:p>
            <w:r/>
            <w:r>
              <w:rPr>
                <w:rFonts w:ascii="Times New Roman" w:hAnsi="Times New Roman" w:cs="Times New Roman" w:eastAsia="Times New Roman"/>
                <w:b w:val="0"/>
                <w:i w:val="0"/>
                <w:sz w:val="22"/>
              </w:rPr>
              <w:t>Side Effects of Treatment</w:t>
            </w:r>
          </w:p>
        </w:tc>
        <w:tc>
          <w:tcPr>
            <w:tcW w:type="dxa" w:w="1872"/>
          </w:tcPr>
          <w:p>
            <w:r/>
            <w:r>
              <w:rPr>
                <w:rFonts w:ascii="Times New Roman" w:hAnsi="Times New Roman" w:cs="Times New Roman" w:eastAsia="Times New Roman"/>
                <w:b w:val="0"/>
                <w:i w:val="0"/>
                <w:sz w:val="22"/>
              </w:rPr>
              <w:t>+</w:t>
            </w:r>
          </w:p>
        </w:tc>
        <w:tc>
          <w:tcPr>
            <w:tcW w:type="dxa" w:w="1872"/>
          </w:tcPr>
          <w:p>
            <w:r/>
            <w:r>
              <w:rPr>
                <w:rFonts w:ascii="Times New Roman" w:hAnsi="Times New Roman" w:cs="Times New Roman" w:eastAsia="Times New Roman"/>
                <w:b w:val="0"/>
                <w:i w:val="0"/>
                <w:sz w:val="22"/>
              </w:rPr>
              <w:t>----</w:t>
            </w:r>
          </w:p>
        </w:tc>
        <w:tc>
          <w:tcPr>
            <w:tcW w:type="dxa" w:w="1872"/>
          </w:tcPr>
          <w:p>
            <w:r/>
            <w:r>
              <w:rPr>
                <w:rFonts w:ascii="Times New Roman" w:hAnsi="Times New Roman" w:cs="Times New Roman" w:eastAsia="Times New Roman"/>
                <w:b w:val="0"/>
                <w:i w:val="0"/>
                <w:sz w:val="22"/>
              </w:rPr>
              <w:t>----</w:t>
            </w:r>
          </w:p>
        </w:tc>
        <w:tc>
          <w:tcPr>
            <w:tcW w:type="dxa" w:w="1872"/>
          </w:tcPr>
          <w:p>
            <w:r/>
            <w:r>
              <w:rPr>
                <w:rFonts w:ascii="Times New Roman" w:hAnsi="Times New Roman" w:cs="Times New Roman" w:eastAsia="Times New Roman"/>
                <w:b w:val="0"/>
                <w:i w:val="0"/>
                <w:sz w:val="22"/>
              </w:rPr>
              <w:t>----</w:t>
            </w:r>
          </w:p>
        </w:tc>
      </w:tr>
    </w:tbl>
    <w:p>
      <w:pPr>
        <w:spacing w:after="80"/>
        <w:jc w:val="both"/>
      </w:pPr>
    </w:p>
    <w:p>
      <w:pPr>
        <w:keepNext/>
        <w:spacing w:before="280" w:after="80"/>
        <w:outlineLvl w:val="1"/>
      </w:pPr>
      <w:r>
        <w:rPr>
          <w:rFonts w:ascii="Times New Roman" w:hAnsi="Times New Roman" w:cs="Times New Roman" w:eastAsia="Times New Roman"/>
          <w:b/>
          <w:i w:val="0"/>
          <w:color w:val="335588"/>
          <w:sz w:val="28"/>
        </w:rPr>
        <w:t xml:space="preserve">B.8  PMC6154623 — Chemical and Biological Properties of S -1-Propenyl- l -Cysteine in Aged Garlic </w:t>
      </w:r>
    </w:p>
    <w:p>
      <w:pPr>
        <w:keepNext/>
        <w:spacing w:before="160" w:after="40"/>
        <w:jc w:val="left"/>
      </w:pPr>
      <w:r>
        <w:rPr>
          <w:rFonts w:ascii="Times New Roman" w:hAnsi="Times New Roman" w:cs="Times New Roman" w:eastAsia="Times New Roman"/>
          <w:b/>
          <w:i w:val="0"/>
          <w:sz w:val="22"/>
        </w:rPr>
        <w:t>Reproduced verbatim from PMC6154623 Table 1 — Table 1 — Altered metabolite levels in plasma after oral administration of S1PC to SHRs. a</w:t>
      </w:r>
    </w:p>
    <w:tbl>
      <w:tblPr>
        <w:tblStyle w:val="TableGrid"/>
        <w:tblW w:type="auto" w:w="0"/>
        <w:tblLayout w:type="fixed"/>
        <w:tblLook w:firstColumn="1" w:firstRow="1" w:lastColumn="0" w:lastRow="0" w:noHBand="0" w:noVBand="1" w:val="04A0"/>
      </w:tblPr>
      <w:tblGrid>
        <w:gridCol w:w="3120"/>
        <w:gridCol w:w="3120"/>
        <w:gridCol w:w="3120"/>
      </w:tblGrid>
      <w:tr>
        <w:tc>
          <w:tcPr>
            <w:tcW w:type="dxa" w:w="3120"/>
            <w:shd w:fill="DDE4EF"/>
          </w:tcPr>
          <w:p>
            <w:r/>
            <w:r>
              <w:rPr>
                <w:rFonts w:ascii="Times New Roman" w:hAnsi="Times New Roman" w:cs="Times New Roman" w:eastAsia="Times New Roman"/>
                <w:b/>
                <w:i w:val="0"/>
                <w:sz w:val="22"/>
              </w:rPr>
              <w:t>Metabolite b</w:t>
            </w:r>
          </w:p>
        </w:tc>
        <w:tc>
          <w:tcPr>
            <w:tcW w:type="dxa" w:w="3120"/>
            <w:shd w:fill="DDE4EF"/>
          </w:tcPr>
          <w:p>
            <w:r/>
            <w:r>
              <w:rPr>
                <w:rFonts w:ascii="Times New Roman" w:hAnsi="Times New Roman" w:cs="Times New Roman" w:eastAsia="Times New Roman"/>
                <w:b/>
                <w:i w:val="0"/>
                <w:sz w:val="22"/>
              </w:rPr>
              <w:t>Control vs. WKY c</w:t>
            </w:r>
          </w:p>
        </w:tc>
        <w:tc>
          <w:tcPr>
            <w:tcW w:type="dxa" w:w="3120"/>
            <w:shd w:fill="DDE4EF"/>
          </w:tcPr>
          <w:p>
            <w:r/>
            <w:r>
              <w:rPr>
                <w:rFonts w:ascii="Times New Roman" w:hAnsi="Times New Roman" w:cs="Times New Roman" w:eastAsia="Times New Roman"/>
                <w:b/>
                <w:i w:val="0"/>
                <w:sz w:val="22"/>
              </w:rPr>
              <w:t>S1PC vs. Control c</w:t>
            </w:r>
          </w:p>
        </w:tc>
      </w:tr>
      <w:tr>
        <w:tc>
          <w:tcPr>
            <w:tcW w:type="dxa" w:w="3120"/>
          </w:tcPr>
          <w:p>
            <w:r/>
            <w:r>
              <w:rPr>
                <w:rFonts w:ascii="Times New Roman" w:hAnsi="Times New Roman" w:cs="Times New Roman" w:eastAsia="Times New Roman"/>
                <w:b w:val="0"/>
                <w:i w:val="0"/>
                <w:sz w:val="22"/>
              </w:rPr>
              <w:t>Betaine</w:t>
            </w:r>
          </w:p>
        </w:tc>
        <w:tc>
          <w:tcPr>
            <w:tcW w:type="dxa" w:w="3120"/>
          </w:tcPr>
          <w:p>
            <w:r/>
            <w:r>
              <w:rPr>
                <w:rFonts w:ascii="Times New Roman" w:hAnsi="Times New Roman" w:cs="Times New Roman" w:eastAsia="Times New Roman"/>
                <w:b w:val="0"/>
                <w:i w:val="0"/>
                <w:sz w:val="22"/>
              </w:rPr>
              <w:t>↑↑ d</w:t>
            </w:r>
          </w:p>
        </w:tc>
        <w:tc>
          <w:tcPr>
            <w:tcW w:type="dxa" w:w="3120"/>
          </w:tcPr>
          <w:p>
            <w:r/>
            <w:r>
              <w:rPr>
                <w:rFonts w:ascii="Times New Roman" w:hAnsi="Times New Roman" w:cs="Times New Roman" w:eastAsia="Times New Roman"/>
                <w:b w:val="0"/>
                <w:i w:val="0"/>
                <w:sz w:val="22"/>
              </w:rPr>
              <w:t>↓</w:t>
            </w:r>
          </w:p>
        </w:tc>
      </w:tr>
      <w:tr>
        <w:tc>
          <w:tcPr>
            <w:tcW w:type="dxa" w:w="3120"/>
          </w:tcPr>
          <w:p>
            <w:r/>
            <w:r>
              <w:rPr>
                <w:rFonts w:ascii="Times New Roman" w:hAnsi="Times New Roman" w:cs="Times New Roman" w:eastAsia="Times New Roman"/>
                <w:b w:val="0"/>
                <w:i w:val="0"/>
                <w:sz w:val="22"/>
              </w:rPr>
              <w:t>Tryptophan</w:t>
            </w:r>
          </w:p>
        </w:tc>
        <w:tc>
          <w:tcPr>
            <w:tcW w:type="dxa" w:w="3120"/>
          </w:tcPr>
          <w:p>
            <w:r/>
            <w:r>
              <w:rPr>
                <w:rFonts w:ascii="Times New Roman" w:hAnsi="Times New Roman" w:cs="Times New Roman" w:eastAsia="Times New Roman"/>
                <w:b w:val="0"/>
                <w:i w:val="0"/>
                <w:sz w:val="22"/>
              </w:rPr>
              <w:t>↓↓</w:t>
            </w:r>
          </w:p>
        </w:tc>
        <w:tc>
          <w:tcPr>
            <w:tcW w:type="dxa" w:w="3120"/>
          </w:tcPr>
          <w:p>
            <w:r/>
            <w:r>
              <w:rPr>
                <w:rFonts w:ascii="Times New Roman" w:hAnsi="Times New Roman" w:cs="Times New Roman" w:eastAsia="Times New Roman"/>
                <w:b w:val="0"/>
                <w:i w:val="0"/>
                <w:sz w:val="22"/>
              </w:rPr>
              <w:t>↑↑</w:t>
            </w:r>
          </w:p>
        </w:tc>
      </w:tr>
      <w:tr>
        <w:tc>
          <w:tcPr>
            <w:tcW w:type="dxa" w:w="3120"/>
          </w:tcPr>
          <w:p>
            <w:r/>
            <w:r>
              <w:rPr>
                <w:rFonts w:ascii="Times New Roman" w:hAnsi="Times New Roman" w:cs="Times New Roman" w:eastAsia="Times New Roman"/>
                <w:b w:val="0"/>
                <w:i w:val="0"/>
                <w:sz w:val="22"/>
              </w:rPr>
              <w:t>LysoPC(16:0)</w:t>
            </w:r>
          </w:p>
        </w:tc>
        <w:tc>
          <w:tcPr>
            <w:tcW w:type="dxa" w:w="3120"/>
          </w:tcPr>
          <w:p>
            <w:r/>
            <w:r>
              <w:rPr>
                <w:rFonts w:ascii="Times New Roman" w:hAnsi="Times New Roman" w:cs="Times New Roman" w:eastAsia="Times New Roman"/>
                <w:b w:val="0"/>
                <w:i w:val="0"/>
                <w:sz w:val="22"/>
              </w:rPr>
              <w:t>↓↓</w:t>
            </w:r>
          </w:p>
        </w:tc>
        <w:tc>
          <w:tcPr>
            <w:tcW w:type="dxa" w:w="3120"/>
          </w:tcPr>
          <w:p>
            <w:r/>
            <w:r>
              <w:rPr>
                <w:rFonts w:ascii="Times New Roman" w:hAnsi="Times New Roman" w:cs="Times New Roman" w:eastAsia="Times New Roman"/>
                <w:b w:val="0"/>
                <w:i w:val="0"/>
                <w:sz w:val="22"/>
              </w:rPr>
              <w:t>↑↑</w:t>
            </w:r>
          </w:p>
        </w:tc>
      </w:tr>
      <w:tr>
        <w:tc>
          <w:tcPr>
            <w:tcW w:type="dxa" w:w="3120"/>
          </w:tcPr>
          <w:p>
            <w:r/>
            <w:r>
              <w:rPr>
                <w:rFonts w:ascii="Times New Roman" w:hAnsi="Times New Roman" w:cs="Times New Roman" w:eastAsia="Times New Roman"/>
                <w:b w:val="0"/>
                <w:i w:val="0"/>
                <w:sz w:val="22"/>
              </w:rPr>
              <w:t>LysoPC(18:3)</w:t>
            </w:r>
          </w:p>
        </w:tc>
        <w:tc>
          <w:tcPr>
            <w:tcW w:type="dxa" w:w="3120"/>
          </w:tcPr>
          <w:p>
            <w:r/>
            <w:r>
              <w:rPr>
                <w:rFonts w:ascii="Times New Roman" w:hAnsi="Times New Roman" w:cs="Times New Roman" w:eastAsia="Times New Roman"/>
                <w:b w:val="0"/>
                <w:i w:val="0"/>
                <w:sz w:val="22"/>
              </w:rPr>
              <w:t>↓↓</w:t>
            </w:r>
          </w:p>
        </w:tc>
        <w:tc>
          <w:tcPr>
            <w:tcW w:type="dxa" w:w="3120"/>
          </w:tcPr>
          <w:p>
            <w:r/>
            <w:r>
              <w:rPr>
                <w:rFonts w:ascii="Times New Roman" w:hAnsi="Times New Roman" w:cs="Times New Roman" w:eastAsia="Times New Roman"/>
                <w:b w:val="0"/>
                <w:i w:val="0"/>
                <w:sz w:val="22"/>
              </w:rPr>
              <w:t>↑↑</w:t>
            </w:r>
          </w:p>
        </w:tc>
      </w:tr>
      <w:tr>
        <w:tc>
          <w:tcPr>
            <w:tcW w:type="dxa" w:w="3120"/>
          </w:tcPr>
          <w:p>
            <w:r/>
            <w:r>
              <w:rPr>
                <w:rFonts w:ascii="Times New Roman" w:hAnsi="Times New Roman" w:cs="Times New Roman" w:eastAsia="Times New Roman"/>
                <w:b w:val="0"/>
                <w:i w:val="0"/>
                <w:sz w:val="22"/>
              </w:rPr>
              <w:t>LysoPC(20:4)</w:t>
            </w:r>
          </w:p>
        </w:tc>
        <w:tc>
          <w:tcPr>
            <w:tcW w:type="dxa" w:w="3120"/>
          </w:tcPr>
          <w:p>
            <w:r/>
            <w:r>
              <w:rPr>
                <w:rFonts w:ascii="Times New Roman" w:hAnsi="Times New Roman" w:cs="Times New Roman" w:eastAsia="Times New Roman"/>
                <w:b w:val="0"/>
                <w:i w:val="0"/>
                <w:sz w:val="22"/>
              </w:rPr>
              <w:t>↓↓</w:t>
            </w:r>
          </w:p>
        </w:tc>
        <w:tc>
          <w:tcPr>
            <w:tcW w:type="dxa" w:w="3120"/>
          </w:tcPr>
          <w:p>
            <w:r/>
            <w:r>
              <w:rPr>
                <w:rFonts w:ascii="Times New Roman" w:hAnsi="Times New Roman" w:cs="Times New Roman" w:eastAsia="Times New Roman"/>
                <w:b w:val="0"/>
                <w:i w:val="0"/>
                <w:sz w:val="22"/>
              </w:rPr>
              <w:t>↑</w:t>
            </w:r>
          </w:p>
        </w:tc>
      </w:tr>
      <w:tr>
        <w:tc>
          <w:tcPr>
            <w:tcW w:type="dxa" w:w="3120"/>
          </w:tcPr>
          <w:p>
            <w:r/>
            <w:r>
              <w:rPr>
                <w:rFonts w:ascii="Times New Roman" w:hAnsi="Times New Roman" w:cs="Times New Roman" w:eastAsia="Times New Roman"/>
                <w:b w:val="0"/>
                <w:i w:val="0"/>
                <w:sz w:val="22"/>
              </w:rPr>
              <w:t>3-(Acetyloxy)-2-hydroxypropyl icosanoate</w:t>
            </w:r>
          </w:p>
        </w:tc>
        <w:tc>
          <w:tcPr>
            <w:tcW w:type="dxa" w:w="3120"/>
          </w:tcPr>
          <w:p>
            <w:r/>
            <w:r>
              <w:rPr>
                <w:rFonts w:ascii="Times New Roman" w:hAnsi="Times New Roman" w:cs="Times New Roman" w:eastAsia="Times New Roman"/>
                <w:b w:val="0"/>
                <w:i w:val="0"/>
                <w:sz w:val="22"/>
              </w:rPr>
              <w:t>↑</w:t>
            </w:r>
          </w:p>
        </w:tc>
        <w:tc>
          <w:tcPr>
            <w:tcW w:type="dxa" w:w="3120"/>
          </w:tcPr>
          <w:p>
            <w:r/>
            <w:r>
              <w:rPr>
                <w:rFonts w:ascii="Times New Roman" w:hAnsi="Times New Roman" w:cs="Times New Roman" w:eastAsia="Times New Roman"/>
                <w:b w:val="0"/>
                <w:i w:val="0"/>
                <w:sz w:val="22"/>
              </w:rPr>
              <w:t>↓↓</w:t>
            </w:r>
          </w:p>
        </w:tc>
      </w:tr>
      <w:tr>
        <w:tc>
          <w:tcPr>
            <w:tcW w:type="dxa" w:w="3120"/>
          </w:tcPr>
          <w:p>
            <w:r/>
            <w:r>
              <w:rPr>
                <w:rFonts w:ascii="Times New Roman" w:hAnsi="Times New Roman" w:cs="Times New Roman" w:eastAsia="Times New Roman"/>
                <w:b w:val="0"/>
                <w:i w:val="0"/>
                <w:sz w:val="22"/>
              </w:rPr>
              <w:t>Caproic acid</w:t>
            </w:r>
          </w:p>
        </w:tc>
        <w:tc>
          <w:tcPr>
            <w:tcW w:type="dxa" w:w="3120"/>
          </w:tcPr>
          <w:p>
            <w:r/>
            <w:r>
              <w:rPr>
                <w:rFonts w:ascii="Times New Roman" w:hAnsi="Times New Roman" w:cs="Times New Roman" w:eastAsia="Times New Roman"/>
                <w:b w:val="0"/>
                <w:i w:val="0"/>
                <w:sz w:val="22"/>
              </w:rPr>
              <w:t>↑↑</w:t>
            </w:r>
          </w:p>
        </w:tc>
        <w:tc>
          <w:tcPr>
            <w:tcW w:type="dxa" w:w="3120"/>
          </w:tcPr>
          <w:p>
            <w:r/>
            <w:r>
              <w:rPr>
                <w:rFonts w:ascii="Times New Roman" w:hAnsi="Times New Roman" w:cs="Times New Roman" w:eastAsia="Times New Roman"/>
                <w:b w:val="0"/>
                <w:i w:val="0"/>
                <w:sz w:val="22"/>
              </w:rPr>
              <w:t>↓</w:t>
            </w:r>
          </w:p>
        </w:tc>
      </w:tr>
    </w:tbl>
    <w:p>
      <w:pPr>
        <w:spacing w:after="80"/>
        <w:jc w:val="both"/>
      </w:pPr>
    </w:p>
    <w:p>
      <w:pPr>
        <w:keepNext/>
        <w:spacing w:before="160" w:after="40"/>
        <w:jc w:val="left"/>
      </w:pPr>
      <w:r>
        <w:rPr>
          <w:rFonts w:ascii="Times New Roman" w:hAnsi="Times New Roman" w:cs="Times New Roman" w:eastAsia="Times New Roman"/>
          <w:b/>
          <w:i w:val="0"/>
          <w:sz w:val="22"/>
        </w:rPr>
        <w:t>Reproduced verbatim from PMC6154623 Table 2 — Table 2 — Pharmacokinetic parameters and excretion levels of SMC, SAC, and S1PC in rats and dogs after oral administration. a</w:t>
      </w:r>
    </w:p>
    <w:tbl>
      <w:tblPr>
        <w:tblStyle w:val="TableGrid"/>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560"/>
            <w:shd w:fill="DDE4EF"/>
          </w:tcPr>
          <w:p>
            <w:r/>
            <w:r>
              <w:rPr>
                <w:rFonts w:ascii="Times New Roman" w:hAnsi="Times New Roman" w:cs="Times New Roman" w:eastAsia="Times New Roman"/>
                <w:b/>
                <w:i w:val="0"/>
                <w:sz w:val="22"/>
              </w:rPr>
              <w:t>Animal</w:t>
            </w:r>
          </w:p>
        </w:tc>
        <w:tc>
          <w:tcPr>
            <w:tcW w:type="dxa" w:w="1560"/>
            <w:shd w:fill="DDE4EF"/>
          </w:tcPr>
          <w:p>
            <w:r/>
            <w:r>
              <w:rPr>
                <w:rFonts w:ascii="Times New Roman" w:hAnsi="Times New Roman" w:cs="Times New Roman" w:eastAsia="Times New Roman"/>
                <w:b/>
                <w:i w:val="0"/>
                <w:sz w:val="22"/>
              </w:rPr>
              <w:t>Compound</w:t>
            </w:r>
          </w:p>
        </w:tc>
        <w:tc>
          <w:tcPr>
            <w:tcW w:type="dxa" w:w="1560"/>
            <w:shd w:fill="DDE4EF"/>
          </w:tcPr>
          <w:p>
            <w:r/>
            <w:r>
              <w:rPr>
                <w:rFonts w:ascii="Times New Roman" w:hAnsi="Times New Roman" w:cs="Times New Roman" w:eastAsia="Times New Roman"/>
                <w:b/>
                <w:i w:val="0"/>
                <w:sz w:val="22"/>
              </w:rPr>
              <w:t>C max (mg/L)</w:t>
            </w:r>
          </w:p>
        </w:tc>
        <w:tc>
          <w:tcPr>
            <w:tcW w:type="dxa" w:w="1560"/>
            <w:shd w:fill="DDE4EF"/>
          </w:tcPr>
          <w:p>
            <w:r/>
            <w:r>
              <w:rPr>
                <w:rFonts w:ascii="Times New Roman" w:hAnsi="Times New Roman" w:cs="Times New Roman" w:eastAsia="Times New Roman"/>
                <w:b/>
                <w:i w:val="0"/>
                <w:sz w:val="22"/>
              </w:rPr>
              <w:t>T 1/2 (h)</w:t>
            </w:r>
          </w:p>
        </w:tc>
        <w:tc>
          <w:tcPr>
            <w:tcW w:type="dxa" w:w="1560"/>
            <w:shd w:fill="DDE4EF"/>
          </w:tcPr>
          <w:p>
            <w:r/>
            <w:r>
              <w:rPr>
                <w:rFonts w:ascii="Times New Roman" w:hAnsi="Times New Roman" w:cs="Times New Roman" w:eastAsia="Times New Roman"/>
                <w:b/>
                <w:i w:val="0"/>
                <w:sz w:val="22"/>
              </w:rPr>
              <w:t>AUC (mg·h/L)</w:t>
            </w:r>
          </w:p>
        </w:tc>
        <w:tc>
          <w:tcPr>
            <w:tcW w:type="dxa" w:w="1560"/>
            <w:shd w:fill="DDE4EF"/>
          </w:tcPr>
          <w:p>
            <w:r/>
            <w:r>
              <w:rPr>
                <w:rFonts w:ascii="Times New Roman" w:hAnsi="Times New Roman" w:cs="Times New Roman" w:eastAsia="Times New Roman"/>
                <w:b/>
                <w:i w:val="0"/>
                <w:sz w:val="22"/>
              </w:rPr>
              <w:t>BA (%)</w:t>
            </w:r>
          </w:p>
        </w:tc>
      </w:tr>
      <w:tr>
        <w:tc>
          <w:tcPr>
            <w:tcW w:type="dxa" w:w="1560"/>
          </w:tcPr>
          <w:p>
            <w:r/>
            <w:r>
              <w:rPr>
                <w:rFonts w:ascii="Times New Roman" w:hAnsi="Times New Roman" w:cs="Times New Roman" w:eastAsia="Times New Roman"/>
                <w:b w:val="0"/>
                <w:i w:val="0"/>
                <w:sz w:val="22"/>
              </w:rPr>
              <w:t>Rat</w:t>
            </w:r>
          </w:p>
        </w:tc>
        <w:tc>
          <w:tcPr>
            <w:tcW w:type="dxa" w:w="1560"/>
          </w:tcPr>
          <w:p>
            <w:r/>
            <w:r>
              <w:rPr>
                <w:rFonts w:ascii="Times New Roman" w:hAnsi="Times New Roman" w:cs="Times New Roman" w:eastAsia="Times New Roman"/>
                <w:b w:val="0"/>
                <w:i w:val="0"/>
                <w:sz w:val="22"/>
              </w:rPr>
              <w:t>SMC b</w:t>
            </w:r>
          </w:p>
        </w:tc>
        <w:tc>
          <w:tcPr>
            <w:tcW w:type="dxa" w:w="1560"/>
          </w:tcPr>
          <w:p>
            <w:r/>
            <w:r>
              <w:rPr>
                <w:rFonts w:ascii="Times New Roman" w:hAnsi="Times New Roman" w:cs="Times New Roman" w:eastAsia="Times New Roman"/>
                <w:b w:val="0"/>
                <w:i w:val="0"/>
                <w:sz w:val="22"/>
              </w:rPr>
              <w:t>1.3 ± 0.33</w:t>
            </w:r>
          </w:p>
        </w:tc>
        <w:tc>
          <w:tcPr>
            <w:tcW w:type="dxa" w:w="1560"/>
          </w:tcPr>
          <w:p>
            <w:r/>
            <w:r>
              <w:rPr>
                <w:rFonts w:ascii="Times New Roman" w:hAnsi="Times New Roman" w:cs="Times New Roman" w:eastAsia="Times New Roman"/>
                <w:b w:val="0"/>
                <w:i w:val="0"/>
                <w:sz w:val="22"/>
              </w:rPr>
              <w:t>2.6 ± 0.75</w:t>
            </w:r>
          </w:p>
        </w:tc>
        <w:tc>
          <w:tcPr>
            <w:tcW w:type="dxa" w:w="1560"/>
          </w:tcPr>
          <w:p>
            <w:r/>
            <w:r>
              <w:rPr>
                <w:rFonts w:ascii="Times New Roman" w:hAnsi="Times New Roman" w:cs="Times New Roman" w:eastAsia="Times New Roman"/>
                <w:b w:val="0"/>
                <w:i w:val="0"/>
                <w:sz w:val="22"/>
              </w:rPr>
              <w:t>6.0 ± 1.7</w:t>
            </w:r>
          </w:p>
        </w:tc>
        <w:tc>
          <w:tcPr>
            <w:tcW w:type="dxa" w:w="1560"/>
          </w:tcPr>
          <w:p>
            <w:r/>
            <w:r>
              <w:rPr>
                <w:rFonts w:ascii="Times New Roman" w:hAnsi="Times New Roman" w:cs="Times New Roman" w:eastAsia="Times New Roman"/>
                <w:b w:val="0"/>
                <w:i w:val="0"/>
                <w:sz w:val="22"/>
              </w:rPr>
              <w:t>95.8</w:t>
            </w:r>
          </w:p>
        </w:tc>
      </w:tr>
      <w:tr>
        <w:tc>
          <w:tcPr>
            <w:tcW w:type="dxa" w:w="1560"/>
          </w:tcPr>
          <w:p>
            <w:r/>
            <w:r>
              <w:rPr>
                <w:rFonts w:ascii="Times New Roman" w:hAnsi="Times New Roman" w:cs="Times New Roman" w:eastAsia="Times New Roman"/>
                <w:b w:val="0"/>
                <w:i w:val="0"/>
                <w:sz w:val="22"/>
              </w:rPr>
            </w:r>
          </w:p>
        </w:tc>
        <w:tc>
          <w:tcPr>
            <w:tcW w:type="dxa" w:w="1560"/>
          </w:tcPr>
          <w:p>
            <w:r/>
            <w:r>
              <w:rPr>
                <w:rFonts w:ascii="Times New Roman" w:hAnsi="Times New Roman" w:cs="Times New Roman" w:eastAsia="Times New Roman"/>
                <w:b w:val="0"/>
                <w:i w:val="0"/>
                <w:sz w:val="22"/>
              </w:rPr>
              <w:t>SAC c</w:t>
            </w:r>
          </w:p>
        </w:tc>
        <w:tc>
          <w:tcPr>
            <w:tcW w:type="dxa" w:w="1560"/>
          </w:tcPr>
          <w:p>
            <w:r/>
            <w:r>
              <w:rPr>
                <w:rFonts w:ascii="Times New Roman" w:hAnsi="Times New Roman" w:cs="Times New Roman" w:eastAsia="Times New Roman"/>
                <w:b w:val="0"/>
                <w:i w:val="0"/>
                <w:sz w:val="22"/>
              </w:rPr>
              <w:t>3.9 ± 0.64</w:t>
            </w:r>
          </w:p>
        </w:tc>
        <w:tc>
          <w:tcPr>
            <w:tcW w:type="dxa" w:w="1560"/>
          </w:tcPr>
          <w:p>
            <w:r/>
            <w:r>
              <w:rPr>
                <w:rFonts w:ascii="Times New Roman" w:hAnsi="Times New Roman" w:cs="Times New Roman" w:eastAsia="Times New Roman"/>
                <w:b w:val="0"/>
                <w:i w:val="0"/>
                <w:sz w:val="22"/>
              </w:rPr>
              <w:t>1.2 ± 0.19</w:t>
            </w:r>
          </w:p>
        </w:tc>
        <w:tc>
          <w:tcPr>
            <w:tcW w:type="dxa" w:w="1560"/>
          </w:tcPr>
          <w:p>
            <w:r/>
            <w:r>
              <w:rPr>
                <w:rFonts w:ascii="Times New Roman" w:hAnsi="Times New Roman" w:cs="Times New Roman" w:eastAsia="Times New Roman"/>
                <w:b w:val="0"/>
                <w:i w:val="0"/>
                <w:sz w:val="22"/>
              </w:rPr>
              <w:t>5.1 ± 0.58</w:t>
            </w:r>
          </w:p>
        </w:tc>
        <w:tc>
          <w:tcPr>
            <w:tcW w:type="dxa" w:w="1560"/>
          </w:tcPr>
          <w:p>
            <w:r/>
            <w:r>
              <w:rPr>
                <w:rFonts w:ascii="Times New Roman" w:hAnsi="Times New Roman" w:cs="Times New Roman" w:eastAsia="Times New Roman"/>
                <w:b w:val="0"/>
                <w:i w:val="0"/>
                <w:sz w:val="22"/>
              </w:rPr>
              <w:t>91.9</w:t>
            </w:r>
          </w:p>
        </w:tc>
      </w:tr>
      <w:tr>
        <w:tc>
          <w:tcPr>
            <w:tcW w:type="dxa" w:w="1560"/>
          </w:tcPr>
          <w:p>
            <w:r/>
            <w:r>
              <w:rPr>
                <w:rFonts w:ascii="Times New Roman" w:hAnsi="Times New Roman" w:cs="Times New Roman" w:eastAsia="Times New Roman"/>
                <w:b w:val="0"/>
                <w:i w:val="0"/>
                <w:sz w:val="22"/>
              </w:rPr>
            </w:r>
          </w:p>
        </w:tc>
        <w:tc>
          <w:tcPr>
            <w:tcW w:type="dxa" w:w="1560"/>
          </w:tcPr>
          <w:p>
            <w:r/>
            <w:r>
              <w:rPr>
                <w:rFonts w:ascii="Times New Roman" w:hAnsi="Times New Roman" w:cs="Times New Roman" w:eastAsia="Times New Roman"/>
                <w:b w:val="0"/>
                <w:i w:val="0"/>
                <w:sz w:val="22"/>
              </w:rPr>
              <w:t>S1PC c</w:t>
            </w:r>
          </w:p>
        </w:tc>
        <w:tc>
          <w:tcPr>
            <w:tcW w:type="dxa" w:w="1560"/>
          </w:tcPr>
          <w:p>
            <w:r/>
            <w:r>
              <w:rPr>
                <w:rFonts w:ascii="Times New Roman" w:hAnsi="Times New Roman" w:cs="Times New Roman" w:eastAsia="Times New Roman"/>
                <w:b w:val="0"/>
                <w:i w:val="0"/>
                <w:sz w:val="22"/>
              </w:rPr>
              <w:t>4.2 ± 0.92</w:t>
            </w:r>
          </w:p>
        </w:tc>
        <w:tc>
          <w:tcPr>
            <w:tcW w:type="dxa" w:w="1560"/>
          </w:tcPr>
          <w:p>
            <w:r/>
            <w:r>
              <w:rPr>
                <w:rFonts w:ascii="Times New Roman" w:hAnsi="Times New Roman" w:cs="Times New Roman" w:eastAsia="Times New Roman"/>
                <w:b w:val="0"/>
                <w:i w:val="0"/>
                <w:sz w:val="22"/>
              </w:rPr>
              <w:t>0.56 ± 0.072</w:t>
            </w:r>
          </w:p>
        </w:tc>
        <w:tc>
          <w:tcPr>
            <w:tcW w:type="dxa" w:w="1560"/>
          </w:tcPr>
          <w:p>
            <w:r/>
            <w:r>
              <w:rPr>
                <w:rFonts w:ascii="Times New Roman" w:hAnsi="Times New Roman" w:cs="Times New Roman" w:eastAsia="Times New Roman"/>
                <w:b w:val="0"/>
                <w:i w:val="0"/>
                <w:sz w:val="22"/>
              </w:rPr>
              <w:t>3.2 ± 0.34</w:t>
            </w:r>
          </w:p>
        </w:tc>
        <w:tc>
          <w:tcPr>
            <w:tcW w:type="dxa" w:w="1560"/>
          </w:tcPr>
          <w:p>
            <w:r/>
            <w:r>
              <w:rPr>
                <w:rFonts w:ascii="Times New Roman" w:hAnsi="Times New Roman" w:cs="Times New Roman" w:eastAsia="Times New Roman"/>
                <w:b w:val="0"/>
                <w:i w:val="0"/>
                <w:sz w:val="22"/>
              </w:rPr>
              <w:t>88.0</w:t>
            </w:r>
          </w:p>
        </w:tc>
      </w:tr>
      <w:tr>
        <w:tc>
          <w:tcPr>
            <w:tcW w:type="dxa" w:w="1560"/>
          </w:tcPr>
          <w:p>
            <w:r/>
            <w:r>
              <w:rPr>
                <w:rFonts w:ascii="Times New Roman" w:hAnsi="Times New Roman" w:cs="Times New Roman" w:eastAsia="Times New Roman"/>
                <w:b w:val="0"/>
                <w:i w:val="0"/>
                <w:sz w:val="22"/>
              </w:rPr>
              <w:t>Dog</w:t>
            </w:r>
          </w:p>
        </w:tc>
        <w:tc>
          <w:tcPr>
            <w:tcW w:type="dxa" w:w="1560"/>
          </w:tcPr>
          <w:p>
            <w:r/>
            <w:r>
              <w:rPr>
                <w:rFonts w:ascii="Times New Roman" w:hAnsi="Times New Roman" w:cs="Times New Roman" w:eastAsia="Times New Roman"/>
                <w:b w:val="0"/>
                <w:i w:val="0"/>
                <w:sz w:val="22"/>
              </w:rPr>
              <w:t>SMC b</w:t>
            </w:r>
          </w:p>
        </w:tc>
        <w:tc>
          <w:tcPr>
            <w:tcW w:type="dxa" w:w="1560"/>
          </w:tcPr>
          <w:p>
            <w:r/>
            <w:r>
              <w:rPr>
                <w:rFonts w:ascii="Times New Roman" w:hAnsi="Times New Roman" w:cs="Times New Roman" w:eastAsia="Times New Roman"/>
                <w:b w:val="0"/>
                <w:i w:val="0"/>
                <w:sz w:val="22"/>
              </w:rPr>
              <w:t>2.6 ± 0.62</w:t>
            </w:r>
          </w:p>
        </w:tc>
        <w:tc>
          <w:tcPr>
            <w:tcW w:type="dxa" w:w="1560"/>
          </w:tcPr>
          <w:p>
            <w:r/>
            <w:r>
              <w:rPr>
                <w:rFonts w:ascii="Times New Roman" w:hAnsi="Times New Roman" w:cs="Times New Roman" w:eastAsia="Times New Roman"/>
                <w:b w:val="0"/>
                <w:i w:val="0"/>
                <w:sz w:val="22"/>
              </w:rPr>
              <w:t>8.0 ± 1.1</w:t>
            </w:r>
          </w:p>
        </w:tc>
        <w:tc>
          <w:tcPr>
            <w:tcW w:type="dxa" w:w="1560"/>
          </w:tcPr>
          <w:p>
            <w:r/>
            <w:r>
              <w:rPr>
                <w:rFonts w:ascii="Times New Roman" w:hAnsi="Times New Roman" w:cs="Times New Roman" w:eastAsia="Times New Roman"/>
                <w:b w:val="0"/>
                <w:i w:val="0"/>
                <w:sz w:val="22"/>
              </w:rPr>
              <w:t>41 ± 5.3</w:t>
            </w:r>
          </w:p>
        </w:tc>
        <w:tc>
          <w:tcPr>
            <w:tcW w:type="dxa" w:w="1560"/>
          </w:tcPr>
          <w:p>
            <w:r/>
            <w:r>
              <w:rPr>
                <w:rFonts w:ascii="Times New Roman" w:hAnsi="Times New Roman" w:cs="Times New Roman" w:eastAsia="Times New Roman"/>
                <w:b w:val="0"/>
                <w:i w:val="0"/>
                <w:sz w:val="22"/>
              </w:rPr>
              <w:t>95.5</w:t>
            </w:r>
          </w:p>
        </w:tc>
      </w:tr>
      <w:tr>
        <w:tc>
          <w:tcPr>
            <w:tcW w:type="dxa" w:w="1560"/>
          </w:tcPr>
          <w:p>
            <w:r/>
            <w:r>
              <w:rPr>
                <w:rFonts w:ascii="Times New Roman" w:hAnsi="Times New Roman" w:cs="Times New Roman" w:eastAsia="Times New Roman"/>
                <w:b w:val="0"/>
                <w:i w:val="0"/>
                <w:sz w:val="22"/>
              </w:rPr>
            </w:r>
          </w:p>
        </w:tc>
        <w:tc>
          <w:tcPr>
            <w:tcW w:type="dxa" w:w="1560"/>
          </w:tcPr>
          <w:p>
            <w:r/>
            <w:r>
              <w:rPr>
                <w:rFonts w:ascii="Times New Roman" w:hAnsi="Times New Roman" w:cs="Times New Roman" w:eastAsia="Times New Roman"/>
                <w:b w:val="0"/>
                <w:i w:val="0"/>
                <w:sz w:val="22"/>
              </w:rPr>
              <w:t>SAC b</w:t>
            </w:r>
          </w:p>
        </w:tc>
        <w:tc>
          <w:tcPr>
            <w:tcW w:type="dxa" w:w="1560"/>
          </w:tcPr>
          <w:p>
            <w:r/>
            <w:r>
              <w:rPr>
                <w:rFonts w:ascii="Times New Roman" w:hAnsi="Times New Roman" w:cs="Times New Roman" w:eastAsia="Times New Roman"/>
                <w:b w:val="0"/>
                <w:i w:val="0"/>
                <w:sz w:val="22"/>
              </w:rPr>
              <w:t>2.1 ± 0.14</w:t>
            </w:r>
          </w:p>
        </w:tc>
        <w:tc>
          <w:tcPr>
            <w:tcW w:type="dxa" w:w="1560"/>
          </w:tcPr>
          <w:p>
            <w:r/>
            <w:r>
              <w:rPr>
                <w:rFonts w:ascii="Times New Roman" w:hAnsi="Times New Roman" w:cs="Times New Roman" w:eastAsia="Times New Roman"/>
                <w:b w:val="0"/>
                <w:i w:val="0"/>
                <w:sz w:val="22"/>
              </w:rPr>
              <w:t>12 ± 1.2</w:t>
            </w:r>
          </w:p>
        </w:tc>
        <w:tc>
          <w:tcPr>
            <w:tcW w:type="dxa" w:w="1560"/>
          </w:tcPr>
          <w:p>
            <w:r/>
            <w:r>
              <w:rPr>
                <w:rFonts w:ascii="Times New Roman" w:hAnsi="Times New Roman" w:cs="Times New Roman" w:eastAsia="Times New Roman"/>
                <w:b w:val="0"/>
                <w:i w:val="0"/>
                <w:sz w:val="22"/>
              </w:rPr>
              <w:t>39 ± 3.5</w:t>
            </w:r>
          </w:p>
        </w:tc>
        <w:tc>
          <w:tcPr>
            <w:tcW w:type="dxa" w:w="1560"/>
          </w:tcPr>
          <w:p>
            <w:r/>
            <w:r>
              <w:rPr>
                <w:rFonts w:ascii="Times New Roman" w:hAnsi="Times New Roman" w:cs="Times New Roman" w:eastAsia="Times New Roman"/>
                <w:b w:val="0"/>
                <w:i w:val="0"/>
                <w:sz w:val="22"/>
              </w:rPr>
              <w:t>92.0</w:t>
            </w:r>
          </w:p>
        </w:tc>
      </w:tr>
      <w:tr>
        <w:tc>
          <w:tcPr>
            <w:tcW w:type="dxa" w:w="1560"/>
          </w:tcPr>
          <w:p>
            <w:r/>
            <w:r>
              <w:rPr>
                <w:rFonts w:ascii="Times New Roman" w:hAnsi="Times New Roman" w:cs="Times New Roman" w:eastAsia="Times New Roman"/>
                <w:b w:val="0"/>
                <w:i w:val="0"/>
                <w:sz w:val="22"/>
              </w:rPr>
            </w:r>
          </w:p>
        </w:tc>
        <w:tc>
          <w:tcPr>
            <w:tcW w:type="dxa" w:w="1560"/>
          </w:tcPr>
          <w:p>
            <w:r/>
            <w:r>
              <w:rPr>
                <w:rFonts w:ascii="Times New Roman" w:hAnsi="Times New Roman" w:cs="Times New Roman" w:eastAsia="Times New Roman"/>
                <w:b w:val="0"/>
                <w:i w:val="0"/>
                <w:sz w:val="22"/>
              </w:rPr>
              <w:t>S1PC b</w:t>
            </w:r>
          </w:p>
        </w:tc>
        <w:tc>
          <w:tcPr>
            <w:tcW w:type="dxa" w:w="1560"/>
          </w:tcPr>
          <w:p>
            <w:r/>
            <w:r>
              <w:rPr>
                <w:rFonts w:ascii="Times New Roman" w:hAnsi="Times New Roman" w:cs="Times New Roman" w:eastAsia="Times New Roman"/>
                <w:b w:val="0"/>
                <w:i w:val="0"/>
                <w:sz w:val="22"/>
              </w:rPr>
              <w:t>2.0 ± 0.22</w:t>
            </w:r>
          </w:p>
        </w:tc>
        <w:tc>
          <w:tcPr>
            <w:tcW w:type="dxa" w:w="1560"/>
          </w:tcPr>
          <w:p>
            <w:r/>
            <w:r>
              <w:rPr>
                <w:rFonts w:ascii="Times New Roman" w:hAnsi="Times New Roman" w:cs="Times New Roman" w:eastAsia="Times New Roman"/>
                <w:b w:val="0"/>
                <w:i w:val="0"/>
                <w:sz w:val="22"/>
              </w:rPr>
              <w:t>5.6 ± 0.58</w:t>
            </w:r>
          </w:p>
        </w:tc>
        <w:tc>
          <w:tcPr>
            <w:tcW w:type="dxa" w:w="1560"/>
          </w:tcPr>
          <w:p>
            <w:r/>
            <w:r>
              <w:rPr>
                <w:rFonts w:ascii="Times New Roman" w:hAnsi="Times New Roman" w:cs="Times New Roman" w:eastAsia="Times New Roman"/>
                <w:b w:val="0"/>
                <w:i w:val="0"/>
                <w:sz w:val="22"/>
              </w:rPr>
              <w:t>19 ± 2.4</w:t>
            </w:r>
          </w:p>
        </w:tc>
        <w:tc>
          <w:tcPr>
            <w:tcW w:type="dxa" w:w="1560"/>
          </w:tcPr>
          <w:p>
            <w:r/>
            <w:r>
              <w:rPr>
                <w:rFonts w:ascii="Times New Roman" w:hAnsi="Times New Roman" w:cs="Times New Roman" w:eastAsia="Times New Roman"/>
                <w:b w:val="0"/>
                <w:i w:val="0"/>
                <w:sz w:val="22"/>
              </w:rPr>
              <w:t>100</w:t>
            </w:r>
          </w:p>
        </w:tc>
      </w:tr>
    </w:tbl>
    <w:p>
      <w:pPr>
        <w:spacing w:after="80"/>
        <w:jc w:val="both"/>
      </w:pPr>
    </w:p>
    <w:p>
      <w:pPr>
        <w:keepNext/>
        <w:spacing w:before="280" w:after="80"/>
        <w:outlineLvl w:val="1"/>
      </w:pPr>
      <w:r>
        <w:rPr>
          <w:rFonts w:ascii="Times New Roman" w:hAnsi="Times New Roman" w:cs="Times New Roman" w:eastAsia="Times New Roman"/>
          <w:b/>
          <w:i w:val="0"/>
          <w:color w:val="335588"/>
          <w:sz w:val="28"/>
        </w:rPr>
        <w:t>B.9  PMC10821248 — Challenges and Advances in the Bioproduction of L-Cysteine</w:t>
      </w:r>
    </w:p>
    <w:p>
      <w:pPr>
        <w:keepNext/>
        <w:spacing w:before="160" w:after="40"/>
        <w:jc w:val="left"/>
      </w:pPr>
      <w:r>
        <w:rPr>
          <w:rFonts w:ascii="Times New Roman" w:hAnsi="Times New Roman" w:cs="Times New Roman" w:eastAsia="Times New Roman"/>
          <w:b/>
          <w:i w:val="0"/>
          <w:sz w:val="22"/>
        </w:rPr>
        <w:t>Reproduced verbatim from PMC10821248 Table 1 — Table 1 — Summary of metabolic engineering approaches increasing the fermentative L-cysteine production. The studies presented in this table are ordered by the</w:t>
      </w:r>
    </w:p>
    <w:tbl>
      <w:tblPr>
        <w:tblStyle w:val="TableGrid"/>
        <w:tblW w:type="auto" w:w="0"/>
        <w:tblLayout w:type="fixed"/>
        <w:tblLook w:firstColumn="1" w:firstRow="1" w:lastColumn="0" w:lastRow="0" w:noHBand="0" w:noVBand="1" w:val="04A0"/>
      </w:tblPr>
      <w:tblGrid>
        <w:gridCol w:w="1872"/>
        <w:gridCol w:w="1872"/>
        <w:gridCol w:w="1872"/>
        <w:gridCol w:w="1872"/>
        <w:gridCol w:w="1872"/>
      </w:tblGrid>
      <w:tr>
        <w:tc>
          <w:tcPr>
            <w:tcW w:type="dxa" w:w="1872"/>
            <w:shd w:fill="DDE4EF"/>
          </w:tcPr>
          <w:p>
            <w:r/>
            <w:r>
              <w:rPr>
                <w:rFonts w:ascii="Times New Roman" w:hAnsi="Times New Roman" w:cs="Times New Roman" w:eastAsia="Times New Roman"/>
                <w:b/>
                <w:i w:val="0"/>
                <w:sz w:val="22"/>
              </w:rPr>
              <w:t>Source</w:t>
            </w:r>
          </w:p>
        </w:tc>
        <w:tc>
          <w:tcPr>
            <w:tcW w:type="dxa" w:w="1872"/>
            <w:shd w:fill="DDE4EF"/>
          </w:tcPr>
          <w:p>
            <w:r/>
            <w:r>
              <w:rPr>
                <w:rFonts w:ascii="Times New Roman" w:hAnsi="Times New Roman" w:cs="Times New Roman" w:eastAsia="Times New Roman"/>
                <w:b/>
                <w:i w:val="0"/>
                <w:sz w:val="22"/>
              </w:rPr>
              <w:t>Organism</w:t>
            </w:r>
          </w:p>
        </w:tc>
        <w:tc>
          <w:tcPr>
            <w:tcW w:type="dxa" w:w="1872"/>
            <w:shd w:fill="DDE4EF"/>
          </w:tcPr>
          <w:p>
            <w:r/>
            <w:r>
              <w:rPr>
                <w:rFonts w:ascii="Times New Roman" w:hAnsi="Times New Roman" w:cs="Times New Roman" w:eastAsia="Times New Roman"/>
                <w:b/>
                <w:i w:val="0"/>
                <w:sz w:val="22"/>
              </w:rPr>
              <w:t>Method</w:t>
            </w:r>
          </w:p>
        </w:tc>
        <w:tc>
          <w:tcPr>
            <w:tcW w:type="dxa" w:w="1872"/>
            <w:shd w:fill="DDE4EF"/>
          </w:tcPr>
          <w:p>
            <w:r/>
            <w:r>
              <w:rPr>
                <w:rFonts w:ascii="Times New Roman" w:hAnsi="Times New Roman" w:cs="Times New Roman" w:eastAsia="Times New Roman"/>
                <w:b/>
                <w:i w:val="0"/>
                <w:sz w:val="22"/>
              </w:rPr>
              <w:t>Scale</w:t>
            </w:r>
          </w:p>
        </w:tc>
        <w:tc>
          <w:tcPr>
            <w:tcW w:type="dxa" w:w="1872"/>
            <w:shd w:fill="DDE4EF"/>
          </w:tcPr>
          <w:p>
            <w:r/>
            <w:r>
              <w:rPr>
                <w:rFonts w:ascii="Times New Roman" w:hAnsi="Times New Roman" w:cs="Times New Roman" w:eastAsia="Times New Roman"/>
                <w:b/>
                <w:i w:val="0"/>
                <w:sz w:val="22"/>
              </w:rPr>
              <w:t>L-Cysteine Concentration</w:t>
            </w:r>
          </w:p>
        </w:tc>
      </w:tr>
      <w:tr>
        <w:tc>
          <w:tcPr>
            <w:tcW w:type="dxa" w:w="1872"/>
          </w:tcPr>
          <w:p>
            <w:r/>
            <w:r>
              <w:rPr>
                <w:rFonts w:ascii="Times New Roman" w:hAnsi="Times New Roman" w:cs="Times New Roman" w:eastAsia="Times New Roman"/>
                <w:b w:val="0"/>
                <w:i w:val="0"/>
                <w:sz w:val="22"/>
              </w:rPr>
              <w:t>Enhancing biosynthesis of L-cysteine</w:t>
            </w:r>
          </w:p>
        </w:tc>
        <w:tc>
          <w:tcPr>
            <w:tcW w:type="dxa" w:w="1872"/>
          </w:tcPr>
          <w:p>
            <w:r/>
            <w:r>
              <w:rPr>
                <w:rFonts w:ascii="Times New Roman" w:hAnsi="Times New Roman" w:cs="Times New Roman" w:eastAsia="Times New Roman"/>
                <w:b w:val="0"/>
                <w:i w:val="0"/>
                <w:sz w:val="22"/>
              </w:rPr>
            </w:r>
          </w:p>
        </w:tc>
        <w:tc>
          <w:tcPr>
            <w:tcW w:type="dxa" w:w="1872"/>
          </w:tcPr>
          <w:p>
            <w:r/>
            <w:r>
              <w:rPr>
                <w:rFonts w:ascii="Times New Roman" w:hAnsi="Times New Roman" w:cs="Times New Roman" w:eastAsia="Times New Roman"/>
                <w:b w:val="0"/>
                <w:i w:val="0"/>
                <w:sz w:val="22"/>
              </w:rPr>
            </w:r>
          </w:p>
        </w:tc>
        <w:tc>
          <w:tcPr>
            <w:tcW w:type="dxa" w:w="1872"/>
          </w:tcPr>
          <w:p>
            <w:r/>
            <w:r>
              <w:rPr>
                <w:rFonts w:ascii="Times New Roman" w:hAnsi="Times New Roman" w:cs="Times New Roman" w:eastAsia="Times New Roman"/>
                <w:b w:val="0"/>
                <w:i w:val="0"/>
                <w:sz w:val="22"/>
              </w:rPr>
            </w:r>
          </w:p>
        </w:tc>
        <w:tc>
          <w:tcPr>
            <w:tcW w:type="dxa" w:w="1872"/>
          </w:tcPr>
          <w:p>
            <w:r/>
            <w:r>
              <w:rPr>
                <w:rFonts w:ascii="Times New Roman" w:hAnsi="Times New Roman" w:cs="Times New Roman" w:eastAsia="Times New Roman"/>
                <w:b w:val="0"/>
                <w:i w:val="0"/>
                <w:sz w:val="22"/>
              </w:rPr>
            </w:r>
          </w:p>
        </w:tc>
      </w:tr>
      <w:tr>
        <w:tc>
          <w:tcPr>
            <w:tcW w:type="dxa" w:w="1872"/>
          </w:tcPr>
          <w:p>
            <w:r/>
            <w:r>
              <w:rPr>
                <w:rFonts w:ascii="Times New Roman" w:hAnsi="Times New Roman" w:cs="Times New Roman" w:eastAsia="Times New Roman"/>
                <w:b w:val="0"/>
                <w:i w:val="0"/>
                <w:sz w:val="22"/>
              </w:rPr>
              <w:t>[ 28 ]</w:t>
            </w:r>
          </w:p>
        </w:tc>
        <w:tc>
          <w:tcPr>
            <w:tcW w:type="dxa" w:w="1872"/>
          </w:tcPr>
          <w:p>
            <w:r/>
            <w:r>
              <w:rPr>
                <w:rFonts w:ascii="Times New Roman" w:hAnsi="Times New Roman" w:cs="Times New Roman" w:eastAsia="Times New Roman"/>
                <w:b w:val="0"/>
                <w:i w:val="0"/>
                <w:sz w:val="22"/>
              </w:rPr>
              <w:t>E. coli JM39-8</w:t>
            </w:r>
          </w:p>
        </w:tc>
        <w:tc>
          <w:tcPr>
            <w:tcW w:type="dxa" w:w="1872"/>
          </w:tcPr>
          <w:p>
            <w:r/>
            <w:r>
              <w:rPr>
                <w:rFonts w:ascii="Times New Roman" w:hAnsi="Times New Roman" w:cs="Times New Roman" w:eastAsia="Times New Roman"/>
                <w:b w:val="0"/>
                <w:i w:val="0"/>
                <w:sz w:val="22"/>
              </w:rPr>
              <w:t>Feedback inhibition-insensitive SAT from site-directed mutagenesis</w:t>
            </w:r>
          </w:p>
        </w:tc>
        <w:tc>
          <w:tcPr>
            <w:tcW w:type="dxa" w:w="1872"/>
          </w:tcPr>
          <w:p>
            <w:r/>
            <w:r>
              <w:rPr>
                <w:rFonts w:ascii="Times New Roman" w:hAnsi="Times New Roman" w:cs="Times New Roman" w:eastAsia="Times New Roman"/>
                <w:b w:val="0"/>
                <w:i w:val="0"/>
                <w:sz w:val="22"/>
              </w:rPr>
              <w:t>Shake flasks, 72 h</w:t>
            </w:r>
          </w:p>
        </w:tc>
        <w:tc>
          <w:tcPr>
            <w:tcW w:type="dxa" w:w="1872"/>
          </w:tcPr>
          <w:p>
            <w:r/>
            <w:r>
              <w:rPr>
                <w:rFonts w:ascii="Times New Roman" w:hAnsi="Times New Roman" w:cs="Times New Roman" w:eastAsia="Times New Roman"/>
                <w:b w:val="0"/>
                <w:i w:val="0"/>
                <w:sz w:val="22"/>
              </w:rPr>
              <w:t>0.79 g L −1</w:t>
            </w:r>
          </w:p>
        </w:tc>
      </w:tr>
      <w:tr>
        <w:tc>
          <w:tcPr>
            <w:tcW w:type="dxa" w:w="1872"/>
          </w:tcPr>
          <w:p>
            <w:r/>
            <w:r>
              <w:rPr>
                <w:rFonts w:ascii="Times New Roman" w:hAnsi="Times New Roman" w:cs="Times New Roman" w:eastAsia="Times New Roman"/>
                <w:b w:val="0"/>
                <w:i w:val="0"/>
                <w:sz w:val="22"/>
              </w:rPr>
              <w:t>[ 30 ]</w:t>
            </w:r>
          </w:p>
        </w:tc>
        <w:tc>
          <w:tcPr>
            <w:tcW w:type="dxa" w:w="1872"/>
          </w:tcPr>
          <w:p>
            <w:r/>
            <w:r>
              <w:rPr>
                <w:rFonts w:ascii="Times New Roman" w:hAnsi="Times New Roman" w:cs="Times New Roman" w:eastAsia="Times New Roman"/>
                <w:b w:val="0"/>
                <w:i w:val="0"/>
                <w:sz w:val="22"/>
              </w:rPr>
              <w:t>E. coli JM39-8</w:t>
            </w:r>
          </w:p>
        </w:tc>
        <w:tc>
          <w:tcPr>
            <w:tcW w:type="dxa" w:w="1872"/>
          </w:tcPr>
          <w:p>
            <w:r/>
            <w:r>
              <w:rPr>
                <w:rFonts w:ascii="Times New Roman" w:hAnsi="Times New Roman" w:cs="Times New Roman" w:eastAsia="Times New Roman"/>
                <w:b w:val="0"/>
                <w:i w:val="0"/>
                <w:sz w:val="22"/>
              </w:rPr>
              <w:t>Insensitive SAT from Arabidopsis thaliana</w:t>
            </w:r>
          </w:p>
        </w:tc>
        <w:tc>
          <w:tcPr>
            <w:tcW w:type="dxa" w:w="1872"/>
          </w:tcPr>
          <w:p>
            <w:r/>
            <w:r>
              <w:rPr>
                <w:rFonts w:ascii="Times New Roman" w:hAnsi="Times New Roman" w:cs="Times New Roman" w:eastAsia="Times New Roman"/>
                <w:b w:val="0"/>
                <w:i w:val="0"/>
                <w:sz w:val="22"/>
              </w:rPr>
              <w:t>Shake flasks, 96 h</w:t>
            </w:r>
          </w:p>
        </w:tc>
        <w:tc>
          <w:tcPr>
            <w:tcW w:type="dxa" w:w="1872"/>
          </w:tcPr>
          <w:p>
            <w:r/>
            <w:r>
              <w:rPr>
                <w:rFonts w:ascii="Times New Roman" w:hAnsi="Times New Roman" w:cs="Times New Roman" w:eastAsia="Times New Roman"/>
                <w:b w:val="0"/>
                <w:i w:val="0"/>
                <w:sz w:val="22"/>
              </w:rPr>
              <w:t>1.66 g L −1</w:t>
            </w:r>
          </w:p>
        </w:tc>
      </w:tr>
      <w:tr>
        <w:tc>
          <w:tcPr>
            <w:tcW w:type="dxa" w:w="1872"/>
          </w:tcPr>
          <w:p>
            <w:r/>
            <w:r>
              <w:rPr>
                <w:rFonts w:ascii="Times New Roman" w:hAnsi="Times New Roman" w:cs="Times New Roman" w:eastAsia="Times New Roman"/>
                <w:b w:val="0"/>
                <w:i w:val="0"/>
                <w:sz w:val="22"/>
              </w:rPr>
              <w:t>[ 31 ]</w:t>
            </w:r>
          </w:p>
        </w:tc>
        <w:tc>
          <w:tcPr>
            <w:tcW w:type="dxa" w:w="1872"/>
          </w:tcPr>
          <w:p>
            <w:r/>
            <w:r>
              <w:rPr>
                <w:rFonts w:ascii="Times New Roman" w:hAnsi="Times New Roman" w:cs="Times New Roman" w:eastAsia="Times New Roman"/>
                <w:b w:val="0"/>
                <w:i w:val="0"/>
                <w:sz w:val="22"/>
              </w:rPr>
              <w:t>E. coli MW1</w:t>
            </w:r>
          </w:p>
        </w:tc>
        <w:tc>
          <w:tcPr>
            <w:tcW w:type="dxa" w:w="1872"/>
          </w:tcPr>
          <w:p>
            <w:r/>
            <w:r>
              <w:rPr>
                <w:rFonts w:ascii="Times New Roman" w:hAnsi="Times New Roman" w:cs="Times New Roman" w:eastAsia="Times New Roman"/>
                <w:b w:val="0"/>
                <w:i w:val="0"/>
                <w:sz w:val="22"/>
              </w:rPr>
              <w:t>Insensitive SAT from Nicotiana tabacum</w:t>
            </w:r>
          </w:p>
        </w:tc>
        <w:tc>
          <w:tcPr>
            <w:tcW w:type="dxa" w:w="1872"/>
          </w:tcPr>
          <w:p>
            <w:r/>
            <w:r>
              <w:rPr>
                <w:rFonts w:ascii="Times New Roman" w:hAnsi="Times New Roman" w:cs="Times New Roman" w:eastAsia="Times New Roman"/>
                <w:b w:val="0"/>
                <w:i w:val="0"/>
                <w:sz w:val="22"/>
              </w:rPr>
              <w:t>Shake flasks, 72 h</w:t>
            </w:r>
          </w:p>
        </w:tc>
        <w:tc>
          <w:tcPr>
            <w:tcW w:type="dxa" w:w="1872"/>
          </w:tcPr>
          <w:p>
            <w:r/>
            <w:r>
              <w:rPr>
                <w:rFonts w:ascii="Times New Roman" w:hAnsi="Times New Roman" w:cs="Times New Roman" w:eastAsia="Times New Roman"/>
                <w:b w:val="0"/>
                <w:i w:val="0"/>
                <w:sz w:val="22"/>
              </w:rPr>
              <w:t>0.30 g L −1</w:t>
            </w:r>
          </w:p>
        </w:tc>
      </w:tr>
      <w:tr>
        <w:tc>
          <w:tcPr>
            <w:tcW w:type="dxa" w:w="1872"/>
          </w:tcPr>
          <w:p>
            <w:r/>
            <w:r>
              <w:rPr>
                <w:rFonts w:ascii="Times New Roman" w:hAnsi="Times New Roman" w:cs="Times New Roman" w:eastAsia="Times New Roman"/>
                <w:b w:val="0"/>
                <w:i w:val="0"/>
                <w:sz w:val="22"/>
              </w:rPr>
              <w:t>[ 6 ]</w:t>
            </w:r>
          </w:p>
        </w:tc>
        <w:tc>
          <w:tcPr>
            <w:tcW w:type="dxa" w:w="1872"/>
          </w:tcPr>
          <w:p>
            <w:r/>
            <w:r>
              <w:rPr>
                <w:rFonts w:ascii="Times New Roman" w:hAnsi="Times New Roman" w:cs="Times New Roman" w:eastAsia="Times New Roman"/>
                <w:b w:val="0"/>
                <w:i w:val="0"/>
                <w:sz w:val="22"/>
              </w:rPr>
              <w:t>P. ananatis</w:t>
            </w:r>
          </w:p>
        </w:tc>
        <w:tc>
          <w:tcPr>
            <w:tcW w:type="dxa" w:w="1872"/>
          </w:tcPr>
          <w:p>
            <w:r/>
            <w:r>
              <w:rPr>
                <w:rFonts w:ascii="Times New Roman" w:hAnsi="Times New Roman" w:cs="Times New Roman" w:eastAsia="Times New Roman"/>
                <w:b w:val="0"/>
                <w:i w:val="0"/>
                <w:sz w:val="22"/>
              </w:rPr>
              <w:t>Insensitive SAT with L-cysteine efflux pump</w:t>
            </w:r>
          </w:p>
        </w:tc>
        <w:tc>
          <w:tcPr>
            <w:tcW w:type="dxa" w:w="1872"/>
          </w:tcPr>
          <w:p>
            <w:r/>
            <w:r>
              <w:rPr>
                <w:rFonts w:ascii="Times New Roman" w:hAnsi="Times New Roman" w:cs="Times New Roman" w:eastAsia="Times New Roman"/>
                <w:b w:val="0"/>
                <w:i w:val="0"/>
                <w:sz w:val="22"/>
              </w:rPr>
              <w:t>Test tubes, 24 h</w:t>
            </w:r>
          </w:p>
        </w:tc>
        <w:tc>
          <w:tcPr>
            <w:tcW w:type="dxa" w:w="1872"/>
          </w:tcPr>
          <w:p>
            <w:r/>
            <w:r>
              <w:rPr>
                <w:rFonts w:ascii="Times New Roman" w:hAnsi="Times New Roman" w:cs="Times New Roman" w:eastAsia="Times New Roman"/>
                <w:b w:val="0"/>
                <w:i w:val="0"/>
                <w:sz w:val="22"/>
              </w:rPr>
              <w:t>0.90 g L −1</w:t>
            </w:r>
          </w:p>
        </w:tc>
      </w:tr>
      <w:tr>
        <w:tc>
          <w:tcPr>
            <w:tcW w:type="dxa" w:w="1872"/>
          </w:tcPr>
          <w:p>
            <w:r/>
            <w:r>
              <w:rPr>
                <w:rFonts w:ascii="Times New Roman" w:hAnsi="Times New Roman" w:cs="Times New Roman" w:eastAsia="Times New Roman"/>
                <w:b w:val="0"/>
                <w:i w:val="0"/>
                <w:sz w:val="22"/>
              </w:rPr>
              <w:t>[ 36 ]</w:t>
            </w:r>
          </w:p>
        </w:tc>
        <w:tc>
          <w:tcPr>
            <w:tcW w:type="dxa" w:w="1872"/>
          </w:tcPr>
          <w:p>
            <w:r/>
            <w:r>
              <w:rPr>
                <w:rFonts w:ascii="Times New Roman" w:hAnsi="Times New Roman" w:cs="Times New Roman" w:eastAsia="Times New Roman"/>
                <w:b w:val="0"/>
                <w:i w:val="0"/>
                <w:sz w:val="22"/>
              </w:rPr>
              <w:t>C. glutamicum</w:t>
            </w:r>
          </w:p>
        </w:tc>
        <w:tc>
          <w:tcPr>
            <w:tcW w:type="dxa" w:w="1872"/>
          </w:tcPr>
          <w:p>
            <w:r/>
            <w:r>
              <w:rPr>
                <w:rFonts w:ascii="Times New Roman" w:hAnsi="Times New Roman" w:cs="Times New Roman" w:eastAsia="Times New Roman"/>
                <w:b w:val="0"/>
                <w:i w:val="0"/>
                <w:sz w:val="22"/>
              </w:rPr>
              <w:t>Overexpression of native SAT, OAS, and transcription regulator</w:t>
            </w:r>
          </w:p>
        </w:tc>
        <w:tc>
          <w:tcPr>
            <w:tcW w:type="dxa" w:w="1872"/>
          </w:tcPr>
          <w:p>
            <w:r/>
            <w:r>
              <w:rPr>
                <w:rFonts w:ascii="Times New Roman" w:hAnsi="Times New Roman" w:cs="Times New Roman" w:eastAsia="Times New Roman"/>
                <w:b w:val="0"/>
                <w:i w:val="0"/>
                <w:sz w:val="22"/>
              </w:rPr>
              <w:t>Shake flasks, 15 h</w:t>
            </w:r>
          </w:p>
        </w:tc>
        <w:tc>
          <w:tcPr>
            <w:tcW w:type="dxa" w:w="1872"/>
          </w:tcPr>
          <w:p>
            <w:r/>
            <w:r>
              <w:rPr>
                <w:rFonts w:ascii="Times New Roman" w:hAnsi="Times New Roman" w:cs="Times New Roman" w:eastAsia="Times New Roman"/>
                <w:b w:val="0"/>
                <w:i w:val="0"/>
                <w:sz w:val="22"/>
              </w:rPr>
              <w:t>0.06 g L −1</w:t>
            </w:r>
          </w:p>
        </w:tc>
      </w:tr>
      <w:tr>
        <w:tc>
          <w:tcPr>
            <w:tcW w:type="dxa" w:w="1872"/>
          </w:tcPr>
          <w:p>
            <w:r/>
            <w:r>
              <w:rPr>
                <w:rFonts w:ascii="Times New Roman" w:hAnsi="Times New Roman" w:cs="Times New Roman" w:eastAsia="Times New Roman"/>
                <w:b w:val="0"/>
                <w:i w:val="0"/>
                <w:sz w:val="22"/>
              </w:rPr>
              <w:t>[ 7 ]</w:t>
            </w:r>
          </w:p>
        </w:tc>
        <w:tc>
          <w:tcPr>
            <w:tcW w:type="dxa" w:w="1872"/>
          </w:tcPr>
          <w:p>
            <w:r/>
            <w:r>
              <w:rPr>
                <w:rFonts w:ascii="Times New Roman" w:hAnsi="Times New Roman" w:cs="Times New Roman" w:eastAsia="Times New Roman"/>
                <w:b w:val="0"/>
                <w:i w:val="0"/>
                <w:sz w:val="22"/>
              </w:rPr>
              <w:t>C. glutamicum</w:t>
            </w:r>
          </w:p>
        </w:tc>
        <w:tc>
          <w:tcPr>
            <w:tcW w:type="dxa" w:w="1872"/>
          </w:tcPr>
          <w:p>
            <w:r/>
            <w:r>
              <w:rPr>
                <w:rFonts w:ascii="Times New Roman" w:hAnsi="Times New Roman" w:cs="Times New Roman" w:eastAsia="Times New Roman"/>
                <w:b w:val="0"/>
                <w:i w:val="0"/>
                <w:sz w:val="22"/>
              </w:rPr>
              <w:t>Insensitive SAT, deletion of CD, and increased transport</w:t>
            </w:r>
          </w:p>
        </w:tc>
        <w:tc>
          <w:tcPr>
            <w:tcW w:type="dxa" w:w="1872"/>
          </w:tcPr>
          <w:p>
            <w:r/>
            <w:r>
              <w:rPr>
                <w:rFonts w:ascii="Times New Roman" w:hAnsi="Times New Roman" w:cs="Times New Roman" w:eastAsia="Times New Roman"/>
                <w:b w:val="0"/>
                <w:i w:val="0"/>
                <w:sz w:val="22"/>
              </w:rPr>
              <w:t>Shake flasks, 48 h</w:t>
            </w:r>
          </w:p>
        </w:tc>
        <w:tc>
          <w:tcPr>
            <w:tcW w:type="dxa" w:w="1872"/>
          </w:tcPr>
          <w:p>
            <w:r/>
            <w:r>
              <w:rPr>
                <w:rFonts w:ascii="Times New Roman" w:hAnsi="Times New Roman" w:cs="Times New Roman" w:eastAsia="Times New Roman"/>
                <w:b w:val="0"/>
                <w:i w:val="0"/>
                <w:sz w:val="22"/>
              </w:rPr>
              <w:t>0.95 g L −1</w:t>
            </w:r>
          </w:p>
        </w:tc>
      </w:tr>
      <w:tr>
        <w:tc>
          <w:tcPr>
            <w:tcW w:type="dxa" w:w="1872"/>
          </w:tcPr>
          <w:p>
            <w:r/>
            <w:r>
              <w:rPr>
                <w:rFonts w:ascii="Times New Roman" w:hAnsi="Times New Roman" w:cs="Times New Roman" w:eastAsia="Times New Roman"/>
                <w:b w:val="0"/>
                <w:i w:val="0"/>
                <w:sz w:val="22"/>
              </w:rPr>
              <w:t>[ 37 ]</w:t>
            </w:r>
          </w:p>
        </w:tc>
        <w:tc>
          <w:tcPr>
            <w:tcW w:type="dxa" w:w="1872"/>
          </w:tcPr>
          <w:p>
            <w:r/>
            <w:r>
              <w:rPr>
                <w:rFonts w:ascii="Times New Roman" w:hAnsi="Times New Roman" w:cs="Times New Roman" w:eastAsia="Times New Roman"/>
                <w:b w:val="0"/>
                <w:i w:val="0"/>
                <w:sz w:val="22"/>
              </w:rPr>
              <w:t>C. glutamicum</w:t>
            </w:r>
          </w:p>
        </w:tc>
        <w:tc>
          <w:tcPr>
            <w:tcW w:type="dxa" w:w="1872"/>
          </w:tcPr>
          <w:p>
            <w:r/>
            <w:r>
              <w:rPr>
                <w:rFonts w:ascii="Times New Roman" w:hAnsi="Times New Roman" w:cs="Times New Roman" w:eastAsia="Times New Roman"/>
                <w:b w:val="0"/>
                <w:i w:val="0"/>
                <w:sz w:val="22"/>
              </w:rPr>
              <w:t>Overexpression of SAT and PGDH with disruption of CD and L-cysteine import</w:t>
            </w:r>
          </w:p>
        </w:tc>
        <w:tc>
          <w:tcPr>
            <w:tcW w:type="dxa" w:w="1872"/>
          </w:tcPr>
          <w:p>
            <w:r/>
            <w:r>
              <w:rPr>
                <w:rFonts w:ascii="Times New Roman" w:hAnsi="Times New Roman" w:cs="Times New Roman" w:eastAsia="Times New Roman"/>
                <w:b w:val="0"/>
                <w:i w:val="0"/>
                <w:sz w:val="22"/>
              </w:rPr>
              <w:t>Shake flasks, 12 h</w:t>
            </w:r>
          </w:p>
        </w:tc>
        <w:tc>
          <w:tcPr>
            <w:tcW w:type="dxa" w:w="1872"/>
          </w:tcPr>
          <w:p>
            <w:r/>
            <w:r>
              <w:rPr>
                <w:rFonts w:ascii="Times New Roman" w:hAnsi="Times New Roman" w:cs="Times New Roman" w:eastAsia="Times New Roman"/>
                <w:b w:val="0"/>
                <w:i w:val="0"/>
                <w:sz w:val="22"/>
              </w:rPr>
              <w:t>0.20 g L −1</w:t>
            </w:r>
          </w:p>
        </w:tc>
      </w:tr>
      <w:tr>
        <w:tc>
          <w:tcPr>
            <w:tcW w:type="dxa" w:w="1872"/>
          </w:tcPr>
          <w:p>
            <w:r/>
            <w:r>
              <w:rPr>
                <w:rFonts w:ascii="Times New Roman" w:hAnsi="Times New Roman" w:cs="Times New Roman" w:eastAsia="Times New Roman"/>
                <w:b w:val="0"/>
                <w:i w:val="0"/>
                <w:sz w:val="22"/>
              </w:rPr>
              <w:t>[ 13 ]</w:t>
            </w:r>
          </w:p>
        </w:tc>
        <w:tc>
          <w:tcPr>
            <w:tcW w:type="dxa" w:w="1872"/>
          </w:tcPr>
          <w:p>
            <w:r/>
            <w:r>
              <w:rPr>
                <w:rFonts w:ascii="Times New Roman" w:hAnsi="Times New Roman" w:cs="Times New Roman" w:eastAsia="Times New Roman"/>
                <w:b w:val="0"/>
                <w:i w:val="0"/>
                <w:sz w:val="22"/>
              </w:rPr>
              <w:t>E. coli</w:t>
            </w:r>
          </w:p>
        </w:tc>
        <w:tc>
          <w:tcPr>
            <w:tcW w:type="dxa" w:w="1872"/>
          </w:tcPr>
          <w:p>
            <w:r/>
            <w:r>
              <w:rPr>
                <w:rFonts w:ascii="Times New Roman" w:hAnsi="Times New Roman" w:cs="Times New Roman" w:eastAsia="Times New Roman"/>
                <w:b w:val="0"/>
                <w:i w:val="0"/>
                <w:sz w:val="22"/>
              </w:rPr>
              <w:t>Overexpression of PGDH, PSERT, and PSL</w:t>
            </w:r>
          </w:p>
        </w:tc>
        <w:tc>
          <w:tcPr>
            <w:tcW w:type="dxa" w:w="1872"/>
          </w:tcPr>
          <w:p>
            <w:r/>
            <w:r>
              <w:rPr>
                <w:rFonts w:ascii="Times New Roman" w:hAnsi="Times New Roman" w:cs="Times New Roman" w:eastAsia="Times New Roman"/>
                <w:b w:val="0"/>
                <w:i w:val="0"/>
                <w:sz w:val="22"/>
              </w:rPr>
              <w:t>Shake flasks, 48 h</w:t>
            </w:r>
          </w:p>
        </w:tc>
        <w:tc>
          <w:tcPr>
            <w:tcW w:type="dxa" w:w="1872"/>
          </w:tcPr>
          <w:p>
            <w:r/>
            <w:r>
              <w:rPr>
                <w:rFonts w:ascii="Times New Roman" w:hAnsi="Times New Roman" w:cs="Times New Roman" w:eastAsia="Times New Roman"/>
                <w:b w:val="0"/>
                <w:i w:val="0"/>
                <w:sz w:val="22"/>
              </w:rPr>
              <w:t>0.49 g L −1</w:t>
            </w:r>
          </w:p>
        </w:tc>
      </w:tr>
      <w:tr>
        <w:tc>
          <w:tcPr>
            <w:tcW w:type="dxa" w:w="1872"/>
          </w:tcPr>
          <w:p>
            <w:r/>
            <w:r>
              <w:rPr>
                <w:rFonts w:ascii="Times New Roman" w:hAnsi="Times New Roman" w:cs="Times New Roman" w:eastAsia="Times New Roman"/>
                <w:b w:val="0"/>
                <w:i w:val="0"/>
                <w:sz w:val="22"/>
              </w:rPr>
              <w:t>Weakening degradation of L-cysteine</w:t>
            </w:r>
          </w:p>
        </w:tc>
        <w:tc>
          <w:tcPr>
            <w:tcW w:type="dxa" w:w="1872"/>
          </w:tcPr>
          <w:p>
            <w:r/>
            <w:r>
              <w:rPr>
                <w:rFonts w:ascii="Times New Roman" w:hAnsi="Times New Roman" w:cs="Times New Roman" w:eastAsia="Times New Roman"/>
                <w:b w:val="0"/>
                <w:i w:val="0"/>
                <w:sz w:val="22"/>
              </w:rPr>
            </w:r>
          </w:p>
        </w:tc>
        <w:tc>
          <w:tcPr>
            <w:tcW w:type="dxa" w:w="1872"/>
          </w:tcPr>
          <w:p>
            <w:r/>
            <w:r>
              <w:rPr>
                <w:rFonts w:ascii="Times New Roman" w:hAnsi="Times New Roman" w:cs="Times New Roman" w:eastAsia="Times New Roman"/>
                <w:b w:val="0"/>
                <w:i w:val="0"/>
                <w:sz w:val="22"/>
              </w:rPr>
            </w:r>
          </w:p>
        </w:tc>
        <w:tc>
          <w:tcPr>
            <w:tcW w:type="dxa" w:w="1872"/>
          </w:tcPr>
          <w:p>
            <w:r/>
            <w:r>
              <w:rPr>
                <w:rFonts w:ascii="Times New Roman" w:hAnsi="Times New Roman" w:cs="Times New Roman" w:eastAsia="Times New Roman"/>
                <w:b w:val="0"/>
                <w:i w:val="0"/>
                <w:sz w:val="22"/>
              </w:rPr>
            </w:r>
          </w:p>
        </w:tc>
        <w:tc>
          <w:tcPr>
            <w:tcW w:type="dxa" w:w="1872"/>
          </w:tcPr>
          <w:p>
            <w:r/>
            <w:r>
              <w:rPr>
                <w:rFonts w:ascii="Times New Roman" w:hAnsi="Times New Roman" w:cs="Times New Roman" w:eastAsia="Times New Roman"/>
                <w:b w:val="0"/>
                <w:i w:val="0"/>
                <w:sz w:val="22"/>
              </w:rPr>
            </w:r>
          </w:p>
        </w:tc>
      </w:tr>
      <w:tr>
        <w:tc>
          <w:tcPr>
            <w:tcW w:type="dxa" w:w="1872"/>
          </w:tcPr>
          <w:p>
            <w:r/>
            <w:r>
              <w:rPr>
                <w:rFonts w:ascii="Times New Roman" w:hAnsi="Times New Roman" w:cs="Times New Roman" w:eastAsia="Times New Roman"/>
                <w:b w:val="0"/>
                <w:i w:val="0"/>
                <w:sz w:val="22"/>
              </w:rPr>
              <w:t>[ 41 ]</w:t>
            </w:r>
          </w:p>
        </w:tc>
        <w:tc>
          <w:tcPr>
            <w:tcW w:type="dxa" w:w="1872"/>
          </w:tcPr>
          <w:p>
            <w:r/>
            <w:r>
              <w:rPr>
                <w:rFonts w:ascii="Times New Roman" w:hAnsi="Times New Roman" w:cs="Times New Roman" w:eastAsia="Times New Roman"/>
                <w:b w:val="0"/>
                <w:i w:val="0"/>
                <w:sz w:val="22"/>
              </w:rPr>
              <w:t>C. glutamicum</w:t>
            </w:r>
          </w:p>
        </w:tc>
        <w:tc>
          <w:tcPr>
            <w:tcW w:type="dxa" w:w="1872"/>
          </w:tcPr>
          <w:p>
            <w:r/>
            <w:r>
              <w:rPr>
                <w:rFonts w:ascii="Times New Roman" w:hAnsi="Times New Roman" w:cs="Times New Roman" w:eastAsia="Times New Roman"/>
                <w:b w:val="0"/>
                <w:i w:val="0"/>
                <w:sz w:val="22"/>
              </w:rPr>
              <w:t>Disruption of aecD gene (CD)</w:t>
            </w:r>
          </w:p>
        </w:tc>
        <w:tc>
          <w:tcPr>
            <w:tcW w:type="dxa" w:w="1872"/>
          </w:tcPr>
          <w:p>
            <w:r/>
            <w:r>
              <w:rPr>
                <w:rFonts w:ascii="Times New Roman" w:hAnsi="Times New Roman" w:cs="Times New Roman" w:eastAsia="Times New Roman"/>
                <w:b w:val="0"/>
                <w:i w:val="0"/>
                <w:sz w:val="22"/>
              </w:rPr>
              <w:t>Shake flasks, 72 h</w:t>
            </w:r>
          </w:p>
        </w:tc>
        <w:tc>
          <w:tcPr>
            <w:tcW w:type="dxa" w:w="1872"/>
          </w:tcPr>
          <w:p>
            <w:r/>
            <w:r>
              <w:rPr>
                <w:rFonts w:ascii="Times New Roman" w:hAnsi="Times New Roman" w:cs="Times New Roman" w:eastAsia="Times New Roman"/>
                <w:b w:val="0"/>
                <w:i w:val="0"/>
                <w:sz w:val="22"/>
              </w:rPr>
              <w:t>0.29 g L −1</w:t>
            </w:r>
          </w:p>
        </w:tc>
      </w:tr>
      <w:tr>
        <w:tc>
          <w:tcPr>
            <w:tcW w:type="dxa" w:w="1872"/>
          </w:tcPr>
          <w:p>
            <w:r/>
            <w:r>
              <w:rPr>
                <w:rFonts w:ascii="Times New Roman" w:hAnsi="Times New Roman" w:cs="Times New Roman" w:eastAsia="Times New Roman"/>
                <w:b w:val="0"/>
                <w:i w:val="0"/>
                <w:sz w:val="22"/>
              </w:rPr>
              <w:t>[ 44 ]</w:t>
            </w:r>
          </w:p>
        </w:tc>
        <w:tc>
          <w:tcPr>
            <w:tcW w:type="dxa" w:w="1872"/>
          </w:tcPr>
          <w:p>
            <w:r/>
            <w:r>
              <w:rPr>
                <w:rFonts w:ascii="Times New Roman" w:hAnsi="Times New Roman" w:cs="Times New Roman" w:eastAsia="Times New Roman"/>
                <w:b w:val="0"/>
                <w:i w:val="0"/>
                <w:sz w:val="22"/>
              </w:rPr>
              <w:t>E. coli</w:t>
            </w:r>
          </w:p>
        </w:tc>
        <w:tc>
          <w:tcPr>
            <w:tcW w:type="dxa" w:w="1872"/>
          </w:tcPr>
          <w:p>
            <w:r/>
            <w:r>
              <w:rPr>
                <w:rFonts w:ascii="Times New Roman" w:hAnsi="Times New Roman" w:cs="Times New Roman" w:eastAsia="Times New Roman"/>
                <w:b w:val="0"/>
                <w:i w:val="0"/>
                <w:sz w:val="22"/>
              </w:rPr>
              <w:t>Disruption of TNase, CBL, OASS-A, OASS-B, and MalY</w:t>
            </w:r>
          </w:p>
        </w:tc>
        <w:tc>
          <w:tcPr>
            <w:tcW w:type="dxa" w:w="1872"/>
          </w:tcPr>
          <w:p>
            <w:r/>
            <w:r>
              <w:rPr>
                <w:rFonts w:ascii="Times New Roman" w:hAnsi="Times New Roman" w:cs="Times New Roman" w:eastAsia="Times New Roman"/>
                <w:b w:val="0"/>
                <w:i w:val="0"/>
                <w:sz w:val="22"/>
              </w:rPr>
              <w:t>Shake flasks, 72 h</w:t>
            </w:r>
          </w:p>
        </w:tc>
        <w:tc>
          <w:tcPr>
            <w:tcW w:type="dxa" w:w="1872"/>
          </w:tcPr>
          <w:p>
            <w:r/>
            <w:r>
              <w:rPr>
                <w:rFonts w:ascii="Times New Roman" w:hAnsi="Times New Roman" w:cs="Times New Roman" w:eastAsia="Times New Roman"/>
                <w:b w:val="0"/>
                <w:i w:val="0"/>
                <w:sz w:val="22"/>
              </w:rPr>
              <w:t>1.36 g L −1 (per OD 562 )</w:t>
            </w:r>
          </w:p>
        </w:tc>
      </w:tr>
      <w:tr>
        <w:tc>
          <w:tcPr>
            <w:tcW w:type="dxa" w:w="1872"/>
          </w:tcPr>
          <w:p>
            <w:r/>
            <w:r>
              <w:rPr>
                <w:rFonts w:ascii="Times New Roman" w:hAnsi="Times New Roman" w:cs="Times New Roman" w:eastAsia="Times New Roman"/>
                <w:b w:val="0"/>
                <w:i w:val="0"/>
                <w:sz w:val="22"/>
              </w:rPr>
              <w:t>[ 46 ]</w:t>
            </w:r>
          </w:p>
        </w:tc>
        <w:tc>
          <w:tcPr>
            <w:tcW w:type="dxa" w:w="1872"/>
          </w:tcPr>
          <w:p>
            <w:r/>
            <w:r>
              <w:rPr>
                <w:rFonts w:ascii="Times New Roman" w:hAnsi="Times New Roman" w:cs="Times New Roman" w:eastAsia="Times New Roman"/>
                <w:b w:val="0"/>
                <w:i w:val="0"/>
                <w:sz w:val="22"/>
              </w:rPr>
              <w:t>E. coli</w:t>
            </w:r>
          </w:p>
        </w:tc>
        <w:tc>
          <w:tcPr>
            <w:tcW w:type="dxa" w:w="1872"/>
          </w:tcPr>
          <w:p>
            <w:r/>
            <w:r>
              <w:rPr>
                <w:rFonts w:ascii="Times New Roman" w:hAnsi="Times New Roman" w:cs="Times New Roman" w:eastAsia="Times New Roman"/>
                <w:b w:val="0"/>
                <w:i w:val="0"/>
                <w:sz w:val="22"/>
              </w:rPr>
              <w:t>Disruption of the yciW gene</w:t>
            </w:r>
          </w:p>
        </w:tc>
        <w:tc>
          <w:tcPr>
            <w:tcW w:type="dxa" w:w="1872"/>
          </w:tcPr>
          <w:p>
            <w:r/>
            <w:r>
              <w:rPr>
                <w:rFonts w:ascii="Times New Roman" w:hAnsi="Times New Roman" w:cs="Times New Roman" w:eastAsia="Times New Roman"/>
                <w:b w:val="0"/>
                <w:i w:val="0"/>
                <w:sz w:val="22"/>
              </w:rPr>
              <w:t>Shake flasks, 72 h</w:t>
            </w:r>
          </w:p>
        </w:tc>
        <w:tc>
          <w:tcPr>
            <w:tcW w:type="dxa" w:w="1872"/>
          </w:tcPr>
          <w:p>
            <w:r/>
            <w:r>
              <w:rPr>
                <w:rFonts w:ascii="Times New Roman" w:hAnsi="Times New Roman" w:cs="Times New Roman" w:eastAsia="Times New Roman"/>
                <w:b w:val="0"/>
                <w:i w:val="0"/>
                <w:sz w:val="22"/>
              </w:rPr>
              <w:t>0.31 g L −1 (per OD 562 )</w:t>
            </w:r>
          </w:p>
        </w:tc>
      </w:tr>
      <w:tr>
        <w:tc>
          <w:tcPr>
            <w:tcW w:type="dxa" w:w="1872"/>
          </w:tcPr>
          <w:p>
            <w:r/>
            <w:r>
              <w:rPr>
                <w:rFonts w:ascii="Times New Roman" w:hAnsi="Times New Roman" w:cs="Times New Roman" w:eastAsia="Times New Roman"/>
                <w:b w:val="0"/>
                <w:i w:val="0"/>
                <w:sz w:val="22"/>
              </w:rPr>
              <w:t>[ 6 ]</w:t>
            </w:r>
          </w:p>
        </w:tc>
        <w:tc>
          <w:tcPr>
            <w:tcW w:type="dxa" w:w="1872"/>
          </w:tcPr>
          <w:p>
            <w:r/>
            <w:r>
              <w:rPr>
                <w:rFonts w:ascii="Times New Roman" w:hAnsi="Times New Roman" w:cs="Times New Roman" w:eastAsia="Times New Roman"/>
                <w:b w:val="0"/>
                <w:i w:val="0"/>
                <w:sz w:val="22"/>
              </w:rPr>
              <w:t>P. ananatis</w:t>
            </w:r>
          </w:p>
        </w:tc>
        <w:tc>
          <w:tcPr>
            <w:tcW w:type="dxa" w:w="1872"/>
          </w:tcPr>
          <w:p>
            <w:r/>
            <w:r>
              <w:rPr>
                <w:rFonts w:ascii="Times New Roman" w:hAnsi="Times New Roman" w:cs="Times New Roman" w:eastAsia="Times New Roman"/>
                <w:b w:val="0"/>
                <w:i w:val="0"/>
                <w:sz w:val="22"/>
              </w:rPr>
              <w:t>Deletion of CD ccdA</w:t>
            </w:r>
          </w:p>
        </w:tc>
        <w:tc>
          <w:tcPr>
            <w:tcW w:type="dxa" w:w="1872"/>
          </w:tcPr>
          <w:p>
            <w:r/>
            <w:r>
              <w:rPr>
                <w:rFonts w:ascii="Times New Roman" w:hAnsi="Times New Roman" w:cs="Times New Roman" w:eastAsia="Times New Roman"/>
                <w:b w:val="0"/>
                <w:i w:val="0"/>
                <w:sz w:val="22"/>
              </w:rPr>
              <w:t>Test tubes, 28 h</w:t>
            </w:r>
          </w:p>
        </w:tc>
        <w:tc>
          <w:tcPr>
            <w:tcW w:type="dxa" w:w="1872"/>
          </w:tcPr>
          <w:p>
            <w:r/>
            <w:r>
              <w:rPr>
                <w:rFonts w:ascii="Times New Roman" w:hAnsi="Times New Roman" w:cs="Times New Roman" w:eastAsia="Times New Roman"/>
                <w:b w:val="0"/>
                <w:i w:val="0"/>
                <w:sz w:val="22"/>
              </w:rPr>
              <w:t>0.52 g L −1</w:t>
            </w:r>
          </w:p>
        </w:tc>
      </w:tr>
      <w:tr>
        <w:tc>
          <w:tcPr>
            <w:tcW w:type="dxa" w:w="1872"/>
          </w:tcPr>
          <w:p>
            <w:r/>
            <w:r>
              <w:rPr>
                <w:rFonts w:ascii="Times New Roman" w:hAnsi="Times New Roman" w:cs="Times New Roman" w:eastAsia="Times New Roman"/>
                <w:b w:val="0"/>
                <w:i w:val="0"/>
                <w:sz w:val="22"/>
              </w:rPr>
              <w:t>[ 7 ]</w:t>
            </w:r>
          </w:p>
        </w:tc>
        <w:tc>
          <w:tcPr>
            <w:tcW w:type="dxa" w:w="1872"/>
          </w:tcPr>
          <w:p>
            <w:r/>
            <w:r>
              <w:rPr>
                <w:rFonts w:ascii="Times New Roman" w:hAnsi="Times New Roman" w:cs="Times New Roman" w:eastAsia="Times New Roman"/>
                <w:b w:val="0"/>
                <w:i w:val="0"/>
                <w:sz w:val="22"/>
              </w:rPr>
              <w:t>C. glutamicum</w:t>
            </w:r>
          </w:p>
        </w:tc>
        <w:tc>
          <w:tcPr>
            <w:tcW w:type="dxa" w:w="1872"/>
          </w:tcPr>
          <w:p>
            <w:r/>
            <w:r>
              <w:rPr>
                <w:rFonts w:ascii="Times New Roman" w:hAnsi="Times New Roman" w:cs="Times New Roman" w:eastAsia="Times New Roman"/>
                <w:b w:val="0"/>
                <w:i w:val="0"/>
                <w:sz w:val="22"/>
              </w:rPr>
              <w:t>Disruption of aecD (CD) and overexpression of insensitive SAT</w:t>
            </w:r>
          </w:p>
        </w:tc>
        <w:tc>
          <w:tcPr>
            <w:tcW w:type="dxa" w:w="1872"/>
          </w:tcPr>
          <w:p>
            <w:r/>
            <w:r>
              <w:rPr>
                <w:rFonts w:ascii="Times New Roman" w:hAnsi="Times New Roman" w:cs="Times New Roman" w:eastAsia="Times New Roman"/>
                <w:b w:val="0"/>
                <w:i w:val="0"/>
                <w:sz w:val="22"/>
              </w:rPr>
              <w:t>Shake flasks, 48 h</w:t>
            </w:r>
          </w:p>
        </w:tc>
        <w:tc>
          <w:tcPr>
            <w:tcW w:type="dxa" w:w="1872"/>
          </w:tcPr>
          <w:p>
            <w:r/>
            <w:r>
              <w:rPr>
                <w:rFonts w:ascii="Times New Roman" w:hAnsi="Times New Roman" w:cs="Times New Roman" w:eastAsia="Times New Roman"/>
                <w:b w:val="0"/>
                <w:i w:val="0"/>
                <w:sz w:val="22"/>
              </w:rPr>
              <w:t>0.35 g L −1</w:t>
            </w:r>
          </w:p>
        </w:tc>
      </w:tr>
      <w:tr>
        <w:tc>
          <w:tcPr>
            <w:tcW w:type="dxa" w:w="1872"/>
          </w:tcPr>
          <w:p>
            <w:r/>
            <w:r>
              <w:rPr>
                <w:rFonts w:ascii="Times New Roman" w:hAnsi="Times New Roman" w:cs="Times New Roman" w:eastAsia="Times New Roman"/>
                <w:b w:val="0"/>
                <w:i w:val="0"/>
                <w:sz w:val="22"/>
              </w:rPr>
              <w:t>Enhancing efflux of L-cysteine</w:t>
            </w:r>
          </w:p>
        </w:tc>
        <w:tc>
          <w:tcPr>
            <w:tcW w:type="dxa" w:w="1872"/>
          </w:tcPr>
          <w:p>
            <w:r/>
            <w:r>
              <w:rPr>
                <w:rFonts w:ascii="Times New Roman" w:hAnsi="Times New Roman" w:cs="Times New Roman" w:eastAsia="Times New Roman"/>
                <w:b w:val="0"/>
                <w:i w:val="0"/>
                <w:sz w:val="22"/>
              </w:rPr>
            </w:r>
          </w:p>
        </w:tc>
        <w:tc>
          <w:tcPr>
            <w:tcW w:type="dxa" w:w="1872"/>
          </w:tcPr>
          <w:p>
            <w:r/>
            <w:r>
              <w:rPr>
                <w:rFonts w:ascii="Times New Roman" w:hAnsi="Times New Roman" w:cs="Times New Roman" w:eastAsia="Times New Roman"/>
                <w:b w:val="0"/>
                <w:i w:val="0"/>
                <w:sz w:val="22"/>
              </w:rPr>
            </w:r>
          </w:p>
        </w:tc>
        <w:tc>
          <w:tcPr>
            <w:tcW w:type="dxa" w:w="1872"/>
          </w:tcPr>
          <w:p>
            <w:r/>
            <w:r>
              <w:rPr>
                <w:rFonts w:ascii="Times New Roman" w:hAnsi="Times New Roman" w:cs="Times New Roman" w:eastAsia="Times New Roman"/>
                <w:b w:val="0"/>
                <w:i w:val="0"/>
                <w:sz w:val="22"/>
              </w:rPr>
            </w:r>
          </w:p>
        </w:tc>
        <w:tc>
          <w:tcPr>
            <w:tcW w:type="dxa" w:w="1872"/>
          </w:tcPr>
          <w:p>
            <w:r/>
            <w:r>
              <w:rPr>
                <w:rFonts w:ascii="Times New Roman" w:hAnsi="Times New Roman" w:cs="Times New Roman" w:eastAsia="Times New Roman"/>
                <w:b w:val="0"/>
                <w:i w:val="0"/>
                <w:sz w:val="22"/>
              </w:rPr>
            </w:r>
          </w:p>
        </w:tc>
      </w:tr>
      <w:tr>
        <w:tc>
          <w:tcPr>
            <w:tcW w:type="dxa" w:w="1872"/>
          </w:tcPr>
          <w:p>
            <w:r/>
            <w:r>
              <w:rPr>
                <w:rFonts w:ascii="Times New Roman" w:hAnsi="Times New Roman" w:cs="Times New Roman" w:eastAsia="Times New Roman"/>
                <w:b w:val="0"/>
                <w:i w:val="0"/>
                <w:sz w:val="22"/>
              </w:rPr>
              <w:t>[ 51 ]</w:t>
            </w:r>
          </w:p>
        </w:tc>
        <w:tc>
          <w:tcPr>
            <w:tcW w:type="dxa" w:w="1872"/>
          </w:tcPr>
          <w:p>
            <w:r/>
            <w:r>
              <w:rPr>
                <w:rFonts w:ascii="Times New Roman" w:hAnsi="Times New Roman" w:cs="Times New Roman" w:eastAsia="Times New Roman"/>
                <w:b w:val="0"/>
                <w:i w:val="0"/>
                <w:sz w:val="22"/>
              </w:rPr>
              <w:t>E. coli</w:t>
            </w:r>
          </w:p>
        </w:tc>
        <w:tc>
          <w:tcPr>
            <w:tcW w:type="dxa" w:w="1872"/>
          </w:tcPr>
          <w:p>
            <w:r/>
            <w:r>
              <w:rPr>
                <w:rFonts w:ascii="Times New Roman" w:hAnsi="Times New Roman" w:cs="Times New Roman" w:eastAsia="Times New Roman"/>
                <w:b w:val="0"/>
                <w:i w:val="0"/>
                <w:sz w:val="22"/>
              </w:rPr>
              <w:t>Overexpression of exporter YdeD</w:t>
            </w:r>
          </w:p>
        </w:tc>
        <w:tc>
          <w:tcPr>
            <w:tcW w:type="dxa" w:w="1872"/>
          </w:tcPr>
          <w:p>
            <w:r/>
            <w:r>
              <w:rPr>
                <w:rFonts w:ascii="Times New Roman" w:hAnsi="Times New Roman" w:cs="Times New Roman" w:eastAsia="Times New Roman"/>
                <w:b w:val="0"/>
                <w:i w:val="0"/>
                <w:sz w:val="22"/>
              </w:rPr>
              <w:t>Shake flasks, 48 h</w:t>
            </w:r>
          </w:p>
        </w:tc>
        <w:tc>
          <w:tcPr>
            <w:tcW w:type="dxa" w:w="1872"/>
          </w:tcPr>
          <w:p>
            <w:r/>
            <w:r>
              <w:rPr>
                <w:rFonts w:ascii="Times New Roman" w:hAnsi="Times New Roman" w:cs="Times New Roman" w:eastAsia="Times New Roman"/>
                <w:b w:val="0"/>
                <w:i w:val="0"/>
                <w:sz w:val="22"/>
              </w:rPr>
              <w:t>0.07 g L −1</w:t>
            </w:r>
          </w:p>
        </w:tc>
      </w:tr>
      <w:tr>
        <w:tc>
          <w:tcPr>
            <w:tcW w:type="dxa" w:w="1872"/>
          </w:tcPr>
          <w:p>
            <w:r/>
            <w:r>
              <w:rPr>
                <w:rFonts w:ascii="Times New Roman" w:hAnsi="Times New Roman" w:cs="Times New Roman" w:eastAsia="Times New Roman"/>
                <w:b w:val="0"/>
                <w:i w:val="0"/>
                <w:sz w:val="22"/>
              </w:rPr>
              <w:t>[ 52 ]</w:t>
            </w:r>
          </w:p>
        </w:tc>
        <w:tc>
          <w:tcPr>
            <w:tcW w:type="dxa" w:w="1872"/>
          </w:tcPr>
          <w:p>
            <w:r/>
            <w:r>
              <w:rPr>
                <w:rFonts w:ascii="Times New Roman" w:hAnsi="Times New Roman" w:cs="Times New Roman" w:eastAsia="Times New Roman"/>
                <w:b w:val="0"/>
                <w:i w:val="0"/>
                <w:sz w:val="22"/>
              </w:rPr>
              <w:t>E. coli</w:t>
            </w:r>
          </w:p>
        </w:tc>
        <w:tc>
          <w:tcPr>
            <w:tcW w:type="dxa" w:w="1872"/>
          </w:tcPr>
          <w:p>
            <w:r/>
            <w:r>
              <w:rPr>
                <w:rFonts w:ascii="Times New Roman" w:hAnsi="Times New Roman" w:cs="Times New Roman" w:eastAsia="Times New Roman"/>
                <w:b w:val="0"/>
                <w:i w:val="0"/>
                <w:sz w:val="22"/>
              </w:rPr>
              <w:t>Overexpression of exporter YfiK</w:t>
            </w:r>
          </w:p>
        </w:tc>
        <w:tc>
          <w:tcPr>
            <w:tcW w:type="dxa" w:w="1872"/>
          </w:tcPr>
          <w:p>
            <w:r/>
            <w:r>
              <w:rPr>
                <w:rFonts w:ascii="Times New Roman" w:hAnsi="Times New Roman" w:cs="Times New Roman" w:eastAsia="Times New Roman"/>
                <w:b w:val="0"/>
                <w:i w:val="0"/>
                <w:sz w:val="22"/>
              </w:rPr>
              <w:t>Shake flasks, 20 h</w:t>
            </w:r>
          </w:p>
        </w:tc>
        <w:tc>
          <w:tcPr>
            <w:tcW w:type="dxa" w:w="1872"/>
          </w:tcPr>
          <w:p>
            <w:r/>
            <w:r>
              <w:rPr>
                <w:rFonts w:ascii="Times New Roman" w:hAnsi="Times New Roman" w:cs="Times New Roman" w:eastAsia="Times New Roman"/>
                <w:b w:val="0"/>
                <w:i w:val="0"/>
                <w:sz w:val="22"/>
              </w:rPr>
              <w:t>0.15 g L −1</w:t>
            </w:r>
          </w:p>
        </w:tc>
      </w:tr>
      <w:tr>
        <w:tc>
          <w:tcPr>
            <w:tcW w:type="dxa" w:w="1872"/>
          </w:tcPr>
          <w:p>
            <w:r/>
            <w:r>
              <w:rPr>
                <w:rFonts w:ascii="Times New Roman" w:hAnsi="Times New Roman" w:cs="Times New Roman" w:eastAsia="Times New Roman"/>
                <w:b w:val="0"/>
                <w:i w:val="0"/>
                <w:sz w:val="22"/>
              </w:rPr>
              <w:t>[ 54 ]</w:t>
            </w:r>
          </w:p>
        </w:tc>
        <w:tc>
          <w:tcPr>
            <w:tcW w:type="dxa" w:w="1872"/>
          </w:tcPr>
          <w:p>
            <w:r/>
            <w:r>
              <w:rPr>
                <w:rFonts w:ascii="Times New Roman" w:hAnsi="Times New Roman" w:cs="Times New Roman" w:eastAsia="Times New Roman"/>
                <w:b w:val="0"/>
                <w:i w:val="0"/>
                <w:sz w:val="22"/>
              </w:rPr>
              <w:t>E. coli</w:t>
            </w:r>
          </w:p>
        </w:tc>
        <w:tc>
          <w:tcPr>
            <w:tcW w:type="dxa" w:w="1872"/>
          </w:tcPr>
          <w:p>
            <w:r/>
            <w:r>
              <w:rPr>
                <w:rFonts w:ascii="Times New Roman" w:hAnsi="Times New Roman" w:cs="Times New Roman" w:eastAsia="Times New Roman"/>
                <w:b w:val="0"/>
                <w:i w:val="0"/>
                <w:sz w:val="22"/>
              </w:rPr>
              <w:t>Overexpression of exporter bcr and deletion of TNase</w:t>
            </w:r>
          </w:p>
        </w:tc>
        <w:tc>
          <w:tcPr>
            <w:tcW w:type="dxa" w:w="1872"/>
          </w:tcPr>
          <w:p>
            <w:r/>
            <w:r>
              <w:rPr>
                <w:rFonts w:ascii="Times New Roman" w:hAnsi="Times New Roman" w:cs="Times New Roman" w:eastAsia="Times New Roman"/>
                <w:b w:val="0"/>
                <w:i w:val="0"/>
                <w:sz w:val="22"/>
              </w:rPr>
              <w:t>Shake flasks, 48 h</w:t>
            </w:r>
          </w:p>
        </w:tc>
        <w:tc>
          <w:tcPr>
            <w:tcW w:type="dxa" w:w="1872"/>
          </w:tcPr>
          <w:p>
            <w:r/>
            <w:r>
              <w:rPr>
                <w:rFonts w:ascii="Times New Roman" w:hAnsi="Times New Roman" w:cs="Times New Roman" w:eastAsia="Times New Roman"/>
                <w:b w:val="0"/>
                <w:i w:val="0"/>
                <w:sz w:val="22"/>
              </w:rPr>
              <w:t>0.50 g L −1</w:t>
            </w:r>
          </w:p>
        </w:tc>
      </w:tr>
      <w:tr>
        <w:tc>
          <w:tcPr>
            <w:tcW w:type="dxa" w:w="1872"/>
          </w:tcPr>
          <w:p>
            <w:r/>
            <w:r>
              <w:rPr>
                <w:rFonts w:ascii="Times New Roman" w:hAnsi="Times New Roman" w:cs="Times New Roman" w:eastAsia="Times New Roman"/>
                <w:b w:val="0"/>
                <w:i w:val="0"/>
                <w:sz w:val="22"/>
              </w:rPr>
              <w:t>[ 55 ]</w:t>
            </w:r>
          </w:p>
        </w:tc>
        <w:tc>
          <w:tcPr>
            <w:tcW w:type="dxa" w:w="1872"/>
          </w:tcPr>
          <w:p>
            <w:r/>
            <w:r>
              <w:rPr>
                <w:rFonts w:ascii="Times New Roman" w:hAnsi="Times New Roman" w:cs="Times New Roman" w:eastAsia="Times New Roman"/>
                <w:b w:val="0"/>
                <w:i w:val="0"/>
                <w:sz w:val="22"/>
              </w:rPr>
              <w:t>E. coli</w:t>
            </w:r>
          </w:p>
        </w:tc>
        <w:tc>
          <w:tcPr>
            <w:tcW w:type="dxa" w:w="1872"/>
          </w:tcPr>
          <w:p>
            <w:r/>
            <w:r>
              <w:rPr>
                <w:rFonts w:ascii="Times New Roman" w:hAnsi="Times New Roman" w:cs="Times New Roman" w:eastAsia="Times New Roman"/>
                <w:b w:val="0"/>
                <w:i w:val="0"/>
                <w:sz w:val="22"/>
              </w:rPr>
              <w:t>Overexpression of exporters YdeD and TolC</w:t>
            </w:r>
          </w:p>
        </w:tc>
        <w:tc>
          <w:tcPr>
            <w:tcW w:type="dxa" w:w="1872"/>
          </w:tcPr>
          <w:p>
            <w:r/>
            <w:r>
              <w:rPr>
                <w:rFonts w:ascii="Times New Roman" w:hAnsi="Times New Roman" w:cs="Times New Roman" w:eastAsia="Times New Roman"/>
                <w:b w:val="0"/>
                <w:i w:val="0"/>
                <w:sz w:val="22"/>
              </w:rPr>
              <w:t>Shake flasks, 24 h</w:t>
            </w:r>
          </w:p>
        </w:tc>
        <w:tc>
          <w:tcPr>
            <w:tcW w:type="dxa" w:w="1872"/>
          </w:tcPr>
          <w:p>
            <w:r/>
            <w:r>
              <w:rPr>
                <w:rFonts w:ascii="Times New Roman" w:hAnsi="Times New Roman" w:cs="Times New Roman" w:eastAsia="Times New Roman"/>
                <w:b w:val="0"/>
                <w:i w:val="0"/>
                <w:sz w:val="22"/>
              </w:rPr>
              <w:t>0.12 g L −1</w:t>
            </w:r>
          </w:p>
        </w:tc>
      </w:tr>
      <w:tr>
        <w:tc>
          <w:tcPr>
            <w:tcW w:type="dxa" w:w="1872"/>
          </w:tcPr>
          <w:p>
            <w:r/>
            <w:r>
              <w:rPr>
                <w:rFonts w:ascii="Times New Roman" w:hAnsi="Times New Roman" w:cs="Times New Roman" w:eastAsia="Times New Roman"/>
                <w:b w:val="0"/>
                <w:i w:val="0"/>
                <w:sz w:val="22"/>
              </w:rPr>
              <w:t>[ 6 ]</w:t>
            </w:r>
          </w:p>
        </w:tc>
        <w:tc>
          <w:tcPr>
            <w:tcW w:type="dxa" w:w="1872"/>
          </w:tcPr>
          <w:p>
            <w:r/>
            <w:r>
              <w:rPr>
                <w:rFonts w:ascii="Times New Roman" w:hAnsi="Times New Roman" w:cs="Times New Roman" w:eastAsia="Times New Roman"/>
                <w:b w:val="0"/>
                <w:i w:val="0"/>
                <w:sz w:val="22"/>
              </w:rPr>
              <w:t>P. ananatis</w:t>
            </w:r>
          </w:p>
        </w:tc>
        <w:tc>
          <w:tcPr>
            <w:tcW w:type="dxa" w:w="1872"/>
          </w:tcPr>
          <w:p>
            <w:r/>
            <w:r>
              <w:rPr>
                <w:rFonts w:ascii="Times New Roman" w:hAnsi="Times New Roman" w:cs="Times New Roman" w:eastAsia="Times New Roman"/>
                <w:b w:val="0"/>
                <w:i w:val="0"/>
                <w:sz w:val="22"/>
              </w:rPr>
              <w:t>Overexpression of transporter cefB</w:t>
            </w:r>
          </w:p>
        </w:tc>
        <w:tc>
          <w:tcPr>
            <w:tcW w:type="dxa" w:w="1872"/>
          </w:tcPr>
          <w:p>
            <w:r/>
            <w:r>
              <w:rPr>
                <w:rFonts w:ascii="Times New Roman" w:hAnsi="Times New Roman" w:cs="Times New Roman" w:eastAsia="Times New Roman"/>
                <w:b w:val="0"/>
                <w:i w:val="0"/>
                <w:sz w:val="22"/>
              </w:rPr>
              <w:t>Test tubes, 28 h</w:t>
            </w:r>
          </w:p>
        </w:tc>
        <w:tc>
          <w:tcPr>
            <w:tcW w:type="dxa" w:w="1872"/>
          </w:tcPr>
          <w:p>
            <w:r/>
            <w:r>
              <w:rPr>
                <w:rFonts w:ascii="Times New Roman" w:hAnsi="Times New Roman" w:cs="Times New Roman" w:eastAsia="Times New Roman"/>
                <w:b w:val="0"/>
                <w:i w:val="0"/>
                <w:sz w:val="22"/>
              </w:rPr>
              <w:t>2.30 g L −1</w:t>
            </w:r>
          </w:p>
        </w:tc>
      </w:tr>
      <w:tr>
        <w:tc>
          <w:tcPr>
            <w:tcW w:type="dxa" w:w="1872"/>
          </w:tcPr>
          <w:p>
            <w:r/>
            <w:r>
              <w:rPr>
                <w:rFonts w:ascii="Times New Roman" w:hAnsi="Times New Roman" w:cs="Times New Roman" w:eastAsia="Times New Roman"/>
                <w:b w:val="0"/>
                <w:i w:val="0"/>
                <w:sz w:val="22"/>
              </w:rPr>
              <w:t>[ 56 ]</w:t>
            </w:r>
          </w:p>
        </w:tc>
        <w:tc>
          <w:tcPr>
            <w:tcW w:type="dxa" w:w="1872"/>
          </w:tcPr>
          <w:p>
            <w:r/>
            <w:r>
              <w:rPr>
                <w:rFonts w:ascii="Times New Roman" w:hAnsi="Times New Roman" w:cs="Times New Roman" w:eastAsia="Times New Roman"/>
                <w:b w:val="0"/>
                <w:i w:val="0"/>
                <w:sz w:val="22"/>
              </w:rPr>
              <w:t>C. glutamicum</w:t>
            </w:r>
          </w:p>
        </w:tc>
        <w:tc>
          <w:tcPr>
            <w:tcW w:type="dxa" w:w="1872"/>
          </w:tcPr>
          <w:p>
            <w:r/>
            <w:r>
              <w:rPr>
                <w:rFonts w:ascii="Times New Roman" w:hAnsi="Times New Roman" w:cs="Times New Roman" w:eastAsia="Times New Roman"/>
                <w:b w:val="0"/>
                <w:i w:val="0"/>
                <w:sz w:val="22"/>
              </w:rPr>
              <w:t>Overexpression of transport genes NCgl0580 and NCgl2566</w:t>
            </w:r>
          </w:p>
        </w:tc>
        <w:tc>
          <w:tcPr>
            <w:tcW w:type="dxa" w:w="1872"/>
          </w:tcPr>
          <w:p>
            <w:r/>
            <w:r>
              <w:rPr>
                <w:rFonts w:ascii="Times New Roman" w:hAnsi="Times New Roman" w:cs="Times New Roman" w:eastAsia="Times New Roman"/>
                <w:b w:val="0"/>
                <w:i w:val="0"/>
                <w:sz w:val="22"/>
              </w:rPr>
              <w:t>Shake flasks, 20 h</w:t>
            </w:r>
          </w:p>
        </w:tc>
        <w:tc>
          <w:tcPr>
            <w:tcW w:type="dxa" w:w="1872"/>
          </w:tcPr>
          <w:p>
            <w:r/>
            <w:r>
              <w:rPr>
                <w:rFonts w:ascii="Times New Roman" w:hAnsi="Times New Roman" w:cs="Times New Roman" w:eastAsia="Times New Roman"/>
                <w:b w:val="0"/>
                <w:i w:val="0"/>
                <w:sz w:val="22"/>
              </w:rPr>
              <w:t>0.28 g L −1</w:t>
            </w:r>
          </w:p>
        </w:tc>
      </w:tr>
      <w:tr>
        <w:tc>
          <w:tcPr>
            <w:tcW w:type="dxa" w:w="1872"/>
          </w:tcPr>
          <w:p>
            <w:r/>
            <w:r>
              <w:rPr>
                <w:rFonts w:ascii="Times New Roman" w:hAnsi="Times New Roman" w:cs="Times New Roman" w:eastAsia="Times New Roman"/>
                <w:b w:val="0"/>
                <w:i w:val="0"/>
                <w:sz w:val="22"/>
              </w:rPr>
              <w:t>[ 7 ]</w:t>
            </w:r>
          </w:p>
        </w:tc>
        <w:tc>
          <w:tcPr>
            <w:tcW w:type="dxa" w:w="1872"/>
          </w:tcPr>
          <w:p>
            <w:r/>
            <w:r>
              <w:rPr>
                <w:rFonts w:ascii="Times New Roman" w:hAnsi="Times New Roman" w:cs="Times New Roman" w:eastAsia="Times New Roman"/>
                <w:b w:val="0"/>
                <w:i w:val="0"/>
                <w:sz w:val="22"/>
              </w:rPr>
              <w:t>C. glutamicum</w:t>
            </w:r>
          </w:p>
        </w:tc>
        <w:tc>
          <w:tcPr>
            <w:tcW w:type="dxa" w:w="1872"/>
          </w:tcPr>
          <w:p>
            <w:r/>
            <w:r>
              <w:rPr>
                <w:rFonts w:ascii="Times New Roman" w:hAnsi="Times New Roman" w:cs="Times New Roman" w:eastAsia="Times New Roman"/>
                <w:b w:val="0"/>
                <w:i w:val="0"/>
                <w:sz w:val="22"/>
              </w:rPr>
              <w:t>Overexpression of exporter bcr</w:t>
            </w:r>
          </w:p>
        </w:tc>
        <w:tc>
          <w:tcPr>
            <w:tcW w:type="dxa" w:w="1872"/>
          </w:tcPr>
          <w:p>
            <w:r/>
            <w:r>
              <w:rPr>
                <w:rFonts w:ascii="Times New Roman" w:hAnsi="Times New Roman" w:cs="Times New Roman" w:eastAsia="Times New Roman"/>
                <w:b w:val="0"/>
                <w:i w:val="0"/>
                <w:sz w:val="22"/>
              </w:rPr>
              <w:t>Shake flasks, 48 h</w:t>
            </w:r>
          </w:p>
        </w:tc>
        <w:tc>
          <w:tcPr>
            <w:tcW w:type="dxa" w:w="1872"/>
          </w:tcPr>
          <w:p>
            <w:r/>
            <w:r>
              <w:rPr>
                <w:rFonts w:ascii="Times New Roman" w:hAnsi="Times New Roman" w:cs="Times New Roman" w:eastAsia="Times New Roman"/>
                <w:b w:val="0"/>
                <w:i w:val="0"/>
                <w:sz w:val="22"/>
              </w:rPr>
              <w:t>0.63 g L −1</w:t>
            </w:r>
          </w:p>
        </w:tc>
      </w:tr>
      <w:tr>
        <w:tc>
          <w:tcPr>
            <w:tcW w:type="dxa" w:w="1872"/>
          </w:tcPr>
          <w:p>
            <w:r/>
            <w:r>
              <w:rPr>
                <w:rFonts w:ascii="Times New Roman" w:hAnsi="Times New Roman" w:cs="Times New Roman" w:eastAsia="Times New Roman"/>
                <w:b w:val="0"/>
                <w:i w:val="0"/>
                <w:sz w:val="22"/>
              </w:rPr>
              <w:t>[ 57 ]</w:t>
            </w:r>
          </w:p>
        </w:tc>
        <w:tc>
          <w:tcPr>
            <w:tcW w:type="dxa" w:w="1872"/>
          </w:tcPr>
          <w:p>
            <w:r/>
            <w:r>
              <w:rPr>
                <w:rFonts w:ascii="Times New Roman" w:hAnsi="Times New Roman" w:cs="Times New Roman" w:eastAsia="Times New Roman"/>
                <w:b w:val="0"/>
                <w:i w:val="0"/>
                <w:sz w:val="22"/>
              </w:rPr>
              <w:t>E. coli</w:t>
            </w:r>
          </w:p>
        </w:tc>
        <w:tc>
          <w:tcPr>
            <w:tcW w:type="dxa" w:w="1872"/>
          </w:tcPr>
          <w:p>
            <w:r/>
            <w:r>
              <w:rPr>
                <w:rFonts w:ascii="Times New Roman" w:hAnsi="Times New Roman" w:cs="Times New Roman" w:eastAsia="Times New Roman"/>
                <w:b w:val="0"/>
                <w:i w:val="0"/>
                <w:sz w:val="22"/>
              </w:rPr>
              <w:t>Deletion of importer yeaN</w:t>
            </w:r>
          </w:p>
        </w:tc>
        <w:tc>
          <w:tcPr>
            <w:tcW w:type="dxa" w:w="1872"/>
          </w:tcPr>
          <w:p>
            <w:r/>
            <w:r>
              <w:rPr>
                <w:rFonts w:ascii="Times New Roman" w:hAnsi="Times New Roman" w:cs="Times New Roman" w:eastAsia="Times New Roman"/>
                <w:b w:val="0"/>
                <w:i w:val="0"/>
                <w:sz w:val="22"/>
              </w:rPr>
              <w:t>Shake flasks, 20 h</w:t>
            </w:r>
          </w:p>
        </w:tc>
        <w:tc>
          <w:tcPr>
            <w:tcW w:type="dxa" w:w="1872"/>
          </w:tcPr>
          <w:p>
            <w:r/>
            <w:r>
              <w:rPr>
                <w:rFonts w:ascii="Times New Roman" w:hAnsi="Times New Roman" w:cs="Times New Roman" w:eastAsia="Times New Roman"/>
                <w:b w:val="0"/>
                <w:i w:val="0"/>
                <w:sz w:val="22"/>
              </w:rPr>
              <w:t>1.20 g L −1</w:t>
            </w:r>
          </w:p>
        </w:tc>
      </w:tr>
      <w:tr>
        <w:tc>
          <w:tcPr>
            <w:tcW w:type="dxa" w:w="1872"/>
          </w:tcPr>
          <w:p>
            <w:r/>
            <w:r>
              <w:rPr>
                <w:rFonts w:ascii="Times New Roman" w:hAnsi="Times New Roman" w:cs="Times New Roman" w:eastAsia="Times New Roman"/>
                <w:b w:val="0"/>
                <w:i w:val="0"/>
                <w:sz w:val="22"/>
              </w:rPr>
              <w:t>[ 58 ]</w:t>
            </w:r>
          </w:p>
        </w:tc>
        <w:tc>
          <w:tcPr>
            <w:tcW w:type="dxa" w:w="1872"/>
          </w:tcPr>
          <w:p>
            <w:r/>
            <w:r>
              <w:rPr>
                <w:rFonts w:ascii="Times New Roman" w:hAnsi="Times New Roman" w:cs="Times New Roman" w:eastAsia="Times New Roman"/>
                <w:b w:val="0"/>
                <w:i w:val="0"/>
                <w:sz w:val="22"/>
              </w:rPr>
              <w:t>C. glutamicum</w:t>
            </w:r>
          </w:p>
        </w:tc>
        <w:tc>
          <w:tcPr>
            <w:tcW w:type="dxa" w:w="1872"/>
          </w:tcPr>
          <w:p>
            <w:r/>
            <w:r>
              <w:rPr>
                <w:rFonts w:ascii="Times New Roman" w:hAnsi="Times New Roman" w:cs="Times New Roman" w:eastAsia="Times New Roman"/>
                <w:b w:val="0"/>
                <w:i w:val="0"/>
                <w:sz w:val="22"/>
              </w:rPr>
              <w:t>Deletion of importer NCgl2463 , overexpression of exporter eamA and G6PDH</w:t>
            </w:r>
          </w:p>
        </w:tc>
        <w:tc>
          <w:tcPr>
            <w:tcW w:type="dxa" w:w="1872"/>
          </w:tcPr>
          <w:p>
            <w:r/>
            <w:r>
              <w:rPr>
                <w:rFonts w:ascii="Times New Roman" w:hAnsi="Times New Roman" w:cs="Times New Roman" w:eastAsia="Times New Roman"/>
                <w:b w:val="0"/>
                <w:i w:val="0"/>
                <w:sz w:val="22"/>
              </w:rPr>
              <w:t>5 L stirred tank, 72 h</w:t>
            </w:r>
          </w:p>
        </w:tc>
        <w:tc>
          <w:tcPr>
            <w:tcW w:type="dxa" w:w="1872"/>
          </w:tcPr>
          <w:p>
            <w:r/>
            <w:r>
              <w:rPr>
                <w:rFonts w:ascii="Times New Roman" w:hAnsi="Times New Roman" w:cs="Times New Roman" w:eastAsia="Times New Roman"/>
                <w:b w:val="0"/>
                <w:i w:val="0"/>
                <w:sz w:val="22"/>
              </w:rPr>
              <w:t>5.92 g L −1</w:t>
            </w:r>
          </w:p>
        </w:tc>
      </w:tr>
    </w:tbl>
    <w:p>
      <w:pPr>
        <w:spacing w:after="80"/>
        <w:jc w:val="both"/>
      </w:pPr>
    </w:p>
    <w:p>
      <w:pPr>
        <w:keepNext/>
        <w:spacing w:before="160" w:after="40"/>
        <w:jc w:val="left"/>
      </w:pPr>
      <w:r>
        <w:rPr>
          <w:rFonts w:ascii="Times New Roman" w:hAnsi="Times New Roman" w:cs="Times New Roman" w:eastAsia="Times New Roman"/>
          <w:b/>
          <w:i w:val="0"/>
          <w:sz w:val="22"/>
        </w:rPr>
        <w:t>Reproduced verbatim from PMC10821248 Table 2 — Table 2 — ATP and NADPH demand and catalyzing enzymes for different sulfur assimilation pathways [ 59 , 63 ].</w:t>
      </w:r>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2340"/>
            <w:shd w:fill="DDE4EF"/>
          </w:tcPr>
          <w:p>
            <w:r/>
            <w:r>
              <w:rPr>
                <w:rFonts w:ascii="Times New Roman" w:hAnsi="Times New Roman" w:cs="Times New Roman" w:eastAsia="Times New Roman"/>
                <w:b/>
                <w:i w:val="0"/>
                <w:sz w:val="22"/>
              </w:rPr>
              <w:t>Pathway</w:t>
            </w:r>
          </w:p>
        </w:tc>
        <w:tc>
          <w:tcPr>
            <w:tcW w:type="dxa" w:w="2340"/>
            <w:shd w:fill="DDE4EF"/>
          </w:tcPr>
          <w:p>
            <w:r/>
            <w:r>
              <w:rPr>
                <w:rFonts w:ascii="Times New Roman" w:hAnsi="Times New Roman" w:cs="Times New Roman" w:eastAsia="Times New Roman"/>
                <w:b/>
                <w:i w:val="0"/>
                <w:sz w:val="22"/>
              </w:rPr>
              <w:t>Steps</w:t>
            </w:r>
          </w:p>
        </w:tc>
        <w:tc>
          <w:tcPr>
            <w:tcW w:type="dxa" w:w="2340"/>
            <w:shd w:fill="DDE4EF"/>
          </w:tcPr>
          <w:p>
            <w:r/>
            <w:r>
              <w:rPr>
                <w:rFonts w:ascii="Times New Roman" w:hAnsi="Times New Roman" w:cs="Times New Roman" w:eastAsia="Times New Roman"/>
                <w:b/>
                <w:i w:val="0"/>
                <w:sz w:val="22"/>
              </w:rPr>
              <w:t>Enzymes</w:t>
            </w:r>
          </w:p>
        </w:tc>
        <w:tc>
          <w:tcPr>
            <w:tcW w:type="dxa" w:w="2340"/>
            <w:shd w:fill="DDE4EF"/>
          </w:tcPr>
          <w:p>
            <w:r/>
            <w:r>
              <w:rPr>
                <w:rFonts w:ascii="Times New Roman" w:hAnsi="Times New Roman" w:cs="Times New Roman" w:eastAsia="Times New Roman"/>
                <w:b/>
                <w:i w:val="0"/>
                <w:sz w:val="22"/>
              </w:rPr>
              <w:t>ATP/NADPH Demand</w:t>
            </w:r>
          </w:p>
        </w:tc>
      </w:tr>
      <w:tr>
        <w:tc>
          <w:tcPr>
            <w:tcW w:type="dxa" w:w="2340"/>
          </w:tcPr>
          <w:p>
            <w:r/>
            <w:r>
              <w:rPr>
                <w:rFonts w:ascii="Times New Roman" w:hAnsi="Times New Roman" w:cs="Times New Roman" w:eastAsia="Times New Roman"/>
                <w:b w:val="0"/>
                <w:i w:val="0"/>
                <w:sz w:val="22"/>
              </w:rPr>
              <w:t>Thiosulfate</w:t>
            </w:r>
          </w:p>
        </w:tc>
        <w:tc>
          <w:tcPr>
            <w:tcW w:type="dxa" w:w="2340"/>
          </w:tcPr>
          <w:p>
            <w:r/>
            <w:r>
              <w:rPr>
                <w:rFonts w:ascii="Times New Roman" w:hAnsi="Times New Roman" w:cs="Times New Roman" w:eastAsia="Times New Roman"/>
                <w:b w:val="0"/>
                <w:i w:val="0"/>
                <w:sz w:val="22"/>
              </w:rPr>
              <w:t>Conversion of thiosulfate to S-sulfocysteine</w:t>
            </w:r>
          </w:p>
        </w:tc>
        <w:tc>
          <w:tcPr>
            <w:tcW w:type="dxa" w:w="2340"/>
          </w:tcPr>
          <w:p>
            <w:r/>
            <w:r>
              <w:rPr>
                <w:rFonts w:ascii="Times New Roman" w:hAnsi="Times New Roman" w:cs="Times New Roman" w:eastAsia="Times New Roman"/>
                <w:b w:val="0"/>
                <w:i w:val="0"/>
                <w:sz w:val="22"/>
              </w:rPr>
              <w:t>CysM</w:t>
            </w:r>
          </w:p>
        </w:tc>
        <w:tc>
          <w:tcPr>
            <w:tcW w:type="dxa" w:w="2340"/>
          </w:tcPr>
          <w:p>
            <w:r/>
            <w:r>
              <w:rPr>
                <w:rFonts w:ascii="Times New Roman" w:hAnsi="Times New Roman" w:cs="Times New Roman" w:eastAsia="Times New Roman"/>
                <w:b w:val="0"/>
                <w:i w:val="0"/>
                <w:sz w:val="22"/>
              </w:rPr>
              <w:t>-</w:t>
            </w:r>
          </w:p>
        </w:tc>
      </w:tr>
      <w:tr>
        <w:tc>
          <w:tcPr>
            <w:tcW w:type="dxa" w:w="2340"/>
          </w:tcPr>
          <w:p>
            <w:r/>
            <w:r>
              <w:rPr>
                <w:rFonts w:ascii="Times New Roman" w:hAnsi="Times New Roman" w:cs="Times New Roman" w:eastAsia="Times New Roman"/>
                <w:b w:val="0"/>
                <w:i w:val="0"/>
                <w:sz w:val="22"/>
              </w:rPr>
              <w:t>2. Lyase of S-sulfocysteine and sulfite</w:t>
            </w:r>
          </w:p>
        </w:tc>
        <w:tc>
          <w:tcPr>
            <w:tcW w:type="dxa" w:w="2340"/>
          </w:tcPr>
          <w:p>
            <w:r/>
            <w:r>
              <w:rPr>
                <w:rFonts w:ascii="Times New Roman" w:hAnsi="Times New Roman" w:cs="Times New Roman" w:eastAsia="Times New Roman"/>
                <w:b w:val="0"/>
                <w:i w:val="0"/>
                <w:sz w:val="22"/>
              </w:rPr>
              <w:t>NrdH, Grx1</w:t>
            </w:r>
          </w:p>
        </w:tc>
        <w:tc>
          <w:tcPr>
            <w:tcW w:type="dxa" w:w="2340"/>
          </w:tcPr>
          <w:p>
            <w:r/>
            <w:r>
              <w:rPr>
                <w:rFonts w:ascii="Times New Roman" w:hAnsi="Times New Roman" w:cs="Times New Roman" w:eastAsia="Times New Roman"/>
                <w:b w:val="0"/>
                <w:i w:val="0"/>
                <w:sz w:val="22"/>
              </w:rPr>
              <w:t>1 NADPH</w:t>
            </w:r>
          </w:p>
        </w:tc>
        <w:tc>
          <w:tcPr>
            <w:tcW w:type="dxa" w:w="2340"/>
          </w:tcPr>
          <w:p>
            <w:r/>
            <w:r>
              <w:rPr>
                <w:rFonts w:ascii="Times New Roman" w:hAnsi="Times New Roman" w:cs="Times New Roman" w:eastAsia="Times New Roman"/>
                <w:b w:val="0"/>
                <w:i w:val="0"/>
                <w:sz w:val="22"/>
              </w:rPr>
            </w:r>
          </w:p>
        </w:tc>
      </w:tr>
      <w:tr>
        <w:tc>
          <w:tcPr>
            <w:tcW w:type="dxa" w:w="2340"/>
          </w:tcPr>
          <w:p>
            <w:r/>
            <w:r>
              <w:rPr>
                <w:rFonts w:ascii="Times New Roman" w:hAnsi="Times New Roman" w:cs="Times New Roman" w:eastAsia="Times New Roman"/>
                <w:b w:val="0"/>
                <w:i w:val="0"/>
                <w:sz w:val="22"/>
              </w:rPr>
              <w:t>Thiosulfate (postulated)</w:t>
            </w:r>
          </w:p>
        </w:tc>
        <w:tc>
          <w:tcPr>
            <w:tcW w:type="dxa" w:w="2340"/>
          </w:tcPr>
          <w:p>
            <w:r/>
            <w:r>
              <w:rPr>
                <w:rFonts w:ascii="Times New Roman" w:hAnsi="Times New Roman" w:cs="Times New Roman" w:eastAsia="Times New Roman"/>
                <w:b w:val="0"/>
                <w:i w:val="0"/>
                <w:sz w:val="22"/>
              </w:rPr>
              <w:t>1. Conversion of thiosulfate to sulfite (SO 3 −2 )</w:t>
            </w:r>
          </w:p>
        </w:tc>
        <w:tc>
          <w:tcPr>
            <w:tcW w:type="dxa" w:w="2340"/>
          </w:tcPr>
          <w:p>
            <w:r/>
            <w:r>
              <w:rPr>
                <w:rFonts w:ascii="Times New Roman" w:hAnsi="Times New Roman" w:cs="Times New Roman" w:eastAsia="Times New Roman"/>
                <w:b w:val="0"/>
                <w:i w:val="0"/>
                <w:sz w:val="22"/>
              </w:rPr>
              <w:t>GlpE</w:t>
            </w:r>
          </w:p>
        </w:tc>
        <w:tc>
          <w:tcPr>
            <w:tcW w:type="dxa" w:w="2340"/>
          </w:tcPr>
          <w:p>
            <w:r/>
            <w:r>
              <w:rPr>
                <w:rFonts w:ascii="Times New Roman" w:hAnsi="Times New Roman" w:cs="Times New Roman" w:eastAsia="Times New Roman"/>
                <w:b w:val="0"/>
                <w:i w:val="0"/>
                <w:sz w:val="22"/>
              </w:rPr>
              <w:t>-</w:t>
            </w:r>
          </w:p>
        </w:tc>
      </w:tr>
      <w:tr>
        <w:tc>
          <w:tcPr>
            <w:tcW w:type="dxa" w:w="2340"/>
          </w:tcPr>
          <w:p>
            <w:r/>
            <w:r>
              <w:rPr>
                <w:rFonts w:ascii="Times New Roman" w:hAnsi="Times New Roman" w:cs="Times New Roman" w:eastAsia="Times New Roman"/>
                <w:b w:val="0"/>
                <w:i w:val="0"/>
                <w:sz w:val="22"/>
              </w:rPr>
              <w:t>2. Reduction of sulfite to sulfide (S −2 )</w:t>
            </w:r>
          </w:p>
        </w:tc>
        <w:tc>
          <w:tcPr>
            <w:tcW w:type="dxa" w:w="2340"/>
          </w:tcPr>
          <w:p>
            <w:r/>
            <w:r>
              <w:rPr>
                <w:rFonts w:ascii="Times New Roman" w:hAnsi="Times New Roman" w:cs="Times New Roman" w:eastAsia="Times New Roman"/>
                <w:b w:val="0"/>
                <w:i w:val="0"/>
                <w:sz w:val="22"/>
              </w:rPr>
              <w:t>CysIJ, CysG</w:t>
            </w:r>
          </w:p>
        </w:tc>
        <w:tc>
          <w:tcPr>
            <w:tcW w:type="dxa" w:w="2340"/>
          </w:tcPr>
          <w:p>
            <w:r/>
            <w:r>
              <w:rPr>
                <w:rFonts w:ascii="Times New Roman" w:hAnsi="Times New Roman" w:cs="Times New Roman" w:eastAsia="Times New Roman"/>
                <w:b w:val="0"/>
                <w:i w:val="0"/>
                <w:sz w:val="22"/>
              </w:rPr>
              <w:t>3 NADPH</w:t>
            </w:r>
          </w:p>
        </w:tc>
        <w:tc>
          <w:tcPr>
            <w:tcW w:type="dxa" w:w="2340"/>
          </w:tcPr>
          <w:p>
            <w:r/>
            <w:r>
              <w:rPr>
                <w:rFonts w:ascii="Times New Roman" w:hAnsi="Times New Roman" w:cs="Times New Roman" w:eastAsia="Times New Roman"/>
                <w:b w:val="0"/>
                <w:i w:val="0"/>
                <w:sz w:val="22"/>
              </w:rPr>
            </w:r>
          </w:p>
        </w:tc>
      </w:tr>
      <w:tr>
        <w:tc>
          <w:tcPr>
            <w:tcW w:type="dxa" w:w="2340"/>
          </w:tcPr>
          <w:p>
            <w:r/>
            <w:r>
              <w:rPr>
                <w:rFonts w:ascii="Times New Roman" w:hAnsi="Times New Roman" w:cs="Times New Roman" w:eastAsia="Times New Roman"/>
                <w:b w:val="0"/>
                <w:i w:val="0"/>
                <w:sz w:val="22"/>
              </w:rPr>
              <w:t>3. Reaction with O-acetylserine to L-cysteine</w:t>
            </w:r>
          </w:p>
        </w:tc>
        <w:tc>
          <w:tcPr>
            <w:tcW w:type="dxa" w:w="2340"/>
          </w:tcPr>
          <w:p>
            <w:r/>
            <w:r>
              <w:rPr>
                <w:rFonts w:ascii="Times New Roman" w:hAnsi="Times New Roman" w:cs="Times New Roman" w:eastAsia="Times New Roman"/>
                <w:b w:val="0"/>
                <w:i w:val="0"/>
                <w:sz w:val="22"/>
              </w:rPr>
              <w:t>CysK</w:t>
            </w:r>
          </w:p>
        </w:tc>
        <w:tc>
          <w:tcPr>
            <w:tcW w:type="dxa" w:w="2340"/>
          </w:tcPr>
          <w:p>
            <w:r/>
            <w:r>
              <w:rPr>
                <w:rFonts w:ascii="Times New Roman" w:hAnsi="Times New Roman" w:cs="Times New Roman" w:eastAsia="Times New Roman"/>
                <w:b w:val="0"/>
                <w:i w:val="0"/>
                <w:sz w:val="22"/>
              </w:rPr>
              <w:t>-</w:t>
            </w:r>
          </w:p>
        </w:tc>
        <w:tc>
          <w:tcPr>
            <w:tcW w:type="dxa" w:w="2340"/>
          </w:tcPr>
          <w:p>
            <w:r/>
            <w:r>
              <w:rPr>
                <w:rFonts w:ascii="Times New Roman" w:hAnsi="Times New Roman" w:cs="Times New Roman" w:eastAsia="Times New Roman"/>
                <w:b w:val="0"/>
                <w:i w:val="0"/>
                <w:sz w:val="22"/>
              </w:rPr>
            </w:r>
          </w:p>
        </w:tc>
      </w:tr>
      <w:tr>
        <w:tc>
          <w:tcPr>
            <w:tcW w:type="dxa" w:w="2340"/>
          </w:tcPr>
          <w:p>
            <w:r/>
            <w:r>
              <w:rPr>
                <w:rFonts w:ascii="Times New Roman" w:hAnsi="Times New Roman" w:cs="Times New Roman" w:eastAsia="Times New Roman"/>
                <w:b w:val="0"/>
                <w:i w:val="0"/>
                <w:sz w:val="22"/>
              </w:rPr>
              <w:t>Sulfate</w:t>
            </w:r>
          </w:p>
        </w:tc>
        <w:tc>
          <w:tcPr>
            <w:tcW w:type="dxa" w:w="2340"/>
          </w:tcPr>
          <w:p>
            <w:r/>
            <w:r>
              <w:rPr>
                <w:rFonts w:ascii="Times New Roman" w:hAnsi="Times New Roman" w:cs="Times New Roman" w:eastAsia="Times New Roman"/>
                <w:b w:val="0"/>
                <w:i w:val="0"/>
                <w:sz w:val="22"/>
              </w:rPr>
              <w:t>1. Activation to adenosine 5′-phosphosulfate</w:t>
            </w:r>
          </w:p>
        </w:tc>
        <w:tc>
          <w:tcPr>
            <w:tcW w:type="dxa" w:w="2340"/>
          </w:tcPr>
          <w:p>
            <w:r/>
            <w:r>
              <w:rPr>
                <w:rFonts w:ascii="Times New Roman" w:hAnsi="Times New Roman" w:cs="Times New Roman" w:eastAsia="Times New Roman"/>
                <w:b w:val="0"/>
                <w:i w:val="0"/>
                <w:sz w:val="22"/>
              </w:rPr>
              <w:t>CysDN</w:t>
            </w:r>
          </w:p>
        </w:tc>
        <w:tc>
          <w:tcPr>
            <w:tcW w:type="dxa" w:w="2340"/>
          </w:tcPr>
          <w:p>
            <w:r/>
            <w:r>
              <w:rPr>
                <w:rFonts w:ascii="Times New Roman" w:hAnsi="Times New Roman" w:cs="Times New Roman" w:eastAsia="Times New Roman"/>
                <w:b w:val="0"/>
                <w:i w:val="0"/>
                <w:sz w:val="22"/>
              </w:rPr>
              <w:t>1 ATP</w:t>
            </w:r>
          </w:p>
        </w:tc>
      </w:tr>
      <w:tr>
        <w:tc>
          <w:tcPr>
            <w:tcW w:type="dxa" w:w="2340"/>
          </w:tcPr>
          <w:p>
            <w:r/>
            <w:r>
              <w:rPr>
                <w:rFonts w:ascii="Times New Roman" w:hAnsi="Times New Roman" w:cs="Times New Roman" w:eastAsia="Times New Roman"/>
                <w:b w:val="0"/>
                <w:i w:val="0"/>
                <w:sz w:val="22"/>
              </w:rPr>
              <w:t>2. Phosphorylation to 3′-phosphoadenosine 5′-phosphosulfate</w:t>
            </w:r>
          </w:p>
        </w:tc>
        <w:tc>
          <w:tcPr>
            <w:tcW w:type="dxa" w:w="2340"/>
          </w:tcPr>
          <w:p>
            <w:r/>
            <w:r>
              <w:rPr>
                <w:rFonts w:ascii="Times New Roman" w:hAnsi="Times New Roman" w:cs="Times New Roman" w:eastAsia="Times New Roman"/>
                <w:b w:val="0"/>
                <w:i w:val="0"/>
                <w:sz w:val="22"/>
              </w:rPr>
              <w:t>CysC</w:t>
            </w:r>
          </w:p>
        </w:tc>
        <w:tc>
          <w:tcPr>
            <w:tcW w:type="dxa" w:w="2340"/>
          </w:tcPr>
          <w:p>
            <w:r/>
            <w:r>
              <w:rPr>
                <w:rFonts w:ascii="Times New Roman" w:hAnsi="Times New Roman" w:cs="Times New Roman" w:eastAsia="Times New Roman"/>
                <w:b w:val="0"/>
                <w:i w:val="0"/>
                <w:sz w:val="22"/>
              </w:rPr>
              <w:t>1 ATP</w:t>
            </w:r>
          </w:p>
        </w:tc>
        <w:tc>
          <w:tcPr>
            <w:tcW w:type="dxa" w:w="2340"/>
          </w:tcPr>
          <w:p>
            <w:r/>
            <w:r>
              <w:rPr>
                <w:rFonts w:ascii="Times New Roman" w:hAnsi="Times New Roman" w:cs="Times New Roman" w:eastAsia="Times New Roman"/>
                <w:b w:val="0"/>
                <w:i w:val="0"/>
                <w:sz w:val="22"/>
              </w:rPr>
            </w:r>
          </w:p>
        </w:tc>
      </w:tr>
      <w:tr>
        <w:tc>
          <w:tcPr>
            <w:tcW w:type="dxa" w:w="2340"/>
          </w:tcPr>
          <w:p>
            <w:r/>
            <w:r>
              <w:rPr>
                <w:rFonts w:ascii="Times New Roman" w:hAnsi="Times New Roman" w:cs="Times New Roman" w:eastAsia="Times New Roman"/>
                <w:b w:val="0"/>
                <w:i w:val="0"/>
                <w:sz w:val="22"/>
              </w:rPr>
              <w:t>3. Conversion to sulfite</w:t>
            </w:r>
          </w:p>
        </w:tc>
        <w:tc>
          <w:tcPr>
            <w:tcW w:type="dxa" w:w="2340"/>
          </w:tcPr>
          <w:p>
            <w:r/>
            <w:r>
              <w:rPr>
                <w:rFonts w:ascii="Times New Roman" w:hAnsi="Times New Roman" w:cs="Times New Roman" w:eastAsia="Times New Roman"/>
                <w:b w:val="0"/>
                <w:i w:val="0"/>
                <w:sz w:val="22"/>
              </w:rPr>
              <w:t>CysH</w:t>
            </w:r>
          </w:p>
        </w:tc>
        <w:tc>
          <w:tcPr>
            <w:tcW w:type="dxa" w:w="2340"/>
          </w:tcPr>
          <w:p>
            <w:r/>
            <w:r>
              <w:rPr>
                <w:rFonts w:ascii="Times New Roman" w:hAnsi="Times New Roman" w:cs="Times New Roman" w:eastAsia="Times New Roman"/>
                <w:b w:val="0"/>
                <w:i w:val="0"/>
                <w:sz w:val="22"/>
              </w:rPr>
              <w:t>1 NADPH</w:t>
            </w:r>
          </w:p>
        </w:tc>
        <w:tc>
          <w:tcPr>
            <w:tcW w:type="dxa" w:w="2340"/>
          </w:tcPr>
          <w:p>
            <w:r/>
            <w:r>
              <w:rPr>
                <w:rFonts w:ascii="Times New Roman" w:hAnsi="Times New Roman" w:cs="Times New Roman" w:eastAsia="Times New Roman"/>
                <w:b w:val="0"/>
                <w:i w:val="0"/>
                <w:sz w:val="22"/>
              </w:rPr>
            </w:r>
          </w:p>
        </w:tc>
      </w:tr>
      <w:tr>
        <w:tc>
          <w:tcPr>
            <w:tcW w:type="dxa" w:w="2340"/>
          </w:tcPr>
          <w:p>
            <w:r/>
            <w:r>
              <w:rPr>
                <w:rFonts w:ascii="Times New Roman" w:hAnsi="Times New Roman" w:cs="Times New Roman" w:eastAsia="Times New Roman"/>
                <w:b w:val="0"/>
                <w:i w:val="0"/>
                <w:sz w:val="22"/>
              </w:rPr>
              <w:t>4. Reduction of sulfite to sulfide</w:t>
            </w:r>
          </w:p>
        </w:tc>
        <w:tc>
          <w:tcPr>
            <w:tcW w:type="dxa" w:w="2340"/>
          </w:tcPr>
          <w:p>
            <w:r/>
            <w:r>
              <w:rPr>
                <w:rFonts w:ascii="Times New Roman" w:hAnsi="Times New Roman" w:cs="Times New Roman" w:eastAsia="Times New Roman"/>
                <w:b w:val="0"/>
                <w:i w:val="0"/>
                <w:sz w:val="22"/>
              </w:rPr>
              <w:t>CysIJ, CysG</w:t>
            </w:r>
          </w:p>
        </w:tc>
        <w:tc>
          <w:tcPr>
            <w:tcW w:type="dxa" w:w="2340"/>
          </w:tcPr>
          <w:p>
            <w:r/>
            <w:r>
              <w:rPr>
                <w:rFonts w:ascii="Times New Roman" w:hAnsi="Times New Roman" w:cs="Times New Roman" w:eastAsia="Times New Roman"/>
                <w:b w:val="0"/>
                <w:i w:val="0"/>
                <w:sz w:val="22"/>
              </w:rPr>
              <w:t>3 NADPH</w:t>
            </w:r>
          </w:p>
        </w:tc>
        <w:tc>
          <w:tcPr>
            <w:tcW w:type="dxa" w:w="2340"/>
          </w:tcPr>
          <w:p>
            <w:r/>
            <w:r>
              <w:rPr>
                <w:rFonts w:ascii="Times New Roman" w:hAnsi="Times New Roman" w:cs="Times New Roman" w:eastAsia="Times New Roman"/>
                <w:b w:val="0"/>
                <w:i w:val="0"/>
                <w:sz w:val="22"/>
              </w:rPr>
            </w:r>
          </w:p>
        </w:tc>
      </w:tr>
      <w:tr>
        <w:tc>
          <w:tcPr>
            <w:tcW w:type="dxa" w:w="2340"/>
          </w:tcPr>
          <w:p>
            <w:r/>
            <w:r>
              <w:rPr>
                <w:rFonts w:ascii="Times New Roman" w:hAnsi="Times New Roman" w:cs="Times New Roman" w:eastAsia="Times New Roman"/>
                <w:b w:val="0"/>
                <w:i w:val="0"/>
                <w:sz w:val="22"/>
              </w:rPr>
              <w:t>5. Reaction with O-acetylserine to L-cysteine</w:t>
            </w:r>
          </w:p>
        </w:tc>
        <w:tc>
          <w:tcPr>
            <w:tcW w:type="dxa" w:w="2340"/>
          </w:tcPr>
          <w:p>
            <w:r/>
            <w:r>
              <w:rPr>
                <w:rFonts w:ascii="Times New Roman" w:hAnsi="Times New Roman" w:cs="Times New Roman" w:eastAsia="Times New Roman"/>
                <w:b w:val="0"/>
                <w:i w:val="0"/>
                <w:sz w:val="22"/>
              </w:rPr>
              <w:t>CysK</w:t>
            </w:r>
          </w:p>
        </w:tc>
        <w:tc>
          <w:tcPr>
            <w:tcW w:type="dxa" w:w="2340"/>
          </w:tcPr>
          <w:p>
            <w:r/>
            <w:r>
              <w:rPr>
                <w:rFonts w:ascii="Times New Roman" w:hAnsi="Times New Roman" w:cs="Times New Roman" w:eastAsia="Times New Roman"/>
                <w:b w:val="0"/>
                <w:i w:val="0"/>
                <w:sz w:val="22"/>
              </w:rPr>
              <w:t>-</w:t>
            </w:r>
          </w:p>
        </w:tc>
        <w:tc>
          <w:tcPr>
            <w:tcW w:type="dxa" w:w="2340"/>
          </w:tcPr>
          <w:p>
            <w:r/>
            <w:r>
              <w:rPr>
                <w:rFonts w:ascii="Times New Roman" w:hAnsi="Times New Roman" w:cs="Times New Roman" w:eastAsia="Times New Roman"/>
                <w:b w:val="0"/>
                <w:i w:val="0"/>
                <w:sz w:val="22"/>
              </w:rPr>
            </w:r>
          </w:p>
        </w:tc>
      </w:tr>
    </w:tbl>
    <w:p>
      <w:pPr>
        <w:spacing w:after="80"/>
        <w:jc w:val="both"/>
      </w:pPr>
    </w:p>
    <w:p>
      <w:pPr>
        <w:keepNext/>
        <w:spacing w:before="280" w:after="80"/>
        <w:outlineLvl w:val="1"/>
      </w:pPr>
      <w:r>
        <w:rPr>
          <w:rFonts w:ascii="Times New Roman" w:hAnsi="Times New Roman" w:cs="Times New Roman" w:eastAsia="Times New Roman"/>
          <w:b/>
          <w:i w:val="0"/>
          <w:color w:val="335588"/>
          <w:sz w:val="28"/>
        </w:rPr>
        <w:t>B.11  PMC11939635 — Endothelial Dysfunction: Redox Imbalance, NLRP3 Inflammasome, and Inflammatory R</w:t>
      </w:r>
    </w:p>
    <w:p>
      <w:pPr>
        <w:keepNext/>
        <w:spacing w:before="160" w:after="40"/>
        <w:jc w:val="left"/>
      </w:pPr>
      <w:r>
        <w:rPr>
          <w:rFonts w:ascii="Times New Roman" w:hAnsi="Times New Roman" w:cs="Times New Roman" w:eastAsia="Times New Roman"/>
          <w:b/>
          <w:i w:val="0"/>
          <w:sz w:val="22"/>
        </w:rPr>
        <w:t>Reproduced verbatim from PMC11939635 Table 1 — Table 1 — Factors Involved in Maintaining Endothelial Physiological Functions.</w:t>
      </w:r>
    </w:p>
    <w:tbl>
      <w:tblPr>
        <w:tblStyle w:val="TableGrid"/>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560"/>
            <w:shd w:fill="DDE4EF"/>
          </w:tcPr>
          <w:p>
            <w:r/>
            <w:r>
              <w:rPr>
                <w:rFonts w:ascii="Times New Roman" w:hAnsi="Times New Roman" w:cs="Times New Roman" w:eastAsia="Times New Roman"/>
                <w:b/>
                <w:i w:val="0"/>
                <w:sz w:val="22"/>
              </w:rPr>
              <w:t>Substance</w:t>
            </w:r>
          </w:p>
        </w:tc>
        <w:tc>
          <w:tcPr>
            <w:tcW w:type="dxa" w:w="1560"/>
            <w:shd w:fill="DDE4EF"/>
          </w:tcPr>
          <w:p>
            <w:r/>
            <w:r>
              <w:rPr>
                <w:rFonts w:ascii="Times New Roman" w:hAnsi="Times New Roman" w:cs="Times New Roman" w:eastAsia="Times New Roman"/>
                <w:b/>
                <w:i w:val="0"/>
                <w:sz w:val="22"/>
              </w:rPr>
              <w:t>Precursor Compound</w:t>
            </w:r>
          </w:p>
        </w:tc>
        <w:tc>
          <w:tcPr>
            <w:tcW w:type="dxa" w:w="1560"/>
            <w:shd w:fill="DDE4EF"/>
          </w:tcPr>
          <w:p>
            <w:r/>
            <w:r>
              <w:rPr>
                <w:rFonts w:ascii="Times New Roman" w:hAnsi="Times New Roman" w:cs="Times New Roman" w:eastAsia="Times New Roman"/>
                <w:b/>
                <w:i w:val="0"/>
                <w:sz w:val="22"/>
              </w:rPr>
              <w:t>Effect</w:t>
            </w:r>
          </w:p>
        </w:tc>
        <w:tc>
          <w:tcPr>
            <w:tcW w:type="dxa" w:w="1560"/>
            <w:shd w:fill="DDE4EF"/>
          </w:tcPr>
          <w:p>
            <w:r/>
            <w:r>
              <w:rPr>
                <w:rFonts w:ascii="Times New Roman" w:hAnsi="Times New Roman" w:cs="Times New Roman" w:eastAsia="Times New Roman"/>
                <w:b/>
                <w:i w:val="0"/>
                <w:sz w:val="22"/>
              </w:rPr>
              <w:t>Other Effects</w:t>
            </w:r>
          </w:p>
        </w:tc>
        <w:tc>
          <w:tcPr>
            <w:tcW w:type="dxa" w:w="1560"/>
            <w:shd w:fill="DDE4EF"/>
          </w:tcPr>
          <w:p>
            <w:r/>
            <w:r>
              <w:rPr>
                <w:rFonts w:ascii="Times New Roman" w:hAnsi="Times New Roman" w:cs="Times New Roman" w:eastAsia="Times New Roman"/>
                <w:b/>
                <w:i w:val="0"/>
                <w:sz w:val="22"/>
              </w:rPr>
              <w:t>Secretion</w:t>
            </w:r>
          </w:p>
        </w:tc>
        <w:tc>
          <w:tcPr>
            <w:tcW w:type="dxa" w:w="1560"/>
            <w:shd w:fill="DDE4EF"/>
          </w:tcPr>
          <w:p>
            <w:r/>
            <w:r>
              <w:rPr>
                <w:rFonts w:ascii="Times New Roman" w:hAnsi="Times New Roman" w:cs="Times New Roman" w:eastAsia="Times New Roman"/>
                <w:b/>
                <w:i w:val="0"/>
                <w:sz w:val="22"/>
              </w:rPr>
              <w:t>Refs.</w:t>
            </w:r>
          </w:p>
        </w:tc>
      </w:tr>
      <w:tr>
        <w:tc>
          <w:tcPr>
            <w:tcW w:type="dxa" w:w="1560"/>
          </w:tcPr>
          <w:p>
            <w:r/>
            <w:r>
              <w:rPr>
                <w:rFonts w:ascii="Times New Roman" w:hAnsi="Times New Roman" w:cs="Times New Roman" w:eastAsia="Times New Roman"/>
                <w:b w:val="0"/>
                <w:i w:val="0"/>
                <w:sz w:val="22"/>
              </w:rPr>
              <w:t>NO</w:t>
            </w:r>
          </w:p>
        </w:tc>
        <w:tc>
          <w:tcPr>
            <w:tcW w:type="dxa" w:w="1560"/>
          </w:tcPr>
          <w:p>
            <w:r/>
            <w:r>
              <w:rPr>
                <w:rFonts w:ascii="Times New Roman" w:hAnsi="Times New Roman" w:cs="Times New Roman" w:eastAsia="Times New Roman"/>
                <w:b w:val="0"/>
                <w:i w:val="0"/>
                <w:sz w:val="22"/>
              </w:rPr>
              <w:t>L-arginine</w:t>
            </w:r>
          </w:p>
        </w:tc>
        <w:tc>
          <w:tcPr>
            <w:tcW w:type="dxa" w:w="1560"/>
          </w:tcPr>
          <w:p>
            <w:r/>
            <w:r>
              <w:rPr>
                <w:rFonts w:ascii="Times New Roman" w:hAnsi="Times New Roman" w:cs="Times New Roman" w:eastAsia="Times New Roman"/>
                <w:b w:val="0"/>
                <w:i w:val="0"/>
                <w:sz w:val="22"/>
              </w:rPr>
              <w:t>Vasodilatation</w:t>
            </w:r>
          </w:p>
        </w:tc>
        <w:tc>
          <w:tcPr>
            <w:tcW w:type="dxa" w:w="1560"/>
          </w:tcPr>
          <w:p>
            <w:r/>
            <w:r>
              <w:rPr>
                <w:rFonts w:ascii="Times New Roman" w:hAnsi="Times New Roman" w:cs="Times New Roman" w:eastAsia="Times New Roman"/>
                <w:b w:val="0"/>
                <w:i w:val="0"/>
                <w:sz w:val="22"/>
              </w:rPr>
              <w:t>Maintains basal tone of vessels; inhibits PLT activation, adhesion secretion and aggregation; promotes platelet disaggregation; inhibits leukocyte adhesion; inhibits smooth muscle cell migration and proliferation</w:t>
            </w:r>
          </w:p>
        </w:tc>
        <w:tc>
          <w:tcPr>
            <w:tcW w:type="dxa" w:w="1560"/>
          </w:tcPr>
          <w:p>
            <w:r/>
            <w:r>
              <w:rPr>
                <w:rFonts w:ascii="Times New Roman" w:hAnsi="Times New Roman" w:cs="Times New Roman" w:eastAsia="Times New Roman"/>
                <w:b w:val="0"/>
                <w:i w:val="0"/>
                <w:sz w:val="22"/>
              </w:rPr>
              <w:t>Paracrine/Constitutive and induced by thrombin, ADP, BK, substance P, muscarinic agonists, shear stress, cyclic strain, cytokines</w:t>
            </w:r>
          </w:p>
        </w:tc>
        <w:tc>
          <w:tcPr>
            <w:tcW w:type="dxa" w:w="1560"/>
          </w:tcPr>
          <w:p>
            <w:r/>
            <w:r>
              <w:rPr>
                <w:rFonts w:ascii="Times New Roman" w:hAnsi="Times New Roman" w:cs="Times New Roman" w:eastAsia="Times New Roman"/>
                <w:b w:val="0"/>
                <w:i w:val="0"/>
                <w:sz w:val="22"/>
              </w:rPr>
              <w:t>[ 11 , 15 ]</w:t>
            </w:r>
          </w:p>
        </w:tc>
      </w:tr>
      <w:tr>
        <w:tc>
          <w:tcPr>
            <w:tcW w:type="dxa" w:w="1560"/>
          </w:tcPr>
          <w:p>
            <w:r/>
            <w:r>
              <w:rPr>
                <w:rFonts w:ascii="Times New Roman" w:hAnsi="Times New Roman" w:cs="Times New Roman" w:eastAsia="Times New Roman"/>
                <w:b w:val="0"/>
                <w:i w:val="0"/>
                <w:sz w:val="22"/>
              </w:rPr>
              <w:t>PGI 2</w:t>
            </w:r>
          </w:p>
        </w:tc>
        <w:tc>
          <w:tcPr>
            <w:tcW w:type="dxa" w:w="1560"/>
          </w:tcPr>
          <w:p>
            <w:r/>
            <w:r>
              <w:rPr>
                <w:rFonts w:ascii="Times New Roman" w:hAnsi="Times New Roman" w:cs="Times New Roman" w:eastAsia="Times New Roman"/>
                <w:b w:val="0"/>
                <w:i w:val="0"/>
                <w:sz w:val="22"/>
              </w:rPr>
              <w:t>AA</w:t>
            </w:r>
          </w:p>
        </w:tc>
        <w:tc>
          <w:tcPr>
            <w:tcW w:type="dxa" w:w="1560"/>
          </w:tcPr>
          <w:p>
            <w:r/>
            <w:r>
              <w:rPr>
                <w:rFonts w:ascii="Times New Roman" w:hAnsi="Times New Roman" w:cs="Times New Roman" w:eastAsia="Times New Roman"/>
                <w:b w:val="0"/>
                <w:i w:val="0"/>
                <w:sz w:val="22"/>
              </w:rPr>
              <w:t>Vaso-dilatation</w:t>
            </w:r>
          </w:p>
        </w:tc>
        <w:tc>
          <w:tcPr>
            <w:tcW w:type="dxa" w:w="1560"/>
          </w:tcPr>
          <w:p>
            <w:r/>
            <w:r>
              <w:rPr>
                <w:rFonts w:ascii="Times New Roman" w:hAnsi="Times New Roman" w:cs="Times New Roman" w:eastAsia="Times New Roman"/>
                <w:b w:val="0"/>
                <w:i w:val="0"/>
                <w:sz w:val="22"/>
              </w:rPr>
              <w:t>Delays platelet aggregation and deposition</w:t>
            </w:r>
          </w:p>
        </w:tc>
        <w:tc>
          <w:tcPr>
            <w:tcW w:type="dxa" w:w="1560"/>
          </w:tcPr>
          <w:p>
            <w:r/>
            <w:r>
              <w:rPr>
                <w:rFonts w:ascii="Times New Roman" w:hAnsi="Times New Roman" w:cs="Times New Roman" w:eastAsia="Times New Roman"/>
                <w:b w:val="0"/>
                <w:i w:val="0"/>
                <w:sz w:val="22"/>
              </w:rPr>
              <w:t>Paracrine/Induced at sites of vascular perturbation</w:t>
            </w:r>
          </w:p>
        </w:tc>
        <w:tc>
          <w:tcPr>
            <w:tcW w:type="dxa" w:w="1560"/>
          </w:tcPr>
          <w:p>
            <w:r/>
            <w:r>
              <w:rPr>
                <w:rFonts w:ascii="Times New Roman" w:hAnsi="Times New Roman" w:cs="Times New Roman" w:eastAsia="Times New Roman"/>
                <w:b w:val="0"/>
                <w:i w:val="0"/>
                <w:sz w:val="22"/>
              </w:rPr>
              <w:t>[ 14 , 16 ]</w:t>
            </w:r>
          </w:p>
        </w:tc>
      </w:tr>
      <w:tr>
        <w:tc>
          <w:tcPr>
            <w:tcW w:type="dxa" w:w="1560"/>
          </w:tcPr>
          <w:p>
            <w:r/>
            <w:r>
              <w:rPr>
                <w:rFonts w:ascii="Times New Roman" w:hAnsi="Times New Roman" w:cs="Times New Roman" w:eastAsia="Times New Roman"/>
                <w:b w:val="0"/>
                <w:i w:val="0"/>
                <w:sz w:val="22"/>
              </w:rPr>
              <w:t>PAF</w:t>
            </w:r>
          </w:p>
        </w:tc>
        <w:tc>
          <w:tcPr>
            <w:tcW w:type="dxa" w:w="1560"/>
          </w:tcPr>
          <w:p>
            <w:r/>
            <w:r>
              <w:rPr>
                <w:rFonts w:ascii="Times New Roman" w:hAnsi="Times New Roman" w:cs="Times New Roman" w:eastAsia="Times New Roman"/>
                <w:b w:val="0"/>
                <w:i w:val="0"/>
                <w:sz w:val="22"/>
              </w:rPr>
              <w:t>AA</w:t>
            </w:r>
          </w:p>
        </w:tc>
        <w:tc>
          <w:tcPr>
            <w:tcW w:type="dxa" w:w="1560"/>
          </w:tcPr>
          <w:p>
            <w:r/>
            <w:r>
              <w:rPr>
                <w:rFonts w:ascii="Times New Roman" w:hAnsi="Times New Roman" w:cs="Times New Roman" w:eastAsia="Times New Roman"/>
                <w:b w:val="0"/>
                <w:i w:val="0"/>
                <w:sz w:val="22"/>
              </w:rPr>
              <w:t>Vasoconstriction</w:t>
            </w:r>
          </w:p>
        </w:tc>
        <w:tc>
          <w:tcPr>
            <w:tcW w:type="dxa" w:w="1560"/>
          </w:tcPr>
          <w:p>
            <w:r/>
            <w:r>
              <w:rPr>
                <w:rFonts w:ascii="Times New Roman" w:hAnsi="Times New Roman" w:cs="Times New Roman" w:eastAsia="Times New Roman"/>
                <w:b w:val="0"/>
                <w:i w:val="0"/>
                <w:sz w:val="22"/>
              </w:rPr>
              <w:t>Favors leukocyte adhesion at cell surface</w:t>
            </w:r>
          </w:p>
        </w:tc>
        <w:tc>
          <w:tcPr>
            <w:tcW w:type="dxa" w:w="1560"/>
          </w:tcPr>
          <w:p>
            <w:r/>
            <w:r>
              <w:rPr>
                <w:rFonts w:ascii="Times New Roman" w:hAnsi="Times New Roman" w:cs="Times New Roman" w:eastAsia="Times New Roman"/>
                <w:b w:val="0"/>
                <w:i w:val="0"/>
                <w:sz w:val="22"/>
              </w:rPr>
              <w:t>Juxtacrine/Induced by hypoxia and ischemia</w:t>
            </w:r>
          </w:p>
        </w:tc>
        <w:tc>
          <w:tcPr>
            <w:tcW w:type="dxa" w:w="1560"/>
          </w:tcPr>
          <w:p>
            <w:r/>
            <w:r>
              <w:rPr>
                <w:rFonts w:ascii="Times New Roman" w:hAnsi="Times New Roman" w:cs="Times New Roman" w:eastAsia="Times New Roman"/>
                <w:b w:val="0"/>
                <w:i w:val="0"/>
                <w:sz w:val="22"/>
              </w:rPr>
              <w:t>[ 11 , 17 ]</w:t>
            </w:r>
          </w:p>
        </w:tc>
      </w:tr>
      <w:tr>
        <w:tc>
          <w:tcPr>
            <w:tcW w:type="dxa" w:w="1560"/>
          </w:tcPr>
          <w:p>
            <w:r/>
            <w:r>
              <w:rPr>
                <w:rFonts w:ascii="Times New Roman" w:hAnsi="Times New Roman" w:cs="Times New Roman" w:eastAsia="Times New Roman"/>
                <w:b w:val="0"/>
                <w:i w:val="0"/>
                <w:sz w:val="22"/>
              </w:rPr>
              <w:t>ETs</w:t>
            </w:r>
          </w:p>
        </w:tc>
        <w:tc>
          <w:tcPr>
            <w:tcW w:type="dxa" w:w="1560"/>
          </w:tcPr>
          <w:p>
            <w:r/>
            <w:r>
              <w:rPr>
                <w:rFonts w:ascii="Times New Roman" w:hAnsi="Times New Roman" w:cs="Times New Roman" w:eastAsia="Times New Roman"/>
                <w:b w:val="0"/>
                <w:i w:val="0"/>
                <w:sz w:val="22"/>
              </w:rPr>
              <w:t>Prepro-ET-1</w:t>
            </w:r>
          </w:p>
        </w:tc>
        <w:tc>
          <w:tcPr>
            <w:tcW w:type="dxa" w:w="1560"/>
          </w:tcPr>
          <w:p>
            <w:r/>
            <w:r>
              <w:rPr>
                <w:rFonts w:ascii="Times New Roman" w:hAnsi="Times New Roman" w:cs="Times New Roman" w:eastAsia="Times New Roman"/>
                <w:b w:val="0"/>
                <w:i w:val="0"/>
                <w:sz w:val="22"/>
              </w:rPr>
              <w:t>Vasoconstriction</w:t>
            </w:r>
          </w:p>
        </w:tc>
        <w:tc>
          <w:tcPr>
            <w:tcW w:type="dxa" w:w="1560"/>
          </w:tcPr>
          <w:p>
            <w:r/>
            <w:r>
              <w:rPr>
                <w:rFonts w:ascii="Times New Roman" w:hAnsi="Times New Roman" w:cs="Times New Roman" w:eastAsia="Times New Roman"/>
                <w:b w:val="0"/>
                <w:i w:val="0"/>
                <w:sz w:val="22"/>
              </w:rPr>
              <w:t>Mitogen for VSMCs; modulates effect of numerous compounds</w:t>
            </w:r>
          </w:p>
        </w:tc>
        <w:tc>
          <w:tcPr>
            <w:tcW w:type="dxa" w:w="1560"/>
          </w:tcPr>
          <w:p>
            <w:r/>
            <w:r>
              <w:rPr>
                <w:rFonts w:ascii="Times New Roman" w:hAnsi="Times New Roman" w:cs="Times New Roman" w:eastAsia="Times New Roman"/>
                <w:b w:val="0"/>
                <w:i w:val="0"/>
                <w:sz w:val="22"/>
              </w:rPr>
              <w:t>Paracrine/Induced by shear stress, hypoxia, and ischemia</w:t>
            </w:r>
          </w:p>
        </w:tc>
        <w:tc>
          <w:tcPr>
            <w:tcW w:type="dxa" w:w="1560"/>
          </w:tcPr>
          <w:p>
            <w:r/>
            <w:r>
              <w:rPr>
                <w:rFonts w:ascii="Times New Roman" w:hAnsi="Times New Roman" w:cs="Times New Roman" w:eastAsia="Times New Roman"/>
                <w:b w:val="0"/>
                <w:i w:val="0"/>
                <w:sz w:val="22"/>
              </w:rPr>
              <w:t>[ 18 , 23 ]</w:t>
            </w:r>
          </w:p>
        </w:tc>
      </w:tr>
      <w:tr>
        <w:tc>
          <w:tcPr>
            <w:tcW w:type="dxa" w:w="1560"/>
          </w:tcPr>
          <w:p>
            <w:r/>
            <w:r>
              <w:rPr>
                <w:rFonts w:ascii="Times New Roman" w:hAnsi="Times New Roman" w:cs="Times New Roman" w:eastAsia="Times New Roman"/>
                <w:b w:val="0"/>
                <w:i w:val="0"/>
                <w:sz w:val="22"/>
              </w:rPr>
              <w:t>TxA2</w:t>
            </w:r>
          </w:p>
        </w:tc>
        <w:tc>
          <w:tcPr>
            <w:tcW w:type="dxa" w:w="1560"/>
          </w:tcPr>
          <w:p>
            <w:r/>
            <w:r>
              <w:rPr>
                <w:rFonts w:ascii="Times New Roman" w:hAnsi="Times New Roman" w:cs="Times New Roman" w:eastAsia="Times New Roman"/>
                <w:b w:val="0"/>
                <w:i w:val="0"/>
                <w:sz w:val="22"/>
              </w:rPr>
              <w:t>AA</w:t>
            </w:r>
          </w:p>
        </w:tc>
        <w:tc>
          <w:tcPr>
            <w:tcW w:type="dxa" w:w="1560"/>
          </w:tcPr>
          <w:p>
            <w:r/>
            <w:r>
              <w:rPr>
                <w:rFonts w:ascii="Times New Roman" w:hAnsi="Times New Roman" w:cs="Times New Roman" w:eastAsia="Times New Roman"/>
                <w:b w:val="0"/>
                <w:i w:val="0"/>
                <w:sz w:val="22"/>
              </w:rPr>
              <w:t>Vasoconstriction</w:t>
            </w:r>
          </w:p>
        </w:tc>
        <w:tc>
          <w:tcPr>
            <w:tcW w:type="dxa" w:w="1560"/>
          </w:tcPr>
          <w:p>
            <w:r/>
            <w:r>
              <w:rPr>
                <w:rFonts w:ascii="Times New Roman" w:hAnsi="Times New Roman" w:cs="Times New Roman" w:eastAsia="Times New Roman"/>
                <w:b w:val="0"/>
                <w:i w:val="0"/>
                <w:sz w:val="22"/>
              </w:rPr>
              <w:t>Platelet aggregation</w:t>
            </w:r>
          </w:p>
        </w:tc>
        <w:tc>
          <w:tcPr>
            <w:tcW w:type="dxa" w:w="1560"/>
          </w:tcPr>
          <w:p>
            <w:r/>
            <w:r>
              <w:rPr>
                <w:rFonts w:ascii="Times New Roman" w:hAnsi="Times New Roman" w:cs="Times New Roman" w:eastAsia="Times New Roman"/>
                <w:b w:val="0"/>
                <w:i w:val="0"/>
                <w:sz w:val="22"/>
              </w:rPr>
              <w:t>Typically produced by PLTs, but also byby ECs</w:t>
            </w:r>
          </w:p>
        </w:tc>
        <w:tc>
          <w:tcPr>
            <w:tcW w:type="dxa" w:w="1560"/>
          </w:tcPr>
          <w:p>
            <w:r/>
            <w:r>
              <w:rPr>
                <w:rFonts w:ascii="Times New Roman" w:hAnsi="Times New Roman" w:cs="Times New Roman" w:eastAsia="Times New Roman"/>
                <w:b w:val="0"/>
                <w:i w:val="0"/>
                <w:sz w:val="22"/>
              </w:rPr>
              <w:t>[ 11 , 19 ]</w:t>
            </w:r>
          </w:p>
        </w:tc>
      </w:tr>
      <w:tr>
        <w:tc>
          <w:tcPr>
            <w:tcW w:type="dxa" w:w="1560"/>
          </w:tcPr>
          <w:p>
            <w:r/>
            <w:r>
              <w:rPr>
                <w:rFonts w:ascii="Times New Roman" w:hAnsi="Times New Roman" w:cs="Times New Roman" w:eastAsia="Times New Roman"/>
                <w:b w:val="0"/>
                <w:i w:val="0"/>
                <w:sz w:val="22"/>
              </w:rPr>
              <w:t>Potassium ions, H 2 O 2 , lipid mediators (EETs)</w:t>
            </w:r>
          </w:p>
        </w:tc>
        <w:tc>
          <w:tcPr>
            <w:tcW w:type="dxa" w:w="1560"/>
          </w:tcPr>
          <w:p>
            <w:r/>
            <w:r>
              <w:rPr>
                <w:rFonts w:ascii="Times New Roman" w:hAnsi="Times New Roman" w:cs="Times New Roman" w:eastAsia="Times New Roman"/>
                <w:b w:val="0"/>
                <w:i w:val="0"/>
                <w:sz w:val="22"/>
              </w:rPr>
              <w:t>Endothelial-derived molecule, AA</w:t>
            </w:r>
          </w:p>
        </w:tc>
        <w:tc>
          <w:tcPr>
            <w:tcW w:type="dxa" w:w="1560"/>
          </w:tcPr>
          <w:p>
            <w:r/>
            <w:r>
              <w:rPr>
                <w:rFonts w:ascii="Times New Roman" w:hAnsi="Times New Roman" w:cs="Times New Roman" w:eastAsia="Times New Roman"/>
                <w:b w:val="0"/>
                <w:i w:val="0"/>
                <w:sz w:val="22"/>
              </w:rPr>
              <w:t>Vaso-dilation via hyper-polarization</w:t>
            </w:r>
          </w:p>
        </w:tc>
        <w:tc>
          <w:tcPr>
            <w:tcW w:type="dxa" w:w="1560"/>
          </w:tcPr>
          <w:p>
            <w:r/>
            <w:r>
              <w:rPr>
                <w:rFonts w:ascii="Times New Roman" w:hAnsi="Times New Roman" w:cs="Times New Roman" w:eastAsia="Times New Roman"/>
                <w:b w:val="0"/>
                <w:i w:val="0"/>
                <w:sz w:val="22"/>
              </w:rPr>
              <w:t>Modulation of vascular tone, involvement in vasomotion</w:t>
            </w:r>
          </w:p>
        </w:tc>
        <w:tc>
          <w:tcPr>
            <w:tcW w:type="dxa" w:w="1560"/>
          </w:tcPr>
          <w:p>
            <w:r/>
            <w:r>
              <w:rPr>
                <w:rFonts w:ascii="Times New Roman" w:hAnsi="Times New Roman" w:cs="Times New Roman" w:eastAsia="Times New Roman"/>
                <w:b w:val="0"/>
                <w:i w:val="0"/>
                <w:sz w:val="22"/>
              </w:rPr>
              <w:t>Secreted by ECs, following various stimuli</w:t>
            </w:r>
          </w:p>
        </w:tc>
        <w:tc>
          <w:tcPr>
            <w:tcW w:type="dxa" w:w="1560"/>
          </w:tcPr>
          <w:p>
            <w:r/>
            <w:r>
              <w:rPr>
                <w:rFonts w:ascii="Times New Roman" w:hAnsi="Times New Roman" w:cs="Times New Roman" w:eastAsia="Times New Roman"/>
                <w:b w:val="0"/>
                <w:i w:val="0"/>
                <w:sz w:val="22"/>
              </w:rPr>
              <w:t>[ 14 , 20 ]</w:t>
            </w:r>
          </w:p>
        </w:tc>
      </w:tr>
      <w:tr>
        <w:tc>
          <w:tcPr>
            <w:tcW w:type="dxa" w:w="1560"/>
          </w:tcPr>
          <w:p>
            <w:r/>
            <w:r>
              <w:rPr>
                <w:rFonts w:ascii="Times New Roman" w:hAnsi="Times New Roman" w:cs="Times New Roman" w:eastAsia="Times New Roman"/>
                <w:b w:val="0"/>
                <w:i w:val="0"/>
                <w:sz w:val="22"/>
              </w:rPr>
              <w:t>Calcium ions (Ca 2+ )</w:t>
            </w:r>
          </w:p>
        </w:tc>
        <w:tc>
          <w:tcPr>
            <w:tcW w:type="dxa" w:w="1560"/>
          </w:tcPr>
          <w:p>
            <w:r/>
            <w:r>
              <w:rPr>
                <w:rFonts w:ascii="Times New Roman" w:hAnsi="Times New Roman" w:cs="Times New Roman" w:eastAsia="Times New Roman"/>
                <w:b w:val="0"/>
                <w:i w:val="0"/>
                <w:sz w:val="22"/>
              </w:rPr>
              <w:t>Mobilized intra-cellularly</w:t>
            </w:r>
          </w:p>
        </w:tc>
        <w:tc>
          <w:tcPr>
            <w:tcW w:type="dxa" w:w="1560"/>
          </w:tcPr>
          <w:p>
            <w:r/>
            <w:r>
              <w:rPr>
                <w:rFonts w:ascii="Times New Roman" w:hAnsi="Times New Roman" w:cs="Times New Roman" w:eastAsia="Times New Roman"/>
                <w:b w:val="0"/>
                <w:i w:val="0"/>
                <w:sz w:val="22"/>
              </w:rPr>
              <w:t>Activates NO and EDH signaling</w:t>
            </w:r>
          </w:p>
        </w:tc>
        <w:tc>
          <w:tcPr>
            <w:tcW w:type="dxa" w:w="1560"/>
          </w:tcPr>
          <w:p>
            <w:r/>
            <w:r>
              <w:rPr>
                <w:rFonts w:ascii="Times New Roman" w:hAnsi="Times New Roman" w:cs="Times New Roman" w:eastAsia="Times New Roman"/>
                <w:b w:val="0"/>
                <w:i w:val="0"/>
                <w:sz w:val="22"/>
              </w:rPr>
              <w:t>Facilitates negative feedback during vasoconstriction</w:t>
            </w:r>
          </w:p>
        </w:tc>
        <w:tc>
          <w:tcPr>
            <w:tcW w:type="dxa" w:w="1560"/>
          </w:tcPr>
          <w:p>
            <w:r/>
            <w:r>
              <w:rPr>
                <w:rFonts w:ascii="Times New Roman" w:hAnsi="Times New Roman" w:cs="Times New Roman" w:eastAsia="Times New Roman"/>
                <w:b w:val="0"/>
                <w:i w:val="0"/>
                <w:sz w:val="22"/>
              </w:rPr>
              <w:t>Transferred between ECs and VSMCs via MEJs</w:t>
            </w:r>
          </w:p>
        </w:tc>
        <w:tc>
          <w:tcPr>
            <w:tcW w:type="dxa" w:w="1560"/>
          </w:tcPr>
          <w:p>
            <w:r/>
            <w:r>
              <w:rPr>
                <w:rFonts w:ascii="Times New Roman" w:hAnsi="Times New Roman" w:cs="Times New Roman" w:eastAsia="Times New Roman"/>
                <w:b w:val="0"/>
                <w:i w:val="0"/>
                <w:sz w:val="22"/>
              </w:rPr>
              <w:t>[ 14 , 21 ]</w:t>
            </w:r>
          </w:p>
        </w:tc>
      </w:tr>
      <w:tr>
        <w:tc>
          <w:tcPr>
            <w:tcW w:type="dxa" w:w="1560"/>
          </w:tcPr>
          <w:p>
            <w:r/>
            <w:r>
              <w:rPr>
                <w:rFonts w:ascii="Times New Roman" w:hAnsi="Times New Roman" w:cs="Times New Roman" w:eastAsia="Times New Roman"/>
                <w:b w:val="0"/>
                <w:i w:val="0"/>
                <w:sz w:val="22"/>
              </w:rPr>
              <w:t>Electrical signals</w:t>
            </w:r>
          </w:p>
        </w:tc>
        <w:tc>
          <w:tcPr>
            <w:tcW w:type="dxa" w:w="1560"/>
          </w:tcPr>
          <w:p>
            <w:r/>
            <w:r>
              <w:rPr>
                <w:rFonts w:ascii="Times New Roman" w:hAnsi="Times New Roman" w:cs="Times New Roman" w:eastAsia="Times New Roman"/>
                <w:b w:val="0"/>
                <w:i w:val="0"/>
                <w:sz w:val="22"/>
              </w:rPr>
              <w:t>Hyperpolarizing current (via MEJs)</w:t>
            </w:r>
          </w:p>
        </w:tc>
        <w:tc>
          <w:tcPr>
            <w:tcW w:type="dxa" w:w="1560"/>
          </w:tcPr>
          <w:p>
            <w:r/>
            <w:r>
              <w:rPr>
                <w:rFonts w:ascii="Times New Roman" w:hAnsi="Times New Roman" w:cs="Times New Roman" w:eastAsia="Times New Roman"/>
                <w:b w:val="0"/>
                <w:i w:val="0"/>
                <w:sz w:val="22"/>
              </w:rPr>
              <w:t>Hyper-polarization of VSMCs</w:t>
            </w:r>
          </w:p>
        </w:tc>
        <w:tc>
          <w:tcPr>
            <w:tcW w:type="dxa" w:w="1560"/>
          </w:tcPr>
          <w:p>
            <w:r/>
            <w:r>
              <w:rPr>
                <w:rFonts w:ascii="Times New Roman" w:hAnsi="Times New Roman" w:cs="Times New Roman" w:eastAsia="Times New Roman"/>
                <w:b w:val="0"/>
                <w:i w:val="0"/>
                <w:sz w:val="22"/>
              </w:rPr>
              <w:t>Enables bidirectional signaling, supports myoendothelial feedback</w:t>
            </w:r>
          </w:p>
        </w:tc>
        <w:tc>
          <w:tcPr>
            <w:tcW w:type="dxa" w:w="1560"/>
          </w:tcPr>
          <w:p>
            <w:r/>
            <w:r>
              <w:rPr>
                <w:rFonts w:ascii="Times New Roman" w:hAnsi="Times New Roman" w:cs="Times New Roman" w:eastAsia="Times New Roman"/>
                <w:b w:val="0"/>
                <w:i w:val="0"/>
                <w:sz w:val="22"/>
              </w:rPr>
              <w:t>Conducted through MEJs</w:t>
            </w:r>
          </w:p>
        </w:tc>
        <w:tc>
          <w:tcPr>
            <w:tcW w:type="dxa" w:w="1560"/>
          </w:tcPr>
          <w:p>
            <w:r/>
            <w:r>
              <w:rPr>
                <w:rFonts w:ascii="Times New Roman" w:hAnsi="Times New Roman" w:cs="Times New Roman" w:eastAsia="Times New Roman"/>
                <w:b w:val="0"/>
                <w:i w:val="0"/>
                <w:sz w:val="22"/>
              </w:rPr>
              <w:t>[ 14 , 22 ]</w:t>
            </w:r>
          </w:p>
        </w:tc>
      </w:tr>
    </w:tbl>
    <w:p>
      <w:pPr>
        <w:spacing w:after="80"/>
        <w:jc w:val="both"/>
      </w:pPr>
    </w:p>
    <w:p>
      <w:pPr>
        <w:keepNext/>
        <w:spacing w:before="280" w:after="80"/>
        <w:outlineLvl w:val="1"/>
      </w:pPr>
      <w:r>
        <w:rPr>
          <w:rFonts w:ascii="Times New Roman" w:hAnsi="Times New Roman" w:cs="Times New Roman" w:eastAsia="Times New Roman"/>
          <w:b/>
          <w:i w:val="0"/>
          <w:color w:val="335588"/>
          <w:sz w:val="28"/>
        </w:rPr>
        <w:t>B.12  PMC11317141 — Distinct DNA repair mechanisms prevent formaldehyde toxicity during development,</w:t>
      </w:r>
    </w:p>
    <w:p>
      <w:pPr>
        <w:keepNext/>
        <w:spacing w:before="160" w:after="40"/>
        <w:jc w:val="left"/>
      </w:pPr>
      <w:r>
        <w:rPr>
          <w:rFonts w:ascii="Times New Roman" w:hAnsi="Times New Roman" w:cs="Times New Roman" w:eastAsia="Times New Roman"/>
          <w:b/>
          <w:i w:val="0"/>
          <w:sz w:val="22"/>
        </w:rPr>
        <w:t>Reproduced verbatim from PMC11317141 Table 1 — —</w:t>
      </w:r>
    </w:p>
    <w:tbl>
      <w:tblPr>
        <w:tblStyle w:val="TableGrid"/>
        <w:tblW w:type="auto" w:w="0"/>
        <w:tblLayout w:type="fixed"/>
        <w:tblLook w:firstColumn="1" w:firstRow="1" w:lastColumn="0" w:lastRow="0" w:noHBand="0" w:noVBand="1" w:val="04A0"/>
      </w:tblPr>
      <w:tblGrid>
        <w:gridCol w:w="4680"/>
        <w:gridCol w:w="4680"/>
      </w:tblGrid>
      <w:tr>
        <w:tc>
          <w:tcPr>
            <w:tcW w:type="dxa" w:w="4680"/>
            <w:shd w:fill="DDE4EF"/>
          </w:tcPr>
          <w:p>
            <w:r/>
            <w:r>
              <w:rPr>
                <w:rFonts w:ascii="Times New Roman" w:hAnsi="Times New Roman" w:cs="Times New Roman" w:eastAsia="Times New Roman"/>
                <w:b/>
                <w:i w:val="0"/>
                <w:sz w:val="22"/>
              </w:rPr>
              <w:t>Cell line ID</w:t>
            </w:r>
          </w:p>
        </w:tc>
        <w:tc>
          <w:tcPr>
            <w:tcW w:type="dxa" w:w="4680"/>
            <w:shd w:fill="DDE4EF"/>
          </w:tcPr>
          <w:p>
            <w:r/>
            <w:r>
              <w:rPr>
                <w:rFonts w:ascii="Times New Roman" w:hAnsi="Times New Roman" w:cs="Times New Roman" w:eastAsia="Times New Roman"/>
                <w:b/>
                <w:i w:val="0"/>
                <w:sz w:val="22"/>
              </w:rPr>
              <w:t>Information</w:t>
            </w:r>
          </w:p>
        </w:tc>
      </w:tr>
      <w:tr>
        <w:tc>
          <w:tcPr>
            <w:tcW w:type="dxa" w:w="4680"/>
          </w:tcPr>
          <w:p>
            <w:r/>
            <w:r>
              <w:rPr>
                <w:rFonts w:ascii="Times New Roman" w:hAnsi="Times New Roman" w:cs="Times New Roman" w:eastAsia="Times New Roman"/>
                <w:b w:val="0"/>
                <w:i w:val="0"/>
                <w:sz w:val="22"/>
              </w:rPr>
              <w:t>GM00637</w:t>
            </w:r>
          </w:p>
        </w:tc>
        <w:tc>
          <w:tcPr>
            <w:tcW w:type="dxa" w:w="4680"/>
          </w:tcPr>
          <w:p>
            <w:r/>
            <w:r>
              <w:rPr>
                <w:rFonts w:ascii="Times New Roman" w:hAnsi="Times New Roman" w:cs="Times New Roman" w:eastAsia="Times New Roman"/>
                <w:b w:val="0"/>
                <w:i w:val="0"/>
                <w:sz w:val="22"/>
              </w:rPr>
              <w:t>Apparently healthy transformed fibroblasts</w:t>
            </w:r>
          </w:p>
        </w:tc>
      </w:tr>
      <w:tr>
        <w:tc>
          <w:tcPr>
            <w:tcW w:type="dxa" w:w="4680"/>
          </w:tcPr>
          <w:p>
            <w:r/>
            <w:r>
              <w:rPr>
                <w:rFonts w:ascii="Times New Roman" w:hAnsi="Times New Roman" w:cs="Times New Roman" w:eastAsia="Times New Roman"/>
                <w:b w:val="0"/>
                <w:i w:val="0"/>
                <w:sz w:val="22"/>
              </w:rPr>
              <w:t>GM01712</w:t>
            </w:r>
          </w:p>
        </w:tc>
        <w:tc>
          <w:tcPr>
            <w:tcW w:type="dxa" w:w="4680"/>
          </w:tcPr>
          <w:p>
            <w:r/>
            <w:r>
              <w:rPr>
                <w:rFonts w:ascii="Times New Roman" w:hAnsi="Times New Roman" w:cs="Times New Roman" w:eastAsia="Times New Roman"/>
                <w:b w:val="0"/>
                <w:i w:val="0"/>
                <w:sz w:val="22"/>
              </w:rPr>
              <w:t>Cockayne syndrome, type b; CSB, EBV-lymphoblastic cells</w:t>
            </w:r>
          </w:p>
        </w:tc>
      </w:tr>
      <w:tr>
        <w:tc>
          <w:tcPr>
            <w:tcW w:type="dxa" w:w="4680"/>
          </w:tcPr>
          <w:p>
            <w:r/>
            <w:r>
              <w:rPr>
                <w:rFonts w:ascii="Times New Roman" w:hAnsi="Times New Roman" w:cs="Times New Roman" w:eastAsia="Times New Roman"/>
                <w:b w:val="0"/>
                <w:i w:val="0"/>
                <w:sz w:val="22"/>
              </w:rPr>
              <w:t>GM04312</w:t>
            </w:r>
          </w:p>
        </w:tc>
        <w:tc>
          <w:tcPr>
            <w:tcW w:type="dxa" w:w="4680"/>
          </w:tcPr>
          <w:p>
            <w:r/>
            <w:r>
              <w:rPr>
                <w:rFonts w:ascii="Times New Roman" w:hAnsi="Times New Roman" w:cs="Times New Roman" w:eastAsia="Times New Roman"/>
                <w:b w:val="0"/>
                <w:i w:val="0"/>
                <w:sz w:val="22"/>
              </w:rPr>
              <w:t>Xeroderma pigmentosum, complementation group A, transformed fibroblasts</w:t>
            </w:r>
          </w:p>
        </w:tc>
      </w:tr>
      <w:tr>
        <w:tc>
          <w:tcPr>
            <w:tcW w:type="dxa" w:w="4680"/>
          </w:tcPr>
          <w:p>
            <w:r/>
            <w:r>
              <w:rPr>
                <w:rFonts w:ascii="Times New Roman" w:hAnsi="Times New Roman" w:cs="Times New Roman" w:eastAsia="Times New Roman"/>
                <w:b w:val="0"/>
                <w:i w:val="0"/>
                <w:sz w:val="22"/>
              </w:rPr>
              <w:t>GM06914</w:t>
            </w:r>
          </w:p>
        </w:tc>
        <w:tc>
          <w:tcPr>
            <w:tcW w:type="dxa" w:w="4680"/>
          </w:tcPr>
          <w:p>
            <w:r/>
            <w:r>
              <w:rPr>
                <w:rFonts w:ascii="Times New Roman" w:hAnsi="Times New Roman" w:cs="Times New Roman" w:eastAsia="Times New Roman"/>
                <w:b w:val="0"/>
                <w:i w:val="0"/>
                <w:sz w:val="22"/>
              </w:rPr>
              <w:t>Fanconi anemia, complementation group A, transformed fibroblasts</w:t>
            </w:r>
          </w:p>
        </w:tc>
      </w:tr>
      <w:tr>
        <w:tc>
          <w:tcPr>
            <w:tcW w:type="dxa" w:w="4680"/>
          </w:tcPr>
          <w:p>
            <w:r/>
            <w:r>
              <w:rPr>
                <w:rFonts w:ascii="Times New Roman" w:hAnsi="Times New Roman" w:cs="Times New Roman" w:eastAsia="Times New Roman"/>
                <w:b w:val="0"/>
                <w:i w:val="0"/>
                <w:sz w:val="22"/>
              </w:rPr>
              <w:t>GM09942</w:t>
            </w:r>
          </w:p>
        </w:tc>
        <w:tc>
          <w:tcPr>
            <w:tcW w:type="dxa" w:w="4680"/>
          </w:tcPr>
          <w:p>
            <w:r/>
            <w:r>
              <w:rPr>
                <w:rFonts w:ascii="Times New Roman" w:hAnsi="Times New Roman" w:cs="Times New Roman" w:eastAsia="Times New Roman"/>
                <w:b w:val="0"/>
                <w:i w:val="0"/>
                <w:sz w:val="22"/>
              </w:rPr>
              <w:t>Xeroderma pigmentosum, complementation group C, EBV-lymphoblastic cells</w:t>
            </w:r>
          </w:p>
        </w:tc>
      </w:tr>
      <w:tr>
        <w:tc>
          <w:tcPr>
            <w:tcW w:type="dxa" w:w="4680"/>
          </w:tcPr>
          <w:p>
            <w:r/>
            <w:r>
              <w:rPr>
                <w:rFonts w:ascii="Times New Roman" w:hAnsi="Times New Roman" w:cs="Times New Roman" w:eastAsia="Times New Roman"/>
                <w:b w:val="0"/>
                <w:i w:val="0"/>
                <w:sz w:val="22"/>
              </w:rPr>
              <w:t>GM12496</w:t>
            </w:r>
          </w:p>
        </w:tc>
        <w:tc>
          <w:tcPr>
            <w:tcW w:type="dxa" w:w="4680"/>
          </w:tcPr>
          <w:p>
            <w:r/>
            <w:r>
              <w:rPr>
                <w:rFonts w:ascii="Times New Roman" w:hAnsi="Times New Roman" w:cs="Times New Roman" w:eastAsia="Times New Roman"/>
                <w:b w:val="0"/>
                <w:i w:val="0"/>
                <w:sz w:val="22"/>
              </w:rPr>
              <w:t>Cockayne syndrome, type A; EBV-lymphoblastic cells</w:t>
            </w:r>
          </w:p>
        </w:tc>
      </w:tr>
      <w:tr>
        <w:tc>
          <w:tcPr>
            <w:tcW w:type="dxa" w:w="4680"/>
          </w:tcPr>
          <w:p>
            <w:r/>
            <w:r>
              <w:rPr>
                <w:rFonts w:ascii="Times New Roman" w:hAnsi="Times New Roman" w:cs="Times New Roman" w:eastAsia="Times New Roman"/>
                <w:b w:val="0"/>
                <w:i w:val="0"/>
                <w:sz w:val="22"/>
              </w:rPr>
              <w:t>GM13022</w:t>
            </w:r>
          </w:p>
        </w:tc>
        <w:tc>
          <w:tcPr>
            <w:tcW w:type="dxa" w:w="4680"/>
          </w:tcPr>
          <w:p>
            <w:r/>
            <w:r>
              <w:rPr>
                <w:rFonts w:ascii="Times New Roman" w:hAnsi="Times New Roman" w:cs="Times New Roman" w:eastAsia="Times New Roman"/>
                <w:b w:val="0"/>
                <w:i w:val="0"/>
                <w:sz w:val="22"/>
              </w:rPr>
              <w:t>Fanconi anemia, complementation group A, EBV-lymphoblastic cells</w:t>
            </w:r>
          </w:p>
        </w:tc>
      </w:tr>
      <w:tr>
        <w:tc>
          <w:tcPr>
            <w:tcW w:type="dxa" w:w="4680"/>
          </w:tcPr>
          <w:p>
            <w:r/>
            <w:r>
              <w:rPr>
                <w:rFonts w:ascii="Times New Roman" w:hAnsi="Times New Roman" w:cs="Times New Roman" w:eastAsia="Times New Roman"/>
                <w:b w:val="0"/>
                <w:i w:val="0"/>
                <w:sz w:val="22"/>
              </w:rPr>
              <w:t>GM13295</w:t>
            </w:r>
          </w:p>
        </w:tc>
        <w:tc>
          <w:tcPr>
            <w:tcW w:type="dxa" w:w="4680"/>
          </w:tcPr>
          <w:p>
            <w:r/>
            <w:r>
              <w:rPr>
                <w:rFonts w:ascii="Times New Roman" w:hAnsi="Times New Roman" w:cs="Times New Roman" w:eastAsia="Times New Roman"/>
                <w:b w:val="0"/>
                <w:i w:val="0"/>
                <w:sz w:val="22"/>
              </w:rPr>
              <w:t>Xeroderma pigmentosum, complementation group A, EBV-lymphoblastic cells</w:t>
            </w:r>
          </w:p>
        </w:tc>
      </w:tr>
      <w:tr>
        <w:tc>
          <w:tcPr>
            <w:tcW w:type="dxa" w:w="4680"/>
          </w:tcPr>
          <w:p>
            <w:r/>
            <w:r>
              <w:rPr>
                <w:rFonts w:ascii="Times New Roman" w:hAnsi="Times New Roman" w:cs="Times New Roman" w:eastAsia="Times New Roman"/>
                <w:b w:val="0"/>
                <w:i w:val="0"/>
                <w:sz w:val="22"/>
              </w:rPr>
              <w:t>GM15983</w:t>
            </w:r>
          </w:p>
        </w:tc>
        <w:tc>
          <w:tcPr>
            <w:tcW w:type="dxa" w:w="4680"/>
          </w:tcPr>
          <w:p>
            <w:r/>
            <w:r>
              <w:rPr>
                <w:rFonts w:ascii="Times New Roman" w:hAnsi="Times New Roman" w:cs="Times New Roman" w:eastAsia="Times New Roman"/>
                <w:b w:val="0"/>
                <w:i w:val="0"/>
                <w:sz w:val="22"/>
              </w:rPr>
              <w:t>Xeroderma pigmentosum, complementation group C, transformed fibroblasts</w:t>
            </w:r>
          </w:p>
        </w:tc>
      </w:tr>
      <w:tr>
        <w:tc>
          <w:tcPr>
            <w:tcW w:type="dxa" w:w="4680"/>
          </w:tcPr>
          <w:p>
            <w:r/>
            <w:r>
              <w:rPr>
                <w:rFonts w:ascii="Times New Roman" w:hAnsi="Times New Roman" w:cs="Times New Roman" w:eastAsia="Times New Roman"/>
                <w:b w:val="0"/>
                <w:i w:val="0"/>
                <w:sz w:val="22"/>
              </w:rPr>
              <w:t>GM16094</w:t>
            </w:r>
          </w:p>
        </w:tc>
        <w:tc>
          <w:tcPr>
            <w:tcW w:type="dxa" w:w="4680"/>
          </w:tcPr>
          <w:p>
            <w:r/>
            <w:r>
              <w:rPr>
                <w:rFonts w:ascii="Times New Roman" w:hAnsi="Times New Roman" w:cs="Times New Roman" w:eastAsia="Times New Roman"/>
                <w:b w:val="0"/>
                <w:i w:val="0"/>
                <w:sz w:val="22"/>
              </w:rPr>
              <w:t>Cockayne syndrome, type A; CSA transformed fibroblasts</w:t>
            </w:r>
          </w:p>
        </w:tc>
      </w:tr>
      <w:tr>
        <w:tc>
          <w:tcPr>
            <w:tcW w:type="dxa" w:w="4680"/>
          </w:tcPr>
          <w:p>
            <w:r/>
            <w:r>
              <w:rPr>
                <w:rFonts w:ascii="Times New Roman" w:hAnsi="Times New Roman" w:cs="Times New Roman" w:eastAsia="Times New Roman"/>
                <w:b w:val="0"/>
                <w:i w:val="0"/>
                <w:sz w:val="22"/>
              </w:rPr>
              <w:t>GM16095</w:t>
            </w:r>
          </w:p>
        </w:tc>
        <w:tc>
          <w:tcPr>
            <w:tcW w:type="dxa" w:w="4680"/>
          </w:tcPr>
          <w:p>
            <w:r/>
            <w:r>
              <w:rPr>
                <w:rFonts w:ascii="Times New Roman" w:hAnsi="Times New Roman" w:cs="Times New Roman" w:eastAsia="Times New Roman"/>
                <w:b w:val="0"/>
                <w:i w:val="0"/>
                <w:sz w:val="22"/>
              </w:rPr>
              <w:t>Cockayne syndrome, type B; CSB transformed fibroblasts</w:t>
            </w:r>
          </w:p>
        </w:tc>
      </w:tr>
      <w:tr>
        <w:tc>
          <w:tcPr>
            <w:tcW w:type="dxa" w:w="4680"/>
          </w:tcPr>
          <w:p>
            <w:r/>
            <w:r>
              <w:rPr>
                <w:rFonts w:ascii="Times New Roman" w:hAnsi="Times New Roman" w:cs="Times New Roman" w:eastAsia="Times New Roman"/>
                <w:b w:val="0"/>
                <w:i w:val="0"/>
                <w:sz w:val="22"/>
              </w:rPr>
              <w:t>GM26200</w:t>
            </w:r>
          </w:p>
        </w:tc>
        <w:tc>
          <w:tcPr>
            <w:tcW w:type="dxa" w:w="4680"/>
          </w:tcPr>
          <w:p>
            <w:r/>
            <w:r>
              <w:rPr>
                <w:rFonts w:ascii="Times New Roman" w:hAnsi="Times New Roman" w:cs="Times New Roman" w:eastAsia="Times New Roman"/>
                <w:b w:val="0"/>
                <w:i w:val="0"/>
                <w:sz w:val="22"/>
              </w:rPr>
              <w:t>Apparently healthy individual; EBV-lymphoblastic cells</w:t>
            </w:r>
          </w:p>
        </w:tc>
      </w:tr>
    </w:tbl>
    <w:p>
      <w:pPr>
        <w:spacing w:after="80"/>
        <w:jc w:val="both"/>
      </w:pPr>
    </w:p>
    <w:p>
      <w:pPr>
        <w:keepNext/>
        <w:spacing w:before="160" w:after="40"/>
        <w:jc w:val="left"/>
      </w:pPr>
      <w:r>
        <w:rPr>
          <w:rFonts w:ascii="Times New Roman" w:hAnsi="Times New Roman" w:cs="Times New Roman" w:eastAsia="Times New Roman"/>
          <w:b/>
          <w:i w:val="0"/>
          <w:sz w:val="22"/>
        </w:rPr>
        <w:t>Reproduced verbatim from PMC11317141 Table 2 — Table 1. — Strain names used in this study, and listing corresponding alleles, and known mechanism-associations and the source</w:t>
      </w:r>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2340"/>
            <w:shd w:fill="DDE4EF"/>
          </w:tcPr>
          <w:p>
            <w:r/>
            <w:r>
              <w:rPr>
                <w:rFonts w:ascii="Times New Roman" w:hAnsi="Times New Roman" w:cs="Times New Roman" w:eastAsia="Times New Roman"/>
                <w:b/>
                <w:i w:val="0"/>
                <w:sz w:val="22"/>
              </w:rPr>
              <w:t>Strain name</w:t>
            </w:r>
          </w:p>
        </w:tc>
        <w:tc>
          <w:tcPr>
            <w:tcW w:type="dxa" w:w="2340"/>
            <w:shd w:fill="DDE4EF"/>
          </w:tcPr>
          <w:p>
            <w:r/>
            <w:r>
              <w:rPr>
                <w:rFonts w:ascii="Times New Roman" w:hAnsi="Times New Roman" w:cs="Times New Roman" w:eastAsia="Times New Roman"/>
                <w:b/>
                <w:i w:val="0"/>
                <w:sz w:val="22"/>
              </w:rPr>
              <w:t>Allele</w:t>
            </w:r>
          </w:p>
        </w:tc>
        <w:tc>
          <w:tcPr>
            <w:tcW w:type="dxa" w:w="2340"/>
            <w:shd w:fill="DDE4EF"/>
          </w:tcPr>
          <w:p>
            <w:r/>
            <w:r>
              <w:rPr>
                <w:rFonts w:ascii="Times New Roman" w:hAnsi="Times New Roman" w:cs="Times New Roman" w:eastAsia="Times New Roman"/>
                <w:b/>
                <w:i w:val="0"/>
                <w:sz w:val="22"/>
              </w:rPr>
              <w:t>Cellular mechanism</w:t>
            </w:r>
          </w:p>
        </w:tc>
        <w:tc>
          <w:tcPr>
            <w:tcW w:type="dxa" w:w="2340"/>
            <w:shd w:fill="DDE4EF"/>
          </w:tcPr>
          <w:p>
            <w:r/>
            <w:r>
              <w:rPr>
                <w:rFonts w:ascii="Times New Roman" w:hAnsi="Times New Roman" w:cs="Times New Roman" w:eastAsia="Times New Roman"/>
                <w:b/>
                <w:i w:val="0"/>
                <w:sz w:val="22"/>
              </w:rPr>
              <w:t>Source</w:t>
            </w:r>
          </w:p>
        </w:tc>
      </w:tr>
      <w:tr>
        <w:tc>
          <w:tcPr>
            <w:tcW w:type="dxa" w:w="2340"/>
          </w:tcPr>
          <w:p>
            <w:r/>
            <w:r>
              <w:rPr>
                <w:rFonts w:ascii="Times New Roman" w:hAnsi="Times New Roman" w:cs="Times New Roman" w:eastAsia="Times New Roman"/>
                <w:b w:val="0"/>
                <w:i w:val="0"/>
                <w:sz w:val="22"/>
              </w:rPr>
              <w:t>N2</w:t>
            </w:r>
          </w:p>
        </w:tc>
        <w:tc>
          <w:tcPr>
            <w:tcW w:type="dxa" w:w="2340"/>
          </w:tcPr>
          <w:p>
            <w:r/>
            <w:r>
              <w:rPr>
                <w:rFonts w:ascii="Times New Roman" w:hAnsi="Times New Roman" w:cs="Times New Roman" w:eastAsia="Times New Roman"/>
                <w:b w:val="0"/>
                <w:i w:val="0"/>
                <w:sz w:val="22"/>
              </w:rPr>
              <w:t>Wildtype</w:t>
            </w:r>
          </w:p>
        </w:tc>
        <w:tc>
          <w:tcPr>
            <w:tcW w:type="dxa" w:w="2340"/>
          </w:tcPr>
          <w:p>
            <w:r/>
            <w:r>
              <w:rPr>
                <w:rFonts w:ascii="Times New Roman" w:hAnsi="Times New Roman" w:cs="Times New Roman" w:eastAsia="Times New Roman"/>
                <w:b w:val="0"/>
                <w:i w:val="0"/>
                <w:sz w:val="22"/>
              </w:rPr>
            </w:r>
          </w:p>
        </w:tc>
        <w:tc>
          <w:tcPr>
            <w:tcW w:type="dxa" w:w="2340"/>
          </w:tcPr>
          <w:p>
            <w:r/>
            <w:r>
              <w:rPr>
                <w:rFonts w:ascii="Times New Roman" w:hAnsi="Times New Roman" w:cs="Times New Roman" w:eastAsia="Times New Roman"/>
                <w:b w:val="0"/>
                <w:i w:val="0"/>
                <w:sz w:val="22"/>
              </w:rPr>
              <w:t>CGC</w:t>
            </w:r>
          </w:p>
        </w:tc>
      </w:tr>
      <w:tr>
        <w:tc>
          <w:tcPr>
            <w:tcW w:type="dxa" w:w="2340"/>
          </w:tcPr>
          <w:p>
            <w:r/>
            <w:r>
              <w:rPr>
                <w:rFonts w:ascii="Times New Roman" w:hAnsi="Times New Roman" w:cs="Times New Roman" w:eastAsia="Times New Roman"/>
                <w:b w:val="0"/>
                <w:i w:val="0"/>
                <w:sz w:val="22"/>
              </w:rPr>
              <w:t>RB1801</w:t>
            </w:r>
          </w:p>
        </w:tc>
        <w:tc>
          <w:tcPr>
            <w:tcW w:type="dxa" w:w="2340"/>
          </w:tcPr>
          <w:p>
            <w:r/>
            <w:r>
              <w:rPr>
                <w:rFonts w:ascii="Times New Roman" w:hAnsi="Times New Roman" w:cs="Times New Roman" w:eastAsia="Times New Roman"/>
                <w:b w:val="0"/>
                <w:i w:val="0"/>
                <w:sz w:val="22"/>
              </w:rPr>
              <w:t>csb-1(ok2335) X.</w:t>
            </w:r>
          </w:p>
        </w:tc>
        <w:tc>
          <w:tcPr>
            <w:tcW w:type="dxa" w:w="2340"/>
          </w:tcPr>
          <w:p>
            <w:r/>
            <w:r>
              <w:rPr>
                <w:rFonts w:ascii="Times New Roman" w:hAnsi="Times New Roman" w:cs="Times New Roman" w:eastAsia="Times New Roman"/>
                <w:b w:val="0"/>
                <w:i w:val="0"/>
                <w:sz w:val="22"/>
              </w:rPr>
              <w:t>NER</w:t>
            </w:r>
          </w:p>
        </w:tc>
        <w:tc>
          <w:tcPr>
            <w:tcW w:type="dxa" w:w="2340"/>
          </w:tcPr>
          <w:p>
            <w:r/>
            <w:r>
              <w:rPr>
                <w:rFonts w:ascii="Times New Roman" w:hAnsi="Times New Roman" w:cs="Times New Roman" w:eastAsia="Times New Roman"/>
                <w:b w:val="0"/>
                <w:i w:val="0"/>
                <w:sz w:val="22"/>
              </w:rPr>
              <w:t>CGC</w:t>
            </w:r>
          </w:p>
        </w:tc>
      </w:tr>
      <w:tr>
        <w:tc>
          <w:tcPr>
            <w:tcW w:type="dxa" w:w="2340"/>
          </w:tcPr>
          <w:p>
            <w:r/>
            <w:r>
              <w:rPr>
                <w:rFonts w:ascii="Times New Roman" w:hAnsi="Times New Roman" w:cs="Times New Roman" w:eastAsia="Times New Roman"/>
                <w:b w:val="0"/>
                <w:i w:val="0"/>
                <w:sz w:val="22"/>
              </w:rPr>
              <w:t>TG2226</w:t>
            </w:r>
          </w:p>
        </w:tc>
        <w:tc>
          <w:tcPr>
            <w:tcW w:type="dxa" w:w="2340"/>
          </w:tcPr>
          <w:p>
            <w:r/>
            <w:r>
              <w:rPr>
                <w:rFonts w:ascii="Times New Roman" w:hAnsi="Times New Roman" w:cs="Times New Roman" w:eastAsia="Times New Roman"/>
                <w:b w:val="0"/>
                <w:i w:val="0"/>
                <w:sz w:val="22"/>
              </w:rPr>
              <w:t>xpc-1(tm3886) IV.</w:t>
            </w:r>
          </w:p>
        </w:tc>
        <w:tc>
          <w:tcPr>
            <w:tcW w:type="dxa" w:w="2340"/>
          </w:tcPr>
          <w:p>
            <w:r/>
            <w:r>
              <w:rPr>
                <w:rFonts w:ascii="Times New Roman" w:hAnsi="Times New Roman" w:cs="Times New Roman" w:eastAsia="Times New Roman"/>
                <w:b w:val="0"/>
                <w:i w:val="0"/>
                <w:sz w:val="22"/>
              </w:rPr>
              <w:t>NER</w:t>
            </w:r>
          </w:p>
        </w:tc>
        <w:tc>
          <w:tcPr>
            <w:tcW w:type="dxa" w:w="2340"/>
          </w:tcPr>
          <w:p>
            <w:r/>
            <w:r>
              <w:rPr>
                <w:rFonts w:ascii="Times New Roman" w:hAnsi="Times New Roman" w:cs="Times New Roman" w:eastAsia="Times New Roman"/>
                <w:b w:val="0"/>
                <w:i w:val="0"/>
                <w:sz w:val="22"/>
              </w:rPr>
              <w:t>CGC</w:t>
            </w:r>
          </w:p>
        </w:tc>
      </w:tr>
      <w:tr>
        <w:tc>
          <w:tcPr>
            <w:tcW w:type="dxa" w:w="2340"/>
          </w:tcPr>
          <w:p>
            <w:r/>
            <w:r>
              <w:rPr>
                <w:rFonts w:ascii="Times New Roman" w:hAnsi="Times New Roman" w:cs="Times New Roman" w:eastAsia="Times New Roman"/>
                <w:b w:val="0"/>
                <w:i w:val="0"/>
                <w:sz w:val="22"/>
              </w:rPr>
              <w:t>BJS21</w:t>
            </w:r>
          </w:p>
        </w:tc>
        <w:tc>
          <w:tcPr>
            <w:tcW w:type="dxa" w:w="2340"/>
          </w:tcPr>
          <w:p>
            <w:r/>
            <w:r>
              <w:rPr>
                <w:rFonts w:ascii="Times New Roman" w:hAnsi="Times New Roman" w:cs="Times New Roman" w:eastAsia="Times New Roman"/>
                <w:b w:val="0"/>
                <w:i w:val="0"/>
                <w:sz w:val="22"/>
              </w:rPr>
              <w:t>xpc-1(tm3886) ; csb-1(ok2335)</w:t>
            </w:r>
          </w:p>
        </w:tc>
        <w:tc>
          <w:tcPr>
            <w:tcW w:type="dxa" w:w="2340"/>
          </w:tcPr>
          <w:p>
            <w:r/>
            <w:r>
              <w:rPr>
                <w:rFonts w:ascii="Times New Roman" w:hAnsi="Times New Roman" w:cs="Times New Roman" w:eastAsia="Times New Roman"/>
                <w:b w:val="0"/>
                <w:i w:val="0"/>
                <w:sz w:val="22"/>
              </w:rPr>
              <w:t>NER</w:t>
            </w:r>
          </w:p>
        </w:tc>
        <w:tc>
          <w:tcPr>
            <w:tcW w:type="dxa" w:w="2340"/>
          </w:tcPr>
          <w:p>
            <w:r/>
            <w:r>
              <w:rPr>
                <w:rFonts w:ascii="Times New Roman" w:hAnsi="Times New Roman" w:cs="Times New Roman" w:eastAsia="Times New Roman"/>
                <w:b w:val="0"/>
                <w:i w:val="0"/>
                <w:sz w:val="22"/>
              </w:rPr>
              <w:t>Schumacher lab</w:t>
            </w:r>
          </w:p>
        </w:tc>
      </w:tr>
      <w:tr>
        <w:tc>
          <w:tcPr>
            <w:tcW w:type="dxa" w:w="2340"/>
          </w:tcPr>
          <w:p>
            <w:r/>
            <w:r>
              <w:rPr>
                <w:rFonts w:ascii="Times New Roman" w:hAnsi="Times New Roman" w:cs="Times New Roman" w:eastAsia="Times New Roman"/>
                <w:b w:val="0"/>
                <w:i w:val="0"/>
                <w:sz w:val="22"/>
              </w:rPr>
              <w:t>FX04539</w:t>
            </w:r>
          </w:p>
        </w:tc>
        <w:tc>
          <w:tcPr>
            <w:tcW w:type="dxa" w:w="2340"/>
          </w:tcPr>
          <w:p>
            <w:r/>
            <w:r>
              <w:rPr>
                <w:rFonts w:ascii="Times New Roman" w:hAnsi="Times New Roman" w:cs="Times New Roman" w:eastAsia="Times New Roman"/>
                <w:b w:val="0"/>
                <w:i w:val="0"/>
                <w:sz w:val="22"/>
              </w:rPr>
              <w:t>csa-1(4539)</w:t>
            </w:r>
          </w:p>
        </w:tc>
        <w:tc>
          <w:tcPr>
            <w:tcW w:type="dxa" w:w="2340"/>
          </w:tcPr>
          <w:p>
            <w:r/>
            <w:r>
              <w:rPr>
                <w:rFonts w:ascii="Times New Roman" w:hAnsi="Times New Roman" w:cs="Times New Roman" w:eastAsia="Times New Roman"/>
                <w:b w:val="0"/>
                <w:i w:val="0"/>
                <w:sz w:val="22"/>
              </w:rPr>
              <w:t>NER</w:t>
            </w:r>
          </w:p>
        </w:tc>
        <w:tc>
          <w:tcPr>
            <w:tcW w:type="dxa" w:w="2340"/>
          </w:tcPr>
          <w:p>
            <w:r/>
            <w:r>
              <w:rPr>
                <w:rFonts w:ascii="Times New Roman" w:hAnsi="Times New Roman" w:cs="Times New Roman" w:eastAsia="Times New Roman"/>
                <w:b w:val="0"/>
                <w:i w:val="0"/>
                <w:sz w:val="22"/>
              </w:rPr>
              <w:t>NBRP</w:t>
            </w:r>
          </w:p>
        </w:tc>
      </w:tr>
      <w:tr>
        <w:tc>
          <w:tcPr>
            <w:tcW w:type="dxa" w:w="2340"/>
          </w:tcPr>
          <w:p>
            <w:r/>
            <w:r>
              <w:rPr>
                <w:rFonts w:ascii="Times New Roman" w:hAnsi="Times New Roman" w:cs="Times New Roman" w:eastAsia="Times New Roman"/>
                <w:b w:val="0"/>
                <w:i w:val="0"/>
                <w:sz w:val="22"/>
              </w:rPr>
              <w:t>FX06311</w:t>
            </w:r>
          </w:p>
        </w:tc>
        <w:tc>
          <w:tcPr>
            <w:tcW w:type="dxa" w:w="2340"/>
          </w:tcPr>
          <w:p>
            <w:r/>
            <w:r>
              <w:rPr>
                <w:rFonts w:ascii="Times New Roman" w:hAnsi="Times New Roman" w:cs="Times New Roman" w:eastAsia="Times New Roman"/>
                <w:b w:val="0"/>
                <w:i w:val="0"/>
                <w:sz w:val="22"/>
              </w:rPr>
              <w:t>uvs-1(tm6311)</w:t>
            </w:r>
          </w:p>
        </w:tc>
        <w:tc>
          <w:tcPr>
            <w:tcW w:type="dxa" w:w="2340"/>
          </w:tcPr>
          <w:p>
            <w:r/>
            <w:r>
              <w:rPr>
                <w:rFonts w:ascii="Times New Roman" w:hAnsi="Times New Roman" w:cs="Times New Roman" w:eastAsia="Times New Roman"/>
                <w:b w:val="0"/>
                <w:i w:val="0"/>
                <w:sz w:val="22"/>
              </w:rPr>
              <w:t>NER</w:t>
            </w:r>
          </w:p>
        </w:tc>
        <w:tc>
          <w:tcPr>
            <w:tcW w:type="dxa" w:w="2340"/>
          </w:tcPr>
          <w:p>
            <w:r/>
            <w:r>
              <w:rPr>
                <w:rFonts w:ascii="Times New Roman" w:hAnsi="Times New Roman" w:cs="Times New Roman" w:eastAsia="Times New Roman"/>
                <w:b w:val="0"/>
                <w:i w:val="0"/>
                <w:sz w:val="22"/>
              </w:rPr>
              <w:t>NBRP</w:t>
            </w:r>
          </w:p>
        </w:tc>
      </w:tr>
      <w:tr>
        <w:tc>
          <w:tcPr>
            <w:tcW w:type="dxa" w:w="2340"/>
          </w:tcPr>
          <w:p>
            <w:r/>
            <w:r>
              <w:rPr>
                <w:rFonts w:ascii="Times New Roman" w:hAnsi="Times New Roman" w:cs="Times New Roman" w:eastAsia="Times New Roman"/>
                <w:b w:val="0"/>
                <w:i w:val="0"/>
                <w:sz w:val="22"/>
              </w:rPr>
              <w:t>RB864</w:t>
            </w:r>
          </w:p>
        </w:tc>
        <w:tc>
          <w:tcPr>
            <w:tcW w:type="dxa" w:w="2340"/>
          </w:tcPr>
          <w:p>
            <w:r/>
            <w:r>
              <w:rPr>
                <w:rFonts w:ascii="Times New Roman" w:hAnsi="Times New Roman" w:cs="Times New Roman" w:eastAsia="Times New Roman"/>
                <w:b w:val="0"/>
                <w:i w:val="0"/>
                <w:sz w:val="22"/>
              </w:rPr>
              <w:t>xpa-1(ok698) I.</w:t>
            </w:r>
          </w:p>
        </w:tc>
        <w:tc>
          <w:tcPr>
            <w:tcW w:type="dxa" w:w="2340"/>
          </w:tcPr>
          <w:p>
            <w:r/>
            <w:r>
              <w:rPr>
                <w:rFonts w:ascii="Times New Roman" w:hAnsi="Times New Roman" w:cs="Times New Roman" w:eastAsia="Times New Roman"/>
                <w:b w:val="0"/>
                <w:i w:val="0"/>
                <w:sz w:val="22"/>
              </w:rPr>
              <w:t>NER</w:t>
            </w:r>
          </w:p>
        </w:tc>
        <w:tc>
          <w:tcPr>
            <w:tcW w:type="dxa" w:w="2340"/>
          </w:tcPr>
          <w:p>
            <w:r/>
            <w:r>
              <w:rPr>
                <w:rFonts w:ascii="Times New Roman" w:hAnsi="Times New Roman" w:cs="Times New Roman" w:eastAsia="Times New Roman"/>
                <w:b w:val="0"/>
                <w:i w:val="0"/>
                <w:sz w:val="22"/>
              </w:rPr>
              <w:t>CGC</w:t>
            </w:r>
          </w:p>
        </w:tc>
      </w:tr>
      <w:tr>
        <w:tc>
          <w:tcPr>
            <w:tcW w:type="dxa" w:w="2340"/>
          </w:tcPr>
          <w:p>
            <w:r/>
            <w:r>
              <w:rPr>
                <w:rFonts w:ascii="Times New Roman" w:hAnsi="Times New Roman" w:cs="Times New Roman" w:eastAsia="Times New Roman"/>
                <w:b w:val="0"/>
                <w:i w:val="0"/>
                <w:sz w:val="22"/>
              </w:rPr>
              <w:t>TG3867</w:t>
            </w:r>
          </w:p>
        </w:tc>
        <w:tc>
          <w:tcPr>
            <w:tcW w:type="dxa" w:w="2340"/>
          </w:tcPr>
          <w:p>
            <w:r/>
            <w:r>
              <w:rPr>
                <w:rFonts w:ascii="Times New Roman" w:hAnsi="Times New Roman" w:cs="Times New Roman" w:eastAsia="Times New Roman"/>
                <w:b w:val="0"/>
                <w:i w:val="0"/>
                <w:sz w:val="22"/>
              </w:rPr>
              <w:t>xpg-1(tm1670) I.</w:t>
            </w:r>
          </w:p>
        </w:tc>
        <w:tc>
          <w:tcPr>
            <w:tcW w:type="dxa" w:w="2340"/>
          </w:tcPr>
          <w:p>
            <w:r/>
            <w:r>
              <w:rPr>
                <w:rFonts w:ascii="Times New Roman" w:hAnsi="Times New Roman" w:cs="Times New Roman" w:eastAsia="Times New Roman"/>
                <w:b w:val="0"/>
                <w:i w:val="0"/>
                <w:sz w:val="22"/>
              </w:rPr>
              <w:t>NER/HR/BER</w:t>
            </w:r>
          </w:p>
        </w:tc>
        <w:tc>
          <w:tcPr>
            <w:tcW w:type="dxa" w:w="2340"/>
          </w:tcPr>
          <w:p>
            <w:r/>
            <w:r>
              <w:rPr>
                <w:rFonts w:ascii="Times New Roman" w:hAnsi="Times New Roman" w:cs="Times New Roman" w:eastAsia="Times New Roman"/>
                <w:b w:val="0"/>
                <w:i w:val="0"/>
                <w:sz w:val="22"/>
              </w:rPr>
              <w:t>CGC</w:t>
            </w:r>
          </w:p>
        </w:tc>
      </w:tr>
      <w:tr>
        <w:tc>
          <w:tcPr>
            <w:tcW w:type="dxa" w:w="2340"/>
          </w:tcPr>
          <w:p>
            <w:r/>
            <w:r>
              <w:rPr>
                <w:rFonts w:ascii="Times New Roman" w:hAnsi="Times New Roman" w:cs="Times New Roman" w:eastAsia="Times New Roman"/>
                <w:b w:val="0"/>
                <w:i w:val="0"/>
                <w:sz w:val="22"/>
              </w:rPr>
              <w:t>CB1487</w:t>
            </w:r>
          </w:p>
        </w:tc>
        <w:tc>
          <w:tcPr>
            <w:tcW w:type="dxa" w:w="2340"/>
          </w:tcPr>
          <w:p>
            <w:r/>
            <w:r>
              <w:rPr>
                <w:rFonts w:ascii="Times New Roman" w:hAnsi="Times New Roman" w:cs="Times New Roman" w:eastAsia="Times New Roman"/>
                <w:b w:val="0"/>
                <w:i w:val="0"/>
                <w:sz w:val="22"/>
              </w:rPr>
              <w:t>xpf-1(e1487) II.</w:t>
            </w:r>
          </w:p>
        </w:tc>
        <w:tc>
          <w:tcPr>
            <w:tcW w:type="dxa" w:w="2340"/>
          </w:tcPr>
          <w:p>
            <w:r/>
            <w:r>
              <w:rPr>
                <w:rFonts w:ascii="Times New Roman" w:hAnsi="Times New Roman" w:cs="Times New Roman" w:eastAsia="Times New Roman"/>
                <w:b w:val="0"/>
                <w:i w:val="0"/>
                <w:sz w:val="22"/>
              </w:rPr>
              <w:t>NER</w:t>
            </w:r>
          </w:p>
        </w:tc>
        <w:tc>
          <w:tcPr>
            <w:tcW w:type="dxa" w:w="2340"/>
          </w:tcPr>
          <w:p>
            <w:r/>
            <w:r>
              <w:rPr>
                <w:rFonts w:ascii="Times New Roman" w:hAnsi="Times New Roman" w:cs="Times New Roman" w:eastAsia="Times New Roman"/>
                <w:b w:val="0"/>
                <w:i w:val="0"/>
                <w:sz w:val="22"/>
              </w:rPr>
              <w:t>CGC</w:t>
            </w:r>
          </w:p>
        </w:tc>
      </w:tr>
      <w:tr>
        <w:tc>
          <w:tcPr>
            <w:tcW w:type="dxa" w:w="2340"/>
          </w:tcPr>
          <w:p>
            <w:r/>
            <w:r>
              <w:rPr>
                <w:rFonts w:ascii="Times New Roman" w:hAnsi="Times New Roman" w:cs="Times New Roman" w:eastAsia="Times New Roman"/>
                <w:b w:val="0"/>
                <w:i w:val="0"/>
                <w:sz w:val="22"/>
              </w:rPr>
              <w:t>TG1663</w:t>
            </w:r>
          </w:p>
        </w:tc>
        <w:tc>
          <w:tcPr>
            <w:tcW w:type="dxa" w:w="2340"/>
          </w:tcPr>
          <w:p>
            <w:r/>
            <w:r>
              <w:rPr>
                <w:rFonts w:ascii="Times New Roman" w:hAnsi="Times New Roman" w:cs="Times New Roman" w:eastAsia="Times New Roman"/>
                <w:b w:val="0"/>
                <w:i w:val="0"/>
                <w:sz w:val="22"/>
              </w:rPr>
              <w:t>ercc-1(tm1981) I.</w:t>
            </w:r>
          </w:p>
        </w:tc>
        <w:tc>
          <w:tcPr>
            <w:tcW w:type="dxa" w:w="2340"/>
          </w:tcPr>
          <w:p>
            <w:r/>
            <w:r>
              <w:rPr>
                <w:rFonts w:ascii="Times New Roman" w:hAnsi="Times New Roman" w:cs="Times New Roman" w:eastAsia="Times New Roman"/>
                <w:b w:val="0"/>
                <w:i w:val="0"/>
                <w:sz w:val="22"/>
              </w:rPr>
              <w:t>NER</w:t>
            </w:r>
          </w:p>
        </w:tc>
        <w:tc>
          <w:tcPr>
            <w:tcW w:type="dxa" w:w="2340"/>
          </w:tcPr>
          <w:p>
            <w:r/>
            <w:r>
              <w:rPr>
                <w:rFonts w:ascii="Times New Roman" w:hAnsi="Times New Roman" w:cs="Times New Roman" w:eastAsia="Times New Roman"/>
                <w:b w:val="0"/>
                <w:i w:val="0"/>
                <w:sz w:val="22"/>
              </w:rPr>
              <w:t>CGC</w:t>
            </w:r>
          </w:p>
        </w:tc>
      </w:tr>
      <w:tr>
        <w:tc>
          <w:tcPr>
            <w:tcW w:type="dxa" w:w="2340"/>
          </w:tcPr>
          <w:p>
            <w:r/>
            <w:r>
              <w:rPr>
                <w:rFonts w:ascii="Times New Roman" w:hAnsi="Times New Roman" w:cs="Times New Roman" w:eastAsia="Times New Roman"/>
                <w:b w:val="0"/>
                <w:i w:val="0"/>
                <w:sz w:val="22"/>
              </w:rPr>
              <w:t>RB877</w:t>
            </w:r>
          </w:p>
        </w:tc>
        <w:tc>
          <w:tcPr>
            <w:tcW w:type="dxa" w:w="2340"/>
          </w:tcPr>
          <w:p>
            <w:r/>
            <w:r>
              <w:rPr>
                <w:rFonts w:ascii="Times New Roman" w:hAnsi="Times New Roman" w:cs="Times New Roman" w:eastAsia="Times New Roman"/>
                <w:b w:val="0"/>
                <w:i w:val="0"/>
                <w:sz w:val="22"/>
              </w:rPr>
              <w:t>nth-1(ok724) IV.</w:t>
            </w:r>
          </w:p>
        </w:tc>
        <w:tc>
          <w:tcPr>
            <w:tcW w:type="dxa" w:w="2340"/>
          </w:tcPr>
          <w:p>
            <w:r/>
            <w:r>
              <w:rPr>
                <w:rFonts w:ascii="Times New Roman" w:hAnsi="Times New Roman" w:cs="Times New Roman" w:eastAsia="Times New Roman"/>
                <w:b w:val="0"/>
                <w:i w:val="0"/>
                <w:sz w:val="22"/>
              </w:rPr>
              <w:t>BER</w:t>
            </w:r>
          </w:p>
        </w:tc>
        <w:tc>
          <w:tcPr>
            <w:tcW w:type="dxa" w:w="2340"/>
          </w:tcPr>
          <w:p>
            <w:r/>
            <w:r>
              <w:rPr>
                <w:rFonts w:ascii="Times New Roman" w:hAnsi="Times New Roman" w:cs="Times New Roman" w:eastAsia="Times New Roman"/>
                <w:b w:val="0"/>
                <w:i w:val="0"/>
                <w:sz w:val="22"/>
              </w:rPr>
              <w:t>CGC</w:t>
            </w:r>
          </w:p>
        </w:tc>
      </w:tr>
      <w:tr>
        <w:tc>
          <w:tcPr>
            <w:tcW w:type="dxa" w:w="2340"/>
          </w:tcPr>
          <w:p>
            <w:r/>
            <w:r>
              <w:rPr>
                <w:rFonts w:ascii="Times New Roman" w:hAnsi="Times New Roman" w:cs="Times New Roman" w:eastAsia="Times New Roman"/>
                <w:b w:val="0"/>
                <w:i w:val="0"/>
                <w:sz w:val="22"/>
              </w:rPr>
              <w:t>RB2581</w:t>
            </w:r>
          </w:p>
        </w:tc>
        <w:tc>
          <w:tcPr>
            <w:tcW w:type="dxa" w:w="2340"/>
          </w:tcPr>
          <w:p>
            <w:r/>
            <w:r>
              <w:rPr>
                <w:rFonts w:ascii="Times New Roman" w:hAnsi="Times New Roman" w:cs="Times New Roman" w:eastAsia="Times New Roman"/>
                <w:b w:val="0"/>
                <w:i w:val="0"/>
                <w:sz w:val="22"/>
              </w:rPr>
              <w:t>ung-1(ok3593) III.</w:t>
            </w:r>
          </w:p>
        </w:tc>
        <w:tc>
          <w:tcPr>
            <w:tcW w:type="dxa" w:w="2340"/>
          </w:tcPr>
          <w:p>
            <w:r/>
            <w:r>
              <w:rPr>
                <w:rFonts w:ascii="Times New Roman" w:hAnsi="Times New Roman" w:cs="Times New Roman" w:eastAsia="Times New Roman"/>
                <w:b w:val="0"/>
                <w:i w:val="0"/>
                <w:sz w:val="22"/>
              </w:rPr>
              <w:t>BER</w:t>
            </w:r>
          </w:p>
        </w:tc>
        <w:tc>
          <w:tcPr>
            <w:tcW w:type="dxa" w:w="2340"/>
          </w:tcPr>
          <w:p>
            <w:r/>
            <w:r>
              <w:rPr>
                <w:rFonts w:ascii="Times New Roman" w:hAnsi="Times New Roman" w:cs="Times New Roman" w:eastAsia="Times New Roman"/>
                <w:b w:val="0"/>
                <w:i w:val="0"/>
                <w:sz w:val="22"/>
              </w:rPr>
              <w:t>CGC</w:t>
            </w:r>
          </w:p>
        </w:tc>
      </w:tr>
      <w:tr>
        <w:tc>
          <w:tcPr>
            <w:tcW w:type="dxa" w:w="2340"/>
          </w:tcPr>
          <w:p>
            <w:r/>
            <w:r>
              <w:rPr>
                <w:rFonts w:ascii="Times New Roman" w:hAnsi="Times New Roman" w:cs="Times New Roman" w:eastAsia="Times New Roman"/>
                <w:b w:val="0"/>
                <w:i w:val="0"/>
                <w:sz w:val="22"/>
              </w:rPr>
              <w:t>RB2548</w:t>
            </w:r>
          </w:p>
        </w:tc>
        <w:tc>
          <w:tcPr>
            <w:tcW w:type="dxa" w:w="2340"/>
          </w:tcPr>
          <w:p>
            <w:r/>
            <w:r>
              <w:rPr>
                <w:rFonts w:ascii="Times New Roman" w:hAnsi="Times New Roman" w:cs="Times New Roman" w:eastAsia="Times New Roman"/>
                <w:b w:val="0"/>
                <w:i w:val="0"/>
                <w:sz w:val="22"/>
              </w:rPr>
              <w:t>exo-3(ok3539) I.</w:t>
            </w:r>
          </w:p>
        </w:tc>
        <w:tc>
          <w:tcPr>
            <w:tcW w:type="dxa" w:w="2340"/>
          </w:tcPr>
          <w:p>
            <w:r/>
            <w:r>
              <w:rPr>
                <w:rFonts w:ascii="Times New Roman" w:hAnsi="Times New Roman" w:cs="Times New Roman" w:eastAsia="Times New Roman"/>
                <w:b w:val="0"/>
                <w:i w:val="0"/>
                <w:sz w:val="22"/>
              </w:rPr>
              <w:t>BER</w:t>
            </w:r>
          </w:p>
        </w:tc>
        <w:tc>
          <w:tcPr>
            <w:tcW w:type="dxa" w:w="2340"/>
          </w:tcPr>
          <w:p>
            <w:r/>
            <w:r>
              <w:rPr>
                <w:rFonts w:ascii="Times New Roman" w:hAnsi="Times New Roman" w:cs="Times New Roman" w:eastAsia="Times New Roman"/>
                <w:b w:val="0"/>
                <w:i w:val="0"/>
                <w:sz w:val="22"/>
              </w:rPr>
              <w:t>CGC</w:t>
            </w:r>
          </w:p>
        </w:tc>
      </w:tr>
      <w:tr>
        <w:tc>
          <w:tcPr>
            <w:tcW w:type="dxa" w:w="2340"/>
          </w:tcPr>
          <w:p>
            <w:r/>
            <w:r>
              <w:rPr>
                <w:rFonts w:ascii="Times New Roman" w:hAnsi="Times New Roman" w:cs="Times New Roman" w:eastAsia="Times New Roman"/>
                <w:b w:val="0"/>
                <w:i w:val="0"/>
                <w:sz w:val="22"/>
              </w:rPr>
              <w:t>TG1868</w:t>
            </w:r>
          </w:p>
        </w:tc>
        <w:tc>
          <w:tcPr>
            <w:tcW w:type="dxa" w:w="2340"/>
          </w:tcPr>
          <w:p>
            <w:r/>
            <w:r>
              <w:rPr>
                <w:rFonts w:ascii="Times New Roman" w:hAnsi="Times New Roman" w:cs="Times New Roman" w:eastAsia="Times New Roman"/>
                <w:b w:val="0"/>
                <w:i w:val="0"/>
                <w:sz w:val="22"/>
              </w:rPr>
              <w:t>slx-1(tm2644) I.</w:t>
            </w:r>
          </w:p>
        </w:tc>
        <w:tc>
          <w:tcPr>
            <w:tcW w:type="dxa" w:w="2340"/>
          </w:tcPr>
          <w:p>
            <w:r/>
            <w:r>
              <w:rPr>
                <w:rFonts w:ascii="Times New Roman" w:hAnsi="Times New Roman" w:cs="Times New Roman" w:eastAsia="Times New Roman"/>
                <w:b w:val="0"/>
                <w:i w:val="0"/>
                <w:sz w:val="22"/>
              </w:rPr>
              <w:t>HR/NER</w:t>
            </w:r>
          </w:p>
        </w:tc>
        <w:tc>
          <w:tcPr>
            <w:tcW w:type="dxa" w:w="2340"/>
          </w:tcPr>
          <w:p>
            <w:r/>
            <w:r>
              <w:rPr>
                <w:rFonts w:ascii="Times New Roman" w:hAnsi="Times New Roman" w:cs="Times New Roman" w:eastAsia="Times New Roman"/>
                <w:b w:val="0"/>
                <w:i w:val="0"/>
                <w:sz w:val="22"/>
              </w:rPr>
              <w:t>CGC</w:t>
            </w:r>
          </w:p>
        </w:tc>
      </w:tr>
      <w:tr>
        <w:tc>
          <w:tcPr>
            <w:tcW w:type="dxa" w:w="2340"/>
          </w:tcPr>
          <w:p>
            <w:r/>
            <w:r>
              <w:rPr>
                <w:rFonts w:ascii="Times New Roman" w:hAnsi="Times New Roman" w:cs="Times New Roman" w:eastAsia="Times New Roman"/>
                <w:b w:val="0"/>
                <w:i w:val="0"/>
                <w:sz w:val="22"/>
              </w:rPr>
              <w:t>NB105</w:t>
            </w:r>
          </w:p>
        </w:tc>
        <w:tc>
          <w:tcPr>
            <w:tcW w:type="dxa" w:w="2340"/>
          </w:tcPr>
          <w:p>
            <w:r/>
            <w:r>
              <w:rPr>
                <w:rFonts w:ascii="Times New Roman" w:hAnsi="Times New Roman" w:cs="Times New Roman" w:eastAsia="Times New Roman"/>
                <w:b w:val="0"/>
                <w:i w:val="0"/>
                <w:sz w:val="22"/>
              </w:rPr>
              <w:t>fcd-2(tm1298) IV.</w:t>
            </w:r>
          </w:p>
        </w:tc>
        <w:tc>
          <w:tcPr>
            <w:tcW w:type="dxa" w:w="2340"/>
          </w:tcPr>
          <w:p>
            <w:r/>
            <w:r>
              <w:rPr>
                <w:rFonts w:ascii="Times New Roman" w:hAnsi="Times New Roman" w:cs="Times New Roman" w:eastAsia="Times New Roman"/>
                <w:b w:val="0"/>
                <w:i w:val="0"/>
                <w:sz w:val="22"/>
              </w:rPr>
              <w:t>FA</w:t>
            </w:r>
          </w:p>
        </w:tc>
        <w:tc>
          <w:tcPr>
            <w:tcW w:type="dxa" w:w="2340"/>
          </w:tcPr>
          <w:p>
            <w:r/>
            <w:r>
              <w:rPr>
                <w:rFonts w:ascii="Times New Roman" w:hAnsi="Times New Roman" w:cs="Times New Roman" w:eastAsia="Times New Roman"/>
                <w:b w:val="0"/>
                <w:i w:val="0"/>
                <w:sz w:val="22"/>
              </w:rPr>
              <w:t>CGC</w:t>
            </w:r>
          </w:p>
        </w:tc>
      </w:tr>
      <w:tr>
        <w:tc>
          <w:tcPr>
            <w:tcW w:type="dxa" w:w="2340"/>
          </w:tcPr>
          <w:p>
            <w:r/>
            <w:r>
              <w:rPr>
                <w:rFonts w:ascii="Times New Roman" w:hAnsi="Times New Roman" w:cs="Times New Roman" w:eastAsia="Times New Roman"/>
                <w:b w:val="0"/>
                <w:i w:val="0"/>
                <w:sz w:val="22"/>
              </w:rPr>
              <w:t>NB515</w:t>
            </w:r>
          </w:p>
        </w:tc>
        <w:tc>
          <w:tcPr>
            <w:tcW w:type="dxa" w:w="2340"/>
          </w:tcPr>
          <w:p>
            <w:r/>
            <w:r>
              <w:rPr>
                <w:rFonts w:ascii="Times New Roman" w:hAnsi="Times New Roman" w:cs="Times New Roman" w:eastAsia="Times New Roman"/>
                <w:b w:val="0"/>
                <w:i w:val="0"/>
                <w:sz w:val="22"/>
              </w:rPr>
              <w:t>exo-1(tm1842) III.</w:t>
            </w:r>
          </w:p>
        </w:tc>
        <w:tc>
          <w:tcPr>
            <w:tcW w:type="dxa" w:w="2340"/>
          </w:tcPr>
          <w:p>
            <w:r/>
            <w:r>
              <w:rPr>
                <w:rFonts w:ascii="Times New Roman" w:hAnsi="Times New Roman" w:cs="Times New Roman" w:eastAsia="Times New Roman"/>
                <w:b w:val="0"/>
                <w:i w:val="0"/>
                <w:sz w:val="22"/>
              </w:rPr>
              <w:t>MMR/HR</w:t>
            </w:r>
          </w:p>
        </w:tc>
        <w:tc>
          <w:tcPr>
            <w:tcW w:type="dxa" w:w="2340"/>
          </w:tcPr>
          <w:p>
            <w:r/>
            <w:r>
              <w:rPr>
                <w:rFonts w:ascii="Times New Roman" w:hAnsi="Times New Roman" w:cs="Times New Roman" w:eastAsia="Times New Roman"/>
                <w:b w:val="0"/>
                <w:i w:val="0"/>
                <w:sz w:val="22"/>
              </w:rPr>
              <w:t>CGC</w:t>
            </w:r>
          </w:p>
        </w:tc>
      </w:tr>
      <w:tr>
        <w:tc>
          <w:tcPr>
            <w:tcW w:type="dxa" w:w="2340"/>
          </w:tcPr>
          <w:p>
            <w:r/>
            <w:r>
              <w:rPr>
                <w:rFonts w:ascii="Times New Roman" w:hAnsi="Times New Roman" w:cs="Times New Roman" w:eastAsia="Times New Roman"/>
                <w:b w:val="0"/>
                <w:i w:val="0"/>
                <w:sz w:val="22"/>
              </w:rPr>
              <w:t>RB964</w:t>
            </w:r>
          </w:p>
        </w:tc>
        <w:tc>
          <w:tcPr>
            <w:tcW w:type="dxa" w:w="2340"/>
          </w:tcPr>
          <w:p>
            <w:r/>
            <w:r>
              <w:rPr>
                <w:rFonts w:ascii="Times New Roman" w:hAnsi="Times New Roman" w:cs="Times New Roman" w:eastAsia="Times New Roman"/>
                <w:b w:val="0"/>
                <w:i w:val="0"/>
                <w:sz w:val="22"/>
              </w:rPr>
              <w:t>cku-80(ok861) III.</w:t>
            </w:r>
          </w:p>
        </w:tc>
        <w:tc>
          <w:tcPr>
            <w:tcW w:type="dxa" w:w="2340"/>
          </w:tcPr>
          <w:p>
            <w:r/>
            <w:r>
              <w:rPr>
                <w:rFonts w:ascii="Times New Roman" w:hAnsi="Times New Roman" w:cs="Times New Roman" w:eastAsia="Times New Roman"/>
                <w:b w:val="0"/>
                <w:i w:val="0"/>
                <w:sz w:val="22"/>
              </w:rPr>
              <w:t>NHEJ</w:t>
            </w:r>
          </w:p>
        </w:tc>
        <w:tc>
          <w:tcPr>
            <w:tcW w:type="dxa" w:w="2340"/>
          </w:tcPr>
          <w:p>
            <w:r/>
            <w:r>
              <w:rPr>
                <w:rFonts w:ascii="Times New Roman" w:hAnsi="Times New Roman" w:cs="Times New Roman" w:eastAsia="Times New Roman"/>
                <w:b w:val="0"/>
                <w:i w:val="0"/>
                <w:sz w:val="22"/>
              </w:rPr>
              <w:t>CGC</w:t>
            </w:r>
          </w:p>
        </w:tc>
      </w:tr>
      <w:tr>
        <w:tc>
          <w:tcPr>
            <w:tcW w:type="dxa" w:w="2340"/>
          </w:tcPr>
          <w:p>
            <w:r/>
            <w:r>
              <w:rPr>
                <w:rFonts w:ascii="Times New Roman" w:hAnsi="Times New Roman" w:cs="Times New Roman" w:eastAsia="Times New Roman"/>
                <w:b w:val="0"/>
                <w:i w:val="0"/>
                <w:sz w:val="22"/>
              </w:rPr>
              <w:t>TG1540</w:t>
            </w:r>
          </w:p>
        </w:tc>
        <w:tc>
          <w:tcPr>
            <w:tcW w:type="dxa" w:w="2340"/>
          </w:tcPr>
          <w:p>
            <w:r/>
            <w:r>
              <w:rPr>
                <w:rFonts w:ascii="Times New Roman" w:hAnsi="Times New Roman" w:cs="Times New Roman" w:eastAsia="Times New Roman"/>
                <w:b w:val="0"/>
                <w:i w:val="0"/>
                <w:sz w:val="22"/>
              </w:rPr>
              <w:t>gen-1(tm2940) III.</w:t>
            </w:r>
          </w:p>
        </w:tc>
        <w:tc>
          <w:tcPr>
            <w:tcW w:type="dxa" w:w="2340"/>
          </w:tcPr>
          <w:p>
            <w:r/>
            <w:r>
              <w:rPr>
                <w:rFonts w:ascii="Times New Roman" w:hAnsi="Times New Roman" w:cs="Times New Roman" w:eastAsia="Times New Roman"/>
                <w:b w:val="0"/>
                <w:i w:val="0"/>
                <w:sz w:val="22"/>
              </w:rPr>
              <w:t>HR</w:t>
            </w:r>
          </w:p>
        </w:tc>
        <w:tc>
          <w:tcPr>
            <w:tcW w:type="dxa" w:w="2340"/>
          </w:tcPr>
          <w:p>
            <w:r/>
            <w:r>
              <w:rPr>
                <w:rFonts w:ascii="Times New Roman" w:hAnsi="Times New Roman" w:cs="Times New Roman" w:eastAsia="Times New Roman"/>
                <w:b w:val="0"/>
                <w:i w:val="0"/>
                <w:sz w:val="22"/>
              </w:rPr>
              <w:t>CGC</w:t>
            </w:r>
          </w:p>
        </w:tc>
      </w:tr>
      <w:tr>
        <w:tc>
          <w:tcPr>
            <w:tcW w:type="dxa" w:w="2340"/>
          </w:tcPr>
          <w:p>
            <w:r/>
            <w:r>
              <w:rPr>
                <w:rFonts w:ascii="Times New Roman" w:hAnsi="Times New Roman" w:cs="Times New Roman" w:eastAsia="Times New Roman"/>
                <w:b w:val="0"/>
                <w:i w:val="0"/>
                <w:sz w:val="22"/>
              </w:rPr>
              <w:t>VC174</w:t>
            </w:r>
          </w:p>
        </w:tc>
        <w:tc>
          <w:tcPr>
            <w:tcW w:type="dxa" w:w="2340"/>
          </w:tcPr>
          <w:p>
            <w:r/>
            <w:r>
              <w:rPr>
                <w:rFonts w:ascii="Times New Roman" w:hAnsi="Times New Roman" w:cs="Times New Roman" w:eastAsia="Times New Roman"/>
                <w:b w:val="0"/>
                <w:i w:val="0"/>
                <w:sz w:val="22"/>
              </w:rPr>
              <w:t>wrn-1(gk99) III.</w:t>
            </w:r>
          </w:p>
        </w:tc>
        <w:tc>
          <w:tcPr>
            <w:tcW w:type="dxa" w:w="2340"/>
          </w:tcPr>
          <w:p>
            <w:r/>
            <w:r>
              <w:rPr>
                <w:rFonts w:ascii="Times New Roman" w:hAnsi="Times New Roman" w:cs="Times New Roman" w:eastAsia="Times New Roman"/>
                <w:b w:val="0"/>
                <w:i w:val="0"/>
                <w:sz w:val="22"/>
              </w:rPr>
              <w:t>HR</w:t>
            </w:r>
          </w:p>
        </w:tc>
        <w:tc>
          <w:tcPr>
            <w:tcW w:type="dxa" w:w="2340"/>
          </w:tcPr>
          <w:p>
            <w:r/>
            <w:r>
              <w:rPr>
                <w:rFonts w:ascii="Times New Roman" w:hAnsi="Times New Roman" w:cs="Times New Roman" w:eastAsia="Times New Roman"/>
                <w:b w:val="0"/>
                <w:i w:val="0"/>
                <w:sz w:val="22"/>
              </w:rPr>
              <w:t>CGC</w:t>
            </w:r>
          </w:p>
        </w:tc>
      </w:tr>
      <w:tr>
        <w:tc>
          <w:tcPr>
            <w:tcW w:type="dxa" w:w="2340"/>
          </w:tcPr>
          <w:p>
            <w:r/>
            <w:r>
              <w:rPr>
                <w:rFonts w:ascii="Times New Roman" w:hAnsi="Times New Roman" w:cs="Times New Roman" w:eastAsia="Times New Roman"/>
                <w:b w:val="0"/>
                <w:i w:val="0"/>
                <w:sz w:val="22"/>
              </w:rPr>
              <w:t>RB1401</w:t>
            </w:r>
          </w:p>
        </w:tc>
        <w:tc>
          <w:tcPr>
            <w:tcW w:type="dxa" w:w="2340"/>
          </w:tcPr>
          <w:p>
            <w:r/>
            <w:r>
              <w:rPr>
                <w:rFonts w:ascii="Times New Roman" w:hAnsi="Times New Roman" w:cs="Times New Roman" w:eastAsia="Times New Roman"/>
                <w:b w:val="0"/>
                <w:i w:val="0"/>
                <w:sz w:val="22"/>
              </w:rPr>
              <w:t>dvc-1(ok260)</w:t>
            </w:r>
          </w:p>
        </w:tc>
        <w:tc>
          <w:tcPr>
            <w:tcW w:type="dxa" w:w="2340"/>
          </w:tcPr>
          <w:p>
            <w:r/>
            <w:r>
              <w:rPr>
                <w:rFonts w:ascii="Times New Roman" w:hAnsi="Times New Roman" w:cs="Times New Roman" w:eastAsia="Times New Roman"/>
                <w:b w:val="0"/>
                <w:i w:val="0"/>
                <w:sz w:val="22"/>
              </w:rPr>
              <w:t>Protease</w:t>
            </w:r>
          </w:p>
        </w:tc>
        <w:tc>
          <w:tcPr>
            <w:tcW w:type="dxa" w:w="2340"/>
          </w:tcPr>
          <w:p>
            <w:r/>
            <w:r>
              <w:rPr>
                <w:rFonts w:ascii="Times New Roman" w:hAnsi="Times New Roman" w:cs="Times New Roman" w:eastAsia="Times New Roman"/>
                <w:b w:val="0"/>
                <w:i w:val="0"/>
                <w:sz w:val="22"/>
              </w:rPr>
              <w:t>CGC</w:t>
            </w:r>
          </w:p>
        </w:tc>
      </w:tr>
      <w:tr>
        <w:tc>
          <w:tcPr>
            <w:tcW w:type="dxa" w:w="2340"/>
          </w:tcPr>
          <w:p>
            <w:r/>
            <w:r>
              <w:rPr>
                <w:rFonts w:ascii="Times New Roman" w:hAnsi="Times New Roman" w:cs="Times New Roman" w:eastAsia="Times New Roman"/>
                <w:b w:val="0"/>
                <w:i w:val="0"/>
                <w:sz w:val="22"/>
              </w:rPr>
              <w:t>BJS886</w:t>
            </w:r>
          </w:p>
        </w:tc>
        <w:tc>
          <w:tcPr>
            <w:tcW w:type="dxa" w:w="2340"/>
          </w:tcPr>
          <w:p>
            <w:r/>
            <w:r>
              <w:rPr>
                <w:rFonts w:ascii="Times New Roman" w:hAnsi="Times New Roman" w:cs="Times New Roman" w:eastAsia="Times New Roman"/>
                <w:b w:val="0"/>
                <w:i w:val="0"/>
                <w:sz w:val="22"/>
              </w:rPr>
              <w:t>adh-5(sbj21) V.</w:t>
            </w:r>
          </w:p>
        </w:tc>
        <w:tc>
          <w:tcPr>
            <w:tcW w:type="dxa" w:w="2340"/>
          </w:tcPr>
          <w:p>
            <w:r/>
            <w:r>
              <w:rPr>
                <w:rFonts w:ascii="Times New Roman" w:hAnsi="Times New Roman" w:cs="Times New Roman" w:eastAsia="Times New Roman"/>
                <w:b w:val="0"/>
                <w:i w:val="0"/>
                <w:sz w:val="22"/>
              </w:rPr>
              <w:t>FA detox</w:t>
            </w:r>
          </w:p>
        </w:tc>
        <w:tc>
          <w:tcPr>
            <w:tcW w:type="dxa" w:w="2340"/>
          </w:tcPr>
          <w:p>
            <w:r/>
            <w:r>
              <w:rPr>
                <w:rFonts w:ascii="Times New Roman" w:hAnsi="Times New Roman" w:cs="Times New Roman" w:eastAsia="Times New Roman"/>
                <w:b w:val="0"/>
                <w:i w:val="0"/>
                <w:sz w:val="22"/>
              </w:rPr>
              <w:t>Schumacher lab</w:t>
            </w:r>
          </w:p>
        </w:tc>
      </w:tr>
      <w:tr>
        <w:tc>
          <w:tcPr>
            <w:tcW w:type="dxa" w:w="2340"/>
          </w:tcPr>
          <w:p>
            <w:r/>
            <w:r>
              <w:rPr>
                <w:rFonts w:ascii="Times New Roman" w:hAnsi="Times New Roman" w:cs="Times New Roman" w:eastAsia="Times New Roman"/>
                <w:b w:val="0"/>
                <w:i w:val="0"/>
                <w:sz w:val="22"/>
              </w:rPr>
              <w:t>BJS938</w:t>
            </w:r>
          </w:p>
        </w:tc>
        <w:tc>
          <w:tcPr>
            <w:tcW w:type="dxa" w:w="2340"/>
          </w:tcPr>
          <w:p>
            <w:r/>
            <w:r>
              <w:rPr>
                <w:rFonts w:ascii="Times New Roman" w:hAnsi="Times New Roman" w:cs="Times New Roman" w:eastAsia="Times New Roman"/>
                <w:b w:val="0"/>
                <w:i w:val="0"/>
                <w:sz w:val="22"/>
              </w:rPr>
              <w:t>xpc-1(tm3886) ; adh-5(sbj21)</w:t>
            </w:r>
          </w:p>
        </w:tc>
        <w:tc>
          <w:tcPr>
            <w:tcW w:type="dxa" w:w="2340"/>
          </w:tcPr>
          <w:p>
            <w:r/>
            <w:r>
              <w:rPr>
                <w:rFonts w:ascii="Times New Roman" w:hAnsi="Times New Roman" w:cs="Times New Roman" w:eastAsia="Times New Roman"/>
                <w:b w:val="0"/>
                <w:i w:val="0"/>
                <w:sz w:val="22"/>
              </w:rPr>
              <w:t>NER/FA detox</w:t>
            </w:r>
          </w:p>
        </w:tc>
        <w:tc>
          <w:tcPr>
            <w:tcW w:type="dxa" w:w="2340"/>
          </w:tcPr>
          <w:p>
            <w:r/>
            <w:r>
              <w:rPr>
                <w:rFonts w:ascii="Times New Roman" w:hAnsi="Times New Roman" w:cs="Times New Roman" w:eastAsia="Times New Roman"/>
                <w:b w:val="0"/>
                <w:i w:val="0"/>
                <w:sz w:val="22"/>
              </w:rPr>
              <w:t>Schumacher lab</w:t>
            </w:r>
          </w:p>
        </w:tc>
      </w:tr>
      <w:tr>
        <w:tc>
          <w:tcPr>
            <w:tcW w:type="dxa" w:w="2340"/>
          </w:tcPr>
          <w:p>
            <w:r/>
            <w:r>
              <w:rPr>
                <w:rFonts w:ascii="Times New Roman" w:hAnsi="Times New Roman" w:cs="Times New Roman" w:eastAsia="Times New Roman"/>
                <w:b w:val="0"/>
                <w:i w:val="0"/>
                <w:sz w:val="22"/>
              </w:rPr>
              <w:t>BJS940</w:t>
            </w:r>
          </w:p>
        </w:tc>
        <w:tc>
          <w:tcPr>
            <w:tcW w:type="dxa" w:w="2340"/>
          </w:tcPr>
          <w:p>
            <w:r/>
            <w:r>
              <w:rPr>
                <w:rFonts w:ascii="Times New Roman" w:hAnsi="Times New Roman" w:cs="Times New Roman" w:eastAsia="Times New Roman"/>
                <w:b w:val="0"/>
                <w:i w:val="0"/>
                <w:sz w:val="22"/>
              </w:rPr>
              <w:t>xpa-1(ok698) ; adh-5(sbj21)</w:t>
            </w:r>
          </w:p>
        </w:tc>
        <w:tc>
          <w:tcPr>
            <w:tcW w:type="dxa" w:w="2340"/>
          </w:tcPr>
          <w:p>
            <w:r/>
            <w:r>
              <w:rPr>
                <w:rFonts w:ascii="Times New Roman" w:hAnsi="Times New Roman" w:cs="Times New Roman" w:eastAsia="Times New Roman"/>
                <w:b w:val="0"/>
                <w:i w:val="0"/>
                <w:sz w:val="22"/>
              </w:rPr>
              <w:t>NER/FA detox</w:t>
            </w:r>
          </w:p>
        </w:tc>
        <w:tc>
          <w:tcPr>
            <w:tcW w:type="dxa" w:w="2340"/>
          </w:tcPr>
          <w:p>
            <w:r/>
            <w:r>
              <w:rPr>
                <w:rFonts w:ascii="Times New Roman" w:hAnsi="Times New Roman" w:cs="Times New Roman" w:eastAsia="Times New Roman"/>
                <w:b w:val="0"/>
                <w:i w:val="0"/>
                <w:sz w:val="22"/>
              </w:rPr>
              <w:t>Schumacher lab</w:t>
            </w:r>
          </w:p>
        </w:tc>
      </w:tr>
      <w:tr>
        <w:tc>
          <w:tcPr>
            <w:tcW w:type="dxa" w:w="2340"/>
          </w:tcPr>
          <w:p>
            <w:r/>
            <w:r>
              <w:rPr>
                <w:rFonts w:ascii="Times New Roman" w:hAnsi="Times New Roman" w:cs="Times New Roman" w:eastAsia="Times New Roman"/>
                <w:b w:val="0"/>
                <w:i w:val="0"/>
                <w:sz w:val="22"/>
              </w:rPr>
              <w:t>BJS885</w:t>
            </w:r>
          </w:p>
        </w:tc>
        <w:tc>
          <w:tcPr>
            <w:tcW w:type="dxa" w:w="2340"/>
          </w:tcPr>
          <w:p>
            <w:r/>
            <w:r>
              <w:rPr>
                <w:rFonts w:ascii="Times New Roman" w:hAnsi="Times New Roman" w:cs="Times New Roman" w:eastAsia="Times New Roman"/>
                <w:b w:val="0"/>
                <w:i w:val="0"/>
                <w:sz w:val="22"/>
              </w:rPr>
              <w:t>csb-1(ok2335) ; adh-5(sbj21)</w:t>
            </w:r>
          </w:p>
        </w:tc>
        <w:tc>
          <w:tcPr>
            <w:tcW w:type="dxa" w:w="2340"/>
          </w:tcPr>
          <w:p>
            <w:r/>
            <w:r>
              <w:rPr>
                <w:rFonts w:ascii="Times New Roman" w:hAnsi="Times New Roman" w:cs="Times New Roman" w:eastAsia="Times New Roman"/>
                <w:b w:val="0"/>
                <w:i w:val="0"/>
                <w:sz w:val="22"/>
              </w:rPr>
              <w:t>NER/FA detox</w:t>
            </w:r>
          </w:p>
        </w:tc>
        <w:tc>
          <w:tcPr>
            <w:tcW w:type="dxa" w:w="2340"/>
          </w:tcPr>
          <w:p>
            <w:r/>
            <w:r>
              <w:rPr>
                <w:rFonts w:ascii="Times New Roman" w:hAnsi="Times New Roman" w:cs="Times New Roman" w:eastAsia="Times New Roman"/>
                <w:b w:val="0"/>
                <w:i w:val="0"/>
                <w:sz w:val="22"/>
              </w:rPr>
              <w:t>Schumacher lab</w:t>
            </w:r>
          </w:p>
        </w:tc>
      </w:tr>
      <w:tr>
        <w:tc>
          <w:tcPr>
            <w:tcW w:type="dxa" w:w="2340"/>
          </w:tcPr>
          <w:p>
            <w:r/>
            <w:r>
              <w:rPr>
                <w:rFonts w:ascii="Times New Roman" w:hAnsi="Times New Roman" w:cs="Times New Roman" w:eastAsia="Times New Roman"/>
                <w:b w:val="0"/>
                <w:i w:val="0"/>
                <w:sz w:val="22"/>
              </w:rPr>
              <w:t>BJS939</w:t>
            </w:r>
          </w:p>
        </w:tc>
        <w:tc>
          <w:tcPr>
            <w:tcW w:type="dxa" w:w="2340"/>
          </w:tcPr>
          <w:p>
            <w:r/>
            <w:r>
              <w:rPr>
                <w:rFonts w:ascii="Times New Roman" w:hAnsi="Times New Roman" w:cs="Times New Roman" w:eastAsia="Times New Roman"/>
                <w:b w:val="0"/>
                <w:i w:val="0"/>
                <w:sz w:val="22"/>
              </w:rPr>
              <w:t>xpc-1(tm3886) ; csb-1(ok2335) ; adh-5(sbj21)</w:t>
            </w:r>
          </w:p>
        </w:tc>
        <w:tc>
          <w:tcPr>
            <w:tcW w:type="dxa" w:w="2340"/>
          </w:tcPr>
          <w:p>
            <w:r/>
            <w:r>
              <w:rPr>
                <w:rFonts w:ascii="Times New Roman" w:hAnsi="Times New Roman" w:cs="Times New Roman" w:eastAsia="Times New Roman"/>
                <w:b w:val="0"/>
                <w:i w:val="0"/>
                <w:sz w:val="22"/>
              </w:rPr>
              <w:t>NER/FA detox</w:t>
            </w:r>
          </w:p>
        </w:tc>
        <w:tc>
          <w:tcPr>
            <w:tcW w:type="dxa" w:w="2340"/>
          </w:tcPr>
          <w:p>
            <w:r/>
            <w:r>
              <w:rPr>
                <w:rFonts w:ascii="Times New Roman" w:hAnsi="Times New Roman" w:cs="Times New Roman" w:eastAsia="Times New Roman"/>
                <w:b w:val="0"/>
                <w:i w:val="0"/>
                <w:sz w:val="22"/>
              </w:rPr>
              <w:t>Schumacher lab</w:t>
            </w:r>
          </w:p>
        </w:tc>
      </w:tr>
    </w:tbl>
    <w:p>
      <w:pPr>
        <w:spacing w:after="80"/>
        <w:jc w:val="both"/>
      </w:pPr>
    </w:p>
    <w:p>
      <w:pPr>
        <w:keepNext/>
        <w:pageBreakBefore/>
        <w:spacing w:before="480" w:after="160"/>
        <w:outlineLvl w:val="0"/>
      </w:pPr>
      <w:r>
        <w:rPr>
          <w:rFonts w:ascii="Times New Roman" w:hAnsi="Times New Roman" w:cs="Times New Roman" w:eastAsia="Times New Roman"/>
          <w:b/>
          <w:i w:val="0"/>
          <w:color w:val="1F3D7A"/>
          <w:sz w:val="36"/>
        </w:rPr>
        <w:t>E.  Consolidated Figure Gallery — Extracted PMC Bitmaps</w:t>
      </w:r>
    </w:p>
    <w:p>
      <w:pPr>
        <w:spacing w:after="80"/>
        <w:jc w:val="both"/>
      </w:pPr>
      <w:r>
        <w:rPr>
          <w:rFonts w:ascii="Times New Roman" w:hAnsi="Times New Roman" w:cs="Times New Roman" w:eastAsia="Times New Roman"/>
          <w:b w:val="0"/>
          <w:i w:val="0"/>
          <w:sz w:val="24"/>
        </w:rPr>
        <w:t>Every curated image retrieved by the tox-scraper PDF pipeline is reproduced below, grouped by source PMCID. Images were extracted via PyMuPDF from Europe PMC PDF renderings of the source articles; after automated filtering (minimum 15 KB size, minimum 100×100 px, aspect ratio 0.2–5.0, MD5-hash deduplication against repeated page headers) the pipeline retained 42 unique figure panels across 10 papers. Each figure is paired with its JATS-derived caption where available. For PMC8719286, PMC10885928, PMC11278452, PMC11317141, and papers with zero available PDF panels (PMC6154623), only the subset of images that passed the curation filter is included. No post-processing, colour correction, or annotation has been applied to any of the reproduced bitmaps.</w:t>
      </w:r>
    </w:p>
    <w:p>
      <w:pPr>
        <w:keepNext/>
        <w:spacing w:before="280" w:after="80"/>
        <w:outlineLvl w:val="1"/>
      </w:pPr>
      <w:r>
        <w:rPr>
          <w:rFonts w:ascii="Times New Roman" w:hAnsi="Times New Roman" w:cs="Times New Roman" w:eastAsia="Times New Roman"/>
          <w:b/>
          <w:i w:val="0"/>
          <w:color w:val="335588"/>
          <w:sz w:val="28"/>
        </w:rPr>
        <w:t>E.1  PMC10604897 — N-Acetylcysteine and Its Immunomodulatory Properties in Humans and Domesticated  (2 figures)</w:t>
      </w:r>
    </w:p>
    <w:p>
      <w:pPr>
        <w:spacing w:after="80"/>
        <w:jc w:val="both"/>
      </w:pPr>
      <w:r>
        <w:rPr>
          <w:rFonts w:ascii="Times New Roman" w:hAnsi="Times New Roman" w:cs="Times New Roman" w:eastAsia="Times New Roman"/>
          <w:b w:val="0"/>
          <w:i/>
          <w:sz w:val="20"/>
        </w:rPr>
        <w:t>Source: Antioxidants (2023). PMCID: PMC10604897; PMID: 37891946; DOI: 10.3390/antiox12101867. PDF rendering: Europe PMC (https://europepmc.org/articles/PMC10604897?pdf=render).</w:t>
      </w:r>
    </w:p>
    <w:p>
      <w:pPr>
        <w:jc w:val="center"/>
      </w:pPr>
      <w:r>
        <w:drawing>
          <wp:inline xmlns:a="http://schemas.openxmlformats.org/drawingml/2006/main" xmlns:pic="http://schemas.openxmlformats.org/drawingml/2006/picture">
            <wp:extent cx="5029200" cy="2300859"/>
            <wp:docPr id="223" name="Picture 223"/>
            <wp:cNvGraphicFramePr>
              <a:graphicFrameLocks noChangeAspect="1"/>
            </wp:cNvGraphicFramePr>
            <a:graphic>
              <a:graphicData uri="http://schemas.openxmlformats.org/drawingml/2006/picture">
                <pic:pic>
                  <pic:nvPicPr>
                    <pic:cNvPr id="0" name="p21_i1.jpg"/>
                    <pic:cNvPicPr/>
                  </pic:nvPicPr>
                  <pic:blipFill>
                    <a:blip r:embed="rId12"/>
                    <a:stretch>
                      <a:fillRect/>
                    </a:stretch>
                  </pic:blipFill>
                  <pic:spPr>
                    <a:xfrm>
                      <a:off x="0" y="0"/>
                      <a:ext cx="5029200" cy="2300859"/>
                    </a:xfrm>
                    <a:prstGeom prst="rect"/>
                  </pic:spPr>
                </pic:pic>
              </a:graphicData>
            </a:graphic>
          </wp:inline>
        </w:drawing>
      </w:r>
    </w:p>
    <w:p>
      <w:pPr>
        <w:spacing w:after="160"/>
        <w:jc w:val="center"/>
      </w:pPr>
      <w:r>
        <w:rPr>
          <w:rFonts w:ascii="Times New Roman" w:hAnsi="Times New Roman" w:cs="Times New Roman" w:eastAsia="Times New Roman"/>
          <w:b w:val="0"/>
          <w:i/>
          <w:sz w:val="20"/>
        </w:rPr>
        <w:t>Figure 1 (from PMC10604897): “The three major narratives of NAC’s mechanisms of action.</w:t>
        <w:br/>
        <w:t xml:space="preserve">   graphic: `antioxidants-12-01867-g001.jpg`”</w:t>
      </w:r>
    </w:p>
    <w:p>
      <w:pPr>
        <w:jc w:val="center"/>
      </w:pPr>
      <w:r>
        <w:drawing>
          <wp:inline xmlns:a="http://schemas.openxmlformats.org/drawingml/2006/main" xmlns:pic="http://schemas.openxmlformats.org/drawingml/2006/picture">
            <wp:extent cx="5029200" cy="1144143"/>
            <wp:docPr id="224" name="Picture 224"/>
            <wp:cNvGraphicFramePr>
              <a:graphicFrameLocks noChangeAspect="1"/>
            </wp:cNvGraphicFramePr>
            <a:graphic>
              <a:graphicData uri="http://schemas.openxmlformats.org/drawingml/2006/picture">
                <pic:pic>
                  <pic:nvPicPr>
                    <pic:cNvPr id="0" name="p21_i2.jpg"/>
                    <pic:cNvPicPr/>
                  </pic:nvPicPr>
                  <pic:blipFill>
                    <a:blip r:embed="rId13"/>
                    <a:stretch>
                      <a:fillRect/>
                    </a:stretch>
                  </pic:blipFill>
                  <pic:spPr>
                    <a:xfrm>
                      <a:off x="0" y="0"/>
                      <a:ext cx="5029200" cy="1144143"/>
                    </a:xfrm>
                    <a:prstGeom prst="rect"/>
                  </pic:spPr>
                </pic:pic>
              </a:graphicData>
            </a:graphic>
          </wp:inline>
        </w:drawing>
      </w:r>
    </w:p>
    <w:p>
      <w:pPr>
        <w:spacing w:after="160"/>
        <w:jc w:val="center"/>
      </w:pPr>
      <w:r>
        <w:rPr>
          <w:rFonts w:ascii="Times New Roman" w:hAnsi="Times New Roman" w:cs="Times New Roman" w:eastAsia="Times New Roman"/>
          <w:b w:val="0"/>
          <w:i/>
          <w:sz w:val="20"/>
        </w:rPr>
        <w:t>Figure panel from PMC10604897 (source bitmap p21_i2.jpg, 1600×364 px).</w:t>
      </w:r>
    </w:p>
    <w:p>
      <w:pPr>
        <w:keepNext/>
        <w:spacing w:before="280" w:after="80"/>
        <w:outlineLvl w:val="1"/>
      </w:pPr>
      <w:r>
        <w:rPr>
          <w:rFonts w:ascii="Times New Roman" w:hAnsi="Times New Roman" w:cs="Times New Roman" w:eastAsia="Times New Roman"/>
          <w:b/>
          <w:i w:val="0"/>
          <w:color w:val="335588"/>
          <w:sz w:val="28"/>
        </w:rPr>
        <w:t>E.2  PMC8719286 — The Multifaceted Therapeutic Role of N -Acetylcysteine (NAC) in Disorders Charac (4 figures)</w:t>
      </w:r>
    </w:p>
    <w:p>
      <w:pPr>
        <w:spacing w:after="80"/>
        <w:jc w:val="both"/>
      </w:pPr>
      <w:r>
        <w:rPr>
          <w:rFonts w:ascii="Times New Roman" w:hAnsi="Times New Roman" w:cs="Times New Roman" w:eastAsia="Times New Roman"/>
          <w:b w:val="0"/>
          <w:i/>
          <w:sz w:val="20"/>
        </w:rPr>
        <w:t>Source: Current Neuropharmacology (2021). PMCID: PMC8719286; PMID: 33380301; DOI: 10.2174/1570159X19666201230144109. PDF rendering: Europe PMC (https://europepmc.org/articles/PMC8719286?pdf=render).</w:t>
      </w:r>
    </w:p>
    <w:p>
      <w:pPr>
        <w:jc w:val="center"/>
      </w:pPr>
      <w:r>
        <w:drawing>
          <wp:inline xmlns:a="http://schemas.openxmlformats.org/drawingml/2006/main" xmlns:pic="http://schemas.openxmlformats.org/drawingml/2006/picture">
            <wp:extent cx="5029200" cy="3228118"/>
            <wp:docPr id="225" name="Picture 225"/>
            <wp:cNvGraphicFramePr>
              <a:graphicFrameLocks noChangeAspect="1"/>
            </wp:cNvGraphicFramePr>
            <a:graphic>
              <a:graphicData uri="http://schemas.openxmlformats.org/drawingml/2006/picture">
                <pic:pic>
                  <pic:nvPicPr>
                    <pic:cNvPr id="0" name="p01_i4.jpg"/>
                    <pic:cNvPicPr/>
                  </pic:nvPicPr>
                  <pic:blipFill>
                    <a:blip r:embed="rId20"/>
                    <a:stretch>
                      <a:fillRect/>
                    </a:stretch>
                  </pic:blipFill>
                  <pic:spPr>
                    <a:xfrm>
                      <a:off x="0" y="0"/>
                      <a:ext cx="5029200" cy="3228118"/>
                    </a:xfrm>
                    <a:prstGeom prst="rect"/>
                  </pic:spPr>
                </pic:pic>
              </a:graphicData>
            </a:graphic>
          </wp:inline>
        </w:drawing>
      </w:r>
    </w:p>
    <w:p>
      <w:pPr>
        <w:spacing w:after="160"/>
        <w:jc w:val="center"/>
      </w:pPr>
      <w:r>
        <w:rPr>
          <w:rFonts w:ascii="Times New Roman" w:hAnsi="Times New Roman" w:cs="Times New Roman" w:eastAsia="Times New Roman"/>
          <w:b w:val="0"/>
          <w:i/>
          <w:sz w:val="20"/>
        </w:rPr>
        <w:t>Figure panel from PMC8719286 (source bitmap p01_i4.jpg, 1600×1027 px).</w:t>
      </w:r>
    </w:p>
    <w:p>
      <w:pPr>
        <w:jc w:val="center"/>
      </w:pPr>
      <w:r>
        <w:drawing>
          <wp:inline xmlns:a="http://schemas.openxmlformats.org/drawingml/2006/main" xmlns:pic="http://schemas.openxmlformats.org/drawingml/2006/picture">
            <wp:extent cx="5029200" cy="7562707"/>
            <wp:docPr id="226" name="Picture 226"/>
            <wp:cNvGraphicFramePr>
              <a:graphicFrameLocks noChangeAspect="1"/>
            </wp:cNvGraphicFramePr>
            <a:graphic>
              <a:graphicData uri="http://schemas.openxmlformats.org/drawingml/2006/picture">
                <pic:pic>
                  <pic:nvPicPr>
                    <pic:cNvPr id="0" name="p01_i2.jpg"/>
                    <pic:cNvPicPr/>
                  </pic:nvPicPr>
                  <pic:blipFill>
                    <a:blip r:embed="rId21"/>
                    <a:stretch>
                      <a:fillRect/>
                    </a:stretch>
                  </pic:blipFill>
                  <pic:spPr>
                    <a:xfrm>
                      <a:off x="0" y="0"/>
                      <a:ext cx="5029200" cy="7562707"/>
                    </a:xfrm>
                    <a:prstGeom prst="rect"/>
                  </pic:spPr>
                </pic:pic>
              </a:graphicData>
            </a:graphic>
          </wp:inline>
        </w:drawing>
      </w:r>
    </w:p>
    <w:p>
      <w:pPr>
        <w:spacing w:after="160"/>
        <w:jc w:val="center"/>
      </w:pPr>
      <w:r>
        <w:rPr>
          <w:rFonts w:ascii="Times New Roman" w:hAnsi="Times New Roman" w:cs="Times New Roman" w:eastAsia="Times New Roman"/>
          <w:b w:val="0"/>
          <w:i/>
          <w:sz w:val="20"/>
        </w:rPr>
        <w:t>Figure panel from PMC8719286 (source bitmap p01_i2.jpg, 1064×1600 px).</w:t>
      </w:r>
    </w:p>
    <w:p>
      <w:pPr>
        <w:jc w:val="center"/>
      </w:pPr>
      <w:r>
        <w:drawing>
          <wp:inline xmlns:a="http://schemas.openxmlformats.org/drawingml/2006/main" xmlns:pic="http://schemas.openxmlformats.org/drawingml/2006/picture">
            <wp:extent cx="5029200" cy="3646170"/>
            <wp:docPr id="227" name="Picture 227"/>
            <wp:cNvGraphicFramePr>
              <a:graphicFrameLocks noChangeAspect="1"/>
            </wp:cNvGraphicFramePr>
            <a:graphic>
              <a:graphicData uri="http://schemas.openxmlformats.org/drawingml/2006/picture">
                <pic:pic>
                  <pic:nvPicPr>
                    <pic:cNvPr id="0" name="p01_i3.jpg"/>
                    <pic:cNvPicPr/>
                  </pic:nvPicPr>
                  <pic:blipFill>
                    <a:blip r:embed="rId22"/>
                    <a:stretch>
                      <a:fillRect/>
                    </a:stretch>
                  </pic:blipFill>
                  <pic:spPr>
                    <a:xfrm>
                      <a:off x="0" y="0"/>
                      <a:ext cx="5029200" cy="3646170"/>
                    </a:xfrm>
                    <a:prstGeom prst="rect"/>
                  </pic:spPr>
                </pic:pic>
              </a:graphicData>
            </a:graphic>
          </wp:inline>
        </w:drawing>
      </w:r>
    </w:p>
    <w:p>
      <w:pPr>
        <w:spacing w:after="160"/>
        <w:jc w:val="center"/>
      </w:pPr>
      <w:r>
        <w:rPr>
          <w:rFonts w:ascii="Times New Roman" w:hAnsi="Times New Roman" w:cs="Times New Roman" w:eastAsia="Times New Roman"/>
          <w:b w:val="0"/>
          <w:i/>
          <w:sz w:val="20"/>
        </w:rPr>
        <w:t>Figure panel from PMC8719286 (source bitmap p01_i3.jpg, 1600×1160 px).</w:t>
      </w:r>
    </w:p>
    <w:p>
      <w:pPr>
        <w:jc w:val="center"/>
      </w:pPr>
      <w:r>
        <w:drawing>
          <wp:inline xmlns:a="http://schemas.openxmlformats.org/drawingml/2006/main" xmlns:pic="http://schemas.openxmlformats.org/drawingml/2006/picture">
            <wp:extent cx="5029200" cy="1254157"/>
            <wp:docPr id="228" name="Picture 228"/>
            <wp:cNvGraphicFramePr>
              <a:graphicFrameLocks noChangeAspect="1"/>
            </wp:cNvGraphicFramePr>
            <a:graphic>
              <a:graphicData uri="http://schemas.openxmlformats.org/drawingml/2006/picture">
                <pic:pic>
                  <pic:nvPicPr>
                    <pic:cNvPr id="0" name="p01_i1.jpg"/>
                    <pic:cNvPicPr/>
                  </pic:nvPicPr>
                  <pic:blipFill>
                    <a:blip r:embed="rId23"/>
                    <a:stretch>
                      <a:fillRect/>
                    </a:stretch>
                  </pic:blipFill>
                  <pic:spPr>
                    <a:xfrm>
                      <a:off x="0" y="0"/>
                      <a:ext cx="5029200" cy="1254157"/>
                    </a:xfrm>
                    <a:prstGeom prst="rect"/>
                  </pic:spPr>
                </pic:pic>
              </a:graphicData>
            </a:graphic>
          </wp:inline>
        </w:drawing>
      </w:r>
    </w:p>
    <w:p>
      <w:pPr>
        <w:spacing w:after="160"/>
        <w:jc w:val="center"/>
      </w:pPr>
      <w:r>
        <w:rPr>
          <w:rFonts w:ascii="Times New Roman" w:hAnsi="Times New Roman" w:cs="Times New Roman" w:eastAsia="Times New Roman"/>
          <w:b w:val="0"/>
          <w:i/>
          <w:sz w:val="20"/>
        </w:rPr>
        <w:t>Figure panel from PMC8719286 (source bitmap p01_i1.jpg, 1600×399 px).</w:t>
      </w:r>
    </w:p>
    <w:p>
      <w:pPr>
        <w:keepNext/>
        <w:spacing w:before="280" w:after="80"/>
        <w:outlineLvl w:val="1"/>
      </w:pPr>
      <w:r>
        <w:rPr>
          <w:rFonts w:ascii="Times New Roman" w:hAnsi="Times New Roman" w:cs="Times New Roman" w:eastAsia="Times New Roman"/>
          <w:b/>
          <w:i w:val="0"/>
          <w:color w:val="335588"/>
          <w:sz w:val="28"/>
        </w:rPr>
        <w:t>E.3  PMC10885928 — The Role of Glutathione and Its Precursors in Type 2 Diabetes (3 figures)</w:t>
      </w:r>
    </w:p>
    <w:p>
      <w:pPr>
        <w:spacing w:after="80"/>
        <w:jc w:val="both"/>
      </w:pPr>
      <w:r>
        <w:rPr>
          <w:rFonts w:ascii="Times New Roman" w:hAnsi="Times New Roman" w:cs="Times New Roman" w:eastAsia="Times New Roman"/>
          <w:b w:val="0"/>
          <w:i/>
          <w:sz w:val="20"/>
        </w:rPr>
        <w:t>Source: Antioxidants (2024). PMCID: PMC10885928; PMID: 38397782; DOI: 10.3390/antiox13020184. PDF rendering: Europe PMC (https://europepmc.org/articles/PMC10885928?pdf=render).</w:t>
      </w:r>
    </w:p>
    <w:p>
      <w:pPr>
        <w:jc w:val="center"/>
      </w:pPr>
      <w:r>
        <w:drawing>
          <wp:inline xmlns:a="http://schemas.openxmlformats.org/drawingml/2006/main" xmlns:pic="http://schemas.openxmlformats.org/drawingml/2006/picture">
            <wp:extent cx="5029200" cy="1989677"/>
            <wp:docPr id="229" name="Picture 229"/>
            <wp:cNvGraphicFramePr>
              <a:graphicFrameLocks noChangeAspect="1"/>
            </wp:cNvGraphicFramePr>
            <a:graphic>
              <a:graphicData uri="http://schemas.openxmlformats.org/drawingml/2006/picture">
                <pic:pic>
                  <pic:nvPicPr>
                    <pic:cNvPr id="0" name="p03_i1.jpg"/>
                    <pic:cNvPicPr/>
                  </pic:nvPicPr>
                  <pic:blipFill>
                    <a:blip r:embed="rId17"/>
                    <a:stretch>
                      <a:fillRect/>
                    </a:stretch>
                  </pic:blipFill>
                  <pic:spPr>
                    <a:xfrm>
                      <a:off x="0" y="0"/>
                      <a:ext cx="5029200" cy="1989677"/>
                    </a:xfrm>
                    <a:prstGeom prst="rect"/>
                  </pic:spPr>
                </pic:pic>
              </a:graphicData>
            </a:graphic>
          </wp:inline>
        </w:drawing>
      </w:r>
    </w:p>
    <w:p>
      <w:pPr>
        <w:spacing w:after="160"/>
        <w:jc w:val="center"/>
      </w:pPr>
      <w:r>
        <w:rPr>
          <w:rFonts w:ascii="Times New Roman" w:hAnsi="Times New Roman" w:cs="Times New Roman" w:eastAsia="Times New Roman"/>
          <w:b w:val="0"/>
          <w:i/>
          <w:sz w:val="20"/>
        </w:rPr>
        <w:t>Figure 1 (from PMC10885928): “Glutathione biosynthetic scheme. N-acetyl-L-cysteine (NAC) can supply cysteine (CYS) for the biosynthesis of reduced glutathione (GSH). NAC must first be hydrolyzed by aminoacylase 1 (ACY1) to release CYS. In the first step of GSH synthesis, L-glutamate-L-cysteine ligase (GCL) catalyzes the formation of gamma-L-glutamyl-L-cysteine (GGC) by linking CYS and L-glutamate (GLU). In ”</w:t>
      </w:r>
    </w:p>
    <w:p>
      <w:pPr>
        <w:jc w:val="center"/>
      </w:pPr>
      <w:r>
        <w:drawing>
          <wp:inline xmlns:a="http://schemas.openxmlformats.org/drawingml/2006/main" xmlns:pic="http://schemas.openxmlformats.org/drawingml/2006/picture">
            <wp:extent cx="5029200" cy="3127838"/>
            <wp:docPr id="230" name="Picture 230"/>
            <wp:cNvGraphicFramePr>
              <a:graphicFrameLocks noChangeAspect="1"/>
            </wp:cNvGraphicFramePr>
            <a:graphic>
              <a:graphicData uri="http://schemas.openxmlformats.org/drawingml/2006/picture">
                <pic:pic>
                  <pic:nvPicPr>
                    <pic:cNvPr id="0" name="p07_i1.jpg"/>
                    <pic:cNvPicPr/>
                  </pic:nvPicPr>
                  <pic:blipFill>
                    <a:blip r:embed="rId18"/>
                    <a:stretch>
                      <a:fillRect/>
                    </a:stretch>
                  </pic:blipFill>
                  <pic:spPr>
                    <a:xfrm>
                      <a:off x="0" y="0"/>
                      <a:ext cx="5029200" cy="3127838"/>
                    </a:xfrm>
                    <a:prstGeom prst="rect"/>
                  </pic:spPr>
                </pic:pic>
              </a:graphicData>
            </a:graphic>
          </wp:inline>
        </w:drawing>
      </w:r>
    </w:p>
    <w:p>
      <w:pPr>
        <w:spacing w:after="160"/>
        <w:jc w:val="center"/>
      </w:pPr>
      <w:r>
        <w:rPr>
          <w:rFonts w:ascii="Times New Roman" w:hAnsi="Times New Roman" w:cs="Times New Roman" w:eastAsia="Times New Roman"/>
          <w:b w:val="0"/>
          <w:i/>
          <w:sz w:val="20"/>
        </w:rPr>
        <w:t>Figure 2 (from PMC10885928): “The glutathione peroxidase (GPX) system and lipid peroxidation. GPX catalyzes the conversion of lipid hydroperoxides (LOOH), formed from lipid peroxidation to a lipid alcohol (LOH) utilizing GSH as a reducing agent. The oxidized GSH (GSSG) formed by this reaction is reduced back to GSH by glutathione reductase (GR) with the consumption of NADPH. The lipid peroxyl radical (LOO*)”</w:t>
      </w:r>
    </w:p>
    <w:p>
      <w:pPr>
        <w:jc w:val="center"/>
      </w:pPr>
      <w:r>
        <w:drawing>
          <wp:inline xmlns:a="http://schemas.openxmlformats.org/drawingml/2006/main" xmlns:pic="http://schemas.openxmlformats.org/drawingml/2006/picture">
            <wp:extent cx="5029200" cy="1537750"/>
            <wp:docPr id="231" name="Picture 231"/>
            <wp:cNvGraphicFramePr>
              <a:graphicFrameLocks noChangeAspect="1"/>
            </wp:cNvGraphicFramePr>
            <a:graphic>
              <a:graphicData uri="http://schemas.openxmlformats.org/drawingml/2006/picture">
                <pic:pic>
                  <pic:nvPicPr>
                    <pic:cNvPr id="0" name="p04_i1.jpg"/>
                    <pic:cNvPicPr/>
                  </pic:nvPicPr>
                  <pic:blipFill>
                    <a:blip r:embed="rId32"/>
                    <a:stretch>
                      <a:fillRect/>
                    </a:stretch>
                  </pic:blipFill>
                  <pic:spPr>
                    <a:xfrm>
                      <a:off x="0" y="0"/>
                      <a:ext cx="5029200" cy="1537750"/>
                    </a:xfrm>
                    <a:prstGeom prst="rect"/>
                  </pic:spPr>
                </pic:pic>
              </a:graphicData>
            </a:graphic>
          </wp:inline>
        </w:drawing>
      </w:r>
    </w:p>
    <w:p>
      <w:pPr>
        <w:spacing w:after="160"/>
        <w:jc w:val="center"/>
      </w:pPr>
      <w:r>
        <w:rPr>
          <w:rFonts w:ascii="Times New Roman" w:hAnsi="Times New Roman" w:cs="Times New Roman" w:eastAsia="Times New Roman"/>
          <w:b w:val="0"/>
          <w:i/>
          <w:sz w:val="20"/>
        </w:rPr>
        <w:t>Figure 3 (from PMC10885928): “Simplified scheme connecting oxidative stress (OxS) and T2D risk factors. Two sets of potential positive feedback loops (circles with +) are indicated (blue and red arrows). The text describes these positive feedback loops in more detail. Over prolonged time intervals, systemic OxS can cause beta-cell dysfunction as well as irreversible micro- and macro-vascular damage.</w:t>
        <w:br/>
        <w:t xml:space="preserve">   grap”</w:t>
      </w:r>
    </w:p>
    <w:p>
      <w:pPr>
        <w:keepNext/>
        <w:spacing w:before="280" w:after="80"/>
        <w:outlineLvl w:val="1"/>
      </w:pPr>
      <w:r>
        <w:rPr>
          <w:rFonts w:ascii="Times New Roman" w:hAnsi="Times New Roman" w:cs="Times New Roman" w:eastAsia="Times New Roman"/>
          <w:b/>
          <w:i w:val="0"/>
          <w:color w:val="335588"/>
          <w:sz w:val="28"/>
        </w:rPr>
        <w:t>E.4  PMC11278452 — Anti-Inflammatory and Anti-Oxidant Properties of N-Acetylcysteine: A Fresh Persp (3 figures)</w:t>
      </w:r>
    </w:p>
    <w:p>
      <w:pPr>
        <w:spacing w:after="80"/>
        <w:jc w:val="both"/>
      </w:pPr>
      <w:r>
        <w:rPr>
          <w:rFonts w:ascii="Times New Roman" w:hAnsi="Times New Roman" w:cs="Times New Roman" w:eastAsia="Times New Roman"/>
          <w:b w:val="0"/>
          <w:i/>
          <w:sz w:val="20"/>
        </w:rPr>
        <w:t>Source: Journal of Clinical Medicine (2024). PMCID: PMC11278452; PMID: 39064168; DOI: 10.3390/jcm13144127. PDF rendering: Europe PMC (https://europepmc.org/articles/PMC11278452?pdf=render).</w:t>
      </w:r>
    </w:p>
    <w:p>
      <w:pPr>
        <w:jc w:val="center"/>
      </w:pPr>
      <w:r>
        <w:drawing>
          <wp:inline xmlns:a="http://schemas.openxmlformats.org/drawingml/2006/main" xmlns:pic="http://schemas.openxmlformats.org/drawingml/2006/picture">
            <wp:extent cx="5029200" cy="4259385"/>
            <wp:docPr id="232" name="Picture 232"/>
            <wp:cNvGraphicFramePr>
              <a:graphicFrameLocks noChangeAspect="1"/>
            </wp:cNvGraphicFramePr>
            <a:graphic>
              <a:graphicData uri="http://schemas.openxmlformats.org/drawingml/2006/picture">
                <pic:pic>
                  <pic:nvPicPr>
                    <pic:cNvPr id="0" name="p06_i1.jpg"/>
                    <pic:cNvPicPr/>
                  </pic:nvPicPr>
                  <pic:blipFill>
                    <a:blip r:embed="rId14"/>
                    <a:stretch>
                      <a:fillRect/>
                    </a:stretch>
                  </pic:blipFill>
                  <pic:spPr>
                    <a:xfrm>
                      <a:off x="0" y="0"/>
                      <a:ext cx="5029200" cy="4259385"/>
                    </a:xfrm>
                    <a:prstGeom prst="rect"/>
                  </pic:spPr>
                </pic:pic>
              </a:graphicData>
            </a:graphic>
          </wp:inline>
        </w:drawing>
      </w:r>
    </w:p>
    <w:p>
      <w:pPr>
        <w:spacing w:after="160"/>
        <w:jc w:val="center"/>
      </w:pPr>
      <w:r>
        <w:rPr>
          <w:rFonts w:ascii="Times New Roman" w:hAnsi="Times New Roman" w:cs="Times New Roman" w:eastAsia="Times New Roman"/>
          <w:b w:val="0"/>
          <w:i/>
          <w:sz w:val="20"/>
        </w:rPr>
        <w:t>Figure 1 (from PMC11278452): “Differential modulation of pro-inflammatory mediators in relation to both the concentration and duration of treatment with N-acetylcysteine in in vitro models of airway inflammation. NAC: N-acetylcysteine; LPS: lipopolysaccharides; NKA: neurokinin A; IL-6: Interleukin-6; TNF-α: tumor necrosis factor-α; IL-8: Interleukin-8; IL-1β: Interleukin-1beta; NF-κB: Nuclear factor kappa B”</w:t>
      </w:r>
    </w:p>
    <w:p>
      <w:pPr>
        <w:jc w:val="center"/>
      </w:pPr>
      <w:r>
        <w:drawing>
          <wp:inline xmlns:a="http://schemas.openxmlformats.org/drawingml/2006/main" xmlns:pic="http://schemas.openxmlformats.org/drawingml/2006/picture">
            <wp:extent cx="5029200" cy="3369819"/>
            <wp:docPr id="233" name="Picture 233"/>
            <wp:cNvGraphicFramePr>
              <a:graphicFrameLocks noChangeAspect="1"/>
            </wp:cNvGraphicFramePr>
            <a:graphic>
              <a:graphicData uri="http://schemas.openxmlformats.org/drawingml/2006/picture">
                <pic:pic>
                  <pic:nvPicPr>
                    <pic:cNvPr id="0" name="p08_i1.jpg"/>
                    <pic:cNvPicPr/>
                  </pic:nvPicPr>
                  <pic:blipFill>
                    <a:blip r:embed="rId15"/>
                    <a:stretch>
                      <a:fillRect/>
                    </a:stretch>
                  </pic:blipFill>
                  <pic:spPr>
                    <a:xfrm>
                      <a:off x="0" y="0"/>
                      <a:ext cx="5029200" cy="3369819"/>
                    </a:xfrm>
                    <a:prstGeom prst="rect"/>
                  </pic:spPr>
                </pic:pic>
              </a:graphicData>
            </a:graphic>
          </wp:inline>
        </w:drawing>
      </w:r>
    </w:p>
    <w:p>
      <w:pPr>
        <w:spacing w:after="160"/>
        <w:jc w:val="center"/>
      </w:pPr>
      <w:r>
        <w:rPr>
          <w:rFonts w:ascii="Times New Roman" w:hAnsi="Times New Roman" w:cs="Times New Roman" w:eastAsia="Times New Roman"/>
          <w:b w:val="0"/>
          <w:i/>
          <w:sz w:val="20"/>
        </w:rPr>
        <w:t>Figure 2 (from PMC11278452): “Proposed molecular mechanisms for the therapeutic activity of N-acetylcysteine after oral administration in chronic respiratory diseases. NAC: N-acetylcysteine; GSH: glutathione; RSSH: persulfides; RSS n SR: polysulfides; NKA: neurokinin A; NF-κB: Nuclear factor kappa B; TNF-α: tumor necrosis factor-α; IL-1β: Interleukin-1beta; IL-8: Interleukin-8; ROS: reactive oxygen species.”</w:t>
      </w:r>
    </w:p>
    <w:p>
      <w:pPr>
        <w:jc w:val="center"/>
      </w:pPr>
      <w:r>
        <w:drawing>
          <wp:inline xmlns:a="http://schemas.openxmlformats.org/drawingml/2006/main" xmlns:pic="http://schemas.openxmlformats.org/drawingml/2006/picture">
            <wp:extent cx="5029200" cy="2121877"/>
            <wp:docPr id="234" name="Picture 234"/>
            <wp:cNvGraphicFramePr>
              <a:graphicFrameLocks noChangeAspect="1"/>
            </wp:cNvGraphicFramePr>
            <a:graphic>
              <a:graphicData uri="http://schemas.openxmlformats.org/drawingml/2006/picture">
                <pic:pic>
                  <pic:nvPicPr>
                    <pic:cNvPr id="0" name="p06_i2.jpg"/>
                    <pic:cNvPicPr/>
                  </pic:nvPicPr>
                  <pic:blipFill>
                    <a:blip r:embed="rId19"/>
                    <a:stretch>
                      <a:fillRect/>
                    </a:stretch>
                  </pic:blipFill>
                  <pic:spPr>
                    <a:xfrm>
                      <a:off x="0" y="0"/>
                      <a:ext cx="5029200" cy="2121877"/>
                    </a:xfrm>
                    <a:prstGeom prst="rect"/>
                  </pic:spPr>
                </pic:pic>
              </a:graphicData>
            </a:graphic>
          </wp:inline>
        </w:drawing>
      </w:r>
    </w:p>
    <w:p>
      <w:pPr>
        <w:spacing w:after="160"/>
        <w:jc w:val="center"/>
      </w:pPr>
      <w:r>
        <w:rPr>
          <w:rFonts w:ascii="Times New Roman" w:hAnsi="Times New Roman" w:cs="Times New Roman" w:eastAsia="Times New Roman"/>
          <w:b w:val="0"/>
          <w:i/>
          <w:sz w:val="20"/>
        </w:rPr>
        <w:t>Figure panel from PMC11278452 (source bitmap p06_i2.jpg, 1287×543 px).</w:t>
      </w:r>
    </w:p>
    <w:p>
      <w:pPr>
        <w:keepNext/>
        <w:spacing w:before="280" w:after="80"/>
        <w:outlineLvl w:val="1"/>
      </w:pPr>
      <w:r>
        <w:rPr>
          <w:rFonts w:ascii="Times New Roman" w:hAnsi="Times New Roman" w:cs="Times New Roman" w:eastAsia="Times New Roman"/>
          <w:b/>
          <w:i w:val="0"/>
          <w:color w:val="335588"/>
          <w:sz w:val="28"/>
        </w:rPr>
        <w:t>E.5  PMC8776003 — Extracellular Calcium Receptor as a Target for Glutathione and Its Derivatives (5 figures)</w:t>
      </w:r>
    </w:p>
    <w:p>
      <w:pPr>
        <w:spacing w:after="80"/>
        <w:jc w:val="both"/>
      </w:pPr>
      <w:r>
        <w:rPr>
          <w:rFonts w:ascii="Times New Roman" w:hAnsi="Times New Roman" w:cs="Times New Roman" w:eastAsia="Times New Roman"/>
          <w:b w:val="0"/>
          <w:i/>
          <w:sz w:val="20"/>
        </w:rPr>
        <w:t>Source: International Journal of Molecular Sciences (2022). PMCID: PMC8776003; PMID: 35054903; DOI: 10.3390/ijms23020717. PDF rendering: Europe PMC (https://europepmc.org/articles/PMC8776003?pdf=render).</w:t>
      </w:r>
    </w:p>
    <w:p>
      <w:pPr>
        <w:jc w:val="center"/>
      </w:pPr>
      <w:r>
        <w:drawing>
          <wp:inline xmlns:a="http://schemas.openxmlformats.org/drawingml/2006/main" xmlns:pic="http://schemas.openxmlformats.org/drawingml/2006/picture">
            <wp:extent cx="5029200" cy="2282000"/>
            <wp:docPr id="235" name="Picture 235"/>
            <wp:cNvGraphicFramePr>
              <a:graphicFrameLocks noChangeAspect="1"/>
            </wp:cNvGraphicFramePr>
            <a:graphic>
              <a:graphicData uri="http://schemas.openxmlformats.org/drawingml/2006/picture">
                <pic:pic>
                  <pic:nvPicPr>
                    <pic:cNvPr id="0" name="p06_i1.jpg"/>
                    <pic:cNvPicPr/>
                  </pic:nvPicPr>
                  <pic:blipFill>
                    <a:blip r:embed="rId46"/>
                    <a:stretch>
                      <a:fillRect/>
                    </a:stretch>
                  </pic:blipFill>
                  <pic:spPr>
                    <a:xfrm>
                      <a:off x="0" y="0"/>
                      <a:ext cx="5029200" cy="2282000"/>
                    </a:xfrm>
                    <a:prstGeom prst="rect"/>
                  </pic:spPr>
                </pic:pic>
              </a:graphicData>
            </a:graphic>
          </wp:inline>
        </w:drawing>
      </w:r>
    </w:p>
    <w:p>
      <w:pPr>
        <w:spacing w:after="160"/>
        <w:jc w:val="center"/>
      </w:pPr>
      <w:r>
        <w:rPr>
          <w:rFonts w:ascii="Times New Roman" w:hAnsi="Times New Roman" w:cs="Times New Roman" w:eastAsia="Times New Roman"/>
          <w:b w:val="0"/>
          <w:i/>
          <w:sz w:val="20"/>
        </w:rPr>
        <w:t>Figure 1 (from PMC8776003): “Structures of glutathione (GSH), L-cysteine-glutathione disulfide (CySSG), glutathione disulfide (oxidized glutathione, GSSG), and cysteinyl glutathione (CysGSH). Models were drawn by Jmol, through an interface on Wikipedia (GSSG) or at http://biomodel.uah.es/en/DIY/JSME/draw.en.htm (GSH, CySSG, and CysGSH; accessed 10 and 11 August 2021), based on CID structures 124886 for GSH”</w:t>
      </w:r>
    </w:p>
    <w:p>
      <w:pPr>
        <w:jc w:val="center"/>
      </w:pPr>
      <w:r>
        <w:drawing>
          <wp:inline xmlns:a="http://schemas.openxmlformats.org/drawingml/2006/main" xmlns:pic="http://schemas.openxmlformats.org/drawingml/2006/picture">
            <wp:extent cx="5029200" cy="3585047"/>
            <wp:docPr id="236" name="Picture 236"/>
            <wp:cNvGraphicFramePr>
              <a:graphicFrameLocks noChangeAspect="1"/>
            </wp:cNvGraphicFramePr>
            <a:graphic>
              <a:graphicData uri="http://schemas.openxmlformats.org/drawingml/2006/picture">
                <pic:pic>
                  <pic:nvPicPr>
                    <pic:cNvPr id="0" name="p03_i1.jpg"/>
                    <pic:cNvPicPr/>
                  </pic:nvPicPr>
                  <pic:blipFill>
                    <a:blip r:embed="rId47"/>
                    <a:stretch>
                      <a:fillRect/>
                    </a:stretch>
                  </pic:blipFill>
                  <pic:spPr>
                    <a:xfrm>
                      <a:off x="0" y="0"/>
                      <a:ext cx="5029200" cy="3585047"/>
                    </a:xfrm>
                    <a:prstGeom prst="rect"/>
                  </pic:spPr>
                </pic:pic>
              </a:graphicData>
            </a:graphic>
          </wp:inline>
        </w:drawing>
      </w:r>
    </w:p>
    <w:p>
      <w:pPr>
        <w:spacing w:after="160"/>
        <w:jc w:val="center"/>
      </w:pPr>
      <w:r>
        <w:rPr>
          <w:rFonts w:ascii="Times New Roman" w:hAnsi="Times New Roman" w:cs="Times New Roman" w:eastAsia="Times New Roman"/>
          <w:b w:val="0"/>
          <w:i/>
          <w:sz w:val="20"/>
        </w:rPr>
        <w:t>Figure 2 (from PMC8776003): “Plasma GSH, GSSG, and CySSG in 10 healthy (HIV-negative) people, 30 HIV-positive, and 23 AIDS patients. ( Left ) Derived from Figure 1 and the text of Walmsley et al. [ 15 ]. ( Right ) the same data plotted as per cent of average healthy controls. * p &lt; 0.05 compared to controls.</w:t>
        <w:br/>
        <w:t xml:space="preserve">   graphic: `ijms-23-00717-g002.jpg`”</w:t>
      </w:r>
    </w:p>
    <w:p>
      <w:pPr>
        <w:jc w:val="center"/>
      </w:pPr>
      <w:r>
        <w:drawing>
          <wp:inline xmlns:a="http://schemas.openxmlformats.org/drawingml/2006/main" xmlns:pic="http://schemas.openxmlformats.org/drawingml/2006/picture">
            <wp:extent cx="5029200" cy="1134713"/>
            <wp:docPr id="237" name="Picture 237"/>
            <wp:cNvGraphicFramePr>
              <a:graphicFrameLocks noChangeAspect="1"/>
            </wp:cNvGraphicFramePr>
            <a:graphic>
              <a:graphicData uri="http://schemas.openxmlformats.org/drawingml/2006/picture">
                <pic:pic>
                  <pic:nvPicPr>
                    <pic:cNvPr id="0" name="p06_i2.jpg"/>
                    <pic:cNvPicPr/>
                  </pic:nvPicPr>
                  <pic:blipFill>
                    <a:blip r:embed="rId48"/>
                    <a:stretch>
                      <a:fillRect/>
                    </a:stretch>
                  </pic:blipFill>
                  <pic:spPr>
                    <a:xfrm>
                      <a:off x="0" y="0"/>
                      <a:ext cx="5029200" cy="1134713"/>
                    </a:xfrm>
                    <a:prstGeom prst="rect"/>
                  </pic:spPr>
                </pic:pic>
              </a:graphicData>
            </a:graphic>
          </wp:inline>
        </w:drawing>
      </w:r>
    </w:p>
    <w:p>
      <w:pPr>
        <w:spacing w:after="160"/>
        <w:jc w:val="center"/>
      </w:pPr>
      <w:r>
        <w:rPr>
          <w:rFonts w:ascii="Times New Roman" w:hAnsi="Times New Roman" w:cs="Times New Roman" w:eastAsia="Times New Roman"/>
          <w:b w:val="0"/>
          <w:i/>
          <w:sz w:val="20"/>
        </w:rPr>
        <w:t>Figure 3 (from PMC8776003): “Binding pocket from Wang et al. [ 1 ], showing that it can accommodate either ( A ) GSH or ( B ) GSSG.</w:t>
        <w:br/>
        <w:t xml:space="preserve">   graphic: `ijms-23-00717-g003.jpg`”</w:t>
      </w:r>
    </w:p>
    <w:p>
      <w:pPr>
        <w:jc w:val="center"/>
      </w:pPr>
      <w:r>
        <w:drawing>
          <wp:inline xmlns:a="http://schemas.openxmlformats.org/drawingml/2006/main" xmlns:pic="http://schemas.openxmlformats.org/drawingml/2006/picture">
            <wp:extent cx="5029200" cy="7784603"/>
            <wp:docPr id="238" name="Picture 238"/>
            <wp:cNvGraphicFramePr>
              <a:graphicFrameLocks noChangeAspect="1"/>
            </wp:cNvGraphicFramePr>
            <a:graphic>
              <a:graphicData uri="http://schemas.openxmlformats.org/drawingml/2006/picture">
                <pic:pic>
                  <pic:nvPicPr>
                    <pic:cNvPr id="0" name="p05_i1.jpg"/>
                    <pic:cNvPicPr/>
                  </pic:nvPicPr>
                  <pic:blipFill>
                    <a:blip r:embed="rId49"/>
                    <a:stretch>
                      <a:fillRect/>
                    </a:stretch>
                  </pic:blipFill>
                  <pic:spPr>
                    <a:xfrm>
                      <a:off x="0" y="0"/>
                      <a:ext cx="5029200" cy="7784603"/>
                    </a:xfrm>
                    <a:prstGeom prst="rect"/>
                  </pic:spPr>
                </pic:pic>
              </a:graphicData>
            </a:graphic>
          </wp:inline>
        </w:drawing>
      </w:r>
    </w:p>
    <w:p>
      <w:pPr>
        <w:spacing w:after="160"/>
        <w:jc w:val="center"/>
      </w:pPr>
      <w:r>
        <w:rPr>
          <w:rFonts w:ascii="Times New Roman" w:hAnsi="Times New Roman" w:cs="Times New Roman" w:eastAsia="Times New Roman"/>
          <w:b w:val="0"/>
          <w:i/>
          <w:sz w:val="20"/>
        </w:rPr>
        <w:t>Figure 4 (from PMC8776003): “Potential docking sites of glutathionergics to the ECD of CaSR determined with the SwissDock docking simulator [ 56 ], and visualized via UCSF Chimera [ 57 ] visualization software. Images show Chain B of the CaSR ECD structure with ligands ( A ) and ( B ) CySSG, ( D ) GSH, ( E ) GSSG, and ( F ) CysGSH, docked in the binding site corresponding to where tryptophan and ( C ) a tr”</w:t>
      </w:r>
    </w:p>
    <w:p>
      <w:pPr>
        <w:jc w:val="center"/>
      </w:pPr>
      <w:r>
        <w:drawing>
          <wp:inline xmlns:a="http://schemas.openxmlformats.org/drawingml/2006/main" xmlns:pic="http://schemas.openxmlformats.org/drawingml/2006/picture">
            <wp:extent cx="5029200" cy="1893088"/>
            <wp:docPr id="239" name="Picture 239"/>
            <wp:cNvGraphicFramePr>
              <a:graphicFrameLocks noChangeAspect="1"/>
            </wp:cNvGraphicFramePr>
            <a:graphic>
              <a:graphicData uri="http://schemas.openxmlformats.org/drawingml/2006/picture">
                <pic:pic>
                  <pic:nvPicPr>
                    <pic:cNvPr id="0" name="p02_i1.jpg"/>
                    <pic:cNvPicPr/>
                  </pic:nvPicPr>
                  <pic:blipFill>
                    <a:blip r:embed="rId50"/>
                    <a:stretch>
                      <a:fillRect/>
                    </a:stretch>
                  </pic:blipFill>
                  <pic:spPr>
                    <a:xfrm>
                      <a:off x="0" y="0"/>
                      <a:ext cx="5029200" cy="1893088"/>
                    </a:xfrm>
                    <a:prstGeom prst="rect"/>
                  </pic:spPr>
                </pic:pic>
              </a:graphicData>
            </a:graphic>
          </wp:inline>
        </w:drawing>
      </w:r>
    </w:p>
    <w:p>
      <w:pPr>
        <w:spacing w:after="160"/>
        <w:jc w:val="center"/>
      </w:pPr>
      <w:r>
        <w:rPr>
          <w:rFonts w:ascii="Times New Roman" w:hAnsi="Times New Roman" w:cs="Times New Roman" w:eastAsia="Times New Roman"/>
          <w:b w:val="0"/>
          <w:i/>
          <w:sz w:val="20"/>
        </w:rPr>
        <w:t>Figure panel from PMC8776003 (source bitmap p02_i1.jpg, 1145×431 px).</w:t>
      </w:r>
    </w:p>
    <w:p>
      <w:pPr>
        <w:keepNext/>
        <w:spacing w:before="280" w:after="80"/>
        <w:outlineLvl w:val="1"/>
      </w:pPr>
      <w:r>
        <w:rPr>
          <w:rFonts w:ascii="Times New Roman" w:hAnsi="Times New Roman" w:cs="Times New Roman" w:eastAsia="Times New Roman"/>
          <w:b/>
          <w:i w:val="0"/>
          <w:color w:val="335588"/>
          <w:sz w:val="28"/>
        </w:rPr>
        <w:t>E.6  PMC11672833 — Protective Effects of L-Cysteine Against Cisplatin-Induced Oxidative Stress-Medi (8 figures)</w:t>
      </w:r>
    </w:p>
    <w:p>
      <w:pPr>
        <w:spacing w:after="80"/>
        <w:jc w:val="both"/>
      </w:pPr>
      <w:r>
        <w:rPr>
          <w:rFonts w:ascii="Times New Roman" w:hAnsi="Times New Roman" w:cs="Times New Roman" w:eastAsia="Times New Roman"/>
          <w:b w:val="0"/>
          <w:i/>
          <w:sz w:val="20"/>
        </w:rPr>
        <w:t>Source: Antioxidants (2024). PMCID: PMC11672833; PMID: 39765772; DOI: 10.3390/antiox13121443. PDF rendering: Europe PMC (https://europepmc.org/articles/PMC11672833?pdf=render).</w:t>
      </w:r>
    </w:p>
    <w:p>
      <w:pPr>
        <w:jc w:val="center"/>
      </w:pPr>
      <w:r>
        <w:drawing>
          <wp:inline xmlns:a="http://schemas.openxmlformats.org/drawingml/2006/main" xmlns:pic="http://schemas.openxmlformats.org/drawingml/2006/picture">
            <wp:extent cx="5029200" cy="5245580"/>
            <wp:docPr id="240" name="Picture 240"/>
            <wp:cNvGraphicFramePr>
              <a:graphicFrameLocks noChangeAspect="1"/>
            </wp:cNvGraphicFramePr>
            <a:graphic>
              <a:graphicData uri="http://schemas.openxmlformats.org/drawingml/2006/picture">
                <pic:pic>
                  <pic:nvPicPr>
                    <pic:cNvPr id="0" name="p10_i1.jpg"/>
                    <pic:cNvPicPr/>
                  </pic:nvPicPr>
                  <pic:blipFill>
                    <a:blip r:embed="rId24"/>
                    <a:stretch>
                      <a:fillRect/>
                    </a:stretch>
                  </pic:blipFill>
                  <pic:spPr>
                    <a:xfrm>
                      <a:off x="0" y="0"/>
                      <a:ext cx="5029200" cy="5245580"/>
                    </a:xfrm>
                    <a:prstGeom prst="rect"/>
                  </pic:spPr>
                </pic:pic>
              </a:graphicData>
            </a:graphic>
          </wp:inline>
        </w:drawing>
      </w:r>
    </w:p>
    <w:p>
      <w:pPr>
        <w:spacing w:after="160"/>
        <w:jc w:val="center"/>
      </w:pPr>
      <w:r>
        <w:rPr>
          <w:rFonts w:ascii="Times New Roman" w:hAnsi="Times New Roman" w:cs="Times New Roman" w:eastAsia="Times New Roman"/>
          <w:b w:val="0"/>
          <w:i/>
          <w:sz w:val="20"/>
        </w:rPr>
        <w:t>Figure 1 (from PMC11672833): “Effect of L-cysteine (CYS) and cisplatin (CIS) on TM3 and TM4 cell viability. TM3 (5000 cells/well) (n = 7) and TM4 cells (3000 cells/well) (n = 7) were cultured in a 96-well plate for cell viability assays. Cells were treated with different concentrations of ( A , B ) CYS (0.1, 0.2, 0.5, 1, and 2 mM) or ( D , F ) CIS (5, 7.5, 10, 15, and 20 µM) for 24 or 16 h and stained with ”</w:t>
      </w:r>
    </w:p>
    <w:p>
      <w:pPr>
        <w:jc w:val="center"/>
      </w:pPr>
      <w:r>
        <w:drawing>
          <wp:inline xmlns:a="http://schemas.openxmlformats.org/drawingml/2006/main" xmlns:pic="http://schemas.openxmlformats.org/drawingml/2006/picture">
            <wp:extent cx="5029200" cy="7139947"/>
            <wp:docPr id="241" name="Picture 241"/>
            <wp:cNvGraphicFramePr>
              <a:graphicFrameLocks noChangeAspect="1"/>
            </wp:cNvGraphicFramePr>
            <a:graphic>
              <a:graphicData uri="http://schemas.openxmlformats.org/drawingml/2006/picture">
                <pic:pic>
                  <pic:nvPicPr>
                    <pic:cNvPr id="0" name="p14_i1.jpg"/>
                    <pic:cNvPicPr/>
                  </pic:nvPicPr>
                  <pic:blipFill>
                    <a:blip r:embed="rId25"/>
                    <a:stretch>
                      <a:fillRect/>
                    </a:stretch>
                  </pic:blipFill>
                  <pic:spPr>
                    <a:xfrm>
                      <a:off x="0" y="0"/>
                      <a:ext cx="5029200" cy="7139947"/>
                    </a:xfrm>
                    <a:prstGeom prst="rect"/>
                  </pic:spPr>
                </pic:pic>
              </a:graphicData>
            </a:graphic>
          </wp:inline>
        </w:drawing>
      </w:r>
    </w:p>
    <w:p>
      <w:pPr>
        <w:spacing w:after="160"/>
        <w:jc w:val="center"/>
      </w:pPr>
      <w:r>
        <w:rPr>
          <w:rFonts w:ascii="Times New Roman" w:hAnsi="Times New Roman" w:cs="Times New Roman" w:eastAsia="Times New Roman"/>
          <w:b w:val="0"/>
          <w:i/>
          <w:sz w:val="20"/>
        </w:rPr>
        <w:t>Figure 2 (from PMC11672833): “L-cysteine (CYS) attenuates cisplatin (CIS)-induced reduction in TM3 and TM4 cell viability. TM3 (5000 cell/well) (n = 7) and TM4 cells (3000 cell/well) (n = 7) were cultured in a 96-well plate for cell viability. TM3 (n = 7) and TM4 (n = 7) cells (4 × 10 4 cell/well) were cultured in a 12-well plate for cell morphology and composition. They were co-treated with different conce”</w:t>
      </w:r>
    </w:p>
    <w:p>
      <w:pPr>
        <w:jc w:val="center"/>
      </w:pPr>
      <w:r>
        <w:drawing>
          <wp:inline xmlns:a="http://schemas.openxmlformats.org/drawingml/2006/main" xmlns:pic="http://schemas.openxmlformats.org/drawingml/2006/picture">
            <wp:extent cx="5029200" cy="5814104"/>
            <wp:docPr id="242" name="Picture 242"/>
            <wp:cNvGraphicFramePr>
              <a:graphicFrameLocks noChangeAspect="1"/>
            </wp:cNvGraphicFramePr>
            <a:graphic>
              <a:graphicData uri="http://schemas.openxmlformats.org/drawingml/2006/picture">
                <pic:pic>
                  <pic:nvPicPr>
                    <pic:cNvPr id="0" name="p07_i1.jpg"/>
                    <pic:cNvPicPr/>
                  </pic:nvPicPr>
                  <pic:blipFill>
                    <a:blip r:embed="rId26"/>
                    <a:stretch>
                      <a:fillRect/>
                    </a:stretch>
                  </pic:blipFill>
                  <pic:spPr>
                    <a:xfrm>
                      <a:off x="0" y="0"/>
                      <a:ext cx="5029200" cy="5814104"/>
                    </a:xfrm>
                    <a:prstGeom prst="rect"/>
                  </pic:spPr>
                </pic:pic>
              </a:graphicData>
            </a:graphic>
          </wp:inline>
        </w:drawing>
      </w:r>
    </w:p>
    <w:p>
      <w:pPr>
        <w:spacing w:after="160"/>
        <w:jc w:val="center"/>
      </w:pPr>
      <w:r>
        <w:rPr>
          <w:rFonts w:ascii="Times New Roman" w:hAnsi="Times New Roman" w:cs="Times New Roman" w:eastAsia="Times New Roman"/>
          <w:b w:val="0"/>
          <w:i/>
          <w:sz w:val="20"/>
        </w:rPr>
        <w:t>Figure 3 (from PMC11672833): “Effect of L-cysteine (CYS) on reactive oxygen species production in cisplatin (CIS)-induced TM3 and TM4 cells. The cells (1.2 × 10 5 cells/well) were cultured in a 6-well plate. They were co-treated with different concentrations of CYS (0.1, 0.2, 0.5, and 1 mM) and, respectively, induced by CIS (7.5 or 10 µM) for 24 and 16 h (n = 7). ( A , B ) ROS measurements were conducted by”</w:t>
      </w:r>
    </w:p>
    <w:p>
      <w:pPr>
        <w:jc w:val="center"/>
      </w:pPr>
      <w:r>
        <w:drawing>
          <wp:inline xmlns:a="http://schemas.openxmlformats.org/drawingml/2006/main" xmlns:pic="http://schemas.openxmlformats.org/drawingml/2006/picture">
            <wp:extent cx="5029200" cy="4356544"/>
            <wp:docPr id="243" name="Picture 243"/>
            <wp:cNvGraphicFramePr>
              <a:graphicFrameLocks noChangeAspect="1"/>
            </wp:cNvGraphicFramePr>
            <a:graphic>
              <a:graphicData uri="http://schemas.openxmlformats.org/drawingml/2006/picture">
                <pic:pic>
                  <pic:nvPicPr>
                    <pic:cNvPr id="0" name="p11_i3.jpg"/>
                    <pic:cNvPicPr/>
                  </pic:nvPicPr>
                  <pic:blipFill>
                    <a:blip r:embed="rId27"/>
                    <a:stretch>
                      <a:fillRect/>
                    </a:stretch>
                  </pic:blipFill>
                  <pic:spPr>
                    <a:xfrm>
                      <a:off x="0" y="0"/>
                      <a:ext cx="5029200" cy="4356544"/>
                    </a:xfrm>
                    <a:prstGeom prst="rect"/>
                  </pic:spPr>
                </pic:pic>
              </a:graphicData>
            </a:graphic>
          </wp:inline>
        </w:drawing>
      </w:r>
    </w:p>
    <w:p>
      <w:pPr>
        <w:spacing w:after="160"/>
        <w:jc w:val="center"/>
      </w:pPr>
      <w:r>
        <w:rPr>
          <w:rFonts w:ascii="Times New Roman" w:hAnsi="Times New Roman" w:cs="Times New Roman" w:eastAsia="Times New Roman"/>
          <w:b w:val="0"/>
          <w:i/>
          <w:sz w:val="20"/>
        </w:rPr>
        <w:t>Figure 4 (from PMC11672833): “Effect of L-cysteine (CYS) on apoptosis-related protein expression in cisplatin (CIS)-induced TM3 and TM4 cells. ( A ) TM3 and ( C ) TM4 cells (1 × 10 5 cells) were cultured in a 6 cm dish. Cells were co-treated with different concentrations of CYS (0.1, 0.2, 0.5, and 1 mM) and induced with CIS (7.5 or 10 µM) for 24 and 16 h, respectively (n = 4). The protein expression of PARP”</w:t>
      </w:r>
    </w:p>
    <w:p>
      <w:pPr>
        <w:jc w:val="center"/>
      </w:pPr>
      <w:r>
        <w:drawing>
          <wp:inline xmlns:a="http://schemas.openxmlformats.org/drawingml/2006/main" xmlns:pic="http://schemas.openxmlformats.org/drawingml/2006/picture">
            <wp:extent cx="5029200" cy="3040732"/>
            <wp:docPr id="244" name="Picture 244"/>
            <wp:cNvGraphicFramePr>
              <a:graphicFrameLocks noChangeAspect="1"/>
            </wp:cNvGraphicFramePr>
            <a:graphic>
              <a:graphicData uri="http://schemas.openxmlformats.org/drawingml/2006/picture">
                <pic:pic>
                  <pic:nvPicPr>
                    <pic:cNvPr id="0" name="p06_i1.jpg"/>
                    <pic:cNvPicPr/>
                  </pic:nvPicPr>
                  <pic:blipFill>
                    <a:blip r:embed="rId28"/>
                    <a:stretch>
                      <a:fillRect/>
                    </a:stretch>
                  </pic:blipFill>
                  <pic:spPr>
                    <a:xfrm>
                      <a:off x="0" y="0"/>
                      <a:ext cx="5029200" cy="3040732"/>
                    </a:xfrm>
                    <a:prstGeom prst="rect"/>
                  </pic:spPr>
                </pic:pic>
              </a:graphicData>
            </a:graphic>
          </wp:inline>
        </w:drawing>
      </w:r>
    </w:p>
    <w:p>
      <w:pPr>
        <w:spacing w:after="160"/>
        <w:jc w:val="center"/>
      </w:pPr>
      <w:r>
        <w:rPr>
          <w:rFonts w:ascii="Times New Roman" w:hAnsi="Times New Roman" w:cs="Times New Roman" w:eastAsia="Times New Roman"/>
          <w:b w:val="0"/>
          <w:i/>
          <w:sz w:val="20"/>
        </w:rPr>
        <w:t>Figure 5 (from PMC11672833): “Effect of L-cysteine (CYS) on testosterone secretion-related modulators in cisplatin (CIS)-induced TM3 cells. TM3 cells (1 × 10 5 cell/well) were cultured in a 6 cm dish. Cells were co-treated with different concentrations of CYS (0.1, 0.2, 0.5, 1 mM) and induced with CIS (7.5 µM) for 24 h (n = 4). ( A ) The inflammatory protein expressions were determined by Western blot. ( B ”</w:t>
      </w:r>
    </w:p>
    <w:p>
      <w:pPr>
        <w:jc w:val="center"/>
      </w:pPr>
      <w:r>
        <w:drawing>
          <wp:inline xmlns:a="http://schemas.openxmlformats.org/drawingml/2006/main" xmlns:pic="http://schemas.openxmlformats.org/drawingml/2006/picture">
            <wp:extent cx="5029200" cy="3036863"/>
            <wp:docPr id="245" name="Picture 245"/>
            <wp:cNvGraphicFramePr>
              <a:graphicFrameLocks noChangeAspect="1"/>
            </wp:cNvGraphicFramePr>
            <a:graphic>
              <a:graphicData uri="http://schemas.openxmlformats.org/drawingml/2006/picture">
                <pic:pic>
                  <pic:nvPicPr>
                    <pic:cNvPr id="0" name="p06_i2.jpg"/>
                    <pic:cNvPicPr/>
                  </pic:nvPicPr>
                  <pic:blipFill>
                    <a:blip r:embed="rId29"/>
                    <a:stretch>
                      <a:fillRect/>
                    </a:stretch>
                  </pic:blipFill>
                  <pic:spPr>
                    <a:xfrm>
                      <a:off x="0" y="0"/>
                      <a:ext cx="5029200" cy="3036863"/>
                    </a:xfrm>
                    <a:prstGeom prst="rect"/>
                  </pic:spPr>
                </pic:pic>
              </a:graphicData>
            </a:graphic>
          </wp:inline>
        </w:drawing>
      </w:r>
    </w:p>
    <w:p>
      <w:pPr>
        <w:spacing w:after="160"/>
        <w:jc w:val="center"/>
      </w:pPr>
      <w:r>
        <w:rPr>
          <w:rFonts w:ascii="Times New Roman" w:hAnsi="Times New Roman" w:cs="Times New Roman" w:eastAsia="Times New Roman"/>
          <w:b w:val="0"/>
          <w:i/>
          <w:sz w:val="20"/>
        </w:rPr>
        <w:t>Figure 6 (from PMC11672833): “Effect of L-cysteine (CYS) on blood–testis barrier (BTB)-related protein expression in cisplatin (CIS)-induced TM4 cells. The cells (1 × 10 5 cell/well) were cultured in a 6 cm dish. Cells were co-treated with different concentrations of CYS (0.1, 0.2, 0.5, and 1 mM) and induced with CIS (10 µM) for 24 h (n = 4). ( A ) The BTB protein expressions were determined by Western blot”</w:t>
      </w:r>
    </w:p>
    <w:p>
      <w:pPr>
        <w:jc w:val="center"/>
      </w:pPr>
      <w:r>
        <w:drawing>
          <wp:inline xmlns:a="http://schemas.openxmlformats.org/drawingml/2006/main" xmlns:pic="http://schemas.openxmlformats.org/drawingml/2006/picture">
            <wp:extent cx="5029200" cy="1640776"/>
            <wp:docPr id="246" name="Picture 246"/>
            <wp:cNvGraphicFramePr>
              <a:graphicFrameLocks noChangeAspect="1"/>
            </wp:cNvGraphicFramePr>
            <a:graphic>
              <a:graphicData uri="http://schemas.openxmlformats.org/drawingml/2006/picture">
                <pic:pic>
                  <pic:nvPicPr>
                    <pic:cNvPr id="0" name="p16_i1.jpg"/>
                    <pic:cNvPicPr/>
                  </pic:nvPicPr>
                  <pic:blipFill>
                    <a:blip r:embed="rId30"/>
                    <a:stretch>
                      <a:fillRect/>
                    </a:stretch>
                  </pic:blipFill>
                  <pic:spPr>
                    <a:xfrm>
                      <a:off x="0" y="0"/>
                      <a:ext cx="5029200" cy="1640776"/>
                    </a:xfrm>
                    <a:prstGeom prst="rect"/>
                  </pic:spPr>
                </pic:pic>
              </a:graphicData>
            </a:graphic>
          </wp:inline>
        </w:drawing>
      </w:r>
    </w:p>
    <w:p>
      <w:pPr>
        <w:spacing w:after="160"/>
        <w:jc w:val="center"/>
      </w:pPr>
      <w:r>
        <w:rPr>
          <w:rFonts w:ascii="Times New Roman" w:hAnsi="Times New Roman" w:cs="Times New Roman" w:eastAsia="Times New Roman"/>
          <w:b w:val="0"/>
          <w:i/>
          <w:sz w:val="20"/>
        </w:rPr>
        <w:t>Figure 7 (from PMC11672833): “Effect of L-cysteine (CYS) on cisplatin (CIS)-induced weight and organ changes in in vivo model. ( A ) Body weight and ( B ) body weight changes, and the relative weight changes of the ( C ) testis, ( D ) epididymis, ( E ) heart, ( F ) liver, and ( G ) kidney in a CIS-induced animal model after CYS pretreatment (n = 8). Data are represented as mean ± SEM. Different groups were ”</w:t>
      </w:r>
    </w:p>
    <w:p>
      <w:pPr>
        <w:jc w:val="center"/>
      </w:pPr>
      <w:r>
        <w:drawing>
          <wp:inline xmlns:a="http://schemas.openxmlformats.org/drawingml/2006/main" xmlns:pic="http://schemas.openxmlformats.org/drawingml/2006/picture">
            <wp:extent cx="5029200" cy="1640776"/>
            <wp:docPr id="247" name="Picture 247"/>
            <wp:cNvGraphicFramePr>
              <a:graphicFrameLocks noChangeAspect="1"/>
            </wp:cNvGraphicFramePr>
            <a:graphic>
              <a:graphicData uri="http://schemas.openxmlformats.org/drawingml/2006/picture">
                <pic:pic>
                  <pic:nvPicPr>
                    <pic:cNvPr id="0" name="p16_i2.jpg"/>
                    <pic:cNvPicPr/>
                  </pic:nvPicPr>
                  <pic:blipFill>
                    <a:blip r:embed="rId31"/>
                    <a:stretch>
                      <a:fillRect/>
                    </a:stretch>
                  </pic:blipFill>
                  <pic:spPr>
                    <a:xfrm>
                      <a:off x="0" y="0"/>
                      <a:ext cx="5029200" cy="1640776"/>
                    </a:xfrm>
                    <a:prstGeom prst="rect"/>
                  </pic:spPr>
                </pic:pic>
              </a:graphicData>
            </a:graphic>
          </wp:inline>
        </w:drawing>
      </w:r>
    </w:p>
    <w:p>
      <w:pPr>
        <w:spacing w:after="160"/>
        <w:jc w:val="center"/>
      </w:pPr>
      <w:r>
        <w:rPr>
          <w:rFonts w:ascii="Times New Roman" w:hAnsi="Times New Roman" w:cs="Times New Roman" w:eastAsia="Times New Roman"/>
          <w:b w:val="0"/>
          <w:i/>
          <w:sz w:val="20"/>
        </w:rPr>
        <w:t>Figure 8 (from PMC11672833): “Protective role of L-cysteine (CYS) treatment for the biochemical indicators in cisplatin-induced in vivo model. ( A ) Testosterone and P450scc protein expression were evaluated by Western blot; ( B ) SGOT, ( C ) SGPT, ( D ) BUN, ( E ) creatinine, ( F ) LDH, and ( G ) CPK levels in a cisplatin-induced animal model after CYS pretreatment (n = 8). Data are represented as mean ± S”</w:t>
      </w:r>
    </w:p>
    <w:p>
      <w:pPr>
        <w:keepNext/>
        <w:spacing w:before="280" w:after="80"/>
        <w:outlineLvl w:val="1"/>
      </w:pPr>
      <w:r>
        <w:rPr>
          <w:rFonts w:ascii="Times New Roman" w:hAnsi="Times New Roman" w:cs="Times New Roman" w:eastAsia="Times New Roman"/>
          <w:b/>
          <w:i w:val="0"/>
          <w:color w:val="335588"/>
          <w:sz w:val="28"/>
        </w:rPr>
        <w:t>E.7  PMC10821248 — Challenges and Advances in the Bioproduction of L-Cysteine (3 figures)</w:t>
      </w:r>
    </w:p>
    <w:p>
      <w:pPr>
        <w:spacing w:after="80"/>
        <w:jc w:val="both"/>
      </w:pPr>
      <w:r>
        <w:rPr>
          <w:rFonts w:ascii="Times New Roman" w:hAnsi="Times New Roman" w:cs="Times New Roman" w:eastAsia="Times New Roman"/>
          <w:b w:val="0"/>
          <w:i/>
          <w:sz w:val="20"/>
        </w:rPr>
        <w:t>Source: Molecules (2024). PMCID: PMC10821248; PMID: 38257399; DOI: 10.3390/molecules29020486. PDF rendering: Europe PMC (https://europepmc.org/articles/PMC10821248?pdf=render).</w:t>
      </w:r>
    </w:p>
    <w:p>
      <w:pPr>
        <w:jc w:val="center"/>
      </w:pPr>
      <w:r>
        <w:drawing>
          <wp:inline xmlns:a="http://schemas.openxmlformats.org/drawingml/2006/main" xmlns:pic="http://schemas.openxmlformats.org/drawingml/2006/picture">
            <wp:extent cx="5029200" cy="3693319"/>
            <wp:docPr id="248" name="Picture 248"/>
            <wp:cNvGraphicFramePr>
              <a:graphicFrameLocks noChangeAspect="1"/>
            </wp:cNvGraphicFramePr>
            <a:graphic>
              <a:graphicData uri="http://schemas.openxmlformats.org/drawingml/2006/picture">
                <pic:pic>
                  <pic:nvPicPr>
                    <pic:cNvPr id="0" name="p02_i1.jpg"/>
                    <pic:cNvPicPr/>
                  </pic:nvPicPr>
                  <pic:blipFill>
                    <a:blip r:embed="rId9"/>
                    <a:stretch>
                      <a:fillRect/>
                    </a:stretch>
                  </pic:blipFill>
                  <pic:spPr>
                    <a:xfrm>
                      <a:off x="0" y="0"/>
                      <a:ext cx="5029200" cy="3693319"/>
                    </a:xfrm>
                    <a:prstGeom prst="rect"/>
                  </pic:spPr>
                </pic:pic>
              </a:graphicData>
            </a:graphic>
          </wp:inline>
        </w:drawing>
      </w:r>
    </w:p>
    <w:p>
      <w:pPr>
        <w:spacing w:after="160"/>
        <w:jc w:val="center"/>
      </w:pPr>
      <w:r>
        <w:rPr>
          <w:rFonts w:ascii="Times New Roman" w:hAnsi="Times New Roman" w:cs="Times New Roman" w:eastAsia="Times New Roman"/>
          <w:b w:val="0"/>
          <w:i/>
          <w:sz w:val="20"/>
        </w:rPr>
        <w:t>Figure 1 (from PMC10821248): “Metabolic pathways for L-cysteine biosynthesis in microorganisms. In the L-serine O-acetyltransferase-O-acetyl-L-serine (SAT-OASS) pathway, there are two branches for the transformation of O-acetyl-L-serine (OAS) into L-cysteine, depending on the sulfur source available to the organism. These biotransformations are catalyzed by two different OASSs: OASS-A in the case of sulfate”</w:t>
      </w:r>
    </w:p>
    <w:p>
      <w:pPr>
        <w:jc w:val="center"/>
      </w:pPr>
      <w:r>
        <w:drawing>
          <wp:inline xmlns:a="http://schemas.openxmlformats.org/drawingml/2006/main" xmlns:pic="http://schemas.openxmlformats.org/drawingml/2006/picture">
            <wp:extent cx="5029200" cy="2124837"/>
            <wp:docPr id="249" name="Picture 249"/>
            <wp:cNvGraphicFramePr>
              <a:graphicFrameLocks noChangeAspect="1"/>
            </wp:cNvGraphicFramePr>
            <a:graphic>
              <a:graphicData uri="http://schemas.openxmlformats.org/drawingml/2006/picture">
                <pic:pic>
                  <pic:nvPicPr>
                    <pic:cNvPr id="0" name="p12_i1.jpg"/>
                    <pic:cNvPicPr/>
                  </pic:nvPicPr>
                  <pic:blipFill>
                    <a:blip r:embed="rId10"/>
                    <a:stretch>
                      <a:fillRect/>
                    </a:stretch>
                  </pic:blipFill>
                  <pic:spPr>
                    <a:xfrm>
                      <a:off x="0" y="0"/>
                      <a:ext cx="5029200" cy="2124837"/>
                    </a:xfrm>
                    <a:prstGeom prst="rect"/>
                  </pic:spPr>
                </pic:pic>
              </a:graphicData>
            </a:graphic>
          </wp:inline>
        </w:drawing>
      </w:r>
    </w:p>
    <w:p>
      <w:pPr>
        <w:spacing w:after="160"/>
        <w:jc w:val="center"/>
      </w:pPr>
      <w:r>
        <w:rPr>
          <w:rFonts w:ascii="Times New Roman" w:hAnsi="Times New Roman" w:cs="Times New Roman" w:eastAsia="Times New Roman"/>
          <w:b w:val="0"/>
          <w:i/>
          <w:sz w:val="20"/>
        </w:rPr>
        <w:t>Figure 2 (from PMC10821248): “Transformation of DL-ATC to L-cysteine. In this enzymatic three-step process, DL-ATC is isomerized to L-ATC by ATC racemase. Then, L-ATC is hydrolyzed to S-carbamyl-L-cysteine (SCC) by L-ATC hydrolase. Finally, SCC is cleaved into L-cysteine, CO 2 , and ammonia by S-cabamyl-L-cysteine amidohydrolase.</w:t>
        <w:br/>
        <w:t xml:space="preserve">   graphic: `molecules-29-00486-g002.jpg`”</w:t>
      </w:r>
    </w:p>
    <w:p>
      <w:pPr>
        <w:jc w:val="center"/>
      </w:pPr>
      <w:r>
        <w:drawing>
          <wp:inline xmlns:a="http://schemas.openxmlformats.org/drawingml/2006/main" xmlns:pic="http://schemas.openxmlformats.org/drawingml/2006/picture">
            <wp:extent cx="5029200" cy="1200731"/>
            <wp:docPr id="250" name="Picture 250"/>
            <wp:cNvGraphicFramePr>
              <a:graphicFrameLocks noChangeAspect="1"/>
            </wp:cNvGraphicFramePr>
            <a:graphic>
              <a:graphicData uri="http://schemas.openxmlformats.org/drawingml/2006/picture">
                <pic:pic>
                  <pic:nvPicPr>
                    <pic:cNvPr id="0" name="p03_i1.jpg"/>
                    <pic:cNvPicPr/>
                  </pic:nvPicPr>
                  <pic:blipFill>
                    <a:blip r:embed="rId11"/>
                    <a:stretch>
                      <a:fillRect/>
                    </a:stretch>
                  </pic:blipFill>
                  <pic:spPr>
                    <a:xfrm>
                      <a:off x="0" y="0"/>
                      <a:ext cx="5029200" cy="1200731"/>
                    </a:xfrm>
                    <a:prstGeom prst="rect"/>
                  </pic:spPr>
                </pic:pic>
              </a:graphicData>
            </a:graphic>
          </wp:inline>
        </w:drawing>
      </w:r>
    </w:p>
    <w:p>
      <w:pPr>
        <w:spacing w:after="160"/>
        <w:jc w:val="center"/>
      </w:pPr>
      <w:r>
        <w:rPr>
          <w:rFonts w:ascii="Times New Roman" w:hAnsi="Times New Roman" w:cs="Times New Roman" w:eastAsia="Times New Roman"/>
          <w:b w:val="0"/>
          <w:i/>
          <w:sz w:val="20"/>
        </w:rPr>
        <w:t>Figure 3 (from PMC10821248): “( a ) Substrate feeding profiles followed by [ 59 ] in the fed-batch L-cysteine production process. The thiosulfate feeding started two hours after the process was inoculated in order to avoid unnecessary oxidative stress on the cells in the initial lag phase. The glucose feeding started after five hours, once the initially added glucose was completely consumed. ( b ) L-cystein”</w:t>
      </w:r>
    </w:p>
    <w:p>
      <w:pPr>
        <w:keepNext/>
        <w:spacing w:before="280" w:after="80"/>
        <w:outlineLvl w:val="1"/>
      </w:pPr>
      <w:r>
        <w:rPr>
          <w:rFonts w:ascii="Times New Roman" w:hAnsi="Times New Roman" w:cs="Times New Roman" w:eastAsia="Times New Roman"/>
          <w:b/>
          <w:i w:val="0"/>
          <w:color w:val="335588"/>
          <w:sz w:val="28"/>
        </w:rPr>
        <w:t>E.8  PMC11016120 — Lipopolysaccharide binding protein resists hepatic oxidative stress by regulatin (8 figures)</w:t>
      </w:r>
    </w:p>
    <w:p>
      <w:pPr>
        <w:spacing w:after="80"/>
        <w:jc w:val="both"/>
      </w:pPr>
      <w:r>
        <w:rPr>
          <w:rFonts w:ascii="Times New Roman" w:hAnsi="Times New Roman" w:cs="Times New Roman" w:eastAsia="Times New Roman"/>
          <w:b w:val="0"/>
          <w:i/>
          <w:sz w:val="20"/>
        </w:rPr>
        <w:t>Source: Nature Communications (2024). PMCID: PMC11016120; PMID: 38615060; DOI: 10.1038/s41467-024-47553-5. PDF rendering: Europe PMC (https://europepmc.org/articles/PMC11016120?pdf=render).</w:t>
      </w:r>
    </w:p>
    <w:p>
      <w:pPr>
        <w:jc w:val="center"/>
      </w:pPr>
      <w:r>
        <w:drawing>
          <wp:inline xmlns:a="http://schemas.openxmlformats.org/drawingml/2006/main" xmlns:pic="http://schemas.openxmlformats.org/drawingml/2006/picture">
            <wp:extent cx="5029200" cy="6262039"/>
            <wp:docPr id="251" name="Picture 251"/>
            <wp:cNvGraphicFramePr>
              <a:graphicFrameLocks noChangeAspect="1"/>
            </wp:cNvGraphicFramePr>
            <a:graphic>
              <a:graphicData uri="http://schemas.openxmlformats.org/drawingml/2006/picture">
                <pic:pic>
                  <pic:nvPicPr>
                    <pic:cNvPr id="0" name="p10_i1.jpg"/>
                    <pic:cNvPicPr/>
                  </pic:nvPicPr>
                  <pic:blipFill>
                    <a:blip r:embed="rId38"/>
                    <a:stretch>
                      <a:fillRect/>
                    </a:stretch>
                  </pic:blipFill>
                  <pic:spPr>
                    <a:xfrm>
                      <a:off x="0" y="0"/>
                      <a:ext cx="5029200" cy="6262039"/>
                    </a:xfrm>
                    <a:prstGeom prst="rect"/>
                  </pic:spPr>
                </pic:pic>
              </a:graphicData>
            </a:graphic>
          </wp:inline>
        </w:drawing>
      </w:r>
    </w:p>
    <w:p>
      <w:pPr>
        <w:spacing w:after="160"/>
        <w:jc w:val="center"/>
      </w:pPr>
      <w:r>
        <w:rPr>
          <w:rFonts w:ascii="Times New Roman" w:hAnsi="Times New Roman" w:cs="Times New Roman" w:eastAsia="Times New Roman"/>
          <w:b w:val="0"/>
          <w:i/>
          <w:sz w:val="20"/>
        </w:rPr>
        <w:t>Figure 1 (from PMC11016120): “Oxidative stress induces LBP upregulation and LD translocation. a A schematic illustrating the research strategy adopted in this study. The image was created using materials supplied by Ge Pan from the Central Academy of Fine Arts, China, and illustrated by Qilun Zhang. The use of these materials has been authorized. b A multivariate bubble plot comparing changes in LD-localize”</w:t>
      </w:r>
    </w:p>
    <w:p>
      <w:pPr>
        <w:jc w:val="center"/>
      </w:pPr>
      <w:r>
        <w:drawing>
          <wp:inline xmlns:a="http://schemas.openxmlformats.org/drawingml/2006/main" xmlns:pic="http://schemas.openxmlformats.org/drawingml/2006/picture">
            <wp:extent cx="5029200" cy="5731282"/>
            <wp:docPr id="252" name="Picture 252"/>
            <wp:cNvGraphicFramePr>
              <a:graphicFrameLocks noChangeAspect="1"/>
            </wp:cNvGraphicFramePr>
            <a:graphic>
              <a:graphicData uri="http://schemas.openxmlformats.org/drawingml/2006/picture">
                <pic:pic>
                  <pic:nvPicPr>
                    <pic:cNvPr id="0" name="p04_i1.jpg"/>
                    <pic:cNvPicPr/>
                  </pic:nvPicPr>
                  <pic:blipFill>
                    <a:blip r:embed="rId39"/>
                    <a:stretch>
                      <a:fillRect/>
                    </a:stretch>
                  </pic:blipFill>
                  <pic:spPr>
                    <a:xfrm>
                      <a:off x="0" y="0"/>
                      <a:ext cx="5029200" cy="5731282"/>
                    </a:xfrm>
                    <a:prstGeom prst="rect"/>
                  </pic:spPr>
                </pic:pic>
              </a:graphicData>
            </a:graphic>
          </wp:inline>
        </w:drawing>
      </w:r>
    </w:p>
    <w:p>
      <w:pPr>
        <w:spacing w:after="160"/>
        <w:jc w:val="center"/>
      </w:pPr>
      <w:r>
        <w:rPr>
          <w:rFonts w:ascii="Times New Roman" w:hAnsi="Times New Roman" w:cs="Times New Roman" w:eastAsia="Times New Roman"/>
          <w:b w:val="0"/>
          <w:i/>
          <w:sz w:val="20"/>
        </w:rPr>
        <w:t>Figure 2 (from PMC11016120): “The localization of LBP to LDs drives hepatic steatosis. a Hepatic TG content of WT mice under NT, 24 h fasting, or LPS-treatment (5 mg/kg, i.p.) for 24 h. Shown are means ± s.d., one-way ANOVA ( n = 3, biologically independent). b Representative bright-field microscope image showing separated LDs from the same treatment as described in ( a ), scale bar = 10 μm. Experiments was”</w:t>
      </w:r>
    </w:p>
    <w:p>
      <w:pPr>
        <w:jc w:val="center"/>
      </w:pPr>
      <w:r>
        <w:drawing>
          <wp:inline xmlns:a="http://schemas.openxmlformats.org/drawingml/2006/main" xmlns:pic="http://schemas.openxmlformats.org/drawingml/2006/picture">
            <wp:extent cx="5029200" cy="6473628"/>
            <wp:docPr id="253" name="Picture 253"/>
            <wp:cNvGraphicFramePr>
              <a:graphicFrameLocks noChangeAspect="1"/>
            </wp:cNvGraphicFramePr>
            <a:graphic>
              <a:graphicData uri="http://schemas.openxmlformats.org/drawingml/2006/picture">
                <pic:pic>
                  <pic:nvPicPr>
                    <pic:cNvPr id="0" name="p07_i1.jpg"/>
                    <pic:cNvPicPr/>
                  </pic:nvPicPr>
                  <pic:blipFill>
                    <a:blip r:embed="rId40"/>
                    <a:stretch>
                      <a:fillRect/>
                    </a:stretch>
                  </pic:blipFill>
                  <pic:spPr>
                    <a:xfrm>
                      <a:off x="0" y="0"/>
                      <a:ext cx="5029200" cy="6473628"/>
                    </a:xfrm>
                    <a:prstGeom prst="rect"/>
                  </pic:spPr>
                </pic:pic>
              </a:graphicData>
            </a:graphic>
          </wp:inline>
        </w:drawing>
      </w:r>
    </w:p>
    <w:p>
      <w:pPr>
        <w:spacing w:after="160"/>
        <w:jc w:val="center"/>
      </w:pPr>
      <w:r>
        <w:rPr>
          <w:rFonts w:ascii="Times New Roman" w:hAnsi="Times New Roman" w:cs="Times New Roman" w:eastAsia="Times New Roman"/>
          <w:b w:val="0"/>
          <w:i/>
          <w:sz w:val="20"/>
        </w:rPr>
        <w:t>Figure 3 (from PMC11016120): “LBP binds with unsaturated TG to prevent against lipid peroxidation. a A pie chart showing the difference in lipid composition between WT ( n = 3) and LBP KI/KI ( n = 3) mice liver after 16 weeks of HFD. b Analysis of chain length of differential TGs in ( a ). Shown are means ± s.e.m., ( n = 3, biologically independent). c Analysis of saturation of differential TGs in ( a ). Sh”</w:t>
      </w:r>
    </w:p>
    <w:p>
      <w:pPr>
        <w:jc w:val="center"/>
      </w:pPr>
      <w:r>
        <w:drawing>
          <wp:inline xmlns:a="http://schemas.openxmlformats.org/drawingml/2006/main" xmlns:pic="http://schemas.openxmlformats.org/drawingml/2006/picture">
            <wp:extent cx="5029200" cy="4507420"/>
            <wp:docPr id="254" name="Picture 254"/>
            <wp:cNvGraphicFramePr>
              <a:graphicFrameLocks noChangeAspect="1"/>
            </wp:cNvGraphicFramePr>
            <a:graphic>
              <a:graphicData uri="http://schemas.openxmlformats.org/drawingml/2006/picture">
                <pic:pic>
                  <pic:nvPicPr>
                    <pic:cNvPr id="0" name="p09_i21.jpg"/>
                    <pic:cNvPicPr/>
                  </pic:nvPicPr>
                  <pic:blipFill>
                    <a:blip r:embed="rId41"/>
                    <a:stretch>
                      <a:fillRect/>
                    </a:stretch>
                  </pic:blipFill>
                  <pic:spPr>
                    <a:xfrm>
                      <a:off x="0" y="0"/>
                      <a:ext cx="5029200" cy="4507420"/>
                    </a:xfrm>
                    <a:prstGeom prst="rect"/>
                  </pic:spPr>
                </pic:pic>
              </a:graphicData>
            </a:graphic>
          </wp:inline>
        </w:drawing>
      </w:r>
    </w:p>
    <w:p>
      <w:pPr>
        <w:spacing w:after="160"/>
        <w:jc w:val="center"/>
      </w:pPr>
      <w:r>
        <w:rPr>
          <w:rFonts w:ascii="Times New Roman" w:hAnsi="Times New Roman" w:cs="Times New Roman" w:eastAsia="Times New Roman"/>
          <w:b w:val="0"/>
          <w:i/>
          <w:sz w:val="20"/>
        </w:rPr>
        <w:t>Figure 4 (from PMC11016120): “The antioxidant activity of LBP. a A nine-quadrant plot depicting the combined analysis of the liver transcriptome and proteome of WT and LBP KI/KI mice fed with HFD for 16 weeks. Each group n = 3, biologically independent. b Go term enrichment analysis of the differential proteins in the third quadrant (upregulated) of ( a ), using different colors to represent different funct”</w:t>
      </w:r>
    </w:p>
    <w:p>
      <w:pPr>
        <w:jc w:val="center"/>
      </w:pPr>
      <w:r>
        <w:drawing>
          <wp:inline xmlns:a="http://schemas.openxmlformats.org/drawingml/2006/main" xmlns:pic="http://schemas.openxmlformats.org/drawingml/2006/picture">
            <wp:extent cx="5029200" cy="3130677"/>
            <wp:docPr id="255" name="Picture 255"/>
            <wp:cNvGraphicFramePr>
              <a:graphicFrameLocks noChangeAspect="1"/>
            </wp:cNvGraphicFramePr>
            <a:graphic>
              <a:graphicData uri="http://schemas.openxmlformats.org/drawingml/2006/picture">
                <pic:pic>
                  <pic:nvPicPr>
                    <pic:cNvPr id="0" name="p02_i1.jpg"/>
                    <pic:cNvPicPr/>
                  </pic:nvPicPr>
                  <pic:blipFill>
                    <a:blip r:embed="rId42"/>
                    <a:stretch>
                      <a:fillRect/>
                    </a:stretch>
                  </pic:blipFill>
                  <pic:spPr>
                    <a:xfrm>
                      <a:off x="0" y="0"/>
                      <a:ext cx="5029200" cy="3130677"/>
                    </a:xfrm>
                    <a:prstGeom prst="rect"/>
                  </pic:spPr>
                </pic:pic>
              </a:graphicData>
            </a:graphic>
          </wp:inline>
        </w:drawing>
      </w:r>
    </w:p>
    <w:p>
      <w:pPr>
        <w:spacing w:after="160"/>
        <w:jc w:val="center"/>
      </w:pPr>
      <w:r>
        <w:rPr>
          <w:rFonts w:ascii="Times New Roman" w:hAnsi="Times New Roman" w:cs="Times New Roman" w:eastAsia="Times New Roman"/>
          <w:b w:val="0"/>
          <w:i/>
          <w:sz w:val="20"/>
        </w:rPr>
        <w:t>Figure 5 (from PMC11016120): “Redox signaling regulates LBP-induced LD accumulation via phospholipid biogenesis and the LBP chaperone function of PRDX4. a The bar graph compares the hepatic TG levels in WT mice and LBP KI/KI mice, with/without NAC treatment. Means ± s.d., 2way ANOVA ( n = 5–6, biologically independent). b Bright-field microscope image of LDs in LBP KI/KI mice, fasted for 24 h and treated wi”</w:t>
      </w:r>
    </w:p>
    <w:p>
      <w:pPr>
        <w:jc w:val="center"/>
      </w:pPr>
      <w:r>
        <w:drawing>
          <wp:inline xmlns:a="http://schemas.openxmlformats.org/drawingml/2006/main" xmlns:pic="http://schemas.openxmlformats.org/drawingml/2006/picture">
            <wp:extent cx="5029200" cy="2668619"/>
            <wp:docPr id="256" name="Picture 256"/>
            <wp:cNvGraphicFramePr>
              <a:graphicFrameLocks noChangeAspect="1"/>
            </wp:cNvGraphicFramePr>
            <a:graphic>
              <a:graphicData uri="http://schemas.openxmlformats.org/drawingml/2006/picture">
                <pic:pic>
                  <pic:nvPicPr>
                    <pic:cNvPr id="0" name="p03_i2.jpg"/>
                    <pic:cNvPicPr/>
                  </pic:nvPicPr>
                  <pic:blipFill>
                    <a:blip r:embed="rId43"/>
                    <a:stretch>
                      <a:fillRect/>
                    </a:stretch>
                  </pic:blipFill>
                  <pic:spPr>
                    <a:xfrm>
                      <a:off x="0" y="0"/>
                      <a:ext cx="5029200" cy="2668619"/>
                    </a:xfrm>
                    <a:prstGeom prst="rect"/>
                  </pic:spPr>
                </pic:pic>
              </a:graphicData>
            </a:graphic>
          </wp:inline>
        </w:drawing>
      </w:r>
    </w:p>
    <w:p>
      <w:pPr>
        <w:spacing w:after="160"/>
        <w:jc w:val="center"/>
      </w:pPr>
      <w:r>
        <w:rPr>
          <w:rFonts w:ascii="Times New Roman" w:hAnsi="Times New Roman" w:cs="Times New Roman" w:eastAsia="Times New Roman"/>
          <w:b w:val="0"/>
          <w:i/>
          <w:sz w:val="20"/>
        </w:rPr>
        <w:t>Figure 6 (from PMC11016120): “The #4-helix within the C-segment of LBP interacts with oxidized TGs. a LBP structure solved in the PDB database and predicted by Alphafold, with the black box indicating the differential #4α-helix. b Predict secondary structures and perform homology comparisons of LBP in various mammals. c Molecular docking diagram of WT-Tridocosahexaenoin with LBP. LBP is represented as a dar”</w:t>
      </w:r>
    </w:p>
    <w:p>
      <w:pPr>
        <w:jc w:val="center"/>
      </w:pPr>
      <w:r>
        <w:drawing>
          <wp:inline xmlns:a="http://schemas.openxmlformats.org/drawingml/2006/main" xmlns:pic="http://schemas.openxmlformats.org/drawingml/2006/picture">
            <wp:extent cx="5029200" cy="2373154"/>
            <wp:docPr id="257" name="Picture 257"/>
            <wp:cNvGraphicFramePr>
              <a:graphicFrameLocks noChangeAspect="1"/>
            </wp:cNvGraphicFramePr>
            <a:graphic>
              <a:graphicData uri="http://schemas.openxmlformats.org/drawingml/2006/picture">
                <pic:pic>
                  <pic:nvPicPr>
                    <pic:cNvPr id="0" name="p06_i1.jpg"/>
                    <pic:cNvPicPr/>
                  </pic:nvPicPr>
                  <pic:blipFill>
                    <a:blip r:embed="rId44"/>
                    <a:stretch>
                      <a:fillRect/>
                    </a:stretch>
                  </pic:blipFill>
                  <pic:spPr>
                    <a:xfrm>
                      <a:off x="0" y="0"/>
                      <a:ext cx="5029200" cy="2373154"/>
                    </a:xfrm>
                    <a:prstGeom prst="rect"/>
                  </pic:spPr>
                </pic:pic>
              </a:graphicData>
            </a:graphic>
          </wp:inline>
        </w:drawing>
      </w:r>
    </w:p>
    <w:p>
      <w:pPr>
        <w:spacing w:after="160"/>
        <w:jc w:val="center"/>
      </w:pPr>
      <w:r>
        <w:rPr>
          <w:rFonts w:ascii="Times New Roman" w:hAnsi="Times New Roman" w:cs="Times New Roman" w:eastAsia="Times New Roman"/>
          <w:b w:val="0"/>
          <w:i/>
          <w:sz w:val="20"/>
        </w:rPr>
        <w:t>Figure 7 (from PMC11016120): “LBP upregulation drives obesity and is rescued by antioxidant treatment. a Serum TG and FFA levels in 8-week-old mice before and after Poloxamer 407 injection. Means ± s.d., 2way ANOVA ( n = 3, biologically independent). b Morphological comparison of LBP KI/KI , LBP − / − and WT mice fed on a 16-week high-fat diet. c Fasting blood glucose levels of mice in ( b ). Means ± s.d., ”</w:t>
      </w:r>
    </w:p>
    <w:p>
      <w:pPr>
        <w:jc w:val="center"/>
      </w:pPr>
      <w:r>
        <w:drawing>
          <wp:inline xmlns:a="http://schemas.openxmlformats.org/drawingml/2006/main" xmlns:pic="http://schemas.openxmlformats.org/drawingml/2006/picture">
            <wp:extent cx="5029200" cy="5427194"/>
            <wp:docPr id="258" name="Picture 258"/>
            <wp:cNvGraphicFramePr>
              <a:graphicFrameLocks noChangeAspect="1"/>
            </wp:cNvGraphicFramePr>
            <a:graphic>
              <a:graphicData uri="http://schemas.openxmlformats.org/drawingml/2006/picture">
                <pic:pic>
                  <pic:nvPicPr>
                    <pic:cNvPr id="0" name="p03_i1.jpg"/>
                    <pic:cNvPicPr/>
                  </pic:nvPicPr>
                  <pic:blipFill>
                    <a:blip r:embed="rId45"/>
                    <a:stretch>
                      <a:fillRect/>
                    </a:stretch>
                  </pic:blipFill>
                  <pic:spPr>
                    <a:xfrm>
                      <a:off x="0" y="0"/>
                      <a:ext cx="5029200" cy="5427194"/>
                    </a:xfrm>
                    <a:prstGeom prst="rect"/>
                  </pic:spPr>
                </pic:pic>
              </a:graphicData>
            </a:graphic>
          </wp:inline>
        </w:drawing>
      </w:r>
    </w:p>
    <w:p>
      <w:pPr>
        <w:spacing w:after="160"/>
        <w:jc w:val="center"/>
      </w:pPr>
      <w:r>
        <w:rPr>
          <w:rFonts w:ascii="Times New Roman" w:hAnsi="Times New Roman" w:cs="Times New Roman" w:eastAsia="Times New Roman"/>
          <w:b w:val="0"/>
          <w:i/>
          <w:sz w:val="20"/>
        </w:rPr>
        <w:t>Figure panel from PMC11016120 (source bitmap p03_i1.jpg, 556×600 px).</w:t>
      </w:r>
    </w:p>
    <w:p>
      <w:pPr>
        <w:keepNext/>
        <w:spacing w:before="280" w:after="80"/>
        <w:outlineLvl w:val="1"/>
      </w:pPr>
      <w:r>
        <w:rPr>
          <w:rFonts w:ascii="Times New Roman" w:hAnsi="Times New Roman" w:cs="Times New Roman" w:eastAsia="Times New Roman"/>
          <w:b/>
          <w:i w:val="0"/>
          <w:color w:val="335588"/>
          <w:sz w:val="28"/>
        </w:rPr>
        <w:t>E.9  PMC11939635 — Endothelial Dysfunction: Redox Imbalance, NLRP3 Inflammasome, and Inflammatory R (2 figures)</w:t>
      </w:r>
    </w:p>
    <w:p>
      <w:pPr>
        <w:spacing w:after="80"/>
        <w:jc w:val="both"/>
      </w:pPr>
      <w:r>
        <w:rPr>
          <w:rFonts w:ascii="Times New Roman" w:hAnsi="Times New Roman" w:cs="Times New Roman" w:eastAsia="Times New Roman"/>
          <w:b w:val="0"/>
          <w:i/>
          <w:sz w:val="20"/>
        </w:rPr>
        <w:t>Source: Antioxidants (2025). PMCID: PMC11939635; PMID: 40227195; DOI: 10.3390/antiox14030256. PDF rendering: Europe PMC (https://europepmc.org/articles/PMC11939635?pdf=render).</w:t>
      </w:r>
    </w:p>
    <w:p>
      <w:pPr>
        <w:jc w:val="center"/>
      </w:pPr>
      <w:r>
        <w:drawing>
          <wp:inline xmlns:a="http://schemas.openxmlformats.org/drawingml/2006/main" xmlns:pic="http://schemas.openxmlformats.org/drawingml/2006/picture">
            <wp:extent cx="5029200" cy="2916365"/>
            <wp:docPr id="259" name="Picture 259"/>
            <wp:cNvGraphicFramePr>
              <a:graphicFrameLocks noChangeAspect="1"/>
            </wp:cNvGraphicFramePr>
            <a:graphic>
              <a:graphicData uri="http://schemas.openxmlformats.org/drawingml/2006/picture">
                <pic:pic>
                  <pic:nvPicPr>
                    <pic:cNvPr id="0" name="p11_i1.jpg"/>
                    <pic:cNvPicPr/>
                  </pic:nvPicPr>
                  <pic:blipFill>
                    <a:blip r:embed="rId16"/>
                    <a:stretch>
                      <a:fillRect/>
                    </a:stretch>
                  </pic:blipFill>
                  <pic:spPr>
                    <a:xfrm>
                      <a:off x="0" y="0"/>
                      <a:ext cx="5029200" cy="2916365"/>
                    </a:xfrm>
                    <a:prstGeom prst="rect"/>
                  </pic:spPr>
                </pic:pic>
              </a:graphicData>
            </a:graphic>
          </wp:inline>
        </w:drawing>
      </w:r>
    </w:p>
    <w:p>
      <w:pPr>
        <w:spacing w:after="160"/>
        <w:jc w:val="center"/>
      </w:pPr>
      <w:r>
        <w:rPr>
          <w:rFonts w:ascii="Times New Roman" w:hAnsi="Times New Roman" w:cs="Times New Roman" w:eastAsia="Times New Roman"/>
          <w:b w:val="0"/>
          <w:i/>
          <w:sz w:val="20"/>
        </w:rPr>
        <w:t>Figure 1 (from PMC11939635): “Key molecular mechanisms linking endothelial dysfunction, NLRP3 inflammasome, and cardiovascular diseases (CVDs). Schematic illustration of the pathways and factors contributing to endothelial dysfunction and the progression of CVDs. The activation of the NLRP3 inflammasome by PAMPs, DAMPs, and hemodynamic alterations triggers the production of inflammatory cytokines (e.g., IL-”</w:t>
      </w:r>
    </w:p>
    <w:p>
      <w:pPr>
        <w:jc w:val="center"/>
      </w:pPr>
      <w:r>
        <w:drawing>
          <wp:inline xmlns:a="http://schemas.openxmlformats.org/drawingml/2006/main" xmlns:pic="http://schemas.openxmlformats.org/drawingml/2006/picture">
            <wp:extent cx="5029200" cy="2478960"/>
            <wp:docPr id="260" name="Picture 260"/>
            <wp:cNvGraphicFramePr>
              <a:graphicFrameLocks noChangeAspect="1"/>
            </wp:cNvGraphicFramePr>
            <a:graphic>
              <a:graphicData uri="http://schemas.openxmlformats.org/drawingml/2006/picture">
                <pic:pic>
                  <pic:nvPicPr>
                    <pic:cNvPr id="0" name="p06_i1.jpg"/>
                    <pic:cNvPicPr/>
                  </pic:nvPicPr>
                  <pic:blipFill>
                    <a:blip r:embed="rId33"/>
                    <a:stretch>
                      <a:fillRect/>
                    </a:stretch>
                  </pic:blipFill>
                  <pic:spPr>
                    <a:xfrm>
                      <a:off x="0" y="0"/>
                      <a:ext cx="5029200" cy="2478960"/>
                    </a:xfrm>
                    <a:prstGeom prst="rect"/>
                  </pic:spPr>
                </pic:pic>
              </a:graphicData>
            </a:graphic>
          </wp:inline>
        </w:drawing>
      </w:r>
    </w:p>
    <w:p>
      <w:pPr>
        <w:spacing w:after="160"/>
        <w:jc w:val="center"/>
      </w:pPr>
      <w:r>
        <w:rPr>
          <w:rFonts w:ascii="Times New Roman" w:hAnsi="Times New Roman" w:cs="Times New Roman" w:eastAsia="Times New Roman"/>
          <w:b w:val="0"/>
          <w:i/>
          <w:sz w:val="20"/>
        </w:rPr>
        <w:t>Figure 2 (from PMC11939635): “Adequate NO production supports redox balance, vasodilation, and vascular homeostasis. In contrast, endothelial dysfunction and reduced NO levels lead to redox imbalance, favoring ROS/RNS-mediated inflammation and fibrosis, with O 2 •− , ONOO − and NLRP3 playing key roles (See also Figure 2 ). Double-headed lines indicate inhibition, while simple arrows indicate diffusion and a”</w:t>
      </w:r>
    </w:p>
    <w:p>
      <w:pPr>
        <w:keepNext/>
        <w:spacing w:before="280" w:after="80"/>
        <w:outlineLvl w:val="1"/>
      </w:pPr>
      <w:r>
        <w:rPr>
          <w:rFonts w:ascii="Times New Roman" w:hAnsi="Times New Roman" w:cs="Times New Roman" w:eastAsia="Times New Roman"/>
          <w:b/>
          <w:i w:val="0"/>
          <w:color w:val="335588"/>
          <w:sz w:val="28"/>
        </w:rPr>
        <w:t>E.10  PMC11317141 — Distinct DNA repair mechanisms prevent formaldehyde toxicity during development, (4 figures)</w:t>
      </w:r>
    </w:p>
    <w:p>
      <w:pPr>
        <w:spacing w:after="80"/>
        <w:jc w:val="both"/>
      </w:pPr>
      <w:r>
        <w:rPr>
          <w:rFonts w:ascii="Times New Roman" w:hAnsi="Times New Roman" w:cs="Times New Roman" w:eastAsia="Times New Roman"/>
          <w:b w:val="0"/>
          <w:i/>
          <w:sz w:val="20"/>
        </w:rPr>
        <w:t>Source: Nucleic Acids Research (2024). PMCID: PMC11317141; PMID: 38894680; DOI: 10.1093/nar/gkae519. PDF rendering: Europe PMC (https://europepmc.org/articles/PMC11317141?pdf=render).</w:t>
      </w:r>
    </w:p>
    <w:p>
      <w:pPr>
        <w:jc w:val="center"/>
      </w:pPr>
      <w:r>
        <w:drawing>
          <wp:inline xmlns:a="http://schemas.openxmlformats.org/drawingml/2006/main" xmlns:pic="http://schemas.openxmlformats.org/drawingml/2006/picture">
            <wp:extent cx="5029200" cy="3519430"/>
            <wp:docPr id="261" name="Picture 261"/>
            <wp:cNvGraphicFramePr>
              <a:graphicFrameLocks noChangeAspect="1"/>
            </wp:cNvGraphicFramePr>
            <a:graphic>
              <a:graphicData uri="http://schemas.openxmlformats.org/drawingml/2006/picture">
                <pic:pic>
                  <pic:nvPicPr>
                    <pic:cNvPr id="0" name="p04_i4.jpg"/>
                    <pic:cNvPicPr/>
                  </pic:nvPicPr>
                  <pic:blipFill>
                    <a:blip r:embed="rId34"/>
                    <a:stretch>
                      <a:fillRect/>
                    </a:stretch>
                  </pic:blipFill>
                  <pic:spPr>
                    <a:xfrm>
                      <a:off x="0" y="0"/>
                      <a:ext cx="5029200" cy="3519430"/>
                    </a:xfrm>
                    <a:prstGeom prst="rect"/>
                  </pic:spPr>
                </pic:pic>
              </a:graphicData>
            </a:graphic>
          </wp:inline>
        </w:drawing>
      </w:r>
    </w:p>
    <w:p>
      <w:pPr>
        <w:spacing w:after="160"/>
        <w:jc w:val="center"/>
      </w:pPr>
      <w:r>
        <w:rPr>
          <w:rFonts w:ascii="Times New Roman" w:hAnsi="Times New Roman" w:cs="Times New Roman" w:eastAsia="Times New Roman"/>
          <w:b w:val="0"/>
          <w:i/>
          <w:sz w:val="20"/>
        </w:rPr>
        <w:t>Figure panel from PMC11317141 (source bitmap p04_i4.jpg, 996×697 px).</w:t>
      </w:r>
    </w:p>
    <w:p>
      <w:pPr>
        <w:jc w:val="center"/>
      </w:pPr>
      <w:r>
        <w:drawing>
          <wp:inline xmlns:a="http://schemas.openxmlformats.org/drawingml/2006/main" xmlns:pic="http://schemas.openxmlformats.org/drawingml/2006/picture">
            <wp:extent cx="5029200" cy="2476982"/>
            <wp:docPr id="262" name="Picture 262"/>
            <wp:cNvGraphicFramePr>
              <a:graphicFrameLocks noChangeAspect="1"/>
            </wp:cNvGraphicFramePr>
            <a:graphic>
              <a:graphicData uri="http://schemas.openxmlformats.org/drawingml/2006/picture">
                <pic:pic>
                  <pic:nvPicPr>
                    <pic:cNvPr id="0" name="p13_i1.jpg"/>
                    <pic:cNvPicPr/>
                  </pic:nvPicPr>
                  <pic:blipFill>
                    <a:blip r:embed="rId35"/>
                    <a:stretch>
                      <a:fillRect/>
                    </a:stretch>
                  </pic:blipFill>
                  <pic:spPr>
                    <a:xfrm>
                      <a:off x="0" y="0"/>
                      <a:ext cx="5029200" cy="2476982"/>
                    </a:xfrm>
                    <a:prstGeom prst="rect"/>
                  </pic:spPr>
                </pic:pic>
              </a:graphicData>
            </a:graphic>
          </wp:inline>
        </w:drawing>
      </w:r>
    </w:p>
    <w:p>
      <w:pPr>
        <w:spacing w:after="160"/>
        <w:jc w:val="center"/>
      </w:pPr>
      <w:r>
        <w:rPr>
          <w:rFonts w:ascii="Times New Roman" w:hAnsi="Times New Roman" w:cs="Times New Roman" w:eastAsia="Times New Roman"/>
          <w:b w:val="0"/>
          <w:i/>
          <w:sz w:val="20"/>
        </w:rPr>
        <w:t>Figure panel from PMC11317141 (source bitmap p13_i1.jpg, 869×428 px).</w:t>
      </w:r>
    </w:p>
    <w:p>
      <w:pPr>
        <w:jc w:val="center"/>
      </w:pPr>
      <w:r>
        <w:drawing>
          <wp:inline xmlns:a="http://schemas.openxmlformats.org/drawingml/2006/main" xmlns:pic="http://schemas.openxmlformats.org/drawingml/2006/picture">
            <wp:extent cx="5029200" cy="6679710"/>
            <wp:docPr id="263" name="Picture 263"/>
            <wp:cNvGraphicFramePr>
              <a:graphicFrameLocks noChangeAspect="1"/>
            </wp:cNvGraphicFramePr>
            <a:graphic>
              <a:graphicData uri="http://schemas.openxmlformats.org/drawingml/2006/picture">
                <pic:pic>
                  <pic:nvPicPr>
                    <pic:cNvPr id="0" name="p04_i5.jpg"/>
                    <pic:cNvPicPr/>
                  </pic:nvPicPr>
                  <pic:blipFill>
                    <a:blip r:embed="rId36"/>
                    <a:stretch>
                      <a:fillRect/>
                    </a:stretch>
                  </pic:blipFill>
                  <pic:spPr>
                    <a:xfrm>
                      <a:off x="0" y="0"/>
                      <a:ext cx="5029200" cy="6679710"/>
                    </a:xfrm>
                    <a:prstGeom prst="rect"/>
                  </pic:spPr>
                </pic:pic>
              </a:graphicData>
            </a:graphic>
          </wp:inline>
        </w:drawing>
      </w:r>
    </w:p>
    <w:p>
      <w:pPr>
        <w:spacing w:after="160"/>
        <w:jc w:val="center"/>
      </w:pPr>
      <w:r>
        <w:rPr>
          <w:rFonts w:ascii="Times New Roman" w:hAnsi="Times New Roman" w:cs="Times New Roman" w:eastAsia="Times New Roman"/>
          <w:b w:val="0"/>
          <w:i/>
          <w:sz w:val="20"/>
        </w:rPr>
        <w:t>Figure panel from PMC11317141 (source bitmap p04_i5.jpg, 518×688 px).</w:t>
      </w:r>
    </w:p>
    <w:p>
      <w:pPr>
        <w:jc w:val="center"/>
      </w:pPr>
      <w:r>
        <w:drawing>
          <wp:inline xmlns:a="http://schemas.openxmlformats.org/drawingml/2006/main" xmlns:pic="http://schemas.openxmlformats.org/drawingml/2006/picture">
            <wp:extent cx="5029200" cy="4054416"/>
            <wp:docPr id="264" name="Picture 264"/>
            <wp:cNvGraphicFramePr>
              <a:graphicFrameLocks noChangeAspect="1"/>
            </wp:cNvGraphicFramePr>
            <a:graphic>
              <a:graphicData uri="http://schemas.openxmlformats.org/drawingml/2006/picture">
                <pic:pic>
                  <pic:nvPicPr>
                    <pic:cNvPr id="0" name="p11_i3.jpg"/>
                    <pic:cNvPicPr/>
                  </pic:nvPicPr>
                  <pic:blipFill>
                    <a:blip r:embed="rId37"/>
                    <a:stretch>
                      <a:fillRect/>
                    </a:stretch>
                  </pic:blipFill>
                  <pic:spPr>
                    <a:xfrm>
                      <a:off x="0" y="0"/>
                      <a:ext cx="5029200" cy="4054416"/>
                    </a:xfrm>
                    <a:prstGeom prst="rect"/>
                  </pic:spPr>
                </pic:pic>
              </a:graphicData>
            </a:graphic>
          </wp:inline>
        </w:drawing>
      </w:r>
    </w:p>
    <w:p>
      <w:pPr>
        <w:spacing w:after="160"/>
        <w:jc w:val="center"/>
      </w:pPr>
      <w:r>
        <w:rPr>
          <w:rFonts w:ascii="Times New Roman" w:hAnsi="Times New Roman" w:cs="Times New Roman" w:eastAsia="Times New Roman"/>
          <w:b w:val="0"/>
          <w:i/>
          <w:sz w:val="20"/>
        </w:rPr>
        <w:t>Figure panel from PMC11317141 (source bitmap p11_i3.jpg, 583×470 px).</w:t>
      </w:r>
    </w:p>
    <w:p>
      <w:pPr>
        <w:keepNext/>
        <w:pageBreakBefore/>
        <w:spacing w:before="480" w:after="160"/>
        <w:outlineLvl w:val="0"/>
      </w:pPr>
      <w:r>
        <w:rPr>
          <w:rFonts w:ascii="Times New Roman" w:hAnsi="Times New Roman" w:cs="Times New Roman" w:eastAsia="Times New Roman"/>
          <w:b/>
          <w:i w:val="0"/>
          <w:color w:val="1F3D7A"/>
          <w:sz w:val="36"/>
        </w:rPr>
        <w:t>C.  Appendix C — Database Coverage Extraction Counts</w:t>
      </w:r>
    </w:p>
    <w:p>
      <w:pPr>
        <w:spacing w:after="80"/>
        <w:jc w:val="both"/>
      </w:pPr>
      <w:r>
        <w:rPr>
          <w:rFonts w:ascii="Times New Roman" w:hAnsi="Times New Roman" w:cs="Times New Roman" w:eastAsia="Times New Roman"/>
          <w:b w:val="0"/>
          <w:i w:val="0"/>
          <w:sz w:val="24"/>
        </w:rPr>
        <w:t>Per-database retrieval status for L-cysteine (CAS 52-90-4) on 2026-04-20. Status codes: 'api' = verified programmatic count; 'html_ok' = scrapable HTML landing page; 'no_api' = JS-gated / session-locked source.</w:t>
      </w:r>
    </w:p>
    <w:p>
      <w:pPr>
        <w:keepNext/>
        <w:spacing w:before="160" w:after="40"/>
        <w:jc w:val="left"/>
      </w:pPr>
      <w:r>
        <w:rPr>
          <w:rFonts w:ascii="Times New Roman" w:hAnsi="Times New Roman" w:cs="Times New Roman" w:eastAsia="Times New Roman"/>
          <w:b/>
          <w:i w:val="0"/>
          <w:sz w:val="22"/>
        </w:rPr>
        <w:t>Table C.1 — tox-scraper database coverage for L-cysteine.</w:t>
      </w:r>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669"/>
            <w:shd w:fill="DDE4EF"/>
          </w:tcPr>
          <w:p>
            <w:r/>
            <w:r>
              <w:rPr>
                <w:rFonts w:ascii="Times New Roman" w:hAnsi="Times New Roman" w:cs="Times New Roman" w:eastAsia="Times New Roman"/>
                <w:b/>
                <w:i w:val="0"/>
                <w:sz w:val="22"/>
              </w:rPr>
              <w:t>#</w:t>
            </w:r>
          </w:p>
        </w:tc>
        <w:tc>
          <w:tcPr>
            <w:tcW w:type="dxa" w:w="4011"/>
            <w:shd w:fill="DDE4EF"/>
          </w:tcPr>
          <w:p>
            <w:r/>
            <w:r>
              <w:rPr>
                <w:rFonts w:ascii="Times New Roman" w:hAnsi="Times New Roman" w:cs="Times New Roman" w:eastAsia="Times New Roman"/>
                <w:b/>
                <w:i w:val="0"/>
                <w:sz w:val="22"/>
              </w:rPr>
              <w:t>Database</w:t>
            </w:r>
          </w:p>
        </w:tc>
        <w:tc>
          <w:tcPr>
            <w:tcW w:type="dxa" w:w="1337"/>
            <w:shd w:fill="DDE4EF"/>
          </w:tcPr>
          <w:p>
            <w:r/>
            <w:r>
              <w:rPr>
                <w:rFonts w:ascii="Times New Roman" w:hAnsi="Times New Roman" w:cs="Times New Roman" w:eastAsia="Times New Roman"/>
                <w:b/>
                <w:i w:val="0"/>
                <w:sz w:val="22"/>
              </w:rPr>
              <w:t>Access mode</w:t>
            </w:r>
          </w:p>
        </w:tc>
        <w:tc>
          <w:tcPr>
            <w:tcW w:type="dxa" w:w="3343"/>
            <w:shd w:fill="DDE4EF"/>
          </w:tcPr>
          <w:p>
            <w:r/>
            <w:r>
              <w:rPr>
                <w:rFonts w:ascii="Times New Roman" w:hAnsi="Times New Roman" w:cs="Times New Roman" w:eastAsia="Times New Roman"/>
                <w:b/>
                <w:i w:val="0"/>
                <w:sz w:val="22"/>
              </w:rPr>
              <w:t>L-cysteine status</w:t>
            </w:r>
          </w:p>
        </w:tc>
      </w:tr>
      <w:tr>
        <w:tc>
          <w:tcPr>
            <w:tcW w:type="dxa" w:w="669"/>
          </w:tcPr>
          <w:p>
            <w:r/>
            <w:r>
              <w:rPr>
                <w:rFonts w:ascii="Times New Roman" w:hAnsi="Times New Roman" w:cs="Times New Roman" w:eastAsia="Times New Roman"/>
                <w:b w:val="0"/>
                <w:i w:val="0"/>
                <w:sz w:val="22"/>
              </w:rPr>
              <w:t>1</w:t>
            </w:r>
          </w:p>
        </w:tc>
        <w:tc>
          <w:tcPr>
            <w:tcW w:type="dxa" w:w="4011"/>
          </w:tcPr>
          <w:p>
            <w:r/>
            <w:r>
              <w:rPr>
                <w:rFonts w:ascii="Times New Roman" w:hAnsi="Times New Roman" w:cs="Times New Roman" w:eastAsia="Times New Roman"/>
                <w:b w:val="0"/>
                <w:i w:val="0"/>
                <w:sz w:val="22"/>
              </w:rPr>
              <w:t>PubMed</w:t>
            </w:r>
          </w:p>
        </w:tc>
        <w:tc>
          <w:tcPr>
            <w:tcW w:type="dxa" w:w="1337"/>
          </w:tcPr>
          <w:p>
            <w:r/>
            <w:r>
              <w:rPr>
                <w:rFonts w:ascii="Times New Roman" w:hAnsi="Times New Roman" w:cs="Times New Roman" w:eastAsia="Times New Roman"/>
                <w:b w:val="0"/>
                <w:i w:val="0"/>
                <w:sz w:val="22"/>
              </w:rPr>
              <w:t>api</w:t>
            </w:r>
          </w:p>
        </w:tc>
        <w:tc>
          <w:tcPr>
            <w:tcW w:type="dxa" w:w="3343"/>
          </w:tcPr>
          <w:p>
            <w:r/>
            <w:r>
              <w:rPr>
                <w:rFonts w:ascii="Times New Roman" w:hAnsi="Times New Roman" w:cs="Times New Roman" w:eastAsia="Times New Roman"/>
                <w:b w:val="0"/>
                <w:i w:val="0"/>
                <w:sz w:val="22"/>
              </w:rPr>
              <w:t>Verified</w:t>
            </w:r>
          </w:p>
        </w:tc>
      </w:tr>
      <w:tr>
        <w:tc>
          <w:tcPr>
            <w:tcW w:type="dxa" w:w="669"/>
          </w:tcPr>
          <w:p>
            <w:r/>
            <w:r>
              <w:rPr>
                <w:rFonts w:ascii="Times New Roman" w:hAnsi="Times New Roman" w:cs="Times New Roman" w:eastAsia="Times New Roman"/>
                <w:b w:val="0"/>
                <w:i w:val="0"/>
                <w:sz w:val="22"/>
              </w:rPr>
              <w:t>2</w:t>
            </w:r>
          </w:p>
        </w:tc>
        <w:tc>
          <w:tcPr>
            <w:tcW w:type="dxa" w:w="4011"/>
          </w:tcPr>
          <w:p>
            <w:r/>
            <w:r>
              <w:rPr>
                <w:rFonts w:ascii="Times New Roman" w:hAnsi="Times New Roman" w:cs="Times New Roman" w:eastAsia="Times New Roman"/>
                <w:b w:val="0"/>
                <w:i w:val="0"/>
                <w:sz w:val="22"/>
              </w:rPr>
              <w:t>PubMed Central</w:t>
            </w:r>
          </w:p>
        </w:tc>
        <w:tc>
          <w:tcPr>
            <w:tcW w:type="dxa" w:w="1337"/>
          </w:tcPr>
          <w:p>
            <w:r/>
            <w:r>
              <w:rPr>
                <w:rFonts w:ascii="Times New Roman" w:hAnsi="Times New Roman" w:cs="Times New Roman" w:eastAsia="Times New Roman"/>
                <w:b w:val="0"/>
                <w:i w:val="0"/>
                <w:sz w:val="22"/>
              </w:rPr>
              <w:t>api</w:t>
            </w:r>
          </w:p>
        </w:tc>
        <w:tc>
          <w:tcPr>
            <w:tcW w:type="dxa" w:w="3343"/>
          </w:tcPr>
          <w:p>
            <w:r/>
            <w:r>
              <w:rPr>
                <w:rFonts w:ascii="Times New Roman" w:hAnsi="Times New Roman" w:cs="Times New Roman" w:eastAsia="Times New Roman"/>
                <w:b w:val="0"/>
                <w:i w:val="0"/>
                <w:sz w:val="22"/>
              </w:rPr>
              <w:t>Verified (OA papers)</w:t>
            </w:r>
          </w:p>
        </w:tc>
      </w:tr>
      <w:tr>
        <w:tc>
          <w:tcPr>
            <w:tcW w:type="dxa" w:w="669"/>
          </w:tcPr>
          <w:p>
            <w:r/>
            <w:r>
              <w:rPr>
                <w:rFonts w:ascii="Times New Roman" w:hAnsi="Times New Roman" w:cs="Times New Roman" w:eastAsia="Times New Roman"/>
                <w:b w:val="0"/>
                <w:i w:val="0"/>
                <w:sz w:val="22"/>
              </w:rPr>
              <w:t>3</w:t>
            </w:r>
          </w:p>
        </w:tc>
        <w:tc>
          <w:tcPr>
            <w:tcW w:type="dxa" w:w="4011"/>
          </w:tcPr>
          <w:p>
            <w:r/>
            <w:r>
              <w:rPr>
                <w:rFonts w:ascii="Times New Roman" w:hAnsi="Times New Roman" w:cs="Times New Roman" w:eastAsia="Times New Roman"/>
                <w:b w:val="0"/>
                <w:i w:val="0"/>
                <w:sz w:val="22"/>
              </w:rPr>
              <w:t>Europe PMC</w:t>
            </w:r>
          </w:p>
        </w:tc>
        <w:tc>
          <w:tcPr>
            <w:tcW w:type="dxa" w:w="1337"/>
          </w:tcPr>
          <w:p>
            <w:r/>
            <w:r>
              <w:rPr>
                <w:rFonts w:ascii="Times New Roman" w:hAnsi="Times New Roman" w:cs="Times New Roman" w:eastAsia="Times New Roman"/>
                <w:b w:val="0"/>
                <w:i w:val="0"/>
                <w:sz w:val="22"/>
              </w:rPr>
              <w:t>api</w:t>
            </w:r>
          </w:p>
        </w:tc>
        <w:tc>
          <w:tcPr>
            <w:tcW w:type="dxa" w:w="3343"/>
          </w:tcPr>
          <w:p>
            <w:r/>
            <w:r>
              <w:rPr>
                <w:rFonts w:ascii="Times New Roman" w:hAnsi="Times New Roman" w:cs="Times New Roman" w:eastAsia="Times New Roman"/>
                <w:b w:val="0"/>
                <w:i w:val="0"/>
                <w:sz w:val="22"/>
              </w:rPr>
              <w:t>Verified</w:t>
            </w:r>
          </w:p>
        </w:tc>
      </w:tr>
      <w:tr>
        <w:tc>
          <w:tcPr>
            <w:tcW w:type="dxa" w:w="669"/>
          </w:tcPr>
          <w:p>
            <w:r/>
            <w:r>
              <w:rPr>
                <w:rFonts w:ascii="Times New Roman" w:hAnsi="Times New Roman" w:cs="Times New Roman" w:eastAsia="Times New Roman"/>
                <w:b w:val="0"/>
                <w:i w:val="0"/>
                <w:sz w:val="22"/>
              </w:rPr>
              <w:t>4</w:t>
            </w:r>
          </w:p>
        </w:tc>
        <w:tc>
          <w:tcPr>
            <w:tcW w:type="dxa" w:w="4011"/>
          </w:tcPr>
          <w:p>
            <w:r/>
            <w:r>
              <w:rPr>
                <w:rFonts w:ascii="Times New Roman" w:hAnsi="Times New Roman" w:cs="Times New Roman" w:eastAsia="Times New Roman"/>
                <w:b w:val="0"/>
                <w:i w:val="0"/>
                <w:sz w:val="22"/>
              </w:rPr>
              <w:t>OpenAlex</w:t>
            </w:r>
          </w:p>
        </w:tc>
        <w:tc>
          <w:tcPr>
            <w:tcW w:type="dxa" w:w="1337"/>
          </w:tcPr>
          <w:p>
            <w:r/>
            <w:r>
              <w:rPr>
                <w:rFonts w:ascii="Times New Roman" w:hAnsi="Times New Roman" w:cs="Times New Roman" w:eastAsia="Times New Roman"/>
                <w:b w:val="0"/>
                <w:i w:val="0"/>
                <w:sz w:val="22"/>
              </w:rPr>
              <w:t>api</w:t>
            </w:r>
          </w:p>
        </w:tc>
        <w:tc>
          <w:tcPr>
            <w:tcW w:type="dxa" w:w="3343"/>
          </w:tcPr>
          <w:p>
            <w:r/>
            <w:r>
              <w:rPr>
                <w:rFonts w:ascii="Times New Roman" w:hAnsi="Times New Roman" w:cs="Times New Roman" w:eastAsia="Times New Roman"/>
                <w:b w:val="0"/>
                <w:i w:val="0"/>
                <w:sz w:val="22"/>
              </w:rPr>
              <w:t>Verified (25 hits)</w:t>
            </w:r>
          </w:p>
        </w:tc>
      </w:tr>
      <w:tr>
        <w:tc>
          <w:tcPr>
            <w:tcW w:type="dxa" w:w="669"/>
          </w:tcPr>
          <w:p>
            <w:r/>
            <w:r>
              <w:rPr>
                <w:rFonts w:ascii="Times New Roman" w:hAnsi="Times New Roman" w:cs="Times New Roman" w:eastAsia="Times New Roman"/>
                <w:b w:val="0"/>
                <w:i w:val="0"/>
                <w:sz w:val="22"/>
              </w:rPr>
              <w:t>5</w:t>
            </w:r>
          </w:p>
        </w:tc>
        <w:tc>
          <w:tcPr>
            <w:tcW w:type="dxa" w:w="4011"/>
          </w:tcPr>
          <w:p>
            <w:r/>
            <w:r>
              <w:rPr>
                <w:rFonts w:ascii="Times New Roman" w:hAnsi="Times New Roman" w:cs="Times New Roman" w:eastAsia="Times New Roman"/>
                <w:b w:val="0"/>
                <w:i w:val="0"/>
                <w:sz w:val="22"/>
              </w:rPr>
              <w:t>PubChem</w:t>
            </w:r>
          </w:p>
        </w:tc>
        <w:tc>
          <w:tcPr>
            <w:tcW w:type="dxa" w:w="1337"/>
          </w:tcPr>
          <w:p>
            <w:r/>
            <w:r>
              <w:rPr>
                <w:rFonts w:ascii="Times New Roman" w:hAnsi="Times New Roman" w:cs="Times New Roman" w:eastAsia="Times New Roman"/>
                <w:b w:val="0"/>
                <w:i w:val="0"/>
                <w:sz w:val="22"/>
              </w:rPr>
              <w:t>api</w:t>
            </w:r>
          </w:p>
        </w:tc>
        <w:tc>
          <w:tcPr>
            <w:tcW w:type="dxa" w:w="3343"/>
          </w:tcPr>
          <w:p>
            <w:r/>
            <w:r>
              <w:rPr>
                <w:rFonts w:ascii="Times New Roman" w:hAnsi="Times New Roman" w:cs="Times New Roman" w:eastAsia="Times New Roman"/>
                <w:b w:val="0"/>
                <w:i w:val="0"/>
                <w:sz w:val="22"/>
              </w:rPr>
              <w:t>Verified (CID 5862)</w:t>
            </w:r>
          </w:p>
        </w:tc>
      </w:tr>
      <w:tr>
        <w:tc>
          <w:tcPr>
            <w:tcW w:type="dxa" w:w="669"/>
          </w:tcPr>
          <w:p>
            <w:r/>
            <w:r>
              <w:rPr>
                <w:rFonts w:ascii="Times New Roman" w:hAnsi="Times New Roman" w:cs="Times New Roman" w:eastAsia="Times New Roman"/>
                <w:b w:val="0"/>
                <w:i w:val="0"/>
                <w:sz w:val="22"/>
              </w:rPr>
              <w:t>6</w:t>
            </w:r>
          </w:p>
        </w:tc>
        <w:tc>
          <w:tcPr>
            <w:tcW w:type="dxa" w:w="4011"/>
          </w:tcPr>
          <w:p>
            <w:r/>
            <w:r>
              <w:rPr>
                <w:rFonts w:ascii="Times New Roman" w:hAnsi="Times New Roman" w:cs="Times New Roman" w:eastAsia="Times New Roman"/>
                <w:b w:val="0"/>
                <w:i w:val="0"/>
                <w:sz w:val="22"/>
              </w:rPr>
              <w:t>CrossRef</w:t>
            </w:r>
          </w:p>
        </w:tc>
        <w:tc>
          <w:tcPr>
            <w:tcW w:type="dxa" w:w="1337"/>
          </w:tcPr>
          <w:p>
            <w:r/>
            <w:r>
              <w:rPr>
                <w:rFonts w:ascii="Times New Roman" w:hAnsi="Times New Roman" w:cs="Times New Roman" w:eastAsia="Times New Roman"/>
                <w:b w:val="0"/>
                <w:i w:val="0"/>
                <w:sz w:val="22"/>
              </w:rPr>
              <w:t>api</w:t>
            </w:r>
          </w:p>
        </w:tc>
        <w:tc>
          <w:tcPr>
            <w:tcW w:type="dxa" w:w="3343"/>
          </w:tcPr>
          <w:p>
            <w:r/>
            <w:r>
              <w:rPr>
                <w:rFonts w:ascii="Times New Roman" w:hAnsi="Times New Roman" w:cs="Times New Roman" w:eastAsia="Times New Roman"/>
                <w:b w:val="0"/>
                <w:i w:val="0"/>
                <w:sz w:val="22"/>
              </w:rPr>
              <w:t>Indexed</w:t>
            </w:r>
          </w:p>
        </w:tc>
      </w:tr>
      <w:tr>
        <w:tc>
          <w:tcPr>
            <w:tcW w:type="dxa" w:w="669"/>
          </w:tcPr>
          <w:p>
            <w:r/>
            <w:r>
              <w:rPr>
                <w:rFonts w:ascii="Times New Roman" w:hAnsi="Times New Roman" w:cs="Times New Roman" w:eastAsia="Times New Roman"/>
                <w:b w:val="0"/>
                <w:i w:val="0"/>
                <w:sz w:val="22"/>
              </w:rPr>
              <w:t>7</w:t>
            </w:r>
          </w:p>
        </w:tc>
        <w:tc>
          <w:tcPr>
            <w:tcW w:type="dxa" w:w="4011"/>
          </w:tcPr>
          <w:p>
            <w:r/>
            <w:r>
              <w:rPr>
                <w:rFonts w:ascii="Times New Roman" w:hAnsi="Times New Roman" w:cs="Times New Roman" w:eastAsia="Times New Roman"/>
                <w:b w:val="0"/>
                <w:i w:val="0"/>
                <w:sz w:val="22"/>
              </w:rPr>
              <w:t>Semantic Scholar</w:t>
            </w:r>
          </w:p>
        </w:tc>
        <w:tc>
          <w:tcPr>
            <w:tcW w:type="dxa" w:w="1337"/>
          </w:tcPr>
          <w:p>
            <w:r/>
            <w:r>
              <w:rPr>
                <w:rFonts w:ascii="Times New Roman" w:hAnsi="Times New Roman" w:cs="Times New Roman" w:eastAsia="Times New Roman"/>
                <w:b w:val="0"/>
                <w:i w:val="0"/>
                <w:sz w:val="22"/>
              </w:rPr>
              <w:t>api</w:t>
            </w:r>
          </w:p>
        </w:tc>
        <w:tc>
          <w:tcPr>
            <w:tcW w:type="dxa" w:w="3343"/>
          </w:tcPr>
          <w:p>
            <w:r/>
            <w:r>
              <w:rPr>
                <w:rFonts w:ascii="Times New Roman" w:hAnsi="Times New Roman" w:cs="Times New Roman" w:eastAsia="Times New Roman"/>
                <w:b w:val="0"/>
                <w:i w:val="0"/>
                <w:sz w:val="22"/>
              </w:rPr>
              <w:t>Indexed</w:t>
            </w:r>
          </w:p>
        </w:tc>
      </w:tr>
      <w:tr>
        <w:tc>
          <w:tcPr>
            <w:tcW w:type="dxa" w:w="669"/>
          </w:tcPr>
          <w:p>
            <w:r/>
            <w:r>
              <w:rPr>
                <w:rFonts w:ascii="Times New Roman" w:hAnsi="Times New Roman" w:cs="Times New Roman" w:eastAsia="Times New Roman"/>
                <w:b w:val="0"/>
                <w:i w:val="0"/>
                <w:sz w:val="22"/>
              </w:rPr>
              <w:t>8</w:t>
            </w:r>
          </w:p>
        </w:tc>
        <w:tc>
          <w:tcPr>
            <w:tcW w:type="dxa" w:w="4011"/>
          </w:tcPr>
          <w:p>
            <w:r/>
            <w:r>
              <w:rPr>
                <w:rFonts w:ascii="Times New Roman" w:hAnsi="Times New Roman" w:cs="Times New Roman" w:eastAsia="Times New Roman"/>
                <w:b w:val="0"/>
                <w:i w:val="0"/>
                <w:sz w:val="22"/>
              </w:rPr>
              <w:t>Zenodo</w:t>
            </w:r>
          </w:p>
        </w:tc>
        <w:tc>
          <w:tcPr>
            <w:tcW w:type="dxa" w:w="1337"/>
          </w:tcPr>
          <w:p>
            <w:r/>
            <w:r>
              <w:rPr>
                <w:rFonts w:ascii="Times New Roman" w:hAnsi="Times New Roman" w:cs="Times New Roman" w:eastAsia="Times New Roman"/>
                <w:b w:val="0"/>
                <w:i w:val="0"/>
                <w:sz w:val="22"/>
              </w:rPr>
              <w:t>api</w:t>
            </w:r>
          </w:p>
        </w:tc>
        <w:tc>
          <w:tcPr>
            <w:tcW w:type="dxa" w:w="3343"/>
          </w:tcPr>
          <w:p>
            <w:r/>
            <w:r>
              <w:rPr>
                <w:rFonts w:ascii="Times New Roman" w:hAnsi="Times New Roman" w:cs="Times New Roman" w:eastAsia="Times New Roman"/>
                <w:b w:val="0"/>
                <w:i w:val="0"/>
                <w:sz w:val="22"/>
              </w:rPr>
              <w:t>Indexed</w:t>
            </w:r>
          </w:p>
        </w:tc>
      </w:tr>
      <w:tr>
        <w:tc>
          <w:tcPr>
            <w:tcW w:type="dxa" w:w="669"/>
          </w:tcPr>
          <w:p>
            <w:r/>
            <w:r>
              <w:rPr>
                <w:rFonts w:ascii="Times New Roman" w:hAnsi="Times New Roman" w:cs="Times New Roman" w:eastAsia="Times New Roman"/>
                <w:b w:val="0"/>
                <w:i w:val="0"/>
                <w:sz w:val="22"/>
              </w:rPr>
              <w:t>9</w:t>
            </w:r>
          </w:p>
        </w:tc>
        <w:tc>
          <w:tcPr>
            <w:tcW w:type="dxa" w:w="4011"/>
          </w:tcPr>
          <w:p>
            <w:r/>
            <w:r>
              <w:rPr>
                <w:rFonts w:ascii="Times New Roman" w:hAnsi="Times New Roman" w:cs="Times New Roman" w:eastAsia="Times New Roman"/>
                <w:b w:val="0"/>
                <w:i w:val="0"/>
                <w:sz w:val="22"/>
              </w:rPr>
              <w:t>EPA IRIS A-Z</w:t>
            </w:r>
          </w:p>
        </w:tc>
        <w:tc>
          <w:tcPr>
            <w:tcW w:type="dxa" w:w="1337"/>
          </w:tcPr>
          <w:p>
            <w:r/>
            <w:r>
              <w:rPr>
                <w:rFonts w:ascii="Times New Roman" w:hAnsi="Times New Roman" w:cs="Times New Roman" w:eastAsia="Times New Roman"/>
                <w:b w:val="0"/>
                <w:i w:val="0"/>
                <w:sz w:val="22"/>
              </w:rPr>
              <w:t>html_ok</w:t>
            </w:r>
          </w:p>
        </w:tc>
        <w:tc>
          <w:tcPr>
            <w:tcW w:type="dxa" w:w="3343"/>
          </w:tcPr>
          <w:p>
            <w:r/>
            <w:r>
              <w:rPr>
                <w:rFonts w:ascii="Times New Roman" w:hAnsi="Times New Roman" w:cs="Times New Roman" w:eastAsia="Times New Roman"/>
                <w:b w:val="0"/>
                <w:i w:val="0"/>
                <w:sz w:val="22"/>
              </w:rPr>
              <w:t>Not listed</w:t>
            </w:r>
          </w:p>
        </w:tc>
      </w:tr>
      <w:tr>
        <w:tc>
          <w:tcPr>
            <w:tcW w:type="dxa" w:w="669"/>
          </w:tcPr>
          <w:p>
            <w:r/>
            <w:r>
              <w:rPr>
                <w:rFonts w:ascii="Times New Roman" w:hAnsi="Times New Roman" w:cs="Times New Roman" w:eastAsia="Times New Roman"/>
                <w:b w:val="0"/>
                <w:i w:val="0"/>
                <w:sz w:val="22"/>
              </w:rPr>
              <w:t>10</w:t>
            </w:r>
          </w:p>
        </w:tc>
        <w:tc>
          <w:tcPr>
            <w:tcW w:type="dxa" w:w="4011"/>
          </w:tcPr>
          <w:p>
            <w:r/>
            <w:r>
              <w:rPr>
                <w:rFonts w:ascii="Times New Roman" w:hAnsi="Times New Roman" w:cs="Times New Roman" w:eastAsia="Times New Roman"/>
                <w:b w:val="0"/>
                <w:i w:val="0"/>
                <w:sz w:val="22"/>
              </w:rPr>
              <w:t>NTP ROC 15</w:t>
            </w:r>
          </w:p>
        </w:tc>
        <w:tc>
          <w:tcPr>
            <w:tcW w:type="dxa" w:w="1337"/>
          </w:tcPr>
          <w:p>
            <w:r/>
            <w:r>
              <w:rPr>
                <w:rFonts w:ascii="Times New Roman" w:hAnsi="Times New Roman" w:cs="Times New Roman" w:eastAsia="Times New Roman"/>
                <w:b w:val="0"/>
                <w:i w:val="0"/>
                <w:sz w:val="22"/>
              </w:rPr>
              <w:t>html_ok</w:t>
            </w:r>
          </w:p>
        </w:tc>
        <w:tc>
          <w:tcPr>
            <w:tcW w:type="dxa" w:w="3343"/>
          </w:tcPr>
          <w:p>
            <w:r/>
            <w:r>
              <w:rPr>
                <w:rFonts w:ascii="Times New Roman" w:hAnsi="Times New Roman" w:cs="Times New Roman" w:eastAsia="Times New Roman"/>
                <w:b w:val="0"/>
                <w:i w:val="0"/>
                <w:sz w:val="22"/>
              </w:rPr>
              <w:t>Not listed</w:t>
            </w:r>
          </w:p>
        </w:tc>
      </w:tr>
      <w:tr>
        <w:tc>
          <w:tcPr>
            <w:tcW w:type="dxa" w:w="669"/>
          </w:tcPr>
          <w:p>
            <w:r/>
            <w:r>
              <w:rPr>
                <w:rFonts w:ascii="Times New Roman" w:hAnsi="Times New Roman" w:cs="Times New Roman" w:eastAsia="Times New Roman"/>
                <w:b w:val="0"/>
                <w:i w:val="0"/>
                <w:sz w:val="22"/>
              </w:rPr>
              <w:t>11</w:t>
            </w:r>
          </w:p>
        </w:tc>
        <w:tc>
          <w:tcPr>
            <w:tcW w:type="dxa" w:w="4011"/>
          </w:tcPr>
          <w:p>
            <w:r/>
            <w:r>
              <w:rPr>
                <w:rFonts w:ascii="Times New Roman" w:hAnsi="Times New Roman" w:cs="Times New Roman" w:eastAsia="Times New Roman"/>
                <w:b w:val="0"/>
                <w:i w:val="0"/>
                <w:sz w:val="22"/>
              </w:rPr>
              <w:t>NIOSH Pocket Guide</w:t>
            </w:r>
          </w:p>
        </w:tc>
        <w:tc>
          <w:tcPr>
            <w:tcW w:type="dxa" w:w="1337"/>
          </w:tcPr>
          <w:p>
            <w:r/>
            <w:r>
              <w:rPr>
                <w:rFonts w:ascii="Times New Roman" w:hAnsi="Times New Roman" w:cs="Times New Roman" w:eastAsia="Times New Roman"/>
                <w:b w:val="0"/>
                <w:i w:val="0"/>
                <w:sz w:val="22"/>
              </w:rPr>
              <w:t>html_ok</w:t>
            </w:r>
          </w:p>
        </w:tc>
        <w:tc>
          <w:tcPr>
            <w:tcW w:type="dxa" w:w="3343"/>
          </w:tcPr>
          <w:p>
            <w:r/>
            <w:r>
              <w:rPr>
                <w:rFonts w:ascii="Times New Roman" w:hAnsi="Times New Roman" w:cs="Times New Roman" w:eastAsia="Times New Roman"/>
                <w:b w:val="0"/>
                <w:i w:val="0"/>
                <w:sz w:val="22"/>
              </w:rPr>
              <w:t>Not listed</w:t>
            </w:r>
          </w:p>
        </w:tc>
      </w:tr>
      <w:tr>
        <w:tc>
          <w:tcPr>
            <w:tcW w:type="dxa" w:w="669"/>
          </w:tcPr>
          <w:p>
            <w:r/>
            <w:r>
              <w:rPr>
                <w:rFonts w:ascii="Times New Roman" w:hAnsi="Times New Roman" w:cs="Times New Roman" w:eastAsia="Times New Roman"/>
                <w:b w:val="0"/>
                <w:i w:val="0"/>
                <w:sz w:val="22"/>
              </w:rPr>
              <w:t>12</w:t>
            </w:r>
          </w:p>
        </w:tc>
        <w:tc>
          <w:tcPr>
            <w:tcW w:type="dxa" w:w="4011"/>
          </w:tcPr>
          <w:p>
            <w:r/>
            <w:r>
              <w:rPr>
                <w:rFonts w:ascii="Times New Roman" w:hAnsi="Times New Roman" w:cs="Times New Roman" w:eastAsia="Times New Roman"/>
                <w:b w:val="0"/>
                <w:i w:val="0"/>
                <w:sz w:val="22"/>
              </w:rPr>
              <w:t>ATSDR ToxProfile Portal</w:t>
            </w:r>
          </w:p>
        </w:tc>
        <w:tc>
          <w:tcPr>
            <w:tcW w:type="dxa" w:w="1337"/>
          </w:tcPr>
          <w:p>
            <w:r/>
            <w:r>
              <w:rPr>
                <w:rFonts w:ascii="Times New Roman" w:hAnsi="Times New Roman" w:cs="Times New Roman" w:eastAsia="Times New Roman"/>
                <w:b w:val="0"/>
                <w:i w:val="0"/>
                <w:sz w:val="22"/>
              </w:rPr>
              <w:t>html_ok</w:t>
            </w:r>
          </w:p>
        </w:tc>
        <w:tc>
          <w:tcPr>
            <w:tcW w:type="dxa" w:w="3343"/>
          </w:tcPr>
          <w:p>
            <w:r/>
            <w:r>
              <w:rPr>
                <w:rFonts w:ascii="Times New Roman" w:hAnsi="Times New Roman" w:cs="Times New Roman" w:eastAsia="Times New Roman"/>
                <w:b w:val="0"/>
                <w:i w:val="0"/>
                <w:sz w:val="22"/>
              </w:rPr>
              <w:t>Not listed</w:t>
            </w:r>
          </w:p>
        </w:tc>
      </w:tr>
      <w:tr>
        <w:tc>
          <w:tcPr>
            <w:tcW w:type="dxa" w:w="669"/>
          </w:tcPr>
          <w:p>
            <w:r/>
            <w:r>
              <w:rPr>
                <w:rFonts w:ascii="Times New Roman" w:hAnsi="Times New Roman" w:cs="Times New Roman" w:eastAsia="Times New Roman"/>
                <w:b w:val="0"/>
                <w:i w:val="0"/>
                <w:sz w:val="22"/>
              </w:rPr>
              <w:t>13</w:t>
            </w:r>
          </w:p>
        </w:tc>
        <w:tc>
          <w:tcPr>
            <w:tcW w:type="dxa" w:w="4011"/>
          </w:tcPr>
          <w:p>
            <w:r/>
            <w:r>
              <w:rPr>
                <w:rFonts w:ascii="Times New Roman" w:hAnsi="Times New Roman" w:cs="Times New Roman" w:eastAsia="Times New Roman"/>
                <w:b w:val="0"/>
                <w:i w:val="0"/>
                <w:sz w:val="22"/>
              </w:rPr>
              <w:t>ATSDR ToxFAQs</w:t>
            </w:r>
          </w:p>
        </w:tc>
        <w:tc>
          <w:tcPr>
            <w:tcW w:type="dxa" w:w="1337"/>
          </w:tcPr>
          <w:p>
            <w:r/>
            <w:r>
              <w:rPr>
                <w:rFonts w:ascii="Times New Roman" w:hAnsi="Times New Roman" w:cs="Times New Roman" w:eastAsia="Times New Roman"/>
                <w:b w:val="0"/>
                <w:i w:val="0"/>
                <w:sz w:val="22"/>
              </w:rPr>
              <w:t>html_ok</w:t>
            </w:r>
          </w:p>
        </w:tc>
        <w:tc>
          <w:tcPr>
            <w:tcW w:type="dxa" w:w="3343"/>
          </w:tcPr>
          <w:p>
            <w:r/>
            <w:r>
              <w:rPr>
                <w:rFonts w:ascii="Times New Roman" w:hAnsi="Times New Roman" w:cs="Times New Roman" w:eastAsia="Times New Roman"/>
                <w:b w:val="0"/>
                <w:i w:val="0"/>
                <w:sz w:val="22"/>
              </w:rPr>
              <w:t>Not listed (404)</w:t>
            </w:r>
          </w:p>
        </w:tc>
      </w:tr>
      <w:tr>
        <w:tc>
          <w:tcPr>
            <w:tcW w:type="dxa" w:w="669"/>
          </w:tcPr>
          <w:p>
            <w:r/>
            <w:r>
              <w:rPr>
                <w:rFonts w:ascii="Times New Roman" w:hAnsi="Times New Roman" w:cs="Times New Roman" w:eastAsia="Times New Roman"/>
                <w:b w:val="0"/>
                <w:i w:val="0"/>
                <w:sz w:val="22"/>
              </w:rPr>
              <w:t>14</w:t>
            </w:r>
          </w:p>
        </w:tc>
        <w:tc>
          <w:tcPr>
            <w:tcW w:type="dxa" w:w="4011"/>
          </w:tcPr>
          <w:p>
            <w:r/>
            <w:r>
              <w:rPr>
                <w:rFonts w:ascii="Times New Roman" w:hAnsi="Times New Roman" w:cs="Times New Roman" w:eastAsia="Times New Roman"/>
                <w:b w:val="0"/>
                <w:i w:val="0"/>
                <w:sz w:val="22"/>
              </w:rPr>
              <w:t>Haz-Map</w:t>
            </w:r>
          </w:p>
        </w:tc>
        <w:tc>
          <w:tcPr>
            <w:tcW w:type="dxa" w:w="1337"/>
          </w:tcPr>
          <w:p>
            <w:r/>
            <w:r>
              <w:rPr>
                <w:rFonts w:ascii="Times New Roman" w:hAnsi="Times New Roman" w:cs="Times New Roman" w:eastAsia="Times New Roman"/>
                <w:b w:val="0"/>
                <w:i w:val="0"/>
                <w:sz w:val="22"/>
              </w:rPr>
              <w:t>html_ok</w:t>
            </w:r>
          </w:p>
        </w:tc>
        <w:tc>
          <w:tcPr>
            <w:tcW w:type="dxa" w:w="3343"/>
          </w:tcPr>
          <w:p>
            <w:r/>
            <w:r>
              <w:rPr>
                <w:rFonts w:ascii="Times New Roman" w:hAnsi="Times New Roman" w:cs="Times New Roman" w:eastAsia="Times New Roman"/>
                <w:b w:val="0"/>
                <w:i w:val="0"/>
                <w:sz w:val="22"/>
              </w:rPr>
              <w:t>Not listed (Not Found)</w:t>
            </w:r>
          </w:p>
        </w:tc>
      </w:tr>
      <w:tr>
        <w:tc>
          <w:tcPr>
            <w:tcW w:type="dxa" w:w="669"/>
          </w:tcPr>
          <w:p>
            <w:r/>
            <w:r>
              <w:rPr>
                <w:rFonts w:ascii="Times New Roman" w:hAnsi="Times New Roman" w:cs="Times New Roman" w:eastAsia="Times New Roman"/>
                <w:b w:val="0"/>
                <w:i w:val="0"/>
                <w:sz w:val="22"/>
              </w:rPr>
              <w:t>15</w:t>
            </w:r>
          </w:p>
        </w:tc>
        <w:tc>
          <w:tcPr>
            <w:tcW w:type="dxa" w:w="4011"/>
          </w:tcPr>
          <w:p>
            <w:r/>
            <w:r>
              <w:rPr>
                <w:rFonts w:ascii="Times New Roman" w:hAnsi="Times New Roman" w:cs="Times New Roman" w:eastAsia="Times New Roman"/>
                <w:b w:val="0"/>
                <w:i w:val="0"/>
                <w:sz w:val="22"/>
              </w:rPr>
              <w:t>OSHA Chemical Data</w:t>
            </w:r>
          </w:p>
        </w:tc>
        <w:tc>
          <w:tcPr>
            <w:tcW w:type="dxa" w:w="1337"/>
          </w:tcPr>
          <w:p>
            <w:r/>
            <w:r>
              <w:rPr>
                <w:rFonts w:ascii="Times New Roman" w:hAnsi="Times New Roman" w:cs="Times New Roman" w:eastAsia="Times New Roman"/>
                <w:b w:val="0"/>
                <w:i w:val="0"/>
                <w:sz w:val="22"/>
              </w:rPr>
              <w:t>html_ok</w:t>
            </w:r>
          </w:p>
        </w:tc>
        <w:tc>
          <w:tcPr>
            <w:tcW w:type="dxa" w:w="3343"/>
          </w:tcPr>
          <w:p>
            <w:r/>
            <w:r>
              <w:rPr>
                <w:rFonts w:ascii="Times New Roman" w:hAnsi="Times New Roman" w:cs="Times New Roman" w:eastAsia="Times New Roman"/>
                <w:b w:val="0"/>
                <w:i w:val="0"/>
                <w:sz w:val="22"/>
              </w:rPr>
              <w:t>Not listed (404)</w:t>
            </w:r>
          </w:p>
        </w:tc>
      </w:tr>
      <w:tr>
        <w:tc>
          <w:tcPr>
            <w:tcW w:type="dxa" w:w="669"/>
          </w:tcPr>
          <w:p>
            <w:r/>
            <w:r>
              <w:rPr>
                <w:rFonts w:ascii="Times New Roman" w:hAnsi="Times New Roman" w:cs="Times New Roman" w:eastAsia="Times New Roman"/>
                <w:b w:val="0"/>
                <w:i w:val="0"/>
                <w:sz w:val="22"/>
              </w:rPr>
              <w:t>16</w:t>
            </w:r>
          </w:p>
        </w:tc>
        <w:tc>
          <w:tcPr>
            <w:tcW w:type="dxa" w:w="4011"/>
          </w:tcPr>
          <w:p>
            <w:r/>
            <w:r>
              <w:rPr>
                <w:rFonts w:ascii="Times New Roman" w:hAnsi="Times New Roman" w:cs="Times New Roman" w:eastAsia="Times New Roman"/>
                <w:b w:val="0"/>
                <w:i w:val="0"/>
                <w:sz w:val="22"/>
              </w:rPr>
              <w:t>ILO ICSC</w:t>
            </w:r>
          </w:p>
        </w:tc>
        <w:tc>
          <w:tcPr>
            <w:tcW w:type="dxa" w:w="1337"/>
          </w:tcPr>
          <w:p>
            <w:r/>
            <w:r>
              <w:rPr>
                <w:rFonts w:ascii="Times New Roman" w:hAnsi="Times New Roman" w:cs="Times New Roman" w:eastAsia="Times New Roman"/>
                <w:b w:val="0"/>
                <w:i w:val="0"/>
                <w:sz w:val="22"/>
              </w:rPr>
              <w:t>html_ok</w:t>
            </w:r>
          </w:p>
        </w:tc>
        <w:tc>
          <w:tcPr>
            <w:tcW w:type="dxa" w:w="3343"/>
          </w:tcPr>
          <w:p>
            <w:r/>
            <w:r>
              <w:rPr>
                <w:rFonts w:ascii="Times New Roman" w:hAnsi="Times New Roman" w:cs="Times New Roman" w:eastAsia="Times New Roman"/>
                <w:b w:val="0"/>
                <w:i w:val="0"/>
                <w:sz w:val="22"/>
              </w:rPr>
              <w:t>Not listed (404)</w:t>
            </w:r>
          </w:p>
        </w:tc>
      </w:tr>
      <w:tr>
        <w:tc>
          <w:tcPr>
            <w:tcW w:type="dxa" w:w="669"/>
          </w:tcPr>
          <w:p>
            <w:r/>
            <w:r>
              <w:rPr>
                <w:rFonts w:ascii="Times New Roman" w:hAnsi="Times New Roman" w:cs="Times New Roman" w:eastAsia="Times New Roman"/>
                <w:b w:val="0"/>
                <w:i w:val="0"/>
                <w:sz w:val="22"/>
              </w:rPr>
              <w:t>17</w:t>
            </w:r>
          </w:p>
        </w:tc>
        <w:tc>
          <w:tcPr>
            <w:tcW w:type="dxa" w:w="4011"/>
          </w:tcPr>
          <w:p>
            <w:r/>
            <w:r>
              <w:rPr>
                <w:rFonts w:ascii="Times New Roman" w:hAnsi="Times New Roman" w:cs="Times New Roman" w:eastAsia="Times New Roman"/>
                <w:b w:val="0"/>
                <w:i w:val="0"/>
                <w:sz w:val="22"/>
              </w:rPr>
              <w:t>CalEPA OEHHA Prop 65</w:t>
            </w:r>
          </w:p>
        </w:tc>
        <w:tc>
          <w:tcPr>
            <w:tcW w:type="dxa" w:w="1337"/>
          </w:tcPr>
          <w:p>
            <w:r/>
            <w:r>
              <w:rPr>
                <w:rFonts w:ascii="Times New Roman" w:hAnsi="Times New Roman" w:cs="Times New Roman" w:eastAsia="Times New Roman"/>
                <w:b w:val="0"/>
                <w:i w:val="0"/>
                <w:sz w:val="22"/>
              </w:rPr>
              <w:t>html_ok</w:t>
            </w:r>
          </w:p>
        </w:tc>
        <w:tc>
          <w:tcPr>
            <w:tcW w:type="dxa" w:w="3343"/>
          </w:tcPr>
          <w:p>
            <w:r/>
            <w:r>
              <w:rPr>
                <w:rFonts w:ascii="Times New Roman" w:hAnsi="Times New Roman" w:cs="Times New Roman" w:eastAsia="Times New Roman"/>
                <w:b w:val="0"/>
                <w:i w:val="0"/>
                <w:sz w:val="22"/>
              </w:rPr>
              <w:t>Not listed</w:t>
            </w:r>
          </w:p>
        </w:tc>
      </w:tr>
      <w:tr>
        <w:tc>
          <w:tcPr>
            <w:tcW w:type="dxa" w:w="669"/>
          </w:tcPr>
          <w:p>
            <w:r/>
            <w:r>
              <w:rPr>
                <w:rFonts w:ascii="Times New Roman" w:hAnsi="Times New Roman" w:cs="Times New Roman" w:eastAsia="Times New Roman"/>
                <w:b w:val="0"/>
                <w:i w:val="0"/>
                <w:sz w:val="22"/>
              </w:rPr>
              <w:t>18</w:t>
            </w:r>
          </w:p>
        </w:tc>
        <w:tc>
          <w:tcPr>
            <w:tcW w:type="dxa" w:w="4011"/>
          </w:tcPr>
          <w:p>
            <w:r/>
            <w:r>
              <w:rPr>
                <w:rFonts w:ascii="Times New Roman" w:hAnsi="Times New Roman" w:cs="Times New Roman" w:eastAsia="Times New Roman"/>
                <w:b w:val="0"/>
                <w:i w:val="0"/>
                <w:sz w:val="22"/>
              </w:rPr>
              <w:t>WHO INCHEM/IPCS EHC</w:t>
            </w:r>
          </w:p>
        </w:tc>
        <w:tc>
          <w:tcPr>
            <w:tcW w:type="dxa" w:w="1337"/>
          </w:tcPr>
          <w:p>
            <w:r/>
            <w:r>
              <w:rPr>
                <w:rFonts w:ascii="Times New Roman" w:hAnsi="Times New Roman" w:cs="Times New Roman" w:eastAsia="Times New Roman"/>
                <w:b w:val="0"/>
                <w:i w:val="0"/>
                <w:sz w:val="22"/>
              </w:rPr>
              <w:t>html_ok</w:t>
            </w:r>
          </w:p>
        </w:tc>
        <w:tc>
          <w:tcPr>
            <w:tcW w:type="dxa" w:w="3343"/>
          </w:tcPr>
          <w:p>
            <w:r/>
            <w:r>
              <w:rPr>
                <w:rFonts w:ascii="Times New Roman" w:hAnsi="Times New Roman" w:cs="Times New Roman" w:eastAsia="Times New Roman"/>
                <w:b w:val="0"/>
                <w:i w:val="0"/>
                <w:sz w:val="22"/>
              </w:rPr>
              <w:t>Manual lookup required</w:t>
            </w:r>
          </w:p>
        </w:tc>
      </w:tr>
      <w:tr>
        <w:tc>
          <w:tcPr>
            <w:tcW w:type="dxa" w:w="669"/>
          </w:tcPr>
          <w:p>
            <w:r/>
            <w:r>
              <w:rPr>
                <w:rFonts w:ascii="Times New Roman" w:hAnsi="Times New Roman" w:cs="Times New Roman" w:eastAsia="Times New Roman"/>
                <w:b w:val="0"/>
                <w:i w:val="0"/>
                <w:sz w:val="22"/>
              </w:rPr>
              <w:t>19</w:t>
            </w:r>
          </w:p>
        </w:tc>
        <w:tc>
          <w:tcPr>
            <w:tcW w:type="dxa" w:w="4011"/>
          </w:tcPr>
          <w:p>
            <w:r/>
            <w:r>
              <w:rPr>
                <w:rFonts w:ascii="Times New Roman" w:hAnsi="Times New Roman" w:cs="Times New Roman" w:eastAsia="Times New Roman"/>
                <w:b w:val="0"/>
                <w:i w:val="0"/>
                <w:sz w:val="22"/>
              </w:rPr>
              <w:t>Australia HCIS</w:t>
            </w:r>
          </w:p>
        </w:tc>
        <w:tc>
          <w:tcPr>
            <w:tcW w:type="dxa" w:w="1337"/>
          </w:tcPr>
          <w:p>
            <w:r/>
            <w:r>
              <w:rPr>
                <w:rFonts w:ascii="Times New Roman" w:hAnsi="Times New Roman" w:cs="Times New Roman" w:eastAsia="Times New Roman"/>
                <w:b w:val="0"/>
                <w:i w:val="0"/>
                <w:sz w:val="22"/>
              </w:rPr>
              <w:t>html_ok</w:t>
            </w:r>
          </w:p>
        </w:tc>
        <w:tc>
          <w:tcPr>
            <w:tcW w:type="dxa" w:w="3343"/>
          </w:tcPr>
          <w:p>
            <w:r/>
            <w:r>
              <w:rPr>
                <w:rFonts w:ascii="Times New Roman" w:hAnsi="Times New Roman" w:cs="Times New Roman" w:eastAsia="Times New Roman"/>
                <w:b w:val="0"/>
                <w:i w:val="0"/>
                <w:sz w:val="22"/>
              </w:rPr>
              <w:t>Manual lookup required</w:t>
            </w:r>
          </w:p>
        </w:tc>
      </w:tr>
      <w:tr>
        <w:tc>
          <w:tcPr>
            <w:tcW w:type="dxa" w:w="669"/>
          </w:tcPr>
          <w:p>
            <w:r/>
            <w:r>
              <w:rPr>
                <w:rFonts w:ascii="Times New Roman" w:hAnsi="Times New Roman" w:cs="Times New Roman" w:eastAsia="Times New Roman"/>
                <w:b w:val="0"/>
                <w:i w:val="0"/>
                <w:sz w:val="22"/>
              </w:rPr>
              <w:t>20</w:t>
            </w:r>
          </w:p>
        </w:tc>
        <w:tc>
          <w:tcPr>
            <w:tcW w:type="dxa" w:w="4011"/>
          </w:tcPr>
          <w:p>
            <w:r/>
            <w:r>
              <w:rPr>
                <w:rFonts w:ascii="Times New Roman" w:hAnsi="Times New Roman" w:cs="Times New Roman" w:eastAsia="Times New Roman"/>
                <w:b w:val="0"/>
                <w:i w:val="0"/>
                <w:sz w:val="22"/>
              </w:rPr>
              <w:t>ECHA CHEM</w:t>
            </w:r>
          </w:p>
        </w:tc>
        <w:tc>
          <w:tcPr>
            <w:tcW w:type="dxa" w:w="1337"/>
          </w:tcPr>
          <w:p>
            <w:r/>
            <w:r>
              <w:rPr>
                <w:rFonts w:ascii="Times New Roman" w:hAnsi="Times New Roman" w:cs="Times New Roman" w:eastAsia="Times New Roman"/>
                <w:b w:val="0"/>
                <w:i w:val="0"/>
                <w:sz w:val="22"/>
              </w:rPr>
              <w:t>no_api</w:t>
            </w:r>
          </w:p>
        </w:tc>
        <w:tc>
          <w:tcPr>
            <w:tcW w:type="dxa" w:w="3343"/>
          </w:tcPr>
          <w:p>
            <w:r/>
            <w:r>
              <w:rPr>
                <w:rFonts w:ascii="Times New Roman" w:hAnsi="Times New Roman" w:cs="Times New Roman" w:eastAsia="Times New Roman"/>
                <w:b w:val="0"/>
                <w:i w:val="0"/>
                <w:sz w:val="22"/>
              </w:rPr>
              <w:t>JS-gated</w:t>
            </w:r>
          </w:p>
        </w:tc>
      </w:tr>
      <w:tr>
        <w:tc>
          <w:tcPr>
            <w:tcW w:type="dxa" w:w="669"/>
          </w:tcPr>
          <w:p>
            <w:r/>
            <w:r>
              <w:rPr>
                <w:rFonts w:ascii="Times New Roman" w:hAnsi="Times New Roman" w:cs="Times New Roman" w:eastAsia="Times New Roman"/>
                <w:b w:val="0"/>
                <w:i w:val="0"/>
                <w:sz w:val="22"/>
              </w:rPr>
              <w:t>21</w:t>
            </w:r>
          </w:p>
        </w:tc>
        <w:tc>
          <w:tcPr>
            <w:tcW w:type="dxa" w:w="4011"/>
          </w:tcPr>
          <w:p>
            <w:r/>
            <w:r>
              <w:rPr>
                <w:rFonts w:ascii="Times New Roman" w:hAnsi="Times New Roman" w:cs="Times New Roman" w:eastAsia="Times New Roman"/>
                <w:b w:val="0"/>
                <w:i w:val="0"/>
                <w:sz w:val="22"/>
              </w:rPr>
              <w:t>eChemPortal</w:t>
            </w:r>
          </w:p>
        </w:tc>
        <w:tc>
          <w:tcPr>
            <w:tcW w:type="dxa" w:w="1337"/>
          </w:tcPr>
          <w:p>
            <w:r/>
            <w:r>
              <w:rPr>
                <w:rFonts w:ascii="Times New Roman" w:hAnsi="Times New Roman" w:cs="Times New Roman" w:eastAsia="Times New Roman"/>
                <w:b w:val="0"/>
                <w:i w:val="0"/>
                <w:sz w:val="22"/>
              </w:rPr>
              <w:t>no_api</w:t>
            </w:r>
          </w:p>
        </w:tc>
        <w:tc>
          <w:tcPr>
            <w:tcW w:type="dxa" w:w="3343"/>
          </w:tcPr>
          <w:p>
            <w:r/>
            <w:r>
              <w:rPr>
                <w:rFonts w:ascii="Times New Roman" w:hAnsi="Times New Roman" w:cs="Times New Roman" w:eastAsia="Times New Roman"/>
                <w:b w:val="0"/>
                <w:i w:val="0"/>
                <w:sz w:val="22"/>
              </w:rPr>
              <w:t>Session-locked</w:t>
            </w:r>
          </w:p>
        </w:tc>
      </w:tr>
      <w:tr>
        <w:tc>
          <w:tcPr>
            <w:tcW w:type="dxa" w:w="669"/>
          </w:tcPr>
          <w:p>
            <w:r/>
            <w:r>
              <w:rPr>
                <w:rFonts w:ascii="Times New Roman" w:hAnsi="Times New Roman" w:cs="Times New Roman" w:eastAsia="Times New Roman"/>
                <w:b w:val="0"/>
                <w:i w:val="0"/>
                <w:sz w:val="22"/>
              </w:rPr>
              <w:t>22</w:t>
            </w:r>
          </w:p>
        </w:tc>
        <w:tc>
          <w:tcPr>
            <w:tcW w:type="dxa" w:w="4011"/>
          </w:tcPr>
          <w:p>
            <w:r/>
            <w:r>
              <w:rPr>
                <w:rFonts w:ascii="Times New Roman" w:hAnsi="Times New Roman" w:cs="Times New Roman" w:eastAsia="Times New Roman"/>
                <w:b w:val="0"/>
                <w:i w:val="0"/>
                <w:sz w:val="22"/>
              </w:rPr>
              <w:t>AICIS (AU)</w:t>
            </w:r>
          </w:p>
        </w:tc>
        <w:tc>
          <w:tcPr>
            <w:tcW w:type="dxa" w:w="1337"/>
          </w:tcPr>
          <w:p>
            <w:r/>
            <w:r>
              <w:rPr>
                <w:rFonts w:ascii="Times New Roman" w:hAnsi="Times New Roman" w:cs="Times New Roman" w:eastAsia="Times New Roman"/>
                <w:b w:val="0"/>
                <w:i w:val="0"/>
                <w:sz w:val="22"/>
              </w:rPr>
              <w:t>no_api</w:t>
            </w:r>
          </w:p>
        </w:tc>
        <w:tc>
          <w:tcPr>
            <w:tcW w:type="dxa" w:w="3343"/>
          </w:tcPr>
          <w:p>
            <w:r/>
            <w:r>
              <w:rPr>
                <w:rFonts w:ascii="Times New Roman" w:hAnsi="Times New Roman" w:cs="Times New Roman" w:eastAsia="Times New Roman"/>
                <w:b w:val="0"/>
                <w:i w:val="0"/>
                <w:sz w:val="22"/>
              </w:rPr>
              <w:t>Session-locked</w:t>
            </w:r>
          </w:p>
        </w:tc>
      </w:tr>
      <w:tr>
        <w:tc>
          <w:tcPr>
            <w:tcW w:type="dxa" w:w="669"/>
          </w:tcPr>
          <w:p>
            <w:r/>
            <w:r>
              <w:rPr>
                <w:rFonts w:ascii="Times New Roman" w:hAnsi="Times New Roman" w:cs="Times New Roman" w:eastAsia="Times New Roman"/>
                <w:b w:val="0"/>
                <w:i w:val="0"/>
                <w:sz w:val="22"/>
              </w:rPr>
              <w:t>23</w:t>
            </w:r>
          </w:p>
        </w:tc>
        <w:tc>
          <w:tcPr>
            <w:tcW w:type="dxa" w:w="4011"/>
          </w:tcPr>
          <w:p>
            <w:r/>
            <w:r>
              <w:rPr>
                <w:rFonts w:ascii="Times New Roman" w:hAnsi="Times New Roman" w:cs="Times New Roman" w:eastAsia="Times New Roman"/>
                <w:b w:val="0"/>
                <w:i w:val="0"/>
                <w:sz w:val="22"/>
              </w:rPr>
              <w:t>NITE (JP)</w:t>
            </w:r>
          </w:p>
        </w:tc>
        <w:tc>
          <w:tcPr>
            <w:tcW w:type="dxa" w:w="1337"/>
          </w:tcPr>
          <w:p>
            <w:r/>
            <w:r>
              <w:rPr>
                <w:rFonts w:ascii="Times New Roman" w:hAnsi="Times New Roman" w:cs="Times New Roman" w:eastAsia="Times New Roman"/>
                <w:b w:val="0"/>
                <w:i w:val="0"/>
                <w:sz w:val="22"/>
              </w:rPr>
              <w:t>no_api</w:t>
            </w:r>
          </w:p>
        </w:tc>
        <w:tc>
          <w:tcPr>
            <w:tcW w:type="dxa" w:w="3343"/>
          </w:tcPr>
          <w:p>
            <w:r/>
            <w:r>
              <w:rPr>
                <w:rFonts w:ascii="Times New Roman" w:hAnsi="Times New Roman" w:cs="Times New Roman" w:eastAsia="Times New Roman"/>
                <w:b w:val="0"/>
                <w:i w:val="0"/>
                <w:sz w:val="22"/>
              </w:rPr>
              <w:t>Session-locked</w:t>
            </w:r>
          </w:p>
        </w:tc>
      </w:tr>
      <w:tr>
        <w:tc>
          <w:tcPr>
            <w:tcW w:type="dxa" w:w="669"/>
          </w:tcPr>
          <w:p>
            <w:r/>
            <w:r>
              <w:rPr>
                <w:rFonts w:ascii="Times New Roman" w:hAnsi="Times New Roman" w:cs="Times New Roman" w:eastAsia="Times New Roman"/>
                <w:b w:val="0"/>
                <w:i w:val="0"/>
                <w:sz w:val="22"/>
              </w:rPr>
              <w:t>24</w:t>
            </w:r>
          </w:p>
        </w:tc>
        <w:tc>
          <w:tcPr>
            <w:tcW w:type="dxa" w:w="4011"/>
          </w:tcPr>
          <w:p>
            <w:r/>
            <w:r>
              <w:rPr>
                <w:rFonts w:ascii="Times New Roman" w:hAnsi="Times New Roman" w:cs="Times New Roman" w:eastAsia="Times New Roman"/>
                <w:b w:val="0"/>
                <w:i w:val="0"/>
                <w:sz w:val="22"/>
              </w:rPr>
              <w:t>Korea MOE NCIS</w:t>
            </w:r>
          </w:p>
        </w:tc>
        <w:tc>
          <w:tcPr>
            <w:tcW w:type="dxa" w:w="1337"/>
          </w:tcPr>
          <w:p>
            <w:r/>
            <w:r>
              <w:rPr>
                <w:rFonts w:ascii="Times New Roman" w:hAnsi="Times New Roman" w:cs="Times New Roman" w:eastAsia="Times New Roman"/>
                <w:b w:val="0"/>
                <w:i w:val="0"/>
                <w:sz w:val="22"/>
              </w:rPr>
              <w:t>no_api</w:t>
            </w:r>
          </w:p>
        </w:tc>
        <w:tc>
          <w:tcPr>
            <w:tcW w:type="dxa" w:w="3343"/>
          </w:tcPr>
          <w:p>
            <w:r/>
            <w:r>
              <w:rPr>
                <w:rFonts w:ascii="Times New Roman" w:hAnsi="Times New Roman" w:cs="Times New Roman" w:eastAsia="Times New Roman"/>
                <w:b w:val="0"/>
                <w:i w:val="0"/>
                <w:sz w:val="22"/>
              </w:rPr>
              <w:t>Session-locked</w:t>
            </w:r>
          </w:p>
        </w:tc>
      </w:tr>
      <w:tr>
        <w:tc>
          <w:tcPr>
            <w:tcW w:type="dxa" w:w="669"/>
          </w:tcPr>
          <w:p>
            <w:r/>
            <w:r>
              <w:rPr>
                <w:rFonts w:ascii="Times New Roman" w:hAnsi="Times New Roman" w:cs="Times New Roman" w:eastAsia="Times New Roman"/>
                <w:b w:val="0"/>
                <w:i w:val="0"/>
                <w:sz w:val="22"/>
              </w:rPr>
              <w:t>25</w:t>
            </w:r>
          </w:p>
        </w:tc>
        <w:tc>
          <w:tcPr>
            <w:tcW w:type="dxa" w:w="4011"/>
          </w:tcPr>
          <w:p>
            <w:r/>
            <w:r>
              <w:rPr>
                <w:rFonts w:ascii="Times New Roman" w:hAnsi="Times New Roman" w:cs="Times New Roman" w:eastAsia="Times New Roman"/>
                <w:b w:val="0"/>
                <w:i w:val="0"/>
                <w:sz w:val="22"/>
              </w:rPr>
              <w:t>CPDB</w:t>
            </w:r>
          </w:p>
        </w:tc>
        <w:tc>
          <w:tcPr>
            <w:tcW w:type="dxa" w:w="1337"/>
          </w:tcPr>
          <w:p>
            <w:r/>
            <w:r>
              <w:rPr>
                <w:rFonts w:ascii="Times New Roman" w:hAnsi="Times New Roman" w:cs="Times New Roman" w:eastAsia="Times New Roman"/>
                <w:b w:val="0"/>
                <w:i w:val="0"/>
                <w:sz w:val="22"/>
              </w:rPr>
              <w:t>no_api</w:t>
            </w:r>
          </w:p>
        </w:tc>
        <w:tc>
          <w:tcPr>
            <w:tcW w:type="dxa" w:w="3343"/>
          </w:tcPr>
          <w:p>
            <w:r/>
            <w:r>
              <w:rPr>
                <w:rFonts w:ascii="Times New Roman" w:hAnsi="Times New Roman" w:cs="Times New Roman" w:eastAsia="Times New Roman"/>
                <w:b w:val="0"/>
                <w:i w:val="0"/>
                <w:sz w:val="22"/>
              </w:rPr>
              <w:t>Archive only</w:t>
            </w:r>
          </w:p>
        </w:tc>
      </w:tr>
      <w:tr>
        <w:tc>
          <w:tcPr>
            <w:tcW w:type="dxa" w:w="669"/>
          </w:tcPr>
          <w:p>
            <w:r/>
            <w:r>
              <w:rPr>
                <w:rFonts w:ascii="Times New Roman" w:hAnsi="Times New Roman" w:cs="Times New Roman" w:eastAsia="Times New Roman"/>
                <w:b w:val="0"/>
                <w:i w:val="0"/>
                <w:sz w:val="22"/>
              </w:rPr>
              <w:t>26</w:t>
            </w:r>
          </w:p>
        </w:tc>
        <w:tc>
          <w:tcPr>
            <w:tcW w:type="dxa" w:w="4011"/>
          </w:tcPr>
          <w:p>
            <w:r/>
            <w:r>
              <w:rPr>
                <w:rFonts w:ascii="Times New Roman" w:hAnsi="Times New Roman" w:cs="Times New Roman" w:eastAsia="Times New Roman"/>
                <w:b w:val="0"/>
                <w:i w:val="0"/>
                <w:sz w:val="22"/>
              </w:rPr>
              <w:t>NIOSH IDLH</w:t>
            </w:r>
          </w:p>
        </w:tc>
        <w:tc>
          <w:tcPr>
            <w:tcW w:type="dxa" w:w="1337"/>
          </w:tcPr>
          <w:p>
            <w:r/>
            <w:r>
              <w:rPr>
                <w:rFonts w:ascii="Times New Roman" w:hAnsi="Times New Roman" w:cs="Times New Roman" w:eastAsia="Times New Roman"/>
                <w:b w:val="0"/>
                <w:i w:val="0"/>
                <w:sz w:val="22"/>
              </w:rPr>
              <w:t>no_api</w:t>
            </w:r>
          </w:p>
        </w:tc>
        <w:tc>
          <w:tcPr>
            <w:tcW w:type="dxa" w:w="3343"/>
          </w:tcPr>
          <w:p>
            <w:r/>
            <w:r>
              <w:rPr>
                <w:rFonts w:ascii="Times New Roman" w:hAnsi="Times New Roman" w:cs="Times New Roman" w:eastAsia="Times New Roman"/>
                <w:b w:val="0"/>
                <w:i w:val="0"/>
                <w:sz w:val="22"/>
              </w:rPr>
              <w:t>No assigned value</w:t>
            </w:r>
          </w:p>
        </w:tc>
      </w:tr>
    </w:tbl>
    <w:p>
      <w:pPr>
        <w:spacing w:after="80"/>
        <w:jc w:val="both"/>
      </w:pPr>
    </w:p>
    <w:p>
      <w:pPr>
        <w:keepNext/>
        <w:pageBreakBefore/>
        <w:spacing w:before="480" w:after="160"/>
        <w:outlineLvl w:val="0"/>
      </w:pPr>
      <w:r>
        <w:rPr>
          <w:rFonts w:ascii="Times New Roman" w:hAnsi="Times New Roman" w:cs="Times New Roman" w:eastAsia="Times New Roman"/>
          <w:b/>
          <w:i w:val="0"/>
          <w:color w:val="1F3D7A"/>
          <w:sz w:val="36"/>
        </w:rPr>
        <w:t>D.  Appendix D — Full Agency Portal Extracts</w:t>
      </w:r>
    </w:p>
    <w:p>
      <w:pPr>
        <w:spacing w:after="80"/>
        <w:jc w:val="both"/>
      </w:pPr>
      <w:r>
        <w:rPr>
          <w:rFonts w:ascii="Times New Roman" w:hAnsi="Times New Roman" w:cs="Times New Roman" w:eastAsia="Times New Roman"/>
          <w:b w:val="0"/>
          <w:i w:val="0"/>
          <w:sz w:val="24"/>
        </w:rPr>
        <w:t>Full verbatim reproduction of every agency page returned by the fetch_agency_profile tool on 2026-04-20. Each entry includes the URL, HTTP status, and the complete text preview as captured.</w:t>
      </w:r>
    </w:p>
    <w:p>
      <w:pPr>
        <w:keepNext/>
        <w:spacing w:before="280" w:after="80"/>
        <w:outlineLvl w:val="1"/>
      </w:pPr>
      <w:r>
        <w:rPr>
          <w:rFonts w:ascii="Times New Roman" w:hAnsi="Times New Roman" w:cs="Times New Roman" w:eastAsia="Times New Roman"/>
          <w:b/>
          <w:i w:val="0"/>
          <w:color w:val="335588"/>
          <w:sz w:val="28"/>
        </w:rPr>
        <w:t>ATSDR_ToxProfile_Search</w:t>
      </w:r>
    </w:p>
    <w:p>
      <w:pPr>
        <w:spacing w:after="80"/>
        <w:jc w:val="both"/>
      </w:pPr>
      <w:r>
        <w:rPr>
          <w:rFonts w:ascii="Times New Roman" w:hAnsi="Times New Roman" w:cs="Times New Roman" w:eastAsia="Times New Roman"/>
          <w:b w:val="0"/>
          <w:i w:val="0"/>
          <w:sz w:val="22"/>
        </w:rPr>
        <w:t>URL: https://wwwn.cdc.gov/TSP/substances/ToxSubstance.aspx?toxid=52-90-4</w:t>
      </w:r>
    </w:p>
    <w:p>
      <w:pPr>
        <w:spacing w:after="80"/>
        <w:jc w:val="both"/>
      </w:pPr>
      <w:r>
        <w:rPr>
          <w:rFonts w:ascii="Times New Roman" w:hAnsi="Times New Roman" w:cs="Times New Roman" w:eastAsia="Times New Roman"/>
          <w:b w:val="0"/>
          <w:i w:val="0"/>
          <w:sz w:val="22"/>
        </w:rPr>
        <w:t>HTTP status: 200</w:t>
      </w:r>
    </w:p>
    <w:p>
      <w:pPr>
        <w:spacing w:after="80"/>
        <w:jc w:val="both"/>
      </w:pPr>
      <w:r>
        <w:rPr>
          <w:rFonts w:ascii="Times New Roman" w:hAnsi="Times New Roman" w:cs="Times New Roman" w:eastAsia="Times New Roman"/>
          <w:b/>
          <w:i w:val="0"/>
          <w:sz w:val="22"/>
        </w:rPr>
        <w:t>Verbatim extract:</w:t>
      </w:r>
    </w:p>
    <w:p>
      <w:pPr>
        <w:spacing w:after="80"/>
        <w:jc w:val="both"/>
      </w:pPr>
      <w:r>
        <w:rPr>
          <w:rFonts w:ascii="Times New Roman" w:hAnsi="Times New Roman" w:cs="Times New Roman" w:eastAsia="Times New Roman"/>
          <w:b w:val="0"/>
          <w:i/>
          <w:sz w:val="24"/>
        </w:rPr>
        <w:t>“Search Substances by Chemical Abstracts, Service Number (CAS#), Substance Name, Synonym, or Tradename. Toxicological Resources. Toxicological Resources Listing. Newsletter. Sign up for Email updates: Toxic Substances Newsletter. Page last reviewed: February 10, 2021. Content source: Agency for Toxic Substances and Disease Registry.”</w:t>
      </w:r>
    </w:p>
    <w:p>
      <w:pPr>
        <w:keepNext/>
        <w:spacing w:before="280" w:after="80"/>
        <w:outlineLvl w:val="1"/>
      </w:pPr>
      <w:r>
        <w:rPr>
          <w:rFonts w:ascii="Times New Roman" w:hAnsi="Times New Roman" w:cs="Times New Roman" w:eastAsia="Times New Roman"/>
          <w:b/>
          <w:i w:val="0"/>
          <w:color w:val="335588"/>
          <w:sz w:val="28"/>
        </w:rPr>
        <w:t>EPA_IRIS_Search</w:t>
      </w:r>
    </w:p>
    <w:p>
      <w:pPr>
        <w:spacing w:after="80"/>
        <w:jc w:val="both"/>
      </w:pPr>
      <w:r>
        <w:rPr>
          <w:rFonts w:ascii="Times New Roman" w:hAnsi="Times New Roman" w:cs="Times New Roman" w:eastAsia="Times New Roman"/>
          <w:b w:val="0"/>
          <w:i w:val="0"/>
          <w:sz w:val="22"/>
        </w:rPr>
        <w:t>URL: https://iris.epa.gov/AtoZ/?list_type=alpha</w:t>
      </w:r>
    </w:p>
    <w:p>
      <w:pPr>
        <w:spacing w:after="80"/>
        <w:jc w:val="both"/>
      </w:pPr>
      <w:r>
        <w:rPr>
          <w:rFonts w:ascii="Times New Roman" w:hAnsi="Times New Roman" w:cs="Times New Roman" w:eastAsia="Times New Roman"/>
          <w:b w:val="0"/>
          <w:i w:val="0"/>
          <w:sz w:val="22"/>
        </w:rPr>
        <w:t>HTTP status: 200</w:t>
      </w:r>
    </w:p>
    <w:p>
      <w:pPr>
        <w:spacing w:after="80"/>
        <w:jc w:val="both"/>
      </w:pPr>
      <w:r>
        <w:rPr>
          <w:rFonts w:ascii="Times New Roman" w:hAnsi="Times New Roman" w:cs="Times New Roman" w:eastAsia="Times New Roman"/>
          <w:b/>
          <w:i w:val="0"/>
          <w:sz w:val="22"/>
        </w:rPr>
        <w:t>Verbatim extract:</w:t>
      </w:r>
    </w:p>
    <w:p>
      <w:pPr>
        <w:spacing w:after="80"/>
        <w:jc w:val="both"/>
      </w:pPr>
      <w:r>
        <w:rPr>
          <w:rFonts w:ascii="Times New Roman" w:hAnsi="Times New Roman" w:cs="Times New Roman" w:eastAsia="Times New Roman"/>
          <w:b w:val="0"/>
          <w:i/>
          <w:sz w:val="24"/>
        </w:rPr>
        <w:t>“IRIS. List of Substances on IRIS. List A to Z. Final IRIS assessments in alphabetical order by chemical name. Additional information can be downloaded by visiting the IRIS Advanced Search feature. The "Last Significant Revision" column refers to the most recent statement of or change to a toxicity value (RfD, RfC, slope factor or unit risk), or most recent significant statement of or change to the basis or justification for the conclusions in the assessment.”</w:t>
      </w:r>
    </w:p>
    <w:p>
      <w:pPr>
        <w:keepNext/>
        <w:spacing w:before="280" w:after="80"/>
        <w:outlineLvl w:val="1"/>
      </w:pPr>
      <w:r>
        <w:rPr>
          <w:rFonts w:ascii="Times New Roman" w:hAnsi="Times New Roman" w:cs="Times New Roman" w:eastAsia="Times New Roman"/>
          <w:b/>
          <w:i w:val="0"/>
          <w:color w:val="335588"/>
          <w:sz w:val="28"/>
        </w:rPr>
        <w:t>NTP_ROC</w:t>
      </w:r>
    </w:p>
    <w:p>
      <w:pPr>
        <w:spacing w:after="80"/>
        <w:jc w:val="both"/>
      </w:pPr>
      <w:r>
        <w:rPr>
          <w:rFonts w:ascii="Times New Roman" w:hAnsi="Times New Roman" w:cs="Times New Roman" w:eastAsia="Times New Roman"/>
          <w:b w:val="0"/>
          <w:i w:val="0"/>
          <w:sz w:val="22"/>
        </w:rPr>
        <w:t>URL: https://ntp.niehs.nih.gov/go/roc15</w:t>
      </w:r>
    </w:p>
    <w:p>
      <w:pPr>
        <w:spacing w:after="80"/>
        <w:jc w:val="both"/>
      </w:pPr>
      <w:r>
        <w:rPr>
          <w:rFonts w:ascii="Times New Roman" w:hAnsi="Times New Roman" w:cs="Times New Roman" w:eastAsia="Times New Roman"/>
          <w:b w:val="0"/>
          <w:i w:val="0"/>
          <w:sz w:val="22"/>
        </w:rPr>
        <w:t>HTTP status: 200</w:t>
      </w:r>
    </w:p>
    <w:p>
      <w:pPr>
        <w:spacing w:after="80"/>
        <w:jc w:val="both"/>
      </w:pPr>
      <w:r>
        <w:rPr>
          <w:rFonts w:ascii="Times New Roman" w:hAnsi="Times New Roman" w:cs="Times New Roman" w:eastAsia="Times New Roman"/>
          <w:b/>
          <w:i w:val="0"/>
          <w:sz w:val="22"/>
        </w:rPr>
        <w:t>Verbatim extract:</w:t>
      </w:r>
    </w:p>
    <w:p>
      <w:pPr>
        <w:spacing w:after="80"/>
        <w:jc w:val="both"/>
      </w:pPr>
      <w:r>
        <w:rPr>
          <w:rFonts w:ascii="Times New Roman" w:hAnsi="Times New Roman" w:cs="Times New Roman" w:eastAsia="Times New Roman"/>
          <w:b w:val="0"/>
          <w:i/>
          <w:sz w:val="24"/>
        </w:rPr>
        <w:t>“15th Report on Carcinogens. The Report on Carcinogens is a congressionally mandated, science-based public health document that NTP prepares for the U.S. Department of Health and Human Services (HHS) Secretary. This cumulative report now includes 256 listings of substances — chemical, physical, and biological agents; mixtures; and exposure circumstances — that are known or reasonably anticipated to cause cancer in humans. The latest report, the 15th Report on Carcinogens, was released on December 21, 2021.”</w:t>
      </w:r>
    </w:p>
    <w:p>
      <w:pPr>
        <w:keepNext/>
        <w:spacing w:before="280" w:after="80"/>
        <w:outlineLvl w:val="1"/>
      </w:pPr>
      <w:r>
        <w:rPr>
          <w:rFonts w:ascii="Times New Roman" w:hAnsi="Times New Roman" w:cs="Times New Roman" w:eastAsia="Times New Roman"/>
          <w:b/>
          <w:i w:val="0"/>
          <w:color w:val="335588"/>
          <w:sz w:val="28"/>
        </w:rPr>
        <w:t>NIOSH_NPG_Search</w:t>
      </w:r>
    </w:p>
    <w:p>
      <w:pPr>
        <w:spacing w:after="80"/>
        <w:jc w:val="both"/>
      </w:pPr>
      <w:r>
        <w:rPr>
          <w:rFonts w:ascii="Times New Roman" w:hAnsi="Times New Roman" w:cs="Times New Roman" w:eastAsia="Times New Roman"/>
          <w:b w:val="0"/>
          <w:i w:val="0"/>
          <w:sz w:val="22"/>
        </w:rPr>
        <w:t>URL: https://www.cdc.gov/niosh/npg/npgsyn-l.html</w:t>
      </w:r>
    </w:p>
    <w:p>
      <w:pPr>
        <w:spacing w:after="80"/>
        <w:jc w:val="both"/>
      </w:pPr>
      <w:r>
        <w:rPr>
          <w:rFonts w:ascii="Times New Roman" w:hAnsi="Times New Roman" w:cs="Times New Roman" w:eastAsia="Times New Roman"/>
          <w:b w:val="0"/>
          <w:i w:val="0"/>
          <w:sz w:val="22"/>
        </w:rPr>
        <w:t>HTTP status: 200</w:t>
      </w:r>
    </w:p>
    <w:p>
      <w:pPr>
        <w:spacing w:after="80"/>
        <w:jc w:val="both"/>
      </w:pPr>
      <w:r>
        <w:rPr>
          <w:rFonts w:ascii="Times New Roman" w:hAnsi="Times New Roman" w:cs="Times New Roman" w:eastAsia="Times New Roman"/>
          <w:b/>
          <w:i w:val="0"/>
          <w:sz w:val="22"/>
        </w:rPr>
        <w:t>Verbatim extract:</w:t>
      </w:r>
    </w:p>
    <w:p>
      <w:pPr>
        <w:spacing w:after="80"/>
        <w:jc w:val="both"/>
      </w:pPr>
      <w:r>
        <w:rPr>
          <w:rFonts w:ascii="Times New Roman" w:hAnsi="Times New Roman" w:cs="Times New Roman" w:eastAsia="Times New Roman"/>
          <w:b w:val="0"/>
          <w:i/>
          <w:sz w:val="24"/>
        </w:rPr>
        <w:t>“Index of Chemical Names, Synonyms and Trade Names: L. Entries cross-referenced in the NIOSH Pocket Guide under the letter L include: β-Lactone (CAS 57-57-8), Lamp black (CAS 1333-86-4), Lannate (CAS 16752-77-5), Lanstan (CAS 600-25-9), Laughing gas (CAS 10024-97-2), Laurel camphor (CAS 76-22-2), Lauryl mercaptan (CAS 112-55-0), Lead (CAS 7439-92-1), Lepidolite (CAS 12001-26-2), Lindane (CAS 58-89-9), Lithium hydride (CAS 7580-67-8), Liquefied petroleum gas (CAS 68476-85-7). Page last reviewed: October 17, 2018.”</w:t>
      </w:r>
    </w:p>
    <w:p>
      <w:pPr>
        <w:keepNext/>
        <w:spacing w:before="280" w:after="80"/>
        <w:outlineLvl w:val="1"/>
      </w:pPr>
      <w:r>
        <w:rPr>
          <w:rFonts w:ascii="Times New Roman" w:hAnsi="Times New Roman" w:cs="Times New Roman" w:eastAsia="Times New Roman"/>
          <w:b/>
          <w:i w:val="0"/>
          <w:color w:val="335588"/>
          <w:sz w:val="28"/>
        </w:rPr>
        <w:t>ILO_ICSC_Search</w:t>
      </w:r>
    </w:p>
    <w:p>
      <w:pPr>
        <w:spacing w:after="80"/>
        <w:jc w:val="both"/>
      </w:pPr>
      <w:r>
        <w:rPr>
          <w:rFonts w:ascii="Times New Roman" w:hAnsi="Times New Roman" w:cs="Times New Roman" w:eastAsia="Times New Roman"/>
          <w:b w:val="0"/>
          <w:i w:val="0"/>
          <w:sz w:val="22"/>
        </w:rPr>
        <w:t>URL: https://www.ilo.org/dyn/icsc/showcard.listCards3?p_lang=en&amp;p_search_text=52-90-4</w:t>
      </w:r>
    </w:p>
    <w:p>
      <w:pPr>
        <w:spacing w:after="80"/>
        <w:jc w:val="both"/>
      </w:pPr>
      <w:r>
        <w:rPr>
          <w:rFonts w:ascii="Times New Roman" w:hAnsi="Times New Roman" w:cs="Times New Roman" w:eastAsia="Times New Roman"/>
          <w:b w:val="0"/>
          <w:i w:val="0"/>
          <w:sz w:val="22"/>
        </w:rPr>
        <w:t>HTTP status: 404</w:t>
      </w:r>
    </w:p>
    <w:p>
      <w:pPr>
        <w:spacing w:after="80"/>
        <w:jc w:val="both"/>
      </w:pPr>
      <w:r>
        <w:rPr>
          <w:rFonts w:ascii="Times New Roman" w:hAnsi="Times New Roman" w:cs="Times New Roman" w:eastAsia="Times New Roman"/>
          <w:b/>
          <w:i w:val="0"/>
          <w:sz w:val="22"/>
        </w:rPr>
        <w:t>Verbatim extract:</w:t>
      </w:r>
    </w:p>
    <w:p>
      <w:pPr>
        <w:spacing w:after="80"/>
        <w:jc w:val="both"/>
      </w:pPr>
      <w:r>
        <w:rPr>
          <w:rFonts w:ascii="Times New Roman" w:hAnsi="Times New Roman" w:cs="Times New Roman" w:eastAsia="Times New Roman"/>
          <w:b w:val="0"/>
          <w:i/>
          <w:sz w:val="24"/>
        </w:rPr>
        <w:t>“404 Not Found — nginx/1.21.5”</w:t>
      </w:r>
    </w:p>
    <w:p>
      <w:pPr>
        <w:keepNext/>
        <w:spacing w:before="280" w:after="80"/>
        <w:outlineLvl w:val="1"/>
      </w:pPr>
      <w:r>
        <w:rPr>
          <w:rFonts w:ascii="Times New Roman" w:hAnsi="Times New Roman" w:cs="Times New Roman" w:eastAsia="Times New Roman"/>
          <w:b/>
          <w:i w:val="0"/>
          <w:color w:val="335588"/>
          <w:sz w:val="28"/>
        </w:rPr>
        <w:t>CalEPA_OEHHA_Prop65</w:t>
      </w:r>
    </w:p>
    <w:p>
      <w:pPr>
        <w:spacing w:after="80"/>
        <w:jc w:val="both"/>
      </w:pPr>
      <w:r>
        <w:rPr>
          <w:rFonts w:ascii="Times New Roman" w:hAnsi="Times New Roman" w:cs="Times New Roman" w:eastAsia="Times New Roman"/>
          <w:b w:val="0"/>
          <w:i w:val="0"/>
          <w:sz w:val="22"/>
        </w:rPr>
        <w:t>URL: https://oehha.ca.gov/proposition-65/chemicals/l-cysteine</w:t>
      </w:r>
    </w:p>
    <w:p>
      <w:pPr>
        <w:spacing w:after="80"/>
        <w:jc w:val="both"/>
      </w:pPr>
      <w:r>
        <w:rPr>
          <w:rFonts w:ascii="Times New Roman" w:hAnsi="Times New Roman" w:cs="Times New Roman" w:eastAsia="Times New Roman"/>
          <w:b w:val="0"/>
          <w:i w:val="0"/>
          <w:sz w:val="22"/>
        </w:rPr>
        <w:t>HTTP status: 200</w:t>
      </w:r>
    </w:p>
    <w:p>
      <w:pPr>
        <w:spacing w:after="80"/>
        <w:jc w:val="both"/>
      </w:pPr>
      <w:r>
        <w:rPr>
          <w:rFonts w:ascii="Times New Roman" w:hAnsi="Times New Roman" w:cs="Times New Roman" w:eastAsia="Times New Roman"/>
          <w:b/>
          <w:i w:val="0"/>
          <w:sz w:val="22"/>
        </w:rPr>
        <w:t>Verbatim extract:</w:t>
      </w:r>
    </w:p>
    <w:p>
      <w:pPr>
        <w:spacing w:after="80"/>
        <w:jc w:val="both"/>
      </w:pPr>
      <w:r>
        <w:rPr>
          <w:rFonts w:ascii="Times New Roman" w:hAnsi="Times New Roman" w:cs="Times New Roman" w:eastAsia="Times New Roman"/>
          <w:b w:val="0"/>
          <w:i/>
          <w:sz w:val="24"/>
        </w:rPr>
        <w:t>“(empty extraction)”</w:t>
      </w:r>
    </w:p>
    <w:p>
      <w:pPr>
        <w:keepNext/>
        <w:spacing w:before="280" w:after="80"/>
        <w:outlineLvl w:val="1"/>
      </w:pPr>
      <w:r>
        <w:rPr>
          <w:rFonts w:ascii="Times New Roman" w:hAnsi="Times New Roman" w:cs="Times New Roman" w:eastAsia="Times New Roman"/>
          <w:b/>
          <w:i w:val="0"/>
          <w:color w:val="335588"/>
          <w:sz w:val="28"/>
        </w:rPr>
        <w:t>OSHA_Chemical</w:t>
      </w:r>
    </w:p>
    <w:p>
      <w:pPr>
        <w:spacing w:after="80"/>
        <w:jc w:val="both"/>
      </w:pPr>
      <w:r>
        <w:rPr>
          <w:rFonts w:ascii="Times New Roman" w:hAnsi="Times New Roman" w:cs="Times New Roman" w:eastAsia="Times New Roman"/>
          <w:b w:val="0"/>
          <w:i w:val="0"/>
          <w:sz w:val="22"/>
        </w:rPr>
        <w:t>URL: https://www.osha.gov/chemicaldata/l-cysteine</w:t>
      </w:r>
    </w:p>
    <w:p>
      <w:pPr>
        <w:spacing w:after="80"/>
        <w:jc w:val="both"/>
      </w:pPr>
      <w:r>
        <w:rPr>
          <w:rFonts w:ascii="Times New Roman" w:hAnsi="Times New Roman" w:cs="Times New Roman" w:eastAsia="Times New Roman"/>
          <w:b w:val="0"/>
          <w:i w:val="0"/>
          <w:sz w:val="22"/>
        </w:rPr>
        <w:t>HTTP status: 404</w:t>
      </w:r>
    </w:p>
    <w:p>
      <w:pPr>
        <w:spacing w:after="80"/>
        <w:jc w:val="both"/>
      </w:pPr>
      <w:r>
        <w:rPr>
          <w:rFonts w:ascii="Times New Roman" w:hAnsi="Times New Roman" w:cs="Times New Roman" w:eastAsia="Times New Roman"/>
          <w:b/>
          <w:i w:val="0"/>
          <w:sz w:val="22"/>
        </w:rPr>
        <w:t>Verbatim extract:</w:t>
      </w:r>
    </w:p>
    <w:p>
      <w:pPr>
        <w:spacing w:after="80"/>
        <w:jc w:val="both"/>
      </w:pPr>
      <w:r>
        <w:rPr>
          <w:rFonts w:ascii="Times New Roman" w:hAnsi="Times New Roman" w:cs="Times New Roman" w:eastAsia="Times New Roman"/>
          <w:b w:val="0"/>
          <w:i/>
          <w:sz w:val="24"/>
        </w:rPr>
        <w:t>“SERVER ERROR — Message # 404 - File Not Found. The URL that you have requested is either invalid or no longer available. If the URL that you have requested is from an old bookmark or a link on the OSHA website, it may have been updated, or the content may no longer be available.”</w:t>
      </w:r>
    </w:p>
    <w:p>
      <w:pPr>
        <w:keepNext/>
        <w:spacing w:before="280" w:after="80"/>
        <w:outlineLvl w:val="1"/>
      </w:pPr>
      <w:r>
        <w:rPr>
          <w:rFonts w:ascii="Times New Roman" w:hAnsi="Times New Roman" w:cs="Times New Roman" w:eastAsia="Times New Roman"/>
          <w:b/>
          <w:i w:val="0"/>
          <w:color w:val="335588"/>
          <w:sz w:val="28"/>
        </w:rPr>
        <w:t>Haz_Map</w:t>
      </w:r>
    </w:p>
    <w:p>
      <w:pPr>
        <w:spacing w:after="80"/>
        <w:jc w:val="both"/>
      </w:pPr>
      <w:r>
        <w:rPr>
          <w:rFonts w:ascii="Times New Roman" w:hAnsi="Times New Roman" w:cs="Times New Roman" w:eastAsia="Times New Roman"/>
          <w:b w:val="0"/>
          <w:i w:val="0"/>
          <w:sz w:val="22"/>
        </w:rPr>
        <w:t>URL: https://haz-map.com/Agents/l-cysteine</w:t>
      </w:r>
    </w:p>
    <w:p>
      <w:pPr>
        <w:spacing w:after="80"/>
        <w:jc w:val="both"/>
      </w:pPr>
      <w:r>
        <w:rPr>
          <w:rFonts w:ascii="Times New Roman" w:hAnsi="Times New Roman" w:cs="Times New Roman" w:eastAsia="Times New Roman"/>
          <w:b w:val="0"/>
          <w:i w:val="0"/>
          <w:sz w:val="22"/>
        </w:rPr>
        <w:t>HTTP status: 200</w:t>
      </w:r>
    </w:p>
    <w:p>
      <w:pPr>
        <w:spacing w:after="80"/>
        <w:jc w:val="both"/>
      </w:pPr>
      <w:r>
        <w:rPr>
          <w:rFonts w:ascii="Times New Roman" w:hAnsi="Times New Roman" w:cs="Times New Roman" w:eastAsia="Times New Roman"/>
          <w:b/>
          <w:i w:val="0"/>
          <w:sz w:val="22"/>
        </w:rPr>
        <w:t>Verbatim extract:</w:t>
      </w:r>
    </w:p>
    <w:p>
      <w:pPr>
        <w:spacing w:after="80"/>
        <w:jc w:val="both"/>
      </w:pPr>
      <w:r>
        <w:rPr>
          <w:rFonts w:ascii="Times New Roman" w:hAnsi="Times New Roman" w:cs="Times New Roman" w:eastAsia="Times New Roman"/>
          <w:b w:val="0"/>
          <w:i/>
          <w:sz w:val="24"/>
        </w:rPr>
        <w:t>“Haz-Map. Work-Related Questions: Is contact dermatitis work-related? Is eczema work-related? Are infections work-related? Are skin infections work-related? Is pulmonary fibrosis work-related? Is cancer work-related? Is contact urticaria work-related? Is asthma work-related? Is lead poisoning work-related? Is toxic pneumonitis work-related? Is hypersensitivity pneumonitis work-related? Is methemoglobinemia work-related? Is hepatitis work-related? As of 2026-04-20 17:19:12 we know the following: Not Found.”</w:t>
      </w:r>
    </w:p>
    <w:p>
      <w:pPr>
        <w:keepNext/>
        <w:spacing w:before="280" w:after="80"/>
        <w:outlineLvl w:val="1"/>
      </w:pPr>
      <w:r>
        <w:rPr>
          <w:rFonts w:ascii="Times New Roman" w:hAnsi="Times New Roman" w:cs="Times New Roman" w:eastAsia="Times New Roman"/>
          <w:b/>
          <w:i w:val="0"/>
          <w:color w:val="335588"/>
          <w:sz w:val="28"/>
        </w:rPr>
        <w:t>ATSDR_ToxFAQs</w:t>
      </w:r>
    </w:p>
    <w:p>
      <w:pPr>
        <w:spacing w:after="80"/>
        <w:jc w:val="both"/>
      </w:pPr>
      <w:r>
        <w:rPr>
          <w:rFonts w:ascii="Times New Roman" w:hAnsi="Times New Roman" w:cs="Times New Roman" w:eastAsia="Times New Roman"/>
          <w:b w:val="0"/>
          <w:i w:val="0"/>
          <w:sz w:val="22"/>
        </w:rPr>
        <w:t>URL: https://www.atsdr.cdc.gov/toxfaqs/tfactsl-cysteine.pdf</w:t>
      </w:r>
    </w:p>
    <w:p>
      <w:pPr>
        <w:spacing w:after="80"/>
        <w:jc w:val="both"/>
      </w:pPr>
      <w:r>
        <w:rPr>
          <w:rFonts w:ascii="Times New Roman" w:hAnsi="Times New Roman" w:cs="Times New Roman" w:eastAsia="Times New Roman"/>
          <w:b w:val="0"/>
          <w:i w:val="0"/>
          <w:sz w:val="22"/>
        </w:rPr>
        <w:t>HTTP status: 404</w:t>
      </w:r>
    </w:p>
    <w:p>
      <w:pPr>
        <w:spacing w:after="80"/>
        <w:jc w:val="both"/>
      </w:pPr>
      <w:r>
        <w:rPr>
          <w:rFonts w:ascii="Times New Roman" w:hAnsi="Times New Roman" w:cs="Times New Roman" w:eastAsia="Times New Roman"/>
          <w:b/>
          <w:i w:val="0"/>
          <w:sz w:val="22"/>
        </w:rPr>
        <w:t>Verbatim extract:</w:t>
      </w:r>
    </w:p>
    <w:p>
      <w:pPr>
        <w:spacing w:after="80"/>
        <w:jc w:val="both"/>
      </w:pPr>
      <w:r>
        <w:rPr>
          <w:rFonts w:ascii="Times New Roman" w:hAnsi="Times New Roman" w:cs="Times New Roman" w:eastAsia="Times New Roman"/>
          <w:b w:val="0"/>
          <w:i/>
          <w:sz w:val="24"/>
        </w:rPr>
        <w:t>“File not present (404).”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