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4AE23">
      <w:pPr>
        <w:spacing w:before="0" w:after="80" w:line="48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Evaluation Performance Summary</w:t>
      </w:r>
    </w:p>
    <w:p w14:paraId="6F5F5F4F">
      <w:pPr>
        <w:pStyle w:val="2"/>
        <w:pBdr>
          <w:bottom w:val="single" w:color="2E5FA3" w:sz="8" w:space="1"/>
        </w:pBdr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3864"/>
          <w:sz w:val="26"/>
          <w:szCs w:val="26"/>
        </w:rPr>
        <w:t>Executive Summary</w:t>
      </w:r>
    </w:p>
    <w:p w14:paraId="5BBBFE38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444444"/>
          <w:sz w:val="20"/>
          <w:szCs w:val="20"/>
        </w:rPr>
        <w:t>This report presents the evaluation results for the BOQ (Bill of Quantities) AI model across two core tasks: field extraction from unstructured construction text, and semantic comparison between two BOQ revisions. The evaluation was conducted using purpose-built test datasets designed to reflect realistic construction domain scenarios.</w:t>
      </w:r>
    </w:p>
    <w:p w14:paraId="33DF044F">
      <w:pPr>
        <w:spacing w:before="60" w:after="0"/>
        <w:rPr>
          <w:rFonts w:hint="default" w:ascii="Times New Roman" w:hAnsi="Times New Roman" w:cs="Times New Roman"/>
        </w:rPr>
      </w:pPr>
    </w:p>
    <w:p w14:paraId="51D87506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444444"/>
          <w:sz w:val="20"/>
          <w:szCs w:val="20"/>
        </w:rPr>
        <w:t>The model demonstrates strong semantic understanding and reliable output generation. The Comparison task achieved higher accuracy (57.5%) with zero empty predictions, while the Extraction task reached 49.7% accuracy, with clear pathways for improvement through data standardisation and prompt engineering.</w:t>
      </w:r>
    </w:p>
    <w:p w14:paraId="68DE1CC2">
      <w:pPr>
        <w:spacing w:before="200" w:after="0"/>
        <w:rPr>
          <w:rFonts w:hint="default" w:ascii="Times New Roman" w:hAnsi="Times New Roman" w:cs="Times New Roman"/>
          <w:sz w:val="2"/>
          <w:szCs w:val="2"/>
        </w:rPr>
      </w:pPr>
    </w:p>
    <w:p w14:paraId="26090E08">
      <w:pPr>
        <w:pStyle w:val="2"/>
        <w:pBdr>
          <w:bottom w:val="single" w:color="2E5FA3" w:sz="8" w:space="1"/>
        </w:pBdr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3864"/>
          <w:sz w:val="26"/>
          <w:szCs w:val="26"/>
        </w:rPr>
        <w:t>Key Performance Indicators</w:t>
      </w:r>
    </w:p>
    <w:p w14:paraId="2EC17A93">
      <w:pPr>
        <w:spacing w:before="80" w:after="0"/>
        <w:rPr>
          <w:rFonts w:hint="default" w:ascii="Times New Roman" w:hAnsi="Times New Roman" w:cs="Times New Roman"/>
        </w:rPr>
      </w:pPr>
    </w:p>
    <w:tbl>
      <w:tblPr>
        <w:tblStyle w:val="9"/>
        <w:tblW w:w="6052" w:type="dxa"/>
        <w:jc w:val="center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6"/>
        <w:gridCol w:w="3026"/>
      </w:tblGrid>
      <w:tr w14:paraId="535EC91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8" w:hRule="atLeast"/>
          <w:jc w:val="center"/>
        </w:trPr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20" w:type="dxa"/>
              <w:left w:w="280" w:type="dxa"/>
              <w:bottom w:w="220" w:type="dxa"/>
              <w:right w:w="280" w:type="dxa"/>
            </w:tcMar>
          </w:tcPr>
          <w:p w14:paraId="1E3A70B8">
            <w:pPr>
              <w:spacing w:before="0" w:after="4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sz w:val="52"/>
                <w:szCs w:val="52"/>
              </w:rPr>
              <w:t>49.7%</w:t>
            </w:r>
          </w:p>
          <w:p w14:paraId="724BB671">
            <w:pPr>
              <w:spacing w:before="0" w:after="4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sz w:val="18"/>
                <w:szCs w:val="18"/>
              </w:rPr>
              <w:t>Extraction Accuracy</w:t>
            </w:r>
          </w:p>
          <w:p w14:paraId="6FC6868C">
            <w:pPr>
              <w:spacing w:before="0" w:after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/>
                <w:sz w:val="16"/>
                <w:szCs w:val="16"/>
              </w:rPr>
              <w:t>180 samples evaluated</w:t>
            </w:r>
          </w:p>
        </w:tc>
        <w:tc>
          <w:tcPr>
            <w:tcW w:w="3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20" w:type="dxa"/>
              <w:left w:w="280" w:type="dxa"/>
              <w:bottom w:w="220" w:type="dxa"/>
              <w:right w:w="280" w:type="dxa"/>
            </w:tcMar>
          </w:tcPr>
          <w:p w14:paraId="3FF56B5F">
            <w:pPr>
              <w:spacing w:before="0" w:after="4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sz w:val="52"/>
                <w:szCs w:val="52"/>
              </w:rPr>
              <w:t>57.5%</w:t>
            </w:r>
          </w:p>
          <w:p w14:paraId="2E215305">
            <w:pPr>
              <w:spacing w:before="0" w:after="4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sz w:val="18"/>
                <w:szCs w:val="18"/>
              </w:rPr>
              <w:t>Comparison Accuracy</w:t>
            </w:r>
          </w:p>
          <w:p w14:paraId="4E306ACF">
            <w:pPr>
              <w:spacing w:before="0" w:after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/>
                <w:sz w:val="16"/>
                <w:szCs w:val="16"/>
              </w:rPr>
              <w:t>50 samples evaluated</w:t>
            </w:r>
          </w:p>
        </w:tc>
      </w:tr>
    </w:tbl>
    <w:p w14:paraId="44659F2D">
      <w:pPr>
        <w:spacing w:before="220" w:after="0"/>
        <w:rPr>
          <w:rFonts w:hint="default" w:ascii="Times New Roman" w:hAnsi="Times New Roman" w:cs="Times New Roman"/>
          <w:sz w:val="2"/>
          <w:szCs w:val="2"/>
        </w:rPr>
      </w:pPr>
    </w:p>
    <w:p w14:paraId="1C60FEAF">
      <w:pPr>
        <w:pStyle w:val="2"/>
        <w:pBdr>
          <w:bottom w:val="single" w:color="2E5FA3" w:sz="8" w:space="1"/>
        </w:pBdr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3864"/>
          <w:sz w:val="26"/>
          <w:szCs w:val="26"/>
        </w:rPr>
        <w:t>Dataset Overview</w:t>
      </w:r>
    </w:p>
    <w:p w14:paraId="559531E3">
      <w:pPr>
        <w:pStyle w:val="3"/>
        <w:spacing w:before="20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2"/>
          <w:szCs w:val="22"/>
        </w:rPr>
        <w:t>Extraction Dataset</w:t>
      </w:r>
    </w:p>
    <w:p w14:paraId="1FBB0389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444444"/>
          <w:sz w:val="20"/>
          <w:szCs w:val="20"/>
        </w:rPr>
        <w:t>180 samples covering diverse BOQ descriptions with the following structured output fields:</w:t>
      </w:r>
    </w:p>
    <w:p w14:paraId="69D8CAB7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444444"/>
          <w:sz w:val="20"/>
          <w:szCs w:val="20"/>
        </w:rPr>
        <w:t>material   —   grade   —   thickness   —   mortar_ratio</w:t>
      </w:r>
      <w:bookmarkStart w:id="0" w:name="_GoBack"/>
      <w:bookmarkEnd w:id="0"/>
    </w:p>
    <w:p w14:paraId="1228C96C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444444"/>
          <w:sz w:val="20"/>
          <w:szCs w:val="20"/>
        </w:rPr>
        <w:t>reinforcement   —   location   —   work_type</w:t>
      </w:r>
    </w:p>
    <w:p w14:paraId="3BD3C98F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444444"/>
          <w:sz w:val="20"/>
          <w:szCs w:val="20"/>
        </w:rPr>
        <w:t>Samples span five construction categories: Structural, Masonry, Finishing, MEP, and Specialty Works. Intentional semantic variation was introduced to test model generalisation beyond training patterns.</w:t>
      </w:r>
    </w:p>
    <w:p w14:paraId="50C9D495">
      <w:pPr>
        <w:spacing w:before="80" w:after="0"/>
        <w:rPr>
          <w:rFonts w:hint="default" w:ascii="Times New Roman" w:hAnsi="Times New Roman" w:cs="Times New Roman"/>
          <w:sz w:val="4"/>
          <w:szCs w:val="4"/>
        </w:rPr>
      </w:pPr>
    </w:p>
    <w:p w14:paraId="247A944A">
      <w:pPr>
        <w:pStyle w:val="3"/>
        <w:spacing w:before="20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2"/>
          <w:szCs w:val="22"/>
        </w:rPr>
        <w:t>Comparison Dataset</w:t>
      </w:r>
    </w:p>
    <w:p w14:paraId="603F0066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444444"/>
          <w:sz w:val="20"/>
          <w:szCs w:val="20"/>
        </w:rPr>
        <w:t>50 samples, each containing two BOQ versions with structured ground-truth output across:</w:t>
      </w:r>
    </w:p>
    <w:p w14:paraId="395BB664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444444"/>
          <w:sz w:val="20"/>
          <w:szCs w:val="20"/>
        </w:rPr>
        <w:t>modified   —   added   —   removed   —   unchanged</w:t>
      </w:r>
    </w:p>
    <w:p w14:paraId="017B1F6B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444444"/>
          <w:sz w:val="20"/>
          <w:szCs w:val="20"/>
        </w:rPr>
        <w:t>Dataset is weighted towards modifications and unchanged items to reflect typical real-world BOQ revision patterns. Removal cases represent fewer than 10% of samples.</w:t>
      </w:r>
    </w:p>
    <w:p w14:paraId="2D321FE9">
      <w:pPr>
        <w:spacing w:before="220" w:after="0"/>
        <w:rPr>
          <w:rFonts w:hint="default" w:ascii="Times New Roman" w:hAnsi="Times New Roman" w:cs="Times New Roman"/>
          <w:sz w:val="2"/>
          <w:szCs w:val="2"/>
        </w:rPr>
      </w:pPr>
    </w:p>
    <w:p w14:paraId="321AC1D6">
      <w:pPr>
        <w:pStyle w:val="2"/>
        <w:pBdr>
          <w:bottom w:val="single" w:color="2E5FA3" w:sz="8" w:space="1"/>
        </w:pBdr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3864"/>
          <w:sz w:val="26"/>
          <w:szCs w:val="26"/>
        </w:rPr>
        <w:t>Evaluation Results</w:t>
      </w:r>
    </w:p>
    <w:p w14:paraId="3DFBD1CC">
      <w:pPr>
        <w:spacing w:before="80" w:after="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600"/>
        <w:gridCol w:w="1600"/>
        <w:gridCol w:w="1800"/>
        <w:gridCol w:w="1560"/>
      </w:tblGrid>
      <w:tr w14:paraId="5165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946A5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6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6493C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18"/>
                <w:szCs w:val="18"/>
              </w:rPr>
              <w:t>Samples</w:t>
            </w:r>
          </w:p>
        </w:tc>
        <w:tc>
          <w:tcPr>
            <w:tcW w:w="16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71861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18"/>
                <w:szCs w:val="18"/>
              </w:rPr>
              <w:t>Accuracy</w:t>
            </w:r>
          </w:p>
        </w:tc>
        <w:tc>
          <w:tcPr>
            <w:tcW w:w="18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E8887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18"/>
                <w:szCs w:val="18"/>
              </w:rPr>
              <w:t>Empty Rate</w:t>
            </w:r>
          </w:p>
        </w:tc>
        <w:tc>
          <w:tcPr>
            <w:tcW w:w="156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4A3F6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18"/>
                <w:szCs w:val="18"/>
              </w:rPr>
              <w:t>Reliability</w:t>
            </w:r>
          </w:p>
        </w:tc>
      </w:tr>
      <w:tr w14:paraId="6BCEC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9FC78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3864"/>
                <w:sz w:val="19"/>
                <w:szCs w:val="19"/>
              </w:rPr>
              <w:t>Extraction</w:t>
            </w:r>
          </w:p>
        </w:tc>
        <w:tc>
          <w:tcPr>
            <w:tcW w:w="16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02D61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444444"/>
                <w:sz w:val="19"/>
                <w:szCs w:val="19"/>
              </w:rPr>
              <w:t>180</w:t>
            </w:r>
          </w:p>
        </w:tc>
        <w:tc>
          <w:tcPr>
            <w:tcW w:w="16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C5603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A7ABF"/>
                <w:sz w:val="19"/>
                <w:szCs w:val="19"/>
              </w:rPr>
              <w:t>49.7%</w:t>
            </w:r>
          </w:p>
        </w:tc>
        <w:tc>
          <w:tcPr>
            <w:tcW w:w="18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30813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444444"/>
                <w:sz w:val="19"/>
                <w:szCs w:val="19"/>
              </w:rPr>
              <w:t>N/A</w:t>
            </w:r>
          </w:p>
        </w:tc>
        <w:tc>
          <w:tcPr>
            <w:tcW w:w="156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315E0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C97A00"/>
                <w:sz w:val="19"/>
                <w:szCs w:val="19"/>
              </w:rPr>
              <w:t>Moderate</w:t>
            </w:r>
          </w:p>
        </w:tc>
      </w:tr>
      <w:tr w14:paraId="733EF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7DD68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3864"/>
                <w:sz w:val="19"/>
                <w:szCs w:val="19"/>
              </w:rPr>
              <w:t>Comparison</w:t>
            </w:r>
          </w:p>
        </w:tc>
        <w:tc>
          <w:tcPr>
            <w:tcW w:w="16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E2054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444444"/>
                <w:sz w:val="19"/>
                <w:szCs w:val="19"/>
              </w:rPr>
              <w:t>50</w:t>
            </w:r>
          </w:p>
        </w:tc>
        <w:tc>
          <w:tcPr>
            <w:tcW w:w="16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256FA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A7A4A"/>
                <w:sz w:val="19"/>
                <w:szCs w:val="19"/>
              </w:rPr>
              <w:t>57.5%</w:t>
            </w:r>
          </w:p>
        </w:tc>
        <w:tc>
          <w:tcPr>
            <w:tcW w:w="18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FFA58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A7A4A"/>
                <w:sz w:val="19"/>
                <w:szCs w:val="19"/>
              </w:rPr>
              <w:t>0.0%</w:t>
            </w:r>
          </w:p>
        </w:tc>
        <w:tc>
          <w:tcPr>
            <w:tcW w:w="156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9996D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1A7A4A"/>
                <w:sz w:val="19"/>
                <w:szCs w:val="19"/>
              </w:rPr>
              <w:t>High</w:t>
            </w:r>
          </w:p>
        </w:tc>
      </w:tr>
    </w:tbl>
    <w:p w14:paraId="6D5BF19C">
      <w:pPr>
        <w:pStyle w:val="2"/>
        <w:pBdr>
          <w:bottom w:val="single" w:color="2E5FA3" w:sz="8" w:space="1"/>
        </w:pBdr>
        <w:spacing w:before="280" w:after="80"/>
        <w:rPr>
          <w:rFonts w:hint="default" w:ascii="Times New Roman" w:hAnsi="Times New Roman" w:eastAsia="Arial" w:cs="Times New Roman"/>
          <w:b/>
          <w:bCs/>
          <w:color w:val="1F3864"/>
          <w:sz w:val="26"/>
          <w:szCs w:val="26"/>
        </w:rPr>
      </w:pPr>
    </w:p>
    <w:p w14:paraId="4785FD66">
      <w:pPr>
        <w:pStyle w:val="2"/>
        <w:pBdr>
          <w:bottom w:val="single" w:color="2E5FA3" w:sz="8" w:space="1"/>
        </w:pBdr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3864"/>
          <w:sz w:val="26"/>
          <w:szCs w:val="26"/>
        </w:rPr>
        <w:t>Strengths &amp; Current Gaps</w:t>
      </w:r>
    </w:p>
    <w:p w14:paraId="5824A2DF">
      <w:pPr>
        <w:spacing w:before="80" w:after="0"/>
        <w:rPr>
          <w:rFonts w:hint="default" w:ascii="Times New Roman" w:hAnsi="Times New Roman" w:cs="Times New Roman"/>
        </w:rPr>
      </w:pPr>
    </w:p>
    <w:tbl>
      <w:tblPr>
        <w:tblStyle w:val="9"/>
        <w:tblW w:w="9120" w:type="dxa"/>
        <w:jc w:val="center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60"/>
        <w:gridCol w:w="4560"/>
      </w:tblGrid>
      <w:tr w14:paraId="1541F78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39CAC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sz w:val="20"/>
                <w:szCs w:val="20"/>
              </w:rPr>
              <w:t>Strengths</w:t>
            </w:r>
          </w:p>
        </w:tc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79E6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sz w:val="20"/>
                <w:szCs w:val="20"/>
              </w:rPr>
              <w:t>Current Gaps</w:t>
            </w:r>
          </w:p>
        </w:tc>
      </w:tr>
      <w:tr w14:paraId="5F86AD8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08788">
            <w:pPr>
              <w:pStyle w:val="16"/>
              <w:numPr>
                <w:ilvl w:val="0"/>
                <w:numId w:val="1"/>
              </w:numPr>
              <w:spacing w:before="40" w:after="4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Arial" w:cs="Times New Roman"/>
                <w:color w:val="000000"/>
                <w:sz w:val="18"/>
                <w:szCs w:val="18"/>
              </w:rPr>
              <w:t>Accurately captures material, grade, and thickness fields</w:t>
            </w:r>
          </w:p>
          <w:p w14:paraId="118256D6">
            <w:pPr>
              <w:pStyle w:val="16"/>
              <w:numPr>
                <w:ilvl w:val="0"/>
                <w:numId w:val="1"/>
              </w:numPr>
              <w:spacing w:before="40" w:after="4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Arial" w:cs="Times New Roman"/>
                <w:color w:val="000000"/>
                <w:sz w:val="18"/>
                <w:szCs w:val="18"/>
              </w:rPr>
              <w:t>Zero empty predictions in comparison task</w:t>
            </w:r>
          </w:p>
          <w:p w14:paraId="7A0A8740">
            <w:pPr>
              <w:pStyle w:val="16"/>
              <w:numPr>
                <w:ilvl w:val="0"/>
                <w:numId w:val="1"/>
              </w:numPr>
              <w:spacing w:before="40" w:after="4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Arial" w:cs="Times New Roman"/>
                <w:color w:val="000000"/>
                <w:sz w:val="18"/>
                <w:szCs w:val="18"/>
              </w:rPr>
              <w:t>Strong detection of modifications and additions</w:t>
            </w:r>
          </w:p>
          <w:p w14:paraId="76D14A0E">
            <w:pPr>
              <w:pStyle w:val="16"/>
              <w:numPr>
                <w:ilvl w:val="0"/>
                <w:numId w:val="1"/>
              </w:numPr>
              <w:spacing w:before="40" w:after="4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Arial" w:cs="Times New Roman"/>
                <w:color w:val="000000"/>
                <w:sz w:val="18"/>
                <w:szCs w:val="18"/>
              </w:rPr>
              <w:t>Stable and consistent output generation</w:t>
            </w:r>
          </w:p>
          <w:p w14:paraId="2BB9A69B">
            <w:pPr>
              <w:pStyle w:val="16"/>
              <w:numPr>
                <w:ilvl w:val="0"/>
                <w:numId w:val="1"/>
              </w:numPr>
              <w:spacing w:before="40" w:after="4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Arial" w:cs="Times New Roman"/>
                <w:color w:val="000000"/>
                <w:sz w:val="18"/>
                <w:szCs w:val="18"/>
              </w:rPr>
              <w:t>Handles diverse BOQ terminology effectively</w:t>
            </w:r>
          </w:p>
        </w:tc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0B831B">
            <w:pPr>
              <w:pStyle w:val="16"/>
              <w:numPr>
                <w:ilvl w:val="0"/>
                <w:numId w:val="1"/>
              </w:numPr>
              <w:spacing w:before="40" w:after="4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Arial" w:cs="Times New Roman"/>
                <w:color w:val="000000"/>
                <w:sz w:val="18"/>
                <w:szCs w:val="18"/>
              </w:rPr>
              <w:t>Field naming inconsistencies (e.g. 'mesh' vs 'reinforcement')</w:t>
            </w:r>
          </w:p>
          <w:p w14:paraId="596752C9">
            <w:pPr>
              <w:pStyle w:val="16"/>
              <w:numPr>
                <w:ilvl w:val="0"/>
                <w:numId w:val="1"/>
              </w:numPr>
              <w:spacing w:before="40" w:after="4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Arial" w:cs="Times New Roman"/>
                <w:color w:val="000000"/>
                <w:sz w:val="18"/>
                <w:szCs w:val="18"/>
              </w:rPr>
              <w:t>Partial value extraction in edge cases</w:t>
            </w:r>
          </w:p>
          <w:p w14:paraId="58D2B682">
            <w:pPr>
              <w:pStyle w:val="16"/>
              <w:numPr>
                <w:ilvl w:val="0"/>
                <w:numId w:val="1"/>
              </w:numPr>
              <w:spacing w:before="40" w:after="4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Arial" w:cs="Times New Roman"/>
                <w:color w:val="000000"/>
                <w:sz w:val="18"/>
                <w:szCs w:val="18"/>
              </w:rPr>
              <w:t>Formatting variations (e.g. 'CM 1:3' vs '1:3')</w:t>
            </w:r>
          </w:p>
          <w:p w14:paraId="132A6254">
            <w:pPr>
              <w:pStyle w:val="16"/>
              <w:numPr>
                <w:ilvl w:val="0"/>
                <w:numId w:val="1"/>
              </w:numPr>
              <w:spacing w:before="40" w:after="4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Arial" w:cs="Times New Roman"/>
                <w:color w:val="000000"/>
                <w:sz w:val="18"/>
                <w:szCs w:val="18"/>
              </w:rPr>
              <w:t>Merging multiple changes into single statements</w:t>
            </w:r>
          </w:p>
          <w:p w14:paraId="5DE6F128">
            <w:pPr>
              <w:pStyle w:val="16"/>
              <w:numPr>
                <w:ilvl w:val="0"/>
                <w:numId w:val="1"/>
              </w:numPr>
              <w:spacing w:before="40" w:after="4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Arial" w:cs="Times New Roman"/>
                <w:color w:val="000000"/>
                <w:sz w:val="18"/>
                <w:szCs w:val="18"/>
              </w:rPr>
              <w:t>Some 'unchanged' elements missed in comparison output</w:t>
            </w:r>
          </w:p>
        </w:tc>
      </w:tr>
    </w:tbl>
    <w:p w14:paraId="671A6885">
      <w:pPr>
        <w:pStyle w:val="2"/>
        <w:pBdr>
          <w:bottom w:val="single" w:color="2E5FA3" w:sz="8" w:space="1"/>
        </w:pBdr>
        <w:spacing w:before="280" w:after="80"/>
        <w:rPr>
          <w:rFonts w:hint="default" w:ascii="Times New Roman" w:hAnsi="Times New Roman" w:eastAsia="Arial" w:cs="Times New Roman"/>
          <w:b/>
          <w:bCs/>
          <w:color w:val="1F3864"/>
          <w:sz w:val="2"/>
          <w:szCs w:val="2"/>
        </w:rPr>
      </w:pPr>
    </w:p>
    <w:p w14:paraId="4837E582">
      <w:pPr>
        <w:pStyle w:val="2"/>
        <w:pBdr>
          <w:bottom w:val="single" w:color="2E5FA3" w:sz="8" w:space="1"/>
        </w:pBdr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3864"/>
          <w:sz w:val="26"/>
          <w:szCs w:val="26"/>
        </w:rPr>
        <w:t>Root Cause Analysis</w:t>
      </w:r>
    </w:p>
    <w:p w14:paraId="74A1B9FC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444444"/>
          <w:sz w:val="20"/>
          <w:szCs w:val="20"/>
        </w:rPr>
        <w:t>The following factors explain the current accuracy levels and provide direction for targeted improvement:</w:t>
      </w:r>
    </w:p>
    <w:p w14:paraId="4B3B4DFE">
      <w:pPr>
        <w:pStyle w:val="3"/>
        <w:spacing w:before="20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2"/>
          <w:szCs w:val="22"/>
        </w:rPr>
        <w:t>Extraction Task — 49.7% Accuracy</w:t>
      </w:r>
    </w:p>
    <w:p w14:paraId="0D52A285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444444"/>
          <w:sz w:val="20"/>
          <w:szCs w:val="20"/>
        </w:rPr>
        <w:t>Strict vs semantic mismatch: ground truth is fixed-structure; model output is flexible text</w:t>
      </w:r>
    </w:p>
    <w:p w14:paraId="7D4665D3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444444"/>
          <w:sz w:val="20"/>
          <w:szCs w:val="20"/>
        </w:rPr>
        <w:t>Field naming inconsistencies: e.g. predicted 'mesh' vs ground truth 'reinforcement'</w:t>
      </w:r>
    </w:p>
    <w:p w14:paraId="13F9009B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444444"/>
          <w:sz w:val="20"/>
          <w:szCs w:val="20"/>
        </w:rPr>
        <w:t>Text variability: same value expressed differently (e.g. 'CM 1:3' vs '1:3 mortar ratio')</w:t>
      </w:r>
    </w:p>
    <w:p w14:paraId="19041D01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444444"/>
          <w:sz w:val="20"/>
          <w:szCs w:val="20"/>
        </w:rPr>
        <w:t>Partial predictions: model captures partial field values rather than complete entries</w:t>
      </w:r>
    </w:p>
    <w:p w14:paraId="522E32E2">
      <w:pPr>
        <w:pStyle w:val="3"/>
        <w:spacing w:before="20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5FA3"/>
          <w:sz w:val="22"/>
          <w:szCs w:val="22"/>
        </w:rPr>
        <w:t>Comparison Task — 57.5% Accuracy</w:t>
      </w:r>
    </w:p>
    <w:p w14:paraId="4886705D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444444"/>
          <w:sz w:val="20"/>
          <w:szCs w:val="20"/>
        </w:rPr>
        <w:t>Multiple changes merged into a single statement rather than individual entries</w:t>
      </w:r>
    </w:p>
    <w:p w14:paraId="01F567AF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444444"/>
          <w:sz w:val="20"/>
          <w:szCs w:val="20"/>
        </w:rPr>
        <w:t>Unchanged elements sometimes omitted when modifications are present</w:t>
      </w:r>
    </w:p>
    <w:p w14:paraId="14FB300C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444444"/>
          <w:sz w:val="20"/>
          <w:szCs w:val="20"/>
        </w:rPr>
        <w:t>Phrasing variation in predicted values vs structured ground truth</w:t>
      </w:r>
    </w:p>
    <w:p w14:paraId="72EEF351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444444"/>
          <w:sz w:val="20"/>
          <w:szCs w:val="20"/>
        </w:rPr>
        <w:t>The 0% empty prediction rate confirms no critical output failures</w:t>
      </w:r>
    </w:p>
    <w:p w14:paraId="593DFFBE">
      <w:pPr>
        <w:pStyle w:val="2"/>
        <w:pBdr>
          <w:bottom w:val="single" w:color="2E5FA3" w:sz="8" w:space="1"/>
        </w:pBdr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3864"/>
          <w:sz w:val="26"/>
          <w:szCs w:val="26"/>
        </w:rPr>
        <w:t>Recommendations</w:t>
      </w:r>
    </w:p>
    <w:p w14:paraId="1B4806BD">
      <w:pPr>
        <w:spacing w:before="60" w:after="0"/>
        <w:rPr>
          <w:rFonts w:hint="default" w:ascii="Times New Roman" w:hAnsi="Times New Roman" w:cs="Times New Roman"/>
        </w:rPr>
      </w:pPr>
    </w:p>
    <w:p w14:paraId="1C324AD4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444444"/>
          <w:sz w:val="20"/>
          <w:szCs w:val="20"/>
        </w:rPr>
        <w:t>The following five actions are recommended in priority order to improve model performance:</w:t>
      </w:r>
    </w:p>
    <w:p w14:paraId="2AC4CE4D">
      <w:pPr>
        <w:spacing w:before="80" w:after="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200"/>
        <w:gridCol w:w="1600"/>
        <w:gridCol w:w="3360"/>
      </w:tblGrid>
      <w:tr w14:paraId="22A8D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64861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D065F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6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C5D0E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336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22B23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</w:tr>
      <w:tr w14:paraId="48DC2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46546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3864"/>
                <w:sz w:val="18"/>
                <w:szCs w:val="18"/>
              </w:rPr>
              <w:t>Priority 1</w:t>
            </w:r>
          </w:p>
        </w:tc>
        <w:tc>
          <w:tcPr>
            <w:tcW w:w="32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8D601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444444"/>
                <w:sz w:val="18"/>
                <w:szCs w:val="18"/>
              </w:rPr>
              <w:t>Expand training data with edge cases and standardised ground truth</w:t>
            </w:r>
          </w:p>
        </w:tc>
        <w:tc>
          <w:tcPr>
            <w:tcW w:w="16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77D7E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A7ABF"/>
                <w:sz w:val="18"/>
                <w:szCs w:val="18"/>
              </w:rPr>
              <w:t>Data</w:t>
            </w:r>
          </w:p>
        </w:tc>
        <w:tc>
          <w:tcPr>
            <w:tcW w:w="336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DB3E5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555555"/>
                <w:sz w:val="18"/>
                <w:szCs w:val="18"/>
              </w:rPr>
              <w:t>High Impact — Quick Win</w:t>
            </w:r>
          </w:p>
        </w:tc>
      </w:tr>
      <w:tr w14:paraId="06BD9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B0FA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3864"/>
                <w:sz w:val="18"/>
                <w:szCs w:val="18"/>
              </w:rPr>
              <w:t>Priority 2</w:t>
            </w:r>
          </w:p>
        </w:tc>
        <w:tc>
          <w:tcPr>
            <w:tcW w:w="32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DFD45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444444"/>
                <w:sz w:val="18"/>
                <w:szCs w:val="18"/>
              </w:rPr>
              <w:t>Introduce semantic similarity scoring alongside exact match</w:t>
            </w:r>
          </w:p>
        </w:tc>
        <w:tc>
          <w:tcPr>
            <w:tcW w:w="16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CE2EE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A7ABF"/>
                <w:sz w:val="18"/>
                <w:szCs w:val="18"/>
              </w:rPr>
              <w:t>Evaluation</w:t>
            </w:r>
          </w:p>
        </w:tc>
        <w:tc>
          <w:tcPr>
            <w:tcW w:w="336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24496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555555"/>
                <w:sz w:val="18"/>
                <w:szCs w:val="18"/>
              </w:rPr>
              <w:t>Improves accuracy signal</w:t>
            </w:r>
          </w:p>
        </w:tc>
      </w:tr>
      <w:tr w14:paraId="2C877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320D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3864"/>
                <w:sz w:val="18"/>
                <w:szCs w:val="18"/>
              </w:rPr>
              <w:t>Priority 3</w:t>
            </w:r>
          </w:p>
        </w:tc>
        <w:tc>
          <w:tcPr>
            <w:tcW w:w="32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092D2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444444"/>
                <w:sz w:val="18"/>
                <w:szCs w:val="18"/>
              </w:rPr>
              <w:t>Enforce stricter JSON output structure via prompt engineering</w:t>
            </w:r>
          </w:p>
        </w:tc>
        <w:tc>
          <w:tcPr>
            <w:tcW w:w="16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3E830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A7ABF"/>
                <w:sz w:val="18"/>
                <w:szCs w:val="18"/>
              </w:rPr>
              <w:t>Prompting</w:t>
            </w:r>
          </w:p>
        </w:tc>
        <w:tc>
          <w:tcPr>
            <w:tcW w:w="336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624FF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555555"/>
                <w:sz w:val="18"/>
                <w:szCs w:val="18"/>
              </w:rPr>
              <w:t>Low effort, measurable gain</w:t>
            </w:r>
          </w:p>
        </w:tc>
      </w:tr>
      <w:tr w14:paraId="5680A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BFD9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3864"/>
                <w:sz w:val="18"/>
                <w:szCs w:val="18"/>
              </w:rPr>
              <w:t>Priority 4</w:t>
            </w:r>
          </w:p>
        </w:tc>
        <w:tc>
          <w:tcPr>
            <w:tcW w:w="32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08D1C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444444"/>
                <w:sz w:val="18"/>
                <w:szCs w:val="18"/>
              </w:rPr>
              <w:t>Post-process predictions: field normalisation and synonym mapping</w:t>
            </w:r>
          </w:p>
        </w:tc>
        <w:tc>
          <w:tcPr>
            <w:tcW w:w="16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954F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A7ABF"/>
                <w:sz w:val="18"/>
                <w:szCs w:val="18"/>
              </w:rPr>
              <w:t>Engineering</w:t>
            </w:r>
          </w:p>
        </w:tc>
        <w:tc>
          <w:tcPr>
            <w:tcW w:w="336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D2592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555555"/>
                <w:sz w:val="18"/>
                <w:szCs w:val="18"/>
              </w:rPr>
              <w:t>Targets field-match errors</w:t>
            </w:r>
          </w:p>
        </w:tc>
      </w:tr>
      <w:tr w14:paraId="7E647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1957D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3864"/>
                <w:sz w:val="18"/>
                <w:szCs w:val="18"/>
              </w:rPr>
              <w:t>Priority 5</w:t>
            </w:r>
          </w:p>
        </w:tc>
        <w:tc>
          <w:tcPr>
            <w:tcW w:w="32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E4F2D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444444"/>
                <w:sz w:val="18"/>
                <w:szCs w:val="18"/>
              </w:rPr>
              <w:t>Additional fine-tuning with structured outputs and formatting</w:t>
            </w:r>
          </w:p>
        </w:tc>
        <w:tc>
          <w:tcPr>
            <w:tcW w:w="160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01814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A7ABF"/>
                <w:sz w:val="18"/>
                <w:szCs w:val="18"/>
              </w:rPr>
              <w:t>Model</w:t>
            </w:r>
          </w:p>
        </w:tc>
        <w:tc>
          <w:tcPr>
            <w:tcW w:w="3360" w:type="dxa"/>
            <w:tcBorders>
              <w:top w:val="single" w:color="BFCFE0" w:sz="4" w:space="0"/>
              <w:left w:val="single" w:color="BFCFE0" w:sz="4" w:space="0"/>
              <w:bottom w:val="single" w:color="BFCFE0" w:sz="4" w:space="0"/>
              <w:right w:val="single" w:color="BFCFE0" w:sz="4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3840E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555555"/>
                <w:sz w:val="18"/>
                <w:szCs w:val="18"/>
              </w:rPr>
              <w:t>Long-term performance gain</w:t>
            </w:r>
          </w:p>
        </w:tc>
      </w:tr>
    </w:tbl>
    <w:p w14:paraId="4A2431E5">
      <w:pPr>
        <w:spacing w:before="220" w:after="0"/>
        <w:rPr>
          <w:rFonts w:hint="default" w:ascii="Times New Roman" w:hAnsi="Times New Roman" w:cs="Times New Roman"/>
        </w:rPr>
      </w:pPr>
    </w:p>
    <w:p w14:paraId="20C1785A">
      <w:pPr>
        <w:spacing w:before="220" w:after="0"/>
        <w:rPr>
          <w:rFonts w:hint="default" w:ascii="Times New Roman" w:hAnsi="Times New Roman" w:cs="Times New Roman"/>
        </w:rPr>
      </w:pPr>
    </w:p>
    <w:p w14:paraId="27209DC2">
      <w:pPr>
        <w:pStyle w:val="2"/>
        <w:pBdr>
          <w:bottom w:val="single" w:color="2E5FA3" w:sz="8" w:space="1"/>
        </w:pBdr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3864"/>
          <w:sz w:val="26"/>
          <w:szCs w:val="26"/>
        </w:rPr>
        <w:t>Conclusion</w:t>
      </w:r>
    </w:p>
    <w:p w14:paraId="34E568E6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444444"/>
          <w:sz w:val="20"/>
          <w:szCs w:val="20"/>
        </w:rPr>
        <w:t>The BOQ AI model demonstrates solid foundational capability in both extraction and comparison tasks. The 57.5% comparison accuracy with zero output failures represents a strong baseline for a domain-specific structured understanding task. The extraction task at 49.7% reflects the challenge of mapping flexible natural language to rigid field schemas.</w:t>
      </w:r>
    </w:p>
    <w:p w14:paraId="58A213B0">
      <w:pPr>
        <w:spacing w:before="80" w:after="0"/>
        <w:rPr>
          <w:rFonts w:hint="default" w:ascii="Times New Roman" w:hAnsi="Times New Roman" w:cs="Times New Roman"/>
        </w:rPr>
      </w:pPr>
    </w:p>
    <w:p w14:paraId="7101951E">
      <w:pPr>
        <w:spacing w:before="80" w:after="0"/>
        <w:rPr>
          <w:rFonts w:hint="default" w:ascii="Times New Roman" w:hAnsi="Times New Roman" w:cs="Times New Roman"/>
        </w:rPr>
      </w:pPr>
    </w:p>
    <w:p w14:paraId="06BBC10B">
      <w:pPr>
        <w:rPr>
          <w:rFonts w:hint="default" w:ascii="Times New Roman" w:hAnsi="Times New Roman" w:cs="Times New Roman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5800304"/>
    <w:rsid w:val="27A35A5C"/>
    <w:rsid w:val="3B1D0B9E"/>
    <w:rsid w:val="3DC271E1"/>
    <w:rsid w:val="6AD12B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280" w:after="80"/>
      <w:outlineLvl w:val="0"/>
    </w:pPr>
    <w:rPr>
      <w:rFonts w:ascii="Arial" w:hAnsi="Arial" w:eastAsia="Arial" w:cs="Arial"/>
      <w:b/>
      <w:bCs/>
      <w:color w:val="1F3864"/>
      <w:sz w:val="26"/>
      <w:szCs w:val="26"/>
    </w:rPr>
  </w:style>
  <w:style w:type="paragraph" w:styleId="3">
    <w:name w:val="heading 2"/>
    <w:next w:val="1"/>
    <w:qFormat/>
    <w:uiPriority w:val="0"/>
    <w:pPr>
      <w:spacing w:before="200" w:after="60"/>
      <w:outlineLvl w:val="1"/>
    </w:pPr>
    <w:rPr>
      <w:rFonts w:ascii="Arial" w:hAnsi="Arial" w:eastAsia="Arial" w:cs="Arial"/>
      <w:b/>
      <w:bCs/>
      <w:color w:val="2E5FA3"/>
      <w:sz w:val="22"/>
      <w:szCs w:val="22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145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2026-04-22T10:51:00Z</dcterms:created>
  <dc:creator>Un-named</dc:creator>
  <cp:lastModifiedBy>AdityaAhirrao</cp:lastModifiedBy>
  <dcterms:modified xsi:type="dcterms:W3CDTF">2026-04-24T09:53:26Z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9F40EF88C0D6419BB22D54A9012CE121_13</vt:lpwstr>
  </property>
</Properties>
</file>