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BF3483">
      <w:pPr>
        <w:pStyle w:val="2"/>
        <w:bidi w:val="0"/>
        <w:spacing w:line="480" w:lineRule="auto"/>
        <w:jc w:val="center"/>
        <w:rPr>
          <w:rFonts w:hint="default" w:ascii="Times New Roman" w:hAnsi="Times New Roman" w:eastAsia="Arial" w:cs="Times New Roman"/>
          <w:b/>
          <w:bCs/>
          <w:color w:val="1B3A6B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color w:val="1B3A6B"/>
          <w:sz w:val="32"/>
          <w:szCs w:val="32"/>
          <w:lang w:val="en-US"/>
        </w:rPr>
        <w:t>EVALUATION ANALYSIS</w:t>
      </w:r>
    </w:p>
    <w:p w14:paraId="570290DC">
      <w:pPr>
        <w:pStyle w:val="2"/>
        <w:bidi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1B3A6B"/>
          <w:sz w:val="28"/>
          <w:szCs w:val="28"/>
        </w:rPr>
        <w:t>1.  Introduction</w:t>
      </w:r>
    </w:p>
    <w:p w14:paraId="44D14DA7">
      <w:pPr>
        <w:spacing w:before="12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595959"/>
          <w:sz w:val="22"/>
          <w:szCs w:val="22"/>
        </w:rPr>
        <w:t>This report documents the design, implementation, and evaluation of an automated Bill of Quantities (BOQ) extraction and comparison pipeline. The system combines a fine-tuned Qwen-based large language model with a separate LLM-as-a-Judge evaluation framework powered by the Groq API.</w:t>
      </w:r>
    </w:p>
    <w:p w14:paraId="5FB26C84">
      <w:pPr>
        <w:spacing w:before="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595959"/>
          <w:sz w:val="22"/>
          <w:szCs w:val="22"/>
        </w:rPr>
        <w:t>The pipeline addresses a critical pain point in the construction industry: manually parsing, extracting, and comparing structured engineering data from unstructured BOQ documents is time-consuming and error-prone. By automating this workflow, teams can dramatically reduce turnaround time while maintaining high accuracy.</w:t>
      </w:r>
    </w:p>
    <w:p w14:paraId="02861A37">
      <w:pPr>
        <w:pBdr>
          <w:bottom w:val="single" w:color="2E75B6" w:sz="8" w:space="4"/>
        </w:pBdr>
        <w:spacing w:before="36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eastAsia="Arial" w:cs="Times New Roman"/>
          <w:b/>
          <w:bCs/>
          <w:color w:val="1B3A6B"/>
          <w:sz w:val="28"/>
          <w:szCs w:val="28"/>
        </w:rPr>
        <w:t>2.  Objectives</w:t>
      </w:r>
    </w:p>
    <w:p w14:paraId="5555AEC9">
      <w:pPr>
        <w:pStyle w:val="17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595959"/>
          <w:sz w:val="22"/>
          <w:szCs w:val="22"/>
        </w:rPr>
        <w:t>Extract structured BOQ entities from raw, unstructured construction text</w:t>
      </w:r>
    </w:p>
    <w:p w14:paraId="1C89F506">
      <w:pPr>
        <w:pStyle w:val="17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595959"/>
          <w:sz w:val="22"/>
          <w:szCs w:val="22"/>
        </w:rPr>
        <w:t>Compare BOQ1 and BOQ2 documents and identify changes between them</w:t>
      </w:r>
    </w:p>
    <w:p w14:paraId="0DF08CC0">
      <w:pPr>
        <w:pStyle w:val="17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595959"/>
          <w:sz w:val="22"/>
          <w:szCs w:val="22"/>
        </w:rPr>
        <w:t>Evaluate model predictions using LLM-based semantic scoring</w:t>
      </w:r>
    </w:p>
    <w:p w14:paraId="175E5A8E">
      <w:pPr>
        <w:pStyle w:val="17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595959"/>
          <w:sz w:val="22"/>
          <w:szCs w:val="22"/>
        </w:rPr>
        <w:t>Generate quantitative performance metrics: Precision, Recall, and Accuracy</w:t>
      </w:r>
    </w:p>
    <w:p w14:paraId="19ADA246">
      <w:pPr>
        <w:pStyle w:val="17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595959"/>
          <w:sz w:val="22"/>
          <w:szCs w:val="22"/>
        </w:rPr>
        <w:t>Produce a final consolidated CSV evaluation report</w:t>
      </w:r>
    </w:p>
    <w:p w14:paraId="0ECF6245">
      <w:pPr>
        <w:spacing w:before="120" w:after="0"/>
        <w:rPr>
          <w:rFonts w:hint="default" w:ascii="Times New Roman" w:hAnsi="Times New Roman" w:cs="Times New Roman"/>
          <w:sz w:val="2"/>
          <w:szCs w:val="2"/>
        </w:rPr>
      </w:pPr>
    </w:p>
    <w:p w14:paraId="3CB6B26A">
      <w:pPr>
        <w:pBdr>
          <w:bottom w:val="single" w:color="2E75B6" w:sz="8" w:space="4"/>
        </w:pBdr>
        <w:spacing w:before="36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eastAsia="Arial" w:cs="Times New Roman"/>
          <w:b/>
          <w:bCs/>
          <w:color w:val="1B3A6B"/>
          <w:sz w:val="28"/>
          <w:szCs w:val="28"/>
        </w:rPr>
        <w:t>3.  System Architecture</w:t>
      </w:r>
    </w:p>
    <w:p w14:paraId="11979482">
      <w:pPr>
        <w:spacing w:before="100" w:after="1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595959"/>
          <w:sz w:val="22"/>
          <w:szCs w:val="22"/>
        </w:rPr>
        <w:t>The pipeline follows a sequential, modular architecture from raw input through to final reporting: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D19D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50F016D7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2"/>
                <w:szCs w:val="22"/>
              </w:rPr>
              <w:t>Raw BOQ Input</w:t>
            </w:r>
          </w:p>
        </w:tc>
      </w:tr>
      <w:tr w14:paraId="76501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7D7A150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2E75B6"/>
                <w:sz w:val="24"/>
                <w:szCs w:val="24"/>
              </w:rPr>
              <w:t>▼</w:t>
            </w:r>
          </w:p>
        </w:tc>
      </w:tr>
      <w:tr w14:paraId="0CFA6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028A1334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2"/>
                <w:szCs w:val="22"/>
              </w:rPr>
              <w:t>Fine-tuned Qwen Model</w:t>
            </w:r>
          </w:p>
        </w:tc>
      </w:tr>
      <w:tr w14:paraId="623F7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4800D145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2E75B6"/>
                <w:sz w:val="24"/>
                <w:szCs w:val="24"/>
              </w:rPr>
              <w:t>▼</w:t>
            </w:r>
          </w:p>
        </w:tc>
      </w:tr>
      <w:tr w14:paraId="7DF5C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6E4F4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376D4AF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22"/>
                <w:szCs w:val="22"/>
              </w:rPr>
              <w:t>Structured Output (Prediction)</w:t>
            </w:r>
          </w:p>
        </w:tc>
      </w:tr>
      <w:tr w14:paraId="75522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2CE734E2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2E75B6"/>
                <w:sz w:val="24"/>
                <w:szCs w:val="24"/>
              </w:rPr>
              <w:t>▼</w:t>
            </w:r>
          </w:p>
        </w:tc>
      </w:tr>
      <w:tr w14:paraId="78DFF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D6E4F4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39CC9E75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22"/>
                <w:szCs w:val="22"/>
              </w:rPr>
              <w:t>Ground Truth Comparison</w:t>
            </w:r>
          </w:p>
        </w:tc>
      </w:tr>
      <w:tr w14:paraId="56E95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079B304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2E75B6"/>
                <w:sz w:val="24"/>
                <w:szCs w:val="24"/>
              </w:rPr>
              <w:t>▼</w:t>
            </w:r>
          </w:p>
        </w:tc>
      </w:tr>
      <w:tr w14:paraId="5F304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E75B6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5F2AB68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2"/>
                <w:szCs w:val="22"/>
              </w:rPr>
              <w:t>LLM Judge (Groq API)</w:t>
            </w:r>
          </w:p>
        </w:tc>
      </w:tr>
      <w:tr w14:paraId="3B7B2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525E8265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2E75B6"/>
                <w:sz w:val="24"/>
                <w:szCs w:val="24"/>
              </w:rPr>
              <w:t>▼</w:t>
            </w:r>
          </w:p>
        </w:tc>
      </w:tr>
      <w:tr w14:paraId="73C8F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B3A6B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2270B53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2"/>
                <w:szCs w:val="22"/>
              </w:rPr>
              <w:t>Evaluation Metrics</w:t>
            </w:r>
          </w:p>
        </w:tc>
      </w:tr>
      <w:tr w14:paraId="1B831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6CA1C272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2E75B6"/>
                <w:sz w:val="24"/>
                <w:szCs w:val="24"/>
              </w:rPr>
              <w:t>▼</w:t>
            </w:r>
          </w:p>
        </w:tc>
      </w:tr>
      <w:tr w14:paraId="751EA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1E7B34"/>
            <w:tcMar>
              <w:top w:w="140" w:type="dxa"/>
              <w:left w:w="200" w:type="dxa"/>
              <w:bottom w:w="140" w:type="dxa"/>
              <w:right w:w="200" w:type="dxa"/>
            </w:tcMar>
            <w:vAlign w:val="center"/>
          </w:tcPr>
          <w:p w14:paraId="713E4363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2"/>
                <w:szCs w:val="22"/>
              </w:rPr>
              <w:t>Final CSV Report</w:t>
            </w:r>
          </w:p>
        </w:tc>
      </w:tr>
    </w:tbl>
    <w:p w14:paraId="06C640C6">
      <w:pPr>
        <w:spacing w:before="80" w:after="0"/>
        <w:rPr>
          <w:rFonts w:hint="default" w:ascii="Times New Roman" w:hAnsi="Times New Roman" w:cs="Times New Roman"/>
        </w:rPr>
      </w:pPr>
    </w:p>
    <w:p w14:paraId="7A3BD030">
      <w:pPr>
        <w:spacing w:before="8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595959"/>
          <w:sz w:val="22"/>
          <w:szCs w:val="22"/>
        </w:rPr>
        <w:t>Each stage is independently testable and replaceable, enabling easy model upgrades or swapping the judge LLM without restructuring the pipeline.</w:t>
      </w:r>
    </w:p>
    <w:p w14:paraId="3A222EB3">
      <w:pPr>
        <w:spacing w:before="160" w:after="0"/>
        <w:rPr>
          <w:rFonts w:hint="default" w:ascii="Times New Roman" w:hAnsi="Times New Roman" w:cs="Times New Roman"/>
          <w:sz w:val="2"/>
          <w:szCs w:val="2"/>
        </w:rPr>
      </w:pPr>
    </w:p>
    <w:p w14:paraId="2CB6686F">
      <w:pPr>
        <w:pBdr>
          <w:bottom w:val="single" w:color="2E75B6" w:sz="8" w:space="4"/>
        </w:pBdr>
        <w:spacing w:before="36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eastAsia="Arial" w:cs="Times New Roman"/>
          <w:b/>
          <w:bCs/>
          <w:color w:val="1B3A6B"/>
          <w:sz w:val="28"/>
          <w:szCs w:val="28"/>
        </w:rPr>
        <w:t>4.  Model Details</w:t>
      </w:r>
    </w:p>
    <w:p w14:paraId="67299663">
      <w:pPr>
        <w:spacing w:before="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75B6"/>
          <w:sz w:val="22"/>
          <w:szCs w:val="22"/>
        </w:rPr>
        <w:t xml:space="preserve">Base Model: </w:t>
      </w:r>
      <w:r>
        <w:rPr>
          <w:rFonts w:hint="default" w:ascii="Times New Roman" w:hAnsi="Times New Roman" w:eastAsia="Arial" w:cs="Times New Roman"/>
          <w:color w:val="595959"/>
          <w:sz w:val="22"/>
          <w:szCs w:val="22"/>
        </w:rPr>
        <w:t>Qwen (fine-tuned LoRA adapter, ~78 MB)</w:t>
      </w:r>
    </w:p>
    <w:p w14:paraId="74CE2692">
      <w:pPr>
        <w:spacing w:before="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75B6"/>
          <w:sz w:val="22"/>
          <w:szCs w:val="22"/>
        </w:rPr>
        <w:t xml:space="preserve">Primary Tasks: </w:t>
      </w:r>
      <w:r>
        <w:rPr>
          <w:rFonts w:hint="default" w:ascii="Times New Roman" w:hAnsi="Times New Roman" w:eastAsia="Arial" w:cs="Times New Roman"/>
          <w:color w:val="595959"/>
          <w:sz w:val="22"/>
          <w:szCs w:val="22"/>
        </w:rPr>
        <w:t>BOQ Extraction, BOQ Comparison</w:t>
      </w:r>
    </w:p>
    <w:p w14:paraId="5A52335A">
      <w:pPr>
        <w:spacing w:before="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75B6"/>
          <w:sz w:val="22"/>
          <w:szCs w:val="22"/>
        </w:rPr>
        <w:t xml:space="preserve">Output Format: </w:t>
      </w:r>
      <w:r>
        <w:rPr>
          <w:rFonts w:hint="default" w:ascii="Times New Roman" w:hAnsi="Times New Roman" w:eastAsia="Arial" w:cs="Times New Roman"/>
          <w:color w:val="595959"/>
          <w:sz w:val="22"/>
          <w:szCs w:val="22"/>
        </w:rPr>
        <w:t>Structured JSON with item name and attributes dictionary</w:t>
      </w:r>
    </w:p>
    <w:p w14:paraId="2CEC168B">
      <w:pPr>
        <w:spacing w:before="80" w:after="0"/>
        <w:rPr>
          <w:rFonts w:hint="default" w:ascii="Times New Roman" w:hAnsi="Times New Roman" w:cs="Times New Roman"/>
        </w:rPr>
      </w:pPr>
    </w:p>
    <w:p w14:paraId="310057A4">
      <w:pPr>
        <w:spacing w:before="6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595959"/>
          <w:sz w:val="22"/>
          <w:szCs w:val="22"/>
        </w:rPr>
        <w:t>Example structured output produced by the model: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20"/>
      </w:tblGrid>
      <w:tr w14:paraId="7E19E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20" w:type="dxa"/>
            <w:tcBorders>
              <w:top w:val="single" w:color="2E75B6" w:sz="4" w:space="0"/>
              <w:left w:val="single" w:color="2E75B6" w:sz="16" w:space="0"/>
              <w:bottom w:val="single" w:color="2E75B6" w:sz="4" w:space="0"/>
              <w:right w:val="single" w:color="2E75B6" w:sz="4" w:space="0"/>
            </w:tcBorders>
            <w:shd w:val="clear" w:color="auto" w:fill="F5F7F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CE627FB">
            <w:pPr>
              <w:spacing w:before="0" w:after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E3A5F"/>
                <w:sz w:val="19"/>
                <w:szCs w:val="19"/>
              </w:rPr>
              <w:t>{</w:t>
            </w:r>
          </w:p>
          <w:p w14:paraId="5CA8FB87">
            <w:pPr>
              <w:spacing w:before="0" w:after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E3A5F"/>
                <w:sz w:val="19"/>
                <w:szCs w:val="19"/>
              </w:rPr>
              <w:t xml:space="preserve">  "item": "RCC column",</w:t>
            </w:r>
          </w:p>
          <w:p w14:paraId="5E86446E">
            <w:pPr>
              <w:spacing w:before="0" w:after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E3A5F"/>
                <w:sz w:val="19"/>
                <w:szCs w:val="19"/>
              </w:rPr>
              <w:t xml:space="preserve">  "attributes": {</w:t>
            </w:r>
          </w:p>
          <w:p w14:paraId="40BCDFF2">
            <w:pPr>
              <w:spacing w:before="0" w:after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E3A5F"/>
                <w:sz w:val="19"/>
                <w:szCs w:val="19"/>
              </w:rPr>
              <w:t xml:space="preserve">    "grade": "M30",</w:t>
            </w:r>
          </w:p>
          <w:p w14:paraId="23EF8D5D">
            <w:pPr>
              <w:spacing w:before="0" w:after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E3A5F"/>
                <w:sz w:val="19"/>
                <w:szCs w:val="19"/>
              </w:rPr>
              <w:t xml:space="preserve">    "length": "0.5m",</w:t>
            </w:r>
          </w:p>
          <w:p w14:paraId="6F89F5E9">
            <w:pPr>
              <w:spacing w:before="0" w:after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E3A5F"/>
                <w:sz w:val="19"/>
                <w:szCs w:val="19"/>
              </w:rPr>
              <w:t xml:space="preserve">    "width": "0.43m",</w:t>
            </w:r>
          </w:p>
          <w:p w14:paraId="418B33EE">
            <w:pPr>
              <w:spacing w:before="0" w:after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E3A5F"/>
                <w:sz w:val="19"/>
                <w:szCs w:val="19"/>
              </w:rPr>
              <w:t xml:space="preserve">    "height": "3.27m",</w:t>
            </w:r>
          </w:p>
          <w:p w14:paraId="2ED42504">
            <w:pPr>
              <w:spacing w:before="0" w:after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E3A5F"/>
                <w:sz w:val="19"/>
                <w:szCs w:val="19"/>
              </w:rPr>
              <w:t xml:space="preserve">    "reinforcement": "Fe550",</w:t>
            </w:r>
          </w:p>
          <w:p w14:paraId="6AEA0FDD">
            <w:pPr>
              <w:spacing w:before="0" w:after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E3A5F"/>
                <w:sz w:val="19"/>
                <w:szCs w:val="19"/>
              </w:rPr>
              <w:t xml:space="preserve">    "thickness": "100mm",</w:t>
            </w:r>
          </w:p>
          <w:p w14:paraId="54C66B07">
            <w:pPr>
              <w:spacing w:before="0" w:after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E3A5F"/>
                <w:sz w:val="19"/>
                <w:szCs w:val="19"/>
              </w:rPr>
              <w:t xml:space="preserve">    "finish": "fair face"</w:t>
            </w:r>
          </w:p>
          <w:p w14:paraId="20B91439">
            <w:pPr>
              <w:spacing w:before="0" w:after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E3A5F"/>
                <w:sz w:val="19"/>
                <w:szCs w:val="19"/>
              </w:rPr>
              <w:t xml:space="preserve">  }</w:t>
            </w:r>
          </w:p>
          <w:p w14:paraId="7796ECE9">
            <w:pPr>
              <w:spacing w:before="0" w:after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Courier New" w:cs="Times New Roman"/>
                <w:color w:val="1E3A5F"/>
                <w:sz w:val="19"/>
                <w:szCs w:val="19"/>
              </w:rPr>
              <w:t>}</w:t>
            </w:r>
          </w:p>
        </w:tc>
      </w:tr>
    </w:tbl>
    <w:p w14:paraId="47B60BBE">
      <w:pPr>
        <w:spacing w:before="200" w:after="0"/>
        <w:rPr>
          <w:rFonts w:hint="default" w:ascii="Times New Roman" w:hAnsi="Times New Roman" w:cs="Times New Roman"/>
        </w:rPr>
      </w:pPr>
    </w:p>
    <w:p w14:paraId="1553A54F">
      <w:pPr>
        <w:pBdr>
          <w:bottom w:val="single" w:color="2E75B6" w:sz="8" w:space="4"/>
        </w:pBdr>
        <w:spacing w:before="36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eastAsia="Arial" w:cs="Times New Roman"/>
          <w:b/>
          <w:bCs/>
          <w:color w:val="1B3A6B"/>
          <w:sz w:val="28"/>
          <w:szCs w:val="28"/>
        </w:rPr>
        <w:t>5.  Evaluation Methodology</w:t>
      </w:r>
    </w:p>
    <w:p w14:paraId="77F8943A">
      <w:pPr>
        <w:spacing w:before="10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595959"/>
          <w:sz w:val="22"/>
          <w:szCs w:val="22"/>
        </w:rPr>
        <w:t>The system uses an LLM-as-a-Judge approach via the Groq API. A second, independent language model evaluates the quality of each model prediction against ground truth on four dimensions:</w:t>
      </w:r>
    </w:p>
    <w:p w14:paraId="4D2838ED">
      <w:pPr>
        <w:pStyle w:val="17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595959"/>
          <w:sz w:val="22"/>
          <w:szCs w:val="22"/>
        </w:rPr>
        <w:t>Correctness of extracted field values</w:t>
      </w:r>
    </w:p>
    <w:p w14:paraId="1F95729A">
      <w:pPr>
        <w:pStyle w:val="17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595959"/>
          <w:sz w:val="22"/>
          <w:szCs w:val="22"/>
        </w:rPr>
        <w:t>Missing attributes not captured by the model</w:t>
      </w:r>
    </w:p>
    <w:p w14:paraId="59F14AFF">
      <w:pPr>
        <w:pStyle w:val="17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595959"/>
          <w:sz w:val="22"/>
          <w:szCs w:val="22"/>
        </w:rPr>
        <w:t>Incorrect or misformatted values</w:t>
      </w:r>
    </w:p>
    <w:p w14:paraId="166D6FA7">
      <w:pPr>
        <w:pStyle w:val="17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595959"/>
          <w:sz w:val="22"/>
          <w:szCs w:val="22"/>
        </w:rPr>
        <w:t>Hallucinated fields not present in the source document</w:t>
      </w:r>
    </w:p>
    <w:p w14:paraId="1CF25D40">
      <w:pPr>
        <w:spacing w:before="140" w:after="0"/>
        <w:rPr>
          <w:rFonts w:hint="default" w:ascii="Times New Roman" w:hAnsi="Times New Roman" w:cs="Times New Roman"/>
        </w:rPr>
      </w:pPr>
    </w:p>
    <w:p w14:paraId="2187A0D5">
      <w:pPr>
        <w:spacing w:before="8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595959"/>
          <w:sz w:val="22"/>
          <w:szCs w:val="22"/>
        </w:rPr>
        <w:t>Scoring rubric used by the judge: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7488"/>
      </w:tblGrid>
      <w:tr w14:paraId="61FC6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72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5851D0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Score</w:t>
            </w:r>
          </w:p>
        </w:tc>
        <w:tc>
          <w:tcPr>
            <w:tcW w:w="7488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142C2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14:paraId="11DFEC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4B39FE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20"/>
                <w:szCs w:val="20"/>
              </w:rPr>
              <w:t>1.0</w:t>
            </w:r>
          </w:p>
        </w:tc>
        <w:tc>
          <w:tcPr>
            <w:tcW w:w="7488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40DF1C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C2C2C"/>
                <w:sz w:val="20"/>
                <w:szCs w:val="20"/>
              </w:rPr>
              <w:t>Perfect match</w:t>
            </w:r>
          </w:p>
        </w:tc>
      </w:tr>
      <w:tr w14:paraId="357D2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731701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20"/>
                <w:szCs w:val="20"/>
              </w:rPr>
              <w:t>0.7 – 0.9</w:t>
            </w:r>
          </w:p>
        </w:tc>
        <w:tc>
          <w:tcPr>
            <w:tcW w:w="7488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01580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C2C2C"/>
                <w:sz w:val="20"/>
                <w:szCs w:val="20"/>
              </w:rPr>
              <w:t>Minor errors / formatting differences</w:t>
            </w:r>
          </w:p>
        </w:tc>
      </w:tr>
      <w:tr w14:paraId="4DCBA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CB1C2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20"/>
                <w:szCs w:val="20"/>
              </w:rPr>
              <w:t>0.4 – 0.6</w:t>
            </w:r>
          </w:p>
        </w:tc>
        <w:tc>
          <w:tcPr>
            <w:tcW w:w="7488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FF06B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C2C2C"/>
                <w:sz w:val="20"/>
                <w:szCs w:val="20"/>
              </w:rPr>
              <w:t>Partial match</w:t>
            </w:r>
          </w:p>
        </w:tc>
      </w:tr>
      <w:tr w14:paraId="22C975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4AB78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20"/>
                <w:szCs w:val="20"/>
              </w:rPr>
              <w:t>0.0 – 0.3</w:t>
            </w:r>
          </w:p>
        </w:tc>
        <w:tc>
          <w:tcPr>
            <w:tcW w:w="7488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B6108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C2C2C"/>
                <w:sz w:val="20"/>
                <w:szCs w:val="20"/>
              </w:rPr>
              <w:t>Incorrect output</w:t>
            </w:r>
          </w:p>
        </w:tc>
      </w:tr>
    </w:tbl>
    <w:p w14:paraId="702DAB0B">
      <w:pPr>
        <w:spacing w:before="200" w:after="0"/>
        <w:rPr>
          <w:rFonts w:hint="default" w:ascii="Times New Roman" w:hAnsi="Times New Roman" w:cs="Times New Roman"/>
        </w:rPr>
      </w:pPr>
    </w:p>
    <w:p w14:paraId="67132557">
      <w:pPr>
        <w:pBdr>
          <w:bottom w:val="single" w:color="2E75B6" w:sz="8" w:space="4"/>
        </w:pBdr>
        <w:spacing w:before="36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eastAsia="Arial" w:cs="Times New Roman"/>
          <w:b/>
          <w:bCs/>
          <w:color w:val="1B3A6B"/>
          <w:sz w:val="28"/>
          <w:szCs w:val="28"/>
        </w:rPr>
        <w:t>6.  Example Case Study</w:t>
      </w:r>
    </w:p>
    <w:p w14:paraId="4A2BF0E7">
      <w:pPr>
        <w:spacing w:before="80" w:after="8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b/>
          <w:bCs/>
          <w:color w:val="2E75B6"/>
          <w:sz w:val="22"/>
          <w:szCs w:val="22"/>
        </w:rPr>
        <w:t xml:space="preserve">Input: </w:t>
      </w:r>
      <w:r>
        <w:rPr>
          <w:rFonts w:hint="default" w:ascii="Times New Roman" w:hAnsi="Times New Roman" w:eastAsia="Arial" w:cs="Times New Roman"/>
          <w:color w:val="595959"/>
          <w:sz w:val="22"/>
          <w:szCs w:val="22"/>
        </w:rPr>
        <w:t>RCC ground floor column M30 | 0.5m x 0.43m | 3.27m ht | Fe550 32mm | 100mm thickness | fair face | no formwork | laying | 9.3 cum | mix 1:2:4</w:t>
      </w:r>
    </w:p>
    <w:p w14:paraId="4452068F">
      <w:pPr>
        <w:spacing w:before="100" w:after="0"/>
        <w:rPr>
          <w:rFonts w:hint="default" w:ascii="Times New Roman" w:hAnsi="Times New Roman" w:cs="Times New Roman"/>
        </w:rPr>
      </w:pPr>
    </w:p>
    <w:p w14:paraId="5EAC4A14">
      <w:pPr>
        <w:spacing w:before="6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595959"/>
          <w:sz w:val="22"/>
          <w:szCs w:val="22"/>
        </w:rPr>
        <w:t>The table below compares Ground Truth attributes against Model Predictions. Items marked ✓ are correct; items marked ⚠ contain minor mismatches: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3510"/>
        <w:gridCol w:w="3510"/>
      </w:tblGrid>
      <w:tr w14:paraId="33EC6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3C00EC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Attribute</w:t>
            </w:r>
          </w:p>
        </w:tc>
        <w:tc>
          <w:tcPr>
            <w:tcW w:w="351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C8776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Ground Truth</w:t>
            </w:r>
          </w:p>
        </w:tc>
        <w:tc>
          <w:tcPr>
            <w:tcW w:w="351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3EE94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Model Prediction</w:t>
            </w:r>
          </w:p>
        </w:tc>
      </w:tr>
      <w:tr w14:paraId="2899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CEA9B9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2E75B6"/>
                <w:sz w:val="20"/>
                <w:szCs w:val="20"/>
              </w:rPr>
              <w:t>item</w:t>
            </w:r>
          </w:p>
        </w:tc>
        <w:tc>
          <w:tcPr>
            <w:tcW w:w="351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CD93A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C2C2C"/>
                <w:sz w:val="20"/>
                <w:szCs w:val="20"/>
              </w:rPr>
              <w:t>RCC column</w:t>
            </w:r>
          </w:p>
        </w:tc>
        <w:tc>
          <w:tcPr>
            <w:tcW w:w="351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685C0E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C2C2C"/>
                <w:sz w:val="20"/>
                <w:szCs w:val="20"/>
              </w:rPr>
              <w:t>Column ⚠</w:t>
            </w:r>
          </w:p>
        </w:tc>
      </w:tr>
      <w:tr w14:paraId="7DD23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B30F4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2E75B6"/>
                <w:sz w:val="20"/>
                <w:szCs w:val="20"/>
              </w:rPr>
              <w:t>grade</w:t>
            </w:r>
          </w:p>
        </w:tc>
        <w:tc>
          <w:tcPr>
            <w:tcW w:w="351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453EED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C2C2C"/>
                <w:sz w:val="20"/>
                <w:szCs w:val="20"/>
              </w:rPr>
              <w:t>M30</w:t>
            </w:r>
          </w:p>
        </w:tc>
        <w:tc>
          <w:tcPr>
            <w:tcW w:w="351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04C93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1E7B34"/>
                <w:sz w:val="20"/>
                <w:szCs w:val="20"/>
              </w:rPr>
              <w:t>M30 ✓</w:t>
            </w:r>
          </w:p>
        </w:tc>
      </w:tr>
      <w:tr w14:paraId="4D019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23178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2E75B6"/>
                <w:sz w:val="20"/>
                <w:szCs w:val="20"/>
              </w:rPr>
              <w:t>length</w:t>
            </w:r>
          </w:p>
        </w:tc>
        <w:tc>
          <w:tcPr>
            <w:tcW w:w="351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11AB9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C2C2C"/>
                <w:sz w:val="20"/>
                <w:szCs w:val="20"/>
              </w:rPr>
              <w:t>0.5m</w:t>
            </w:r>
          </w:p>
        </w:tc>
        <w:tc>
          <w:tcPr>
            <w:tcW w:w="351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7F9BBD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1E7B34"/>
                <w:sz w:val="20"/>
                <w:szCs w:val="20"/>
              </w:rPr>
              <w:t>0.5m ✓</w:t>
            </w:r>
          </w:p>
        </w:tc>
      </w:tr>
      <w:tr w14:paraId="76C1F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2AB5F3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2E75B6"/>
                <w:sz w:val="20"/>
                <w:szCs w:val="20"/>
              </w:rPr>
              <w:t>width</w:t>
            </w:r>
          </w:p>
        </w:tc>
        <w:tc>
          <w:tcPr>
            <w:tcW w:w="351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0A0AB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C2C2C"/>
                <w:sz w:val="20"/>
                <w:szCs w:val="20"/>
              </w:rPr>
              <w:t>0.43m</w:t>
            </w:r>
          </w:p>
        </w:tc>
        <w:tc>
          <w:tcPr>
            <w:tcW w:w="351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20A0E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1E7B34"/>
                <w:sz w:val="20"/>
                <w:szCs w:val="20"/>
              </w:rPr>
              <w:t>0.43m ✓</w:t>
            </w:r>
          </w:p>
        </w:tc>
      </w:tr>
      <w:tr w14:paraId="259C5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27C016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2E75B6"/>
                <w:sz w:val="20"/>
                <w:szCs w:val="20"/>
              </w:rPr>
              <w:t>height</w:t>
            </w:r>
          </w:p>
        </w:tc>
        <w:tc>
          <w:tcPr>
            <w:tcW w:w="351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DFBBC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C2C2C"/>
                <w:sz w:val="20"/>
                <w:szCs w:val="20"/>
              </w:rPr>
              <w:t>3.27m</w:t>
            </w:r>
          </w:p>
        </w:tc>
        <w:tc>
          <w:tcPr>
            <w:tcW w:w="351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8FBFF2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1E7B34"/>
                <w:sz w:val="20"/>
                <w:szCs w:val="20"/>
              </w:rPr>
              <w:t>3.27m ✓</w:t>
            </w:r>
          </w:p>
        </w:tc>
      </w:tr>
      <w:tr w14:paraId="78E40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2AEDD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2E75B6"/>
                <w:sz w:val="20"/>
                <w:szCs w:val="20"/>
              </w:rPr>
              <w:t>reinforcement</w:t>
            </w:r>
          </w:p>
        </w:tc>
        <w:tc>
          <w:tcPr>
            <w:tcW w:w="351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A5F4A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C2C2C"/>
                <w:sz w:val="20"/>
                <w:szCs w:val="20"/>
              </w:rPr>
              <w:t>Fe550</w:t>
            </w:r>
          </w:p>
        </w:tc>
        <w:tc>
          <w:tcPr>
            <w:tcW w:w="351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9342EC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B8570A"/>
                <w:sz w:val="20"/>
                <w:szCs w:val="20"/>
              </w:rPr>
              <w:t>Fe550, 32mm ⚠</w:t>
            </w:r>
          </w:p>
        </w:tc>
      </w:tr>
      <w:tr w14:paraId="2DD954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E6ED49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2E75B6"/>
                <w:sz w:val="20"/>
                <w:szCs w:val="20"/>
              </w:rPr>
              <w:t>thickness</w:t>
            </w:r>
          </w:p>
        </w:tc>
        <w:tc>
          <w:tcPr>
            <w:tcW w:w="351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F07CF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C2C2C"/>
                <w:sz w:val="20"/>
                <w:szCs w:val="20"/>
              </w:rPr>
              <w:t>100mm</w:t>
            </w:r>
          </w:p>
        </w:tc>
        <w:tc>
          <w:tcPr>
            <w:tcW w:w="351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01E71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1E7B34"/>
                <w:sz w:val="20"/>
                <w:szCs w:val="20"/>
              </w:rPr>
              <w:t>100mm ✓</w:t>
            </w:r>
          </w:p>
        </w:tc>
      </w:tr>
      <w:tr w14:paraId="659C6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68A68A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2E75B6"/>
                <w:sz w:val="20"/>
                <w:szCs w:val="20"/>
              </w:rPr>
              <w:t>finish</w:t>
            </w:r>
          </w:p>
        </w:tc>
        <w:tc>
          <w:tcPr>
            <w:tcW w:w="351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510599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C2C2C"/>
                <w:sz w:val="20"/>
                <w:szCs w:val="20"/>
              </w:rPr>
              <w:t>fair face</w:t>
            </w:r>
          </w:p>
        </w:tc>
        <w:tc>
          <w:tcPr>
            <w:tcW w:w="351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542756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1E7B34"/>
                <w:sz w:val="20"/>
                <w:szCs w:val="20"/>
              </w:rPr>
              <w:t>fair face ✓</w:t>
            </w:r>
          </w:p>
        </w:tc>
      </w:tr>
      <w:tr w14:paraId="468CD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30FBBA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2E75B6"/>
                <w:sz w:val="20"/>
                <w:szCs w:val="20"/>
              </w:rPr>
              <w:t>formwork</w:t>
            </w:r>
          </w:p>
        </w:tc>
        <w:tc>
          <w:tcPr>
            <w:tcW w:w="351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62819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C2C2C"/>
                <w:sz w:val="20"/>
                <w:szCs w:val="20"/>
              </w:rPr>
              <w:t>none</w:t>
            </w:r>
          </w:p>
        </w:tc>
        <w:tc>
          <w:tcPr>
            <w:tcW w:w="351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3ADE2C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B8570A"/>
                <w:sz w:val="20"/>
                <w:szCs w:val="20"/>
              </w:rPr>
              <w:t>no formwork ⚠</w:t>
            </w:r>
          </w:p>
        </w:tc>
      </w:tr>
      <w:tr w14:paraId="78C30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61B1BF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2E75B6"/>
                <w:sz w:val="20"/>
                <w:szCs w:val="20"/>
              </w:rPr>
              <w:t>work_type</w:t>
            </w:r>
          </w:p>
        </w:tc>
        <w:tc>
          <w:tcPr>
            <w:tcW w:w="351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76726D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C2C2C"/>
                <w:sz w:val="20"/>
                <w:szCs w:val="20"/>
              </w:rPr>
              <w:t>laying</w:t>
            </w:r>
          </w:p>
        </w:tc>
        <w:tc>
          <w:tcPr>
            <w:tcW w:w="351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6F3B8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B8570A"/>
                <w:sz w:val="20"/>
                <w:szCs w:val="20"/>
              </w:rPr>
              <w:t>laying ⚠</w:t>
            </w:r>
          </w:p>
        </w:tc>
      </w:tr>
      <w:tr w14:paraId="01EAB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F11B2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2E75B6"/>
                <w:sz w:val="20"/>
                <w:szCs w:val="20"/>
              </w:rPr>
              <w:t>quantity</w:t>
            </w:r>
          </w:p>
        </w:tc>
        <w:tc>
          <w:tcPr>
            <w:tcW w:w="351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17DC0D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C2C2C"/>
                <w:sz w:val="20"/>
                <w:szCs w:val="20"/>
              </w:rPr>
              <w:t>9.3</w:t>
            </w:r>
          </w:p>
        </w:tc>
        <w:tc>
          <w:tcPr>
            <w:tcW w:w="351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9CD25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B8570A"/>
                <w:sz w:val="20"/>
                <w:szCs w:val="20"/>
              </w:rPr>
              <w:t>9.3 cum ⚠</w:t>
            </w:r>
          </w:p>
        </w:tc>
      </w:tr>
      <w:tr w14:paraId="5EDE0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71D410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2E75B6"/>
                <w:sz w:val="20"/>
                <w:szCs w:val="20"/>
              </w:rPr>
              <w:t>unit</w:t>
            </w:r>
          </w:p>
        </w:tc>
        <w:tc>
          <w:tcPr>
            <w:tcW w:w="351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5C3448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C2C2C"/>
                <w:sz w:val="20"/>
                <w:szCs w:val="20"/>
              </w:rPr>
              <w:t>cum</w:t>
            </w:r>
          </w:p>
        </w:tc>
        <w:tc>
          <w:tcPr>
            <w:tcW w:w="351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370638">
            <w:pPr>
              <w:jc w:val="left"/>
              <w:rPr>
                <w:rFonts w:hint="default" w:ascii="Times New Roman" w:hAnsi="Times New Roman" w:cs="Times New Roman"/>
              </w:rPr>
            </w:pPr>
          </w:p>
        </w:tc>
      </w:tr>
      <w:tr w14:paraId="32796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A75FCA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2E75B6"/>
                <w:sz w:val="20"/>
                <w:szCs w:val="20"/>
              </w:rPr>
              <w:t>mix_ratio</w:t>
            </w:r>
          </w:p>
        </w:tc>
        <w:tc>
          <w:tcPr>
            <w:tcW w:w="351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58265E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C2C2C"/>
                <w:sz w:val="20"/>
                <w:szCs w:val="20"/>
              </w:rPr>
              <w:t>1:2:4</w:t>
            </w:r>
          </w:p>
        </w:tc>
        <w:tc>
          <w:tcPr>
            <w:tcW w:w="351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8BAA74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1E7B34"/>
                <w:sz w:val="20"/>
                <w:szCs w:val="20"/>
              </w:rPr>
              <w:t>1:2:4 ✓</w:t>
            </w:r>
          </w:p>
        </w:tc>
      </w:tr>
    </w:tbl>
    <w:p w14:paraId="59901B74">
      <w:pPr>
        <w:pBdr>
          <w:bottom w:val="single" w:color="2E75B6" w:sz="8" w:space="4"/>
        </w:pBdr>
        <w:spacing w:before="36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eastAsia="Arial" w:cs="Times New Roman"/>
          <w:b/>
          <w:bCs/>
          <w:color w:val="1B3A6B"/>
          <w:sz w:val="28"/>
          <w:szCs w:val="28"/>
        </w:rPr>
        <w:t>7.  Final Evaluation Results</w:t>
      </w:r>
    </w:p>
    <w:p w14:paraId="75403902">
      <w:pPr>
        <w:spacing w:before="100" w:after="140"/>
        <w:rPr>
          <w:rFonts w:hint="default" w:ascii="Times New Roman" w:hAnsi="Times New Roman" w:eastAsia="Arial" w:cs="Times New Roman"/>
          <w:color w:val="595959"/>
          <w:sz w:val="22"/>
          <w:szCs w:val="22"/>
        </w:rPr>
      </w:pPr>
      <w:r>
        <w:rPr>
          <w:rFonts w:hint="default" w:ascii="Times New Roman" w:hAnsi="Times New Roman" w:eastAsia="Arial" w:cs="Times New Roman"/>
          <w:color w:val="595959"/>
          <w:sz w:val="22"/>
          <w:szCs w:val="22"/>
        </w:rPr>
        <w:t>The following metrics were computed across the full evaluation dataset: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3BE3F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8" w:hRule="atLeast"/>
          <w:tblHeader/>
        </w:trPr>
        <w:tc>
          <w:tcPr>
            <w:tcW w:w="312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9682EA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F60A43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12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1B3A6B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DD5F6C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14:paraId="41B7C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49" w:hRule="atLeast"/>
        </w:trPr>
        <w:tc>
          <w:tcPr>
            <w:tcW w:w="312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920A5A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20"/>
                <w:szCs w:val="20"/>
              </w:rPr>
              <w:t>Average Score (Accuracy)</w:t>
            </w:r>
          </w:p>
        </w:tc>
        <w:tc>
          <w:tcPr>
            <w:tcW w:w="312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01BF40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2E75B6"/>
                <w:sz w:val="20"/>
                <w:szCs w:val="20"/>
              </w:rPr>
              <w:t>0.76</w:t>
            </w:r>
          </w:p>
        </w:tc>
        <w:tc>
          <w:tcPr>
            <w:tcW w:w="312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4C5FA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C2C2C"/>
                <w:sz w:val="20"/>
                <w:szCs w:val="20"/>
              </w:rPr>
              <w:t>Minor semantic/formatting mismatches</w:t>
            </w:r>
          </w:p>
        </w:tc>
      </w:tr>
      <w:tr w14:paraId="14AEB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91" w:hRule="atLeast"/>
        </w:trPr>
        <w:tc>
          <w:tcPr>
            <w:tcW w:w="312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E3D16E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20"/>
                <w:szCs w:val="20"/>
              </w:rPr>
              <w:t>Average Precision</w:t>
            </w:r>
          </w:p>
        </w:tc>
        <w:tc>
          <w:tcPr>
            <w:tcW w:w="312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F50C7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E7B34"/>
                <w:sz w:val="20"/>
                <w:szCs w:val="20"/>
              </w:rPr>
              <w:t>0.90</w:t>
            </w:r>
          </w:p>
        </w:tc>
        <w:tc>
          <w:tcPr>
            <w:tcW w:w="312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77EE9B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C2C2C"/>
                <w:sz w:val="20"/>
                <w:szCs w:val="20"/>
              </w:rPr>
              <w:t>Rarely adds wrong/hallucinated fields</w:t>
            </w:r>
          </w:p>
        </w:tc>
      </w:tr>
      <w:tr w14:paraId="794BA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57" w:hRule="atLeast"/>
        </w:trPr>
        <w:tc>
          <w:tcPr>
            <w:tcW w:w="312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71DFDC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B3A6B"/>
                <w:sz w:val="20"/>
                <w:szCs w:val="20"/>
              </w:rPr>
              <w:t>Average Recall</w:t>
            </w:r>
          </w:p>
        </w:tc>
        <w:tc>
          <w:tcPr>
            <w:tcW w:w="312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C2F66C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E7B34"/>
                <w:sz w:val="20"/>
                <w:szCs w:val="20"/>
              </w:rPr>
              <w:t>0.83</w:t>
            </w:r>
          </w:p>
        </w:tc>
        <w:tc>
          <w:tcPr>
            <w:tcW w:w="312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EEF5FC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963BE1">
            <w:pPr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 w:val="0"/>
                <w:bCs w:val="0"/>
                <w:color w:val="2C2C2C"/>
                <w:sz w:val="20"/>
                <w:szCs w:val="20"/>
              </w:rPr>
              <w:t>Most attributes are captured correctly</w:t>
            </w:r>
          </w:p>
        </w:tc>
      </w:tr>
    </w:tbl>
    <w:p w14:paraId="5BB80939">
      <w:pPr>
        <w:pBdr>
          <w:bottom w:val="single" w:color="2E75B6" w:sz="8" w:space="4"/>
        </w:pBdr>
        <w:spacing w:before="36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eastAsia="Arial" w:cs="Times New Roman"/>
          <w:b/>
          <w:bCs/>
          <w:color w:val="1B3A6B"/>
          <w:sz w:val="28"/>
          <w:szCs w:val="28"/>
        </w:rPr>
        <w:t>8.  Interpretation &amp; Analysis</w:t>
      </w:r>
    </w:p>
    <w:tbl>
      <w:tblPr>
        <w:tblStyle w:val="9"/>
        <w:tblW w:w="97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40"/>
        <w:gridCol w:w="3240"/>
        <w:gridCol w:w="3240"/>
      </w:tblGrid>
      <w:tr w14:paraId="71F1A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4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E6F4E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3C4D2B02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E7B34"/>
                <w:sz w:val="28"/>
                <w:szCs w:val="28"/>
              </w:rPr>
              <w:t>Precision 0.90</w:t>
            </w:r>
          </w:p>
          <w:p w14:paraId="168BD452">
            <w:pPr>
              <w:spacing w:before="8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595959"/>
                <w:sz w:val="19"/>
                <w:szCs w:val="19"/>
              </w:rPr>
              <w:t>Model rarely adds wrong or hallucinated fields</w:t>
            </w:r>
          </w:p>
        </w:tc>
        <w:tc>
          <w:tcPr>
            <w:tcW w:w="324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E6F4EA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734B49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1E7B34"/>
                <w:sz w:val="28"/>
                <w:szCs w:val="28"/>
              </w:rPr>
              <w:t>Recall 0.83</w:t>
            </w:r>
          </w:p>
          <w:p w14:paraId="49CB8BF3">
            <w:pPr>
              <w:spacing w:before="8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595959"/>
                <w:sz w:val="19"/>
                <w:szCs w:val="19"/>
              </w:rPr>
              <w:t>Strong coverage of source attributes</w:t>
            </w:r>
          </w:p>
        </w:tc>
        <w:tc>
          <w:tcPr>
            <w:tcW w:w="3240" w:type="dxa"/>
            <w:tcBorders>
              <w:top w:val="single" w:color="BDD0E9" w:sz="0" w:space="0"/>
              <w:left w:val="single" w:color="BDD0E9" w:sz="0" w:space="0"/>
              <w:bottom w:val="single" w:color="BDD0E9" w:sz="0" w:space="0"/>
              <w:right w:val="single" w:color="BDD0E9" w:sz="0" w:space="0"/>
            </w:tcBorders>
            <w:shd w:val="clear" w:color="auto" w:fill="EEF5FC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03CEC4C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2E75B6"/>
                <w:sz w:val="28"/>
                <w:szCs w:val="28"/>
              </w:rPr>
              <w:t>Accuracy 0.76</w:t>
            </w:r>
          </w:p>
          <w:p w14:paraId="5FD67806">
            <w:pPr>
              <w:spacing w:before="8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Arial" w:cs="Times New Roman"/>
                <w:color w:val="595959"/>
                <w:sz w:val="19"/>
                <w:szCs w:val="19"/>
              </w:rPr>
              <w:t>Minor semantic &amp; formatting gaps reduce score</w:t>
            </w:r>
          </w:p>
        </w:tc>
      </w:tr>
    </w:tbl>
    <w:p w14:paraId="61F29DED">
      <w:pPr>
        <w:spacing w:before="140" w:after="0"/>
        <w:rPr>
          <w:rFonts w:hint="default" w:ascii="Times New Roman" w:hAnsi="Times New Roman" w:cs="Times New Roman"/>
        </w:rPr>
      </w:pPr>
      <w:bookmarkStart w:id="0" w:name="_GoBack"/>
      <w:bookmarkEnd w:id="0"/>
    </w:p>
    <w:p w14:paraId="12151748">
      <w:pPr>
        <w:spacing w:before="10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595959"/>
          <w:sz w:val="22"/>
          <w:szCs w:val="22"/>
        </w:rPr>
        <w:t>The gap between Precision (0.90) and Accuracy (0.76) is primarily explained by structural discrepancies rather than factual errors — the model captures the right information but occasionally uses different field names (e.g., location vs. work_type) or alternative formatting conventions (e.g., "Fe550, 32mm" vs. "Fe550"). This suggests a post-processing normalization layer could close this gap and push accuracy above 0.85.</w:t>
      </w:r>
    </w:p>
    <w:p w14:paraId="09C97FAD">
      <w:pPr>
        <w:spacing w:before="0" w:after="1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595959"/>
          <w:sz w:val="22"/>
          <w:szCs w:val="22"/>
        </w:rPr>
        <w:t>The LLM judge is intentionally strict regarding semantic equivalence, ensuring the scoring is conservative and production-ready thresholds are not artificially inflated.</w:t>
      </w:r>
    </w:p>
    <w:p w14:paraId="20F423CA">
      <w:pPr>
        <w:pBdr>
          <w:bottom w:val="single" w:color="2E75B6" w:sz="8" w:space="4"/>
        </w:pBdr>
        <w:spacing w:before="36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eastAsia="Arial" w:cs="Times New Roman"/>
          <w:b/>
          <w:bCs/>
          <w:color w:val="1B3A6B"/>
          <w:sz w:val="28"/>
          <w:szCs w:val="28"/>
        </w:rPr>
        <w:t>9.  Key Observations</w:t>
      </w:r>
    </w:p>
    <w:p w14:paraId="7E33377C">
      <w:pPr>
        <w:pStyle w:val="17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595959"/>
          <w:sz w:val="22"/>
          <w:szCs w:val="22"/>
        </w:rPr>
        <w:t>Reinforcement formatting differences (e.g., diameter included inline) are the most common source of score deductions</w:t>
      </w:r>
    </w:p>
    <w:p w14:paraId="14BDC97B">
      <w:pPr>
        <w:pStyle w:val="17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595959"/>
          <w:sz w:val="22"/>
          <w:szCs w:val="22"/>
        </w:rPr>
        <w:t>Field naming inconsistencies (work_type vs. location) are structural, not semantic failures</w:t>
      </w:r>
    </w:p>
    <w:p w14:paraId="3C5A5563">
      <w:pPr>
        <w:pStyle w:val="17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595959"/>
          <w:sz w:val="22"/>
          <w:szCs w:val="22"/>
        </w:rPr>
        <w:t>The LLM judge correctly identifies semantic equivalence in most cases, but applies penalties for non-standard formats</w:t>
      </w:r>
    </w:p>
    <w:p w14:paraId="132F63E8">
      <w:pPr>
        <w:pStyle w:val="17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595959"/>
          <w:sz w:val="22"/>
          <w:szCs w:val="22"/>
        </w:rPr>
        <w:t>Extraction quality is strong — errors are predominantly structural rather than factual</w:t>
      </w:r>
    </w:p>
    <w:p w14:paraId="6377AD0F">
      <w:pPr>
        <w:pStyle w:val="17"/>
        <w:numPr>
          <w:ilvl w:val="0"/>
          <w:numId w:val="1"/>
        </w:numPr>
        <w:spacing w:before="60" w:after="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" w:cs="Times New Roman"/>
          <w:color w:val="595959"/>
          <w:sz w:val="22"/>
          <w:szCs w:val="22"/>
        </w:rPr>
        <w:t>No significant hallucination of fields was observed across the evaluation dataset</w:t>
      </w:r>
    </w:p>
    <w:p w14:paraId="1C0AC096">
      <w:pPr>
        <w:spacing w:before="80" w:after="1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</w:t>
      </w:r>
    </w:p>
    <w:sectPr>
      <w:footerReference r:id="rId3" w:type="default"/>
      <w:pgSz w:w="12240" w:h="15840"/>
      <w:pgMar w:top="1440" w:right="1260" w:bottom="1260" w:left="1260" w:header="28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E72CE9">
    <w:pPr>
      <w:pBdr>
        <w:top w:val="single" w:color="2E75B6" w:sz="4" w:space="4"/>
      </w:pBdr>
      <w:tabs>
        <w:tab w:val="right" w:pos="9360"/>
      </w:tabs>
      <w:spacing w:before="120"/>
    </w:pPr>
    <w:r>
      <w:rPr>
        <w:rFonts w:ascii="Arial" w:hAnsi="Arial" w:eastAsia="Arial" w:cs="Arial"/>
        <w:color w:val="595959"/>
        <w:sz w:val="18"/>
        <w:szCs w:val="18"/>
      </w:rPr>
      <w:t>Confidential — Internal Use Only</w:t>
    </w:r>
    <w:r>
      <w:rPr>
        <w:rFonts w:ascii="Arial" w:hAnsi="Arial" w:eastAsia="Arial" w:cs="Arial"/>
        <w:color w:val="595959"/>
        <w:sz w:val="18"/>
        <w:szCs w:val="18"/>
      </w:rPr>
      <w:tab/>
      <w:t xml:space="preserve">Page </w:t>
    </w:r>
    <w:r>
      <w:rPr>
        <w:rFonts w:ascii="Arial" w:hAnsi="Arial" w:eastAsia="Arial" w:cs="Arial"/>
        <w:color w:val="595959"/>
        <w:sz w:val="18"/>
        <w:szCs w:val="18"/>
      </w:rPr>
      <w:fldChar w:fldCharType="begin"/>
    </w:r>
    <w:r>
      <w:rPr>
        <w:rFonts w:ascii="Arial" w:hAnsi="Arial" w:eastAsia="Arial" w:cs="Arial"/>
        <w:color w:val="595959"/>
        <w:sz w:val="18"/>
        <w:szCs w:val="18"/>
      </w:rPr>
      <w:instrText xml:space="preserve">PAGE</w:instrText>
    </w:r>
    <w:r>
      <w:rPr>
        <w:rFonts w:ascii="Arial" w:hAnsi="Arial" w:eastAsia="Arial" w:cs="Arial"/>
        <w:color w:val="595959"/>
        <w:sz w:val="18"/>
        <w:szCs w:val="18"/>
      </w:rPr>
      <w:fldChar w:fldCharType="separate"/>
    </w:r>
    <w:r>
      <w:rPr>
        <w:rFonts w:ascii="Arial" w:hAnsi="Arial" w:eastAsia="Arial" w:cs="Arial"/>
        <w:color w:val="595959"/>
        <w:sz w:val="18"/>
        <w:szCs w:val="18"/>
      </w:rPr>
      <w:fldChar w:fldCharType="end"/>
    </w:r>
    <w:r>
      <w:rPr>
        <w:rFonts w:ascii="Arial" w:hAnsi="Arial" w:eastAsia="Arial" w:cs="Arial"/>
        <w:color w:val="595959"/>
        <w:sz w:val="18"/>
        <w:szCs w:val="18"/>
      </w:rPr>
      <w:t xml:space="preserve"> of </w:t>
    </w:r>
    <w:r>
      <w:rPr>
        <w:rFonts w:ascii="Arial" w:hAnsi="Arial" w:eastAsia="Arial" w:cs="Arial"/>
        <w:color w:val="595959"/>
        <w:sz w:val="18"/>
        <w:szCs w:val="18"/>
      </w:rPr>
      <w:fldChar w:fldCharType="begin"/>
    </w:r>
    <w:r>
      <w:rPr>
        <w:rFonts w:ascii="Arial" w:hAnsi="Arial" w:eastAsia="Arial" w:cs="Arial"/>
        <w:color w:val="595959"/>
        <w:sz w:val="18"/>
        <w:szCs w:val="18"/>
      </w:rPr>
      <w:instrText xml:space="preserve">NUMPAGES</w:instrText>
    </w:r>
    <w:r>
      <w:rPr>
        <w:rFonts w:ascii="Arial" w:hAnsi="Arial" w:eastAsia="Arial" w:cs="Arial"/>
        <w:color w:val="595959"/>
        <w:sz w:val="18"/>
        <w:szCs w:val="18"/>
      </w:rPr>
      <w:fldChar w:fldCharType="separate"/>
    </w:r>
    <w:r>
      <w:rPr>
        <w:rFonts w:ascii="Arial" w:hAnsi="Arial" w:eastAsia="Arial" w:cs="Arial"/>
        <w:color w:val="595959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7A9502A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color w:val="2C2C2C"/>
      <w:sz w:val="22"/>
      <w:szCs w:val="22"/>
    </w:rPr>
  </w:style>
  <w:style w:type="paragraph" w:styleId="2">
    <w:name w:val="heading 1"/>
    <w:next w:val="1"/>
    <w:qFormat/>
    <w:uiPriority w:val="0"/>
    <w:pPr>
      <w:spacing w:before="0" w:after="0"/>
      <w:outlineLvl w:val="0"/>
    </w:pPr>
    <w:rPr>
      <w:rFonts w:ascii="Arial" w:hAnsi="Arial" w:eastAsia="Arial" w:cs="Arial"/>
      <w:b/>
      <w:bCs/>
      <w:color w:val="FFFFFF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20"/>
      <w:outlineLvl w:val="1"/>
    </w:pPr>
    <w:rPr>
      <w:rFonts w:ascii="Arial" w:hAnsi="Arial" w:eastAsia="Arial" w:cs="Arial"/>
      <w:b/>
      <w:bCs/>
      <w:color w:val="1B3A6B"/>
      <w:sz w:val="28"/>
      <w:szCs w:val="28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2C2C2C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color w:val="2C2C2C"/>
      <w:sz w:val="20"/>
      <w:szCs w:val="20"/>
    </w:rPr>
  </w:style>
  <w:style w:type="paragraph" w:styleId="14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Arial" w:hAnsi="Arial" w:eastAsia="Arial" w:cs="Arial"/>
      <w:color w:val="2C2C2C"/>
      <w:sz w:val="56"/>
      <w:szCs w:val="56"/>
    </w:rPr>
  </w:style>
  <w:style w:type="paragraph" w:styleId="17">
    <w:name w:val="List Paragraph"/>
    <w:qFormat/>
    <w:uiPriority w:val="0"/>
    <w:rPr>
      <w:rFonts w:ascii="Arial" w:hAnsi="Arial" w:eastAsia="Arial" w:cs="Arial"/>
      <w:color w:val="2C2C2C"/>
      <w:sz w:val="22"/>
      <w:szCs w:val="22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11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2026-04-28T10:05:00Z</dcterms:created>
  <dc:creator>Un-named</dc:creator>
  <cp:lastModifiedBy>Quoters Hub</cp:lastModifiedBy>
  <dcterms:modified xsi:type="dcterms:W3CDTF">2026-04-28T10:19:52Z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DCC4C2A093744D72BA54D70202CCCD08_12</vt:lpwstr>
  </property>
</Properties>
</file>