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81EB2">
      <w:pPr>
        <w:spacing w:before="0" w:after="8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32"/>
          <w:szCs w:val="32"/>
        </w:rPr>
        <w:t>EVALUATION REPORT</w:t>
      </w:r>
    </w:p>
    <w:p w14:paraId="5AAA8879">
      <w:pPr>
        <w:pStyle w:val="2"/>
        <w:pBdr>
          <w:bottom w:val="single" w:color="1F5C99" w:sz="6" w:space="4"/>
        </w:pBdr>
        <w:spacing w:before="32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1F5C99"/>
          <w:sz w:val="28"/>
          <w:szCs w:val="28"/>
        </w:rPr>
        <w:t>1. Overview</w:t>
      </w:r>
    </w:p>
    <w:p w14:paraId="48E3929A">
      <w:pPr>
        <w:spacing w:before="8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This document summarizes the performance evaluation of the BOQ (Bill of Quantities) extraction model using LLM-based semantic grading, structured scoring, and row-wise evaluation on a labeled dataset.</w:t>
      </w:r>
    </w:p>
    <w:p w14:paraId="3B24AC9F">
      <w:pPr>
        <w:pStyle w:val="2"/>
        <w:pBdr>
          <w:bottom w:val="single" w:color="1F5C99" w:sz="6" w:space="4"/>
        </w:pBdr>
        <w:spacing w:before="32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1F5C99"/>
          <w:sz w:val="28"/>
          <w:szCs w:val="28"/>
        </w:rPr>
        <w:t>2. Evaluation Methodology</w:t>
      </w:r>
    </w:p>
    <w:p w14:paraId="62D1391B">
      <w:pPr>
        <w:spacing w:before="8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Each prediction is compared with ground truth using a large language model judge, which assigns:</w:t>
      </w:r>
    </w:p>
    <w:p w14:paraId="6A3D8C60">
      <w:pPr>
        <w:spacing w:before="60" w:after="6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A808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C9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Output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A9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14:paraId="3BEF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EF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Score (0–10)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C0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Numeric semantic quality rating assigned per sample</w:t>
            </w:r>
          </w:p>
        </w:tc>
      </w:tr>
      <w:tr w14:paraId="72B87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EC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Verdict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2F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Correct / Partial / Wrong classification</w:t>
            </w:r>
          </w:p>
        </w:tc>
      </w:tr>
      <w:tr w14:paraId="71E47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77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Reason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35D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Short natural language explanation of the verdict</w:t>
            </w:r>
          </w:p>
        </w:tc>
      </w:tr>
    </w:tbl>
    <w:p w14:paraId="5FFE2F45">
      <w:pPr>
        <w:spacing w:before="60" w:after="60"/>
        <w:rPr>
          <w:rFonts w:hint="default" w:ascii="Times New Roman" w:hAnsi="Times New Roman" w:cs="Times New Roman"/>
          <w:sz w:val="24"/>
          <w:szCs w:val="24"/>
        </w:rPr>
      </w:pPr>
    </w:p>
    <w:p w14:paraId="5B981391">
      <w:pPr>
        <w:pStyle w:val="2"/>
        <w:pBdr>
          <w:bottom w:val="single" w:color="1F5C99" w:sz="6" w:space="4"/>
        </w:pBdr>
        <w:spacing w:before="32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1F5C99"/>
          <w:sz w:val="28"/>
          <w:szCs w:val="28"/>
        </w:rPr>
        <w:t>3. Final Results Summary</w:t>
      </w:r>
    </w:p>
    <w:p w14:paraId="3FC15CD9">
      <w:pPr>
        <w:spacing w:before="60" w:after="6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180"/>
        <w:gridCol w:w="2205"/>
        <w:gridCol w:w="180"/>
        <w:gridCol w:w="2205"/>
        <w:gridCol w:w="180"/>
        <w:gridCol w:w="2205"/>
      </w:tblGrid>
      <w:tr w14:paraId="06C03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AE75DF0">
            <w:pPr>
              <w:spacing w:after="4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555555"/>
                <w:sz w:val="20"/>
                <w:szCs w:val="20"/>
              </w:rPr>
              <w:t>LLM Score</w:t>
            </w:r>
          </w:p>
          <w:p w14:paraId="5E87DB2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5C99"/>
                <w:sz w:val="44"/>
                <w:szCs w:val="44"/>
              </w:rPr>
              <w:t>8.65 / 10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F70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14A0719">
            <w:pPr>
              <w:spacing w:after="4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555555"/>
                <w:sz w:val="20"/>
                <w:szCs w:val="20"/>
              </w:rPr>
              <w:t>Weighted Score</w:t>
            </w:r>
          </w:p>
          <w:p w14:paraId="172CBE5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5C99"/>
                <w:sz w:val="44"/>
                <w:szCs w:val="44"/>
              </w:rPr>
              <w:t>86.5%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8D6A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BACA938">
            <w:pPr>
              <w:spacing w:after="4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555555"/>
                <w:sz w:val="20"/>
                <w:szCs w:val="20"/>
              </w:rPr>
              <w:t>Strict Accuracy</w:t>
            </w:r>
          </w:p>
          <w:p w14:paraId="6804A89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E65100"/>
                <w:sz w:val="44"/>
                <w:szCs w:val="44"/>
              </w:rPr>
              <w:t>70%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273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C2B596C">
            <w:pPr>
              <w:spacing w:after="4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555555"/>
                <w:sz w:val="20"/>
                <w:szCs w:val="20"/>
              </w:rPr>
              <w:t>Error Rate</w:t>
            </w:r>
          </w:p>
          <w:p w14:paraId="2DAC893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D32"/>
                <w:sz w:val="44"/>
                <w:szCs w:val="44"/>
              </w:rPr>
              <w:t>0%</w:t>
            </w:r>
          </w:p>
        </w:tc>
      </w:tr>
    </w:tbl>
    <w:p w14:paraId="6B812CC1">
      <w:pPr>
        <w:spacing w:before="60" w:after="60"/>
        <w:rPr>
          <w:rFonts w:hint="default" w:ascii="Times New Roman" w:hAnsi="Times New Roman" w:cs="Times New Roman"/>
          <w:sz w:val="24"/>
          <w:szCs w:val="24"/>
        </w:rPr>
      </w:pPr>
    </w:p>
    <w:p w14:paraId="03E31E6D">
      <w:pPr>
        <w:spacing w:before="60" w:after="6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W w:w="8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5"/>
        <w:gridCol w:w="1623"/>
        <w:gridCol w:w="4451"/>
      </w:tblGrid>
      <w:tr w14:paraId="0BF6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0" w:hRule="atLeast"/>
          <w:tblHeader/>
          <w:jc w:val="center"/>
        </w:trPr>
        <w:tc>
          <w:tcPr>
            <w:tcW w:w="28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E45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16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AFE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4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934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Interpretation</w:t>
            </w:r>
          </w:p>
        </w:tc>
      </w:tr>
      <w:tr w14:paraId="687A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6" w:hRule="atLeast"/>
          <w:jc w:val="center"/>
        </w:trPr>
        <w:tc>
          <w:tcPr>
            <w:tcW w:w="28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CD5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22222"/>
                <w:sz w:val="21"/>
                <w:szCs w:val="21"/>
              </w:rPr>
              <w:t>Average LLM Score</w:t>
            </w:r>
          </w:p>
        </w:tc>
        <w:tc>
          <w:tcPr>
            <w:tcW w:w="16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AEC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1F5C99"/>
                <w:sz w:val="21"/>
                <w:szCs w:val="21"/>
              </w:rPr>
              <w:t>8.65 / 10</w:t>
            </w:r>
          </w:p>
        </w:tc>
        <w:tc>
          <w:tcPr>
            <w:tcW w:w="4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49B9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22222"/>
                <w:sz w:val="21"/>
                <w:szCs w:val="21"/>
              </w:rPr>
              <w:t>High semantic similarity between prediction and ground truth</w:t>
            </w:r>
          </w:p>
        </w:tc>
      </w:tr>
      <w:tr w14:paraId="116C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6" w:hRule="atLeast"/>
          <w:jc w:val="center"/>
        </w:trPr>
        <w:tc>
          <w:tcPr>
            <w:tcW w:w="28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004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22222"/>
                <w:sz w:val="21"/>
                <w:szCs w:val="21"/>
              </w:rPr>
              <w:t>Weighted Score</w:t>
            </w:r>
          </w:p>
        </w:tc>
        <w:tc>
          <w:tcPr>
            <w:tcW w:w="16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196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1F5C99"/>
                <w:sz w:val="21"/>
                <w:szCs w:val="21"/>
              </w:rPr>
              <w:t>86.5%</w:t>
            </w:r>
          </w:p>
        </w:tc>
        <w:tc>
          <w:tcPr>
            <w:tcW w:w="4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2E0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22222"/>
                <w:sz w:val="21"/>
                <w:szCs w:val="21"/>
              </w:rPr>
              <w:t>Overall model quality — above 80% production threshold</w:t>
            </w:r>
          </w:p>
        </w:tc>
      </w:tr>
      <w:tr w14:paraId="0DD04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0" w:hRule="atLeast"/>
          <w:jc w:val="center"/>
        </w:trPr>
        <w:tc>
          <w:tcPr>
            <w:tcW w:w="28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E02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22222"/>
                <w:sz w:val="21"/>
                <w:szCs w:val="21"/>
              </w:rPr>
              <w:t>Strict Accuracy</w:t>
            </w:r>
          </w:p>
        </w:tc>
        <w:tc>
          <w:tcPr>
            <w:tcW w:w="16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FCF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E65100"/>
                <w:sz w:val="21"/>
                <w:szCs w:val="21"/>
              </w:rPr>
              <w:t>70%</w:t>
            </w:r>
          </w:p>
        </w:tc>
        <w:tc>
          <w:tcPr>
            <w:tcW w:w="4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4A1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22222"/>
                <w:sz w:val="21"/>
                <w:szCs w:val="21"/>
              </w:rPr>
              <w:t>Fully correct structured outputs</w:t>
            </w:r>
          </w:p>
        </w:tc>
      </w:tr>
      <w:tr w14:paraId="0D729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0" w:hRule="atLeast"/>
          <w:jc w:val="center"/>
        </w:trPr>
        <w:tc>
          <w:tcPr>
            <w:tcW w:w="28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AD6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22222"/>
                <w:sz w:val="21"/>
                <w:szCs w:val="21"/>
              </w:rPr>
              <w:t>Partial Match Rate</w:t>
            </w:r>
          </w:p>
        </w:tc>
        <w:tc>
          <w:tcPr>
            <w:tcW w:w="16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F0C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B8860B"/>
                <w:sz w:val="21"/>
                <w:szCs w:val="21"/>
              </w:rPr>
              <w:t>30%</w:t>
            </w:r>
          </w:p>
        </w:tc>
        <w:tc>
          <w:tcPr>
            <w:tcW w:w="4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A34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22222"/>
                <w:sz w:val="21"/>
                <w:szCs w:val="21"/>
              </w:rPr>
              <w:t>Outputs with minor missing or incorrect attributes</w:t>
            </w:r>
          </w:p>
        </w:tc>
      </w:tr>
      <w:tr w14:paraId="05DB6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9" w:hRule="atLeast"/>
          <w:jc w:val="center"/>
        </w:trPr>
        <w:tc>
          <w:tcPr>
            <w:tcW w:w="28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FE8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22222"/>
                <w:sz w:val="21"/>
                <w:szCs w:val="21"/>
              </w:rPr>
              <w:t>Error Rate</w:t>
            </w:r>
          </w:p>
        </w:tc>
        <w:tc>
          <w:tcPr>
            <w:tcW w:w="16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3C2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E7D32"/>
                <w:sz w:val="21"/>
                <w:szCs w:val="21"/>
              </w:rPr>
              <w:t>0%</w:t>
            </w:r>
          </w:p>
        </w:tc>
        <w:tc>
          <w:tcPr>
            <w:tcW w:w="4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10F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22222"/>
                <w:sz w:val="21"/>
                <w:szCs w:val="21"/>
              </w:rPr>
              <w:t>No completely incorrect predictions — excellent stability</w:t>
            </w:r>
          </w:p>
        </w:tc>
      </w:tr>
    </w:tbl>
    <w:p w14:paraId="062856D9">
      <w:pPr>
        <w:spacing w:before="60" w:after="60"/>
        <w:rPr>
          <w:rFonts w:hint="default" w:ascii="Times New Roman" w:hAnsi="Times New Roman" w:cs="Times New Roman"/>
          <w:sz w:val="24"/>
          <w:szCs w:val="24"/>
        </w:rPr>
      </w:pPr>
    </w:p>
    <w:p w14:paraId="755FEE39">
      <w:pPr>
        <w:pStyle w:val="2"/>
        <w:pBdr>
          <w:bottom w:val="single" w:color="1F5C99" w:sz="6" w:space="4"/>
        </w:pBdr>
        <w:spacing w:before="32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1F5C99"/>
          <w:sz w:val="28"/>
          <w:szCs w:val="28"/>
        </w:rPr>
        <w:t>4. Visual Performance Analysis</w:t>
      </w:r>
    </w:p>
    <w:p w14:paraId="32B3C18C">
      <w:pPr>
        <w:pStyle w:val="3"/>
        <w:spacing w:before="24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4"/>
          <w:szCs w:val="24"/>
        </w:rPr>
        <w:t>4.1  Evaluation Metrics Overview</w:t>
      </w:r>
    </w:p>
    <w:p w14:paraId="606FC2DD">
      <w:pPr>
        <w:spacing w:before="8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chart below compares all five evaluation metrics against the 80% production threshold (green dashed line).</w:t>
      </w:r>
    </w:p>
    <w:p w14:paraId="00BCBC18">
      <w:pPr>
        <w:spacing w:before="60" w:after="60"/>
        <w:rPr>
          <w:rFonts w:hint="default" w:ascii="Times New Roman" w:hAnsi="Times New Roman" w:cs="Times New Roman"/>
          <w:sz w:val="24"/>
          <w:szCs w:val="24"/>
        </w:rPr>
      </w:pPr>
    </w:p>
    <w:p w14:paraId="60C76AE5">
      <w:pPr>
        <w:spacing w:before="120" w:after="120"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6219825" cy="3019425"/>
            <wp:effectExtent l="9525" t="9525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01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69503">
      <w:pPr>
        <w:spacing w:before="40" w:after="160" w:line="360" w:lineRule="auto"/>
        <w:jc w:val="center"/>
        <w:rPr>
          <w:rFonts w:hint="default" w:ascii="Garamond" w:hAnsi="Garamond" w:cs="Garamond"/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Arial" w:cs="Garamond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Figure 1 — Horizontal bar chart of all evaluation metrics</w:t>
      </w:r>
    </w:p>
    <w:p w14:paraId="168AD0D4">
      <w:pPr>
        <w:pStyle w:val="3"/>
        <w:spacing w:before="24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4"/>
          <w:szCs w:val="24"/>
        </w:rPr>
        <w:t>4.2  Verdict Distribution &amp; Sample-Level Breakdown</w:t>
      </w:r>
    </w:p>
    <w:p w14:paraId="1ABB7794">
      <w:pPr>
        <w:spacing w:before="8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donut chart shows the proportion of Correct, Partial, and Wrong verdicts. The stacked bar shows the raw sample counts.</w:t>
      </w:r>
    </w:p>
    <w:p w14:paraId="593E962D">
      <w:pPr>
        <w:spacing w:before="60" w:after="60"/>
        <w:rPr>
          <w:rFonts w:hint="default" w:ascii="Times New Roman" w:hAnsi="Times New Roman" w:cs="Times New Roman"/>
          <w:sz w:val="24"/>
          <w:szCs w:val="24"/>
        </w:rPr>
      </w:pPr>
    </w:p>
    <w:p w14:paraId="487F6611">
      <w:pPr>
        <w:spacing w:before="60" w:after="60"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833370" cy="2335530"/>
            <wp:effectExtent l="9525" t="9525" r="1460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2335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4CA10C">
      <w:pPr>
        <w:spacing w:before="60" w:after="60"/>
        <w:jc w:val="center"/>
        <w:rPr>
          <w:rFonts w:hint="default" w:ascii="Garamond" w:hAnsi="Garamond" w:cs="Garamond"/>
          <w:sz w:val="22"/>
          <w:szCs w:val="22"/>
          <w:lang w:val="en-US"/>
        </w:rPr>
      </w:pPr>
      <w:r>
        <w:rPr>
          <w:rFonts w:hint="default" w:ascii="Garamond" w:hAnsi="Garamond" w:cs="Garamond"/>
          <w:sz w:val="22"/>
          <w:szCs w:val="22"/>
          <w:lang w:val="en-US"/>
        </w:rPr>
        <w:t>Figure 2  Verdict Distribution</w:t>
      </w:r>
    </w:p>
    <w:p w14:paraId="194D1A4D">
      <w:pPr>
        <w:spacing w:before="60" w:after="6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420360" cy="2585720"/>
            <wp:effectExtent l="9525" t="9525" r="1841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2585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8EDF8">
      <w:pPr>
        <w:spacing w:before="60" w:after="6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Figure 3  Samplewise Distribution ( Chart 1 )</w:t>
      </w:r>
    </w:p>
    <w:p w14:paraId="78135560">
      <w:pPr>
        <w:spacing w:before="60" w:after="6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B7522D">
      <w:pPr>
        <w:spacing w:before="60" w:after="6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531EF4">
      <w:pPr>
        <w:spacing w:before="60" w:after="6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636260" cy="2708910"/>
            <wp:effectExtent l="9525" t="9525" r="12065" b="24765"/>
            <wp:docPr id="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27089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148206">
      <w:pPr>
        <w:spacing w:before="60" w:after="6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Figure 3  Samplewise Distribution ( Chart 2 )</w:t>
      </w:r>
    </w:p>
    <w:p w14:paraId="54970EA4">
      <w:pPr>
        <w:spacing w:before="60" w:after="60"/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74B1611">
      <w:pPr>
        <w:pStyle w:val="3"/>
        <w:spacing w:before="240" w:after="120"/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</w:pPr>
    </w:p>
    <w:p w14:paraId="25CDDC57">
      <w:pPr>
        <w:pStyle w:val="3"/>
        <w:spacing w:before="240" w:after="120"/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</w:pPr>
    </w:p>
    <w:p w14:paraId="725A780B">
      <w:pPr>
        <w:pStyle w:val="3"/>
        <w:spacing w:before="240" w:after="120"/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</w:pPr>
    </w:p>
    <w:p w14:paraId="13C57A84">
      <w:pPr>
        <w:pStyle w:val="3"/>
        <w:spacing w:before="240" w:after="120"/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</w:pPr>
    </w:p>
    <w:p w14:paraId="06E986CE">
      <w:pPr>
        <w:pStyle w:val="3"/>
        <w:spacing w:before="240" w:after="120"/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</w:pPr>
    </w:p>
    <w:p w14:paraId="35006567">
      <w:pPr>
        <w:pStyle w:val="3"/>
        <w:spacing w:before="240" w:after="120"/>
        <w:rPr>
          <w:rFonts w:hint="default" w:ascii="Times New Roman" w:hAnsi="Times New Roman" w:eastAsia="Arial" w:cs="Times New Roman"/>
          <w:b/>
          <w:bCs/>
          <w:color w:val="2E75B6"/>
          <w:sz w:val="28"/>
          <w:szCs w:val="28"/>
        </w:rPr>
      </w:pPr>
    </w:p>
    <w:p w14:paraId="0FAADEAF">
      <w:pPr>
        <w:pStyle w:val="3"/>
        <w:spacing w:before="24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4"/>
          <w:szCs w:val="24"/>
        </w:rPr>
        <w:t>4.3  Semantic Quality Gauge</w:t>
      </w:r>
    </w:p>
    <w:p w14:paraId="4B7871F7">
      <w:pPr>
        <w:spacing w:before="8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gauge illustrates how the model's LLM semantic score of 8.65 sits well above the 8.0 benchmark zone.</w:t>
      </w:r>
    </w:p>
    <w:p w14:paraId="0CC90E1F">
      <w:pPr>
        <w:spacing w:before="60" w:after="60"/>
        <w:rPr>
          <w:rFonts w:hint="default" w:ascii="Times New Roman" w:hAnsi="Times New Roman" w:cs="Times New Roman"/>
          <w:sz w:val="24"/>
          <w:szCs w:val="24"/>
        </w:rPr>
      </w:pPr>
    </w:p>
    <w:p w14:paraId="6BE0CED4">
      <w:pPr>
        <w:spacing w:before="120" w:after="12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210050" cy="2743200"/>
            <wp:effectExtent l="9525" t="9525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027074">
      <w:pPr>
        <w:spacing w:before="120" w:after="120" w:line="360" w:lineRule="auto"/>
        <w:jc w:val="center"/>
        <w:rPr>
          <w:rFonts w:hint="default" w:ascii="Garamond" w:hAnsi="Garamond" w:cs="Garamond"/>
          <w:sz w:val="22"/>
          <w:szCs w:val="22"/>
          <w:lang w:val="en-US"/>
        </w:rPr>
      </w:pPr>
      <w:r>
        <w:rPr>
          <w:rFonts w:hint="default" w:ascii="Garamond" w:hAnsi="Garamond" w:cs="Garamond"/>
          <w:sz w:val="22"/>
          <w:szCs w:val="22"/>
          <w:lang w:val="en-US"/>
        </w:rPr>
        <w:t>Figure 3  Semantic Quality</w:t>
      </w:r>
    </w:p>
    <w:p w14:paraId="08219D4F">
      <w:pPr>
        <w:pStyle w:val="2"/>
        <w:pBdr>
          <w:bottom w:val="single" w:color="1F5C99" w:sz="6" w:space="4"/>
        </w:pBdr>
        <w:spacing w:before="320" w:after="1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Arial" w:cs="Times New Roman"/>
          <w:b/>
          <w:bCs/>
          <w:color w:val="1F5C99"/>
          <w:sz w:val="32"/>
          <w:szCs w:val="32"/>
        </w:rPr>
        <w:t>5. Metrics Explanation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200"/>
        <w:gridCol w:w="3100"/>
        <w:gridCol w:w="1960"/>
      </w:tblGrid>
      <w:tr w14:paraId="465D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AC3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97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Definition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325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735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Ideal Range</w:t>
            </w:r>
          </w:p>
        </w:tc>
      </w:tr>
      <w:tr w14:paraId="45A7D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4E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Average LLM Score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C4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Mean score (0–10) by LLM judge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D2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Measures semantic correctness of BOQ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DD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&gt; 8 = strong</w:t>
            </w:r>
          </w:p>
        </w:tc>
      </w:tr>
      <w:tr w14:paraId="7B2E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12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Weighted Score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B6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Normalized LLM score as %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2D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Overall extraction quality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EC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&gt; 80% = strong</w:t>
            </w:r>
          </w:p>
        </w:tc>
      </w:tr>
      <w:tr w14:paraId="6D26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5E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Strict Accuracy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149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% predictions marked Correct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49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Fully accurate structured extraction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AAE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Higher is better</w:t>
            </w:r>
          </w:p>
        </w:tc>
      </w:tr>
      <w:tr w14:paraId="023F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5F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Partial Match Rate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D9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% predictions marked Partial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9A5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Near-correct, minor gaps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29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Lower is better</w:t>
            </w:r>
          </w:p>
        </w:tc>
      </w:tr>
      <w:tr w14:paraId="6A36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C9C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Error Rate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2C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% completely incorrect outputs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7E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Failure / instability rate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5C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0% = excellent</w:t>
            </w:r>
          </w:p>
        </w:tc>
      </w:tr>
    </w:tbl>
    <w:p w14:paraId="7544FEA6">
      <w:pPr>
        <w:pBdr>
          <w:top w:val="single" w:color="CCCCCC" w:sz="4" w:space="8"/>
        </w:pBdr>
        <w:spacing w:before="400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19D2D86"/>
    <w:rsid w:val="1CDC7FA8"/>
    <w:rsid w:val="20A86BA8"/>
    <w:rsid w:val="29FF56F6"/>
    <w:rsid w:val="2ABD4C84"/>
    <w:rsid w:val="358E0337"/>
    <w:rsid w:val="3A657D75"/>
    <w:rsid w:val="45753A9C"/>
    <w:rsid w:val="47B93D6C"/>
    <w:rsid w:val="58AA0A84"/>
    <w:rsid w:val="59853A19"/>
    <w:rsid w:val="599854C9"/>
    <w:rsid w:val="76071D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5C9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8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2026-05-14T10:47:00Z</dcterms:created>
  <dc:creator>Un-named</dc:creator>
  <cp:lastModifiedBy>Quoters Hub</cp:lastModifiedBy>
  <dcterms:modified xsi:type="dcterms:W3CDTF">2026-05-14T11:37:51Z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ABA879F87BBB4911BF96742B1400B7DF_13</vt:lpwstr>
  </property>
</Properties>
</file>