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9D320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1: System Use Cases</w:t>
      </w:r>
    </w:p>
    <w:p w14:paraId="16255665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The BOQ Intelligence System was developed to automate and enhance understanding of Construction BOQ documents. The following use cases define the operational scope of the system.</w:t>
      </w:r>
    </w:p>
    <w:p w14:paraId="5D69083D">
      <w:pPr>
        <w:spacing w:before="0" w:after="80"/>
        <w:rPr>
          <w:rFonts w:hint="default" w:ascii="Times New Roman" w:hAnsi="Times New Roman" w:cs="Times New Roman"/>
        </w:rPr>
      </w:pPr>
    </w:p>
    <w:p w14:paraId="321F324E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1.1  BOQ Field Extraction</w:t>
      </w:r>
    </w:p>
    <w:p w14:paraId="6C54A10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Extracts structured, machine-readable data from raw construction text with no predefined format. This supports:</w:t>
      </w:r>
    </w:p>
    <w:p w14:paraId="4E335D87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Contractor BOQ parsing and digitization</w:t>
      </w:r>
    </w:p>
    <w:p w14:paraId="3577B37A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Automated quantity estimation from unstructured inputs</w:t>
      </w:r>
    </w:p>
    <w:p w14:paraId="06534366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Material classification and cataloguing</w:t>
      </w:r>
    </w:p>
    <w:p w14:paraId="63AC8970">
      <w:pPr>
        <w:spacing w:before="0" w:after="80"/>
        <w:rPr>
          <w:rFonts w:hint="default" w:ascii="Times New Roman" w:hAnsi="Times New Roman" w:cs="Times New Roman"/>
        </w:rPr>
      </w:pPr>
    </w:p>
    <w:p w14:paraId="00C0D27B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1.2  BOQ Comparison &amp; Revision Control</w:t>
      </w:r>
    </w:p>
    <w:p w14:paraId="01824B1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Compares two BOQ versions and identifies the precise nature of each change, categorized as: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2117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45AD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20A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FF2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4241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Modified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6C5B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Items where specifications, dimensions, or values have changed</w:t>
            </w:r>
          </w:p>
        </w:tc>
      </w:tr>
      <w:tr w14:paraId="4DEC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F52A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Added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A94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New line items present in the revised BOQ but absent from the original</w:t>
            </w:r>
          </w:p>
        </w:tc>
      </w:tr>
      <w:tr w14:paraId="5152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5DF0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Removed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1EF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Line items present in the original BOQ but omitted from the revision</w:t>
            </w:r>
          </w:p>
        </w:tc>
      </w:tr>
      <w:tr w14:paraId="0DB8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E537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Unchanged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E187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Items that remain identical across both versions</w:t>
            </w:r>
          </w:p>
        </w:tc>
      </w:tr>
    </w:tbl>
    <w:p w14:paraId="35F11A8F">
      <w:pPr>
        <w:spacing w:before="0" w:after="100"/>
        <w:rPr>
          <w:rFonts w:hint="default" w:ascii="Times New Roman" w:hAnsi="Times New Roman" w:cs="Times New Roman"/>
        </w:rPr>
      </w:pPr>
    </w:p>
    <w:p w14:paraId="48F0297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Primary applications include contract variation tracking, cost change analysis, and revision auditing.</w:t>
      </w:r>
    </w:p>
    <w:p w14:paraId="670FCED6">
      <w:pPr>
        <w:spacing w:before="0" w:after="80"/>
        <w:rPr>
          <w:rFonts w:hint="default" w:ascii="Times New Roman" w:hAnsi="Times New Roman" w:cs="Times New Roman"/>
        </w:rPr>
      </w:pPr>
    </w:p>
    <w:p w14:paraId="5016DC30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1.3  Hybrid Analysis</w:t>
      </w:r>
    </w:p>
    <w:p w14:paraId="5775131E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Combines extraction and comparison into a single unified pipeline: extract BOQ fields, detect changes, and generate a structured summary. This use case serves tender evaluation workflows and automated BOQ reporting systems.</w:t>
      </w:r>
    </w:p>
    <w:p w14:paraId="5A46B4B1">
      <w:pPr>
        <w:spacing w:before="0" w:after="80"/>
        <w:rPr>
          <w:rFonts w:hint="default" w:ascii="Times New Roman" w:hAnsi="Times New Roman" w:cs="Times New Roman"/>
        </w:rPr>
      </w:pPr>
    </w:p>
    <w:p w14:paraId="07AF60D0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1.4  OCR-Based Document Cleaning</w:t>
      </w:r>
    </w:p>
    <w:p w14:paraId="07D47C55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Handles noisy, real-world inputs including scanned BOQ PDFs, engineering abbreviations, missing units, and shorthand notation — ensuring reliable processing even from imperfect source documents.</w:t>
      </w:r>
    </w:p>
    <w:p w14:paraId="26B1FD0A">
      <w:pPr>
        <w:spacing w:before="0" w:after="80"/>
        <w:rPr>
          <w:rFonts w:hint="default" w:ascii="Times New Roman" w:hAnsi="Times New Roman" w:cs="Times New Roman"/>
        </w:rPr>
      </w:pPr>
    </w:p>
    <w:p w14:paraId="2F8D2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E3003BC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2: Dataset Design</w:t>
      </w:r>
    </w:p>
    <w:p w14:paraId="0D0E2CCF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2.1  Dataset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2EA0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B10675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Total Samples</w:t>
            </w:r>
          </w:p>
        </w:tc>
        <w:tc>
          <w:tcPr>
            <w:tcW w:w="7920" w:type="dxa"/>
            <w:tcBorders>
              <w:top w:val="single" w:color="D0D4DB" w:sz="0" w:space="0"/>
              <w:left w:val="nil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AC81F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1"/>
                <w:szCs w:val="21"/>
              </w:rPr>
              <w:t>1,500 annotated construction domain samples across three task categories</w:t>
            </w:r>
          </w:p>
        </w:tc>
      </w:tr>
    </w:tbl>
    <w:p w14:paraId="02AA7A01">
      <w:pPr>
        <w:spacing w:before="0" w:after="120"/>
        <w:rPr>
          <w:rFonts w:hint="default" w:ascii="Times New Roman" w:hAnsi="Times New Roman" w:cs="Times New Roman"/>
        </w:rPr>
      </w:pPr>
    </w:p>
    <w:p w14:paraId="39CA2375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2.2  Dataset Distribution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84A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759F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Task Category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CFF0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Sample Count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F887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Proportion</w:t>
            </w:r>
          </w:p>
        </w:tc>
      </w:tr>
      <w:tr w14:paraId="08C0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FBDC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Extraction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7983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750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C897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50%</w:t>
            </w:r>
          </w:p>
        </w:tc>
      </w:tr>
      <w:tr w14:paraId="019F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736E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Comparison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DCB6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600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0BE7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40%</w:t>
            </w:r>
          </w:p>
        </w:tc>
      </w:tr>
      <w:tr w14:paraId="59AB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BB19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Hybrid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76AD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150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9D0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10%</w:t>
            </w:r>
          </w:p>
        </w:tc>
      </w:tr>
      <w:tr w14:paraId="3E7F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E2DA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99DB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1,500</w:t>
            </w:r>
          </w:p>
        </w:tc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3D49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100%</w:t>
            </w:r>
          </w:p>
        </w:tc>
      </w:tr>
    </w:tbl>
    <w:p w14:paraId="3A57B032">
      <w:pPr>
        <w:spacing w:before="0" w:after="120"/>
        <w:rPr>
          <w:rFonts w:hint="default" w:ascii="Times New Roman" w:hAnsi="Times New Roman" w:cs="Times New Roman"/>
        </w:rPr>
      </w:pPr>
    </w:p>
    <w:p w14:paraId="09829887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2.3  Construction Domain Coverage</w:t>
      </w:r>
    </w:p>
    <w:p w14:paraId="3C4195FA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The dataset spans five major construction work categories to ensure broad domain coverage:</w:t>
      </w:r>
    </w:p>
    <w:p w14:paraId="65592B8D">
      <w:pPr>
        <w:spacing w:before="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4B76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3A53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Work Category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86DF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14:paraId="4AD9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462B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Structural Works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E752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RCC slabs, beams, columns, footings, pile caps</w:t>
            </w:r>
          </w:p>
        </w:tc>
      </w:tr>
      <w:tr w14:paraId="60E8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685A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Masonry Works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5BE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AAC blocks, brickwork, flyash blocks</w:t>
            </w:r>
          </w:p>
        </w:tc>
      </w:tr>
      <w:tr w14:paraId="195C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A7D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Finishing Works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6C09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Plaster, paint, flooring (tile, granite, vitrified)</w:t>
            </w:r>
          </w:p>
        </w:tc>
      </w:tr>
      <w:tr w14:paraId="06E1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838A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MEP Works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9EC7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Pipes, electrical conduits, manholes</w:t>
            </w:r>
          </w:p>
        </w:tc>
      </w:tr>
      <w:tr w14:paraId="79EA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4F5D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Specialty Works</w:t>
            </w:r>
          </w:p>
        </w:tc>
        <w:tc>
          <w:tcPr>
            <w:tcW w:w="70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E877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Insulation boards, ACP cladding, curtain wall systems</w:t>
            </w:r>
          </w:p>
        </w:tc>
      </w:tr>
    </w:tbl>
    <w:p w14:paraId="3E13C7F4">
      <w:pPr>
        <w:spacing w:before="0" w:after="120"/>
        <w:rPr>
          <w:rFonts w:hint="default" w:ascii="Times New Roman" w:hAnsi="Times New Roman" w:cs="Times New Roman"/>
        </w:rPr>
      </w:pPr>
    </w:p>
    <w:p w14:paraId="6E9E0B5B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2.4  Edge Cases &amp; Noise Handling</w:t>
      </w:r>
    </w:p>
    <w:p w14:paraId="75DE2BD4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The dataset intentionally includes challenging real-world scenarios to improve model robustness:</w:t>
      </w:r>
    </w:p>
    <w:p w14:paraId="79C0A1E5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OCR noise and garbled text (e.g., aac blk, rnm, slb)</w:t>
      </w:r>
    </w:p>
    <w:p w14:paraId="4BEE1F1B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Engineering abbreviations and shorthand</w:t>
      </w:r>
    </w:p>
    <w:p w14:paraId="0C371C18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Missing or incomplete field values</w:t>
      </w:r>
    </w:p>
    <w:p w14:paraId="10F3E205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Mixed measurement units (mm, cm, m) within a single document</w:t>
      </w:r>
    </w:p>
    <w:p w14:paraId="49361D04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Semantic synonyms (e.g., RCC = Reinforced Cement Concrete)</w:t>
      </w:r>
    </w:p>
    <w:p w14:paraId="47AFBB04">
      <w:pPr>
        <w:spacing w:before="0" w:after="80"/>
        <w:rPr>
          <w:rFonts w:hint="default" w:ascii="Times New Roman" w:hAnsi="Times New Roman" w:cs="Times New Roman"/>
        </w:rPr>
      </w:pPr>
    </w:p>
    <w:p w14:paraId="6B6535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F4E4DB1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3: Data Preprocessing &amp; Labeling</w:t>
      </w:r>
    </w:p>
    <w:p w14:paraId="5107BC49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3.1  Task Tagging Strategy</w:t>
      </w:r>
    </w:p>
    <w:p w14:paraId="3C7BC645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Each sample was explicitly labeled using a standardized task identifier to enable clean multi-task fine-tuning. All samples follow the ChatML instruction format and are tagged with one of:</w:t>
      </w:r>
    </w:p>
    <w:p w14:paraId="55DD1A8E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TASK: EXTRACTION</w:t>
      </w:r>
    </w:p>
    <w:p w14:paraId="1DCA7CA0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TASK: COMPARISON</w:t>
      </w:r>
    </w:p>
    <w:p w14:paraId="38629360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TASK: HYBRID</w:t>
      </w:r>
    </w:p>
    <w:p w14:paraId="661149BB">
      <w:pPr>
        <w:spacing w:before="0" w:after="120"/>
        <w:rPr>
          <w:rFonts w:hint="default" w:ascii="Times New Roman" w:hAnsi="Times New Roman" w:cs="Times New Roman"/>
        </w:rPr>
      </w:pPr>
    </w:p>
    <w:p w14:paraId="0E92C8A1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3.2  Sample Label Formats</w:t>
      </w:r>
    </w:p>
    <w:p w14:paraId="4B8EE9AF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Extraction Label Example:</w:t>
      </w:r>
    </w:p>
    <w:p w14:paraId="4CFBCC19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7D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A94B07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{</w:t>
            </w:r>
          </w:p>
          <w:p w14:paraId="6B88511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"task": "EXTRACTION",</w:t>
            </w:r>
          </w:p>
          <w:p w14:paraId="35D8E16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"input": "AAC block 200mm CM 1:5 external wall",</w:t>
            </w:r>
          </w:p>
          <w:p w14:paraId="0133E4A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"output": {</w:t>
            </w:r>
          </w:p>
          <w:p w14:paraId="3D5975A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"material": "AAC block",</w:t>
            </w:r>
          </w:p>
          <w:p w14:paraId="12328D9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"thickness": "200mm",</w:t>
            </w:r>
          </w:p>
          <w:p w14:paraId="618BBF3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"mortar_ratio": "CM 1:5",</w:t>
            </w:r>
          </w:p>
          <w:p w14:paraId="442C7B9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"location": "external wall"</w:t>
            </w:r>
          </w:p>
          <w:p w14:paraId="5B8738E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}</w:t>
            </w:r>
          </w:p>
          <w:p w14:paraId="55F487C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}</w:t>
            </w:r>
          </w:p>
        </w:tc>
      </w:tr>
    </w:tbl>
    <w:p w14:paraId="2E022CE8">
      <w:pPr>
        <w:spacing w:before="0" w:after="120"/>
        <w:rPr>
          <w:rFonts w:hint="default" w:ascii="Times New Roman" w:hAnsi="Times New Roman" w:cs="Times New Roman"/>
        </w:rPr>
      </w:pPr>
    </w:p>
    <w:p w14:paraId="52F17DA2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Comparison Label Example:</w:t>
      </w:r>
    </w:p>
    <w:p w14:paraId="739B18C9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F7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D6CEF0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TASK: COMPARISON</w:t>
            </w:r>
          </w:p>
          <w:p w14:paraId="21B0BF14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  <w:p w14:paraId="36DF776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BOQ1:  AAC block 200mm CM 1:5</w:t>
            </w:r>
          </w:p>
          <w:p w14:paraId="5D0843F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BOQ2:  AAC block 150mm CM 1:5</w:t>
            </w:r>
          </w:p>
          <w:p w14:paraId="73F225FE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  <w:p w14:paraId="7441D8E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OUTPUT:</w:t>
            </w:r>
          </w:p>
          <w:p w14:paraId="32F0F45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Modified:</w:t>
            </w:r>
          </w:p>
          <w:p w14:paraId="6D397C5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- AAC block thickness changed: 200mm → 150mm</w:t>
            </w:r>
          </w:p>
          <w:p w14:paraId="089753A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Unchanged:</w:t>
            </w:r>
          </w:p>
          <w:p w14:paraId="79EE192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- CM 1:5 mortar ratio</w:t>
            </w:r>
          </w:p>
        </w:tc>
      </w:tr>
    </w:tbl>
    <w:p w14:paraId="0D0111B3">
      <w:pPr>
        <w:spacing w:before="0" w:after="120"/>
        <w:rPr>
          <w:rFonts w:hint="default" w:ascii="Times New Roman" w:hAnsi="Times New Roman" w:cs="Times New Roman"/>
        </w:rPr>
      </w:pPr>
    </w:p>
    <w:p w14:paraId="30521ADF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3.3  Data Cleaning Process</w:t>
      </w:r>
    </w:p>
    <w:p w14:paraId="34309903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Standardized all abbreviations to a common vocabulary</w:t>
      </w:r>
    </w:p>
    <w:p w14:paraId="4D2AFA76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Normalized unit formats across mm, cm, and m</w:t>
      </w:r>
    </w:p>
    <w:p w14:paraId="39A379D3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Removed duplicate or near-duplicate samples</w:t>
      </w:r>
    </w:p>
    <w:p w14:paraId="378DC453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Converted all samples into ChatML-style instruction format for fine-tuning</w:t>
      </w:r>
    </w:p>
    <w:p w14:paraId="7EF3239F">
      <w:pPr>
        <w:spacing w:before="0" w:after="80"/>
        <w:rPr>
          <w:rFonts w:hint="default" w:ascii="Times New Roman" w:hAnsi="Times New Roman" w:cs="Times New Roman"/>
        </w:rPr>
      </w:pPr>
    </w:p>
    <w:p w14:paraId="33B5E5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B41C5E7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4: Model Selection &amp; Training</w:t>
      </w:r>
    </w:p>
    <w:p w14:paraId="29A0C4E5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4.1  Base Model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3677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EAEA8F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Selected Model</w:t>
            </w:r>
          </w:p>
        </w:tc>
        <w:tc>
          <w:tcPr>
            <w:tcW w:w="7920" w:type="dxa"/>
            <w:tcBorders>
              <w:top w:val="single" w:color="D0D4DB" w:sz="0" w:space="0"/>
              <w:left w:val="nil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AF0B4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Qwen 2.5 — 4B Instruct (Quantized)</w:t>
            </w:r>
          </w:p>
        </w:tc>
      </w:tr>
    </w:tbl>
    <w:p w14:paraId="22987AA7">
      <w:pPr>
        <w:spacing w:before="0" w:after="100"/>
        <w:rPr>
          <w:rFonts w:hint="default" w:ascii="Times New Roman" w:hAnsi="Times New Roman" w:cs="Times New Roman"/>
        </w:rPr>
      </w:pPr>
    </w:p>
    <w:p w14:paraId="4F09FB3D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4.2  Rationale for Model Selection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CBB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4EDC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29AC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14:paraId="6BDF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EA56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Instruction Following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3208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Strong adherence to structured output instructions</w:t>
            </w:r>
          </w:p>
        </w:tc>
      </w:tr>
      <w:tr w14:paraId="6183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C0C6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Output Quality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90AF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Superior structured JSON/text generation for BOQ tasks</w:t>
            </w:r>
          </w:p>
        </w:tc>
      </w:tr>
      <w:tr w14:paraId="383D0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BCB0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Stability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5E7A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More stable training behavior vs. Gemma on domain data</w:t>
            </w:r>
          </w:p>
        </w:tc>
      </w:tr>
      <w:tr w14:paraId="0BDD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37EE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Compute Efficiency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C73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Lightweight and compatible with Google Colab GPU runtime</w:t>
            </w:r>
          </w:p>
        </w:tc>
      </w:tr>
    </w:tbl>
    <w:p w14:paraId="66122E49">
      <w:pPr>
        <w:spacing w:before="0" w:after="120"/>
        <w:rPr>
          <w:rFonts w:hint="default" w:ascii="Times New Roman" w:hAnsi="Times New Roman" w:cs="Times New Roman"/>
        </w:rPr>
      </w:pPr>
    </w:p>
    <w:p w14:paraId="1ED91D30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4.3  Fine-Tuning Method: QLoRA</w:t>
      </w:r>
    </w:p>
    <w:p w14:paraId="04DA2E03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QLoRA (Quantized Low-Rank Adaptation) was selected as the fine-tuning strategy to enable efficient domain adaptation without requiring full model retraining.</w:t>
      </w:r>
    </w:p>
    <w:p w14:paraId="72452E62">
      <w:pPr>
        <w:spacing w:before="0" w:after="80"/>
        <w:rPr>
          <w:rFonts w:hint="default" w:ascii="Times New Roman" w:hAnsi="Times New Roman" w:cs="Times New Roman"/>
        </w:rPr>
      </w:pPr>
    </w:p>
    <w:p w14:paraId="607C6D6D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Architecture Overview:</w:t>
      </w:r>
    </w:p>
    <w:p w14:paraId="4431919C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BD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0545E9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Qwen 2.5 Base Model  (4-bit frozen weights)</w:t>
            </w:r>
          </w:p>
          <w:p w14:paraId="53815F2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     ↓</w:t>
            </w:r>
          </w:p>
          <w:p w14:paraId="708CECA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LoRA Adapters  (trainable low-rank matrices)</w:t>
            </w:r>
          </w:p>
          <w:p w14:paraId="7BCE1FF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       ↓</w:t>
            </w:r>
          </w:p>
          <w:p w14:paraId="31838D5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BOQ Fine-Tuned Model  (adapter merged at inference)</w:t>
            </w:r>
          </w:p>
        </w:tc>
      </w:tr>
    </w:tbl>
    <w:p w14:paraId="3AAAD144">
      <w:pPr>
        <w:spacing w:before="0" w:after="120"/>
        <w:rPr>
          <w:rFonts w:hint="default" w:ascii="Times New Roman" w:hAnsi="Times New Roman" w:cs="Times New Roman"/>
        </w:rPr>
      </w:pPr>
    </w:p>
    <w:p w14:paraId="148B3824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4.4  LoRA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656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4275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B70E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64C7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AA7E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Rank (r)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6E25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16</w:t>
            </w:r>
          </w:p>
        </w:tc>
      </w:tr>
      <w:tr w14:paraId="0A5C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5AF8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Alpha (α)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FE2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32</w:t>
            </w:r>
          </w:p>
        </w:tc>
      </w:tr>
      <w:tr w14:paraId="4360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F17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Dropout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BF19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0.05</w:t>
            </w:r>
          </w:p>
        </w:tc>
      </w:tr>
      <w:tr w14:paraId="4D09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3446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Target Modules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F560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q_proj, k_proj, v_proj, o_proj</w:t>
            </w:r>
          </w:p>
        </w:tc>
      </w:tr>
    </w:tbl>
    <w:p w14:paraId="6C89A198">
      <w:pPr>
        <w:spacing w:before="0" w:after="120"/>
        <w:rPr>
          <w:rFonts w:hint="default" w:ascii="Times New Roman" w:hAnsi="Times New Roman" w:cs="Times New Roman"/>
        </w:rPr>
      </w:pPr>
    </w:p>
    <w:p w14:paraId="4137D99C">
      <w:pPr>
        <w:spacing w:before="0" w:after="120"/>
        <w:rPr>
          <w:rFonts w:hint="default" w:ascii="Times New Roman" w:hAnsi="Times New Roman" w:cs="Times New Roman"/>
        </w:rPr>
      </w:pPr>
    </w:p>
    <w:p w14:paraId="1216ECCF">
      <w:pPr>
        <w:spacing w:before="0" w:after="120"/>
        <w:rPr>
          <w:rFonts w:hint="default" w:ascii="Times New Roman" w:hAnsi="Times New Roman" w:cs="Times New Roman"/>
        </w:rPr>
      </w:pPr>
    </w:p>
    <w:p w14:paraId="538D65EC">
      <w:pPr>
        <w:spacing w:before="280" w:after="160"/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4.5  Training Configuration</w:t>
      </w:r>
    </w:p>
    <w:p w14:paraId="15FAF9E0">
      <w:pPr>
        <w:spacing w:before="280" w:after="160"/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894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941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6DB7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5C70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0346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Optimizer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A80C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AdamW</w:t>
            </w:r>
          </w:p>
        </w:tc>
      </w:tr>
      <w:tr w14:paraId="4AAE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C8AA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Precision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0E60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FP16</w:t>
            </w:r>
          </w:p>
        </w:tc>
      </w:tr>
      <w:tr w14:paraId="5405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888F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Quantization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97CA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4-bit NF4</w:t>
            </w:r>
          </w:p>
        </w:tc>
      </w:tr>
      <w:tr w14:paraId="3A21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997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Gradient Accumulation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6F9F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Enabled</w:t>
            </w:r>
          </w:p>
        </w:tc>
      </w:tr>
      <w:tr w14:paraId="5CA9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5026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Training Format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8621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ChatML-style instruction tuning</w:t>
            </w:r>
          </w:p>
        </w:tc>
      </w:tr>
      <w:tr w14:paraId="288B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734E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0F18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HuggingFace Transformers + SFTTrainer (PEFT)</w:t>
            </w:r>
          </w:p>
        </w:tc>
      </w:tr>
      <w:tr w14:paraId="5BD0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3849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Environment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C8E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Google Colab (GPU Runtime)</w:t>
            </w:r>
          </w:p>
        </w:tc>
      </w:tr>
      <w:tr w14:paraId="0019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785A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Training Duration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F84A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~1 hour 45 minutes</w:t>
            </w:r>
          </w:p>
        </w:tc>
      </w:tr>
    </w:tbl>
    <w:p w14:paraId="62FF606C">
      <w:pPr>
        <w:spacing w:before="0" w:after="80"/>
        <w:rPr>
          <w:rFonts w:hint="default" w:ascii="Times New Roman" w:hAnsi="Times New Roman" w:cs="Times New Roman"/>
        </w:rPr>
      </w:pPr>
    </w:p>
    <w:p w14:paraId="6268B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B2D51BE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5: Model Saving &amp; Artifacts</w:t>
      </w:r>
    </w:p>
    <w:p w14:paraId="57BDB5E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Upon completion of training, the following artifacts were saved to ensure full reproducibility and deployment readiness:</w:t>
      </w:r>
    </w:p>
    <w:p w14:paraId="0FA58984">
      <w:pPr>
        <w:spacing w:before="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581C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C742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D4F7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AE6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ED3D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LoRA Adapter Weights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8B3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Saved separately from the frozen base model</w:t>
            </w:r>
          </w:p>
        </w:tc>
      </w:tr>
      <w:tr w14:paraId="1B58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0ADC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Tokenizer Config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5AFB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Tokenizer files for consistent inference</w:t>
            </w:r>
          </w:p>
        </w:tc>
      </w:tr>
      <w:tr w14:paraId="7A7E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DEDA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Training Checkpoints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8CB6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Intermediate checkpoints for recovery/evaluation</w:t>
            </w:r>
          </w:p>
        </w:tc>
      </w:tr>
      <w:tr w14:paraId="7F09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F33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Base Model</w:t>
            </w:r>
          </w:p>
        </w:tc>
        <w:tc>
          <w:tcPr>
            <w:tcW w:w="62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7C70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Kept unchanged; adapters merged only at inference</w:t>
            </w:r>
          </w:p>
        </w:tc>
      </w:tr>
    </w:tbl>
    <w:p w14:paraId="4EA996B7">
      <w:pPr>
        <w:spacing w:before="0" w:after="80"/>
        <w:rPr>
          <w:rFonts w:hint="default" w:ascii="Times New Roman" w:hAnsi="Times New Roman" w:cs="Times New Roman"/>
        </w:rPr>
      </w:pPr>
    </w:p>
    <w:p w14:paraId="7B10D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8CCE3FC">
      <w:pPr>
        <w:pBdr>
          <w:bottom w:val="single" w:color="2E5FA3" w:sz="8" w:space="6"/>
        </w:pBdr>
        <w:spacing w:before="4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40"/>
          <w:szCs w:val="40"/>
        </w:rPr>
        <w:t>Chapter 6: Testing &amp; Results</w:t>
      </w:r>
    </w:p>
    <w:p w14:paraId="3B7C794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The model was evaluated across all three task types using both in-distribution and unseen test samples. Representative outputs are documented below.</w:t>
      </w:r>
    </w:p>
    <w:p w14:paraId="5EDD48FA">
      <w:pPr>
        <w:spacing w:before="0" w:after="120"/>
        <w:rPr>
          <w:rFonts w:hint="default" w:ascii="Times New Roman" w:hAnsi="Times New Roman" w:cs="Times New Roman"/>
        </w:rPr>
      </w:pPr>
    </w:p>
    <w:p w14:paraId="72C84A8C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6.1  Extraction Test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66FE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FC401B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7920" w:type="dxa"/>
            <w:tcBorders>
              <w:top w:val="single" w:color="D0D4DB" w:sz="0" w:space="0"/>
              <w:left w:val="nil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F1076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AAC block 200mm CM 1:5 external wall</w:t>
            </w:r>
          </w:p>
        </w:tc>
      </w:tr>
    </w:tbl>
    <w:p w14:paraId="2570A469">
      <w:pPr>
        <w:spacing w:before="0" w:after="60"/>
        <w:rPr>
          <w:rFonts w:hint="default" w:ascii="Times New Roman" w:hAnsi="Times New Roman" w:cs="Times New Roman"/>
        </w:rPr>
      </w:pPr>
    </w:p>
    <w:p w14:paraId="477B012D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Model Output:</w:t>
      </w:r>
    </w:p>
    <w:p w14:paraId="4FA10BBF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41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187CE1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{</w:t>
            </w:r>
          </w:p>
          <w:p w14:paraId="486BA32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"material":      "AAC block",</w:t>
            </w:r>
          </w:p>
          <w:p w14:paraId="44EF3F1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"thickness":     "200mm",</w:t>
            </w:r>
          </w:p>
          <w:p w14:paraId="370A86C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"mortar_ratio":  "CM 1:5",</w:t>
            </w:r>
          </w:p>
          <w:p w14:paraId="7D6CBFF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"location":      "external wall"</w:t>
            </w:r>
          </w:p>
          <w:p w14:paraId="1792C02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}</w:t>
            </w:r>
          </w:p>
        </w:tc>
      </w:tr>
    </w:tbl>
    <w:p w14:paraId="3D5C4971">
      <w:pPr>
        <w:spacing w:before="0" w:after="120"/>
        <w:rPr>
          <w:rFonts w:hint="default" w:ascii="Times New Roman" w:hAnsi="Times New Roman" w:cs="Times New Roman"/>
        </w:rPr>
      </w:pPr>
    </w:p>
    <w:p w14:paraId="20422747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6.2  Comparison Test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5764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FD281F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7920" w:type="dxa"/>
            <w:tcBorders>
              <w:top w:val="single" w:color="D0D4DB" w:sz="0" w:space="0"/>
              <w:left w:val="nil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33C4F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BOQ1: AAC block 200mm     |     BOQ2: AAC block 150mm</w:t>
            </w:r>
          </w:p>
        </w:tc>
      </w:tr>
    </w:tbl>
    <w:p w14:paraId="479C040B">
      <w:pPr>
        <w:spacing w:before="0" w:after="60"/>
        <w:rPr>
          <w:rFonts w:hint="default" w:ascii="Times New Roman" w:hAnsi="Times New Roman" w:cs="Times New Roman"/>
        </w:rPr>
      </w:pPr>
    </w:p>
    <w:p w14:paraId="025BB982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Model Output:</w:t>
      </w:r>
    </w:p>
    <w:p w14:paraId="4EE7BBF3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93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CAC08A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Modified:</w:t>
            </w:r>
          </w:p>
          <w:p w14:paraId="74E2326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- AAC block thickness changed: 200mm → 150mm</w:t>
            </w:r>
          </w:p>
          <w:p w14:paraId="72284446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  <w:p w14:paraId="6350EC2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Unchanged:</w:t>
            </w:r>
          </w:p>
          <w:p w14:paraId="0B1A2F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- None</w:t>
            </w:r>
          </w:p>
        </w:tc>
      </w:tr>
    </w:tbl>
    <w:p w14:paraId="28877AE5">
      <w:pPr>
        <w:spacing w:before="0" w:after="120"/>
        <w:rPr>
          <w:rFonts w:hint="default" w:ascii="Times New Roman" w:hAnsi="Times New Roman" w:cs="Times New Roman"/>
        </w:rPr>
      </w:pPr>
    </w:p>
    <w:p w14:paraId="07C691F1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6.3  Hybrid Test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1CB1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0D4DB" w:sz="0" w:space="0"/>
              <w:left w:val="single" w:color="D0D4DB" w:sz="0" w:space="0"/>
              <w:bottom w:val="single" w:color="D0D4DB" w:sz="0" w:space="0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F357B0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7920" w:type="dxa"/>
            <w:tcBorders>
              <w:top w:val="single" w:color="D0D4DB" w:sz="0" w:space="0"/>
              <w:left w:val="nil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75954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1A1A2E"/>
                <w:sz w:val="20"/>
                <w:szCs w:val="20"/>
              </w:rPr>
              <w:t>RCC slab 200mm Fe500 office block  /  AAC wall 200mm CM 1:5</w:t>
            </w:r>
          </w:p>
        </w:tc>
      </w:tr>
    </w:tbl>
    <w:p w14:paraId="7C0C3D86">
      <w:pPr>
        <w:spacing w:before="0" w:after="60"/>
        <w:rPr>
          <w:rFonts w:hint="default" w:ascii="Times New Roman" w:hAnsi="Times New Roman" w:cs="Times New Roman"/>
        </w:rPr>
      </w:pPr>
    </w:p>
    <w:p w14:paraId="081D60F5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A1A2E"/>
          <w:sz w:val="22"/>
          <w:szCs w:val="22"/>
        </w:rPr>
        <w:t>Model Output:</w:t>
      </w:r>
    </w:p>
    <w:p w14:paraId="57B37537">
      <w:pPr>
        <w:spacing w:before="0" w:after="4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2D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F8E" w:sz="2" w:space="0"/>
              <w:left w:val="single" w:color="1A7F8E" w:sz="10" w:space="0"/>
              <w:bottom w:val="single" w:color="1A7F8E" w:sz="2" w:space="0"/>
              <w:right w:val="single" w:color="1A7F8E" w:sz="2" w:space="0"/>
            </w:tcBorders>
            <w:shd w:val="clear" w:color="auto" w:fill="F0F7F8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BBCAFA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{</w:t>
            </w:r>
          </w:p>
          <w:p w14:paraId="138AF28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"material":   "RCC",</w:t>
            </w:r>
          </w:p>
          <w:p w14:paraId="1E8EF7E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"thickness":  "200mm",</w:t>
            </w:r>
          </w:p>
          <w:p w14:paraId="429ED1C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"steel":      "Fe500",</w:t>
            </w:r>
          </w:p>
          <w:p w14:paraId="69B0B36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 xml:space="preserve">  "location":   "office block"</w:t>
            </w:r>
          </w:p>
          <w:p w14:paraId="71EC66AE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A3A4A"/>
                <w:sz w:val="18"/>
                <w:szCs w:val="18"/>
              </w:rPr>
              <w:t>}</w:t>
            </w:r>
          </w:p>
        </w:tc>
      </w:tr>
    </w:tbl>
    <w:p w14:paraId="6FEFCE9C">
      <w:pPr>
        <w:spacing w:before="2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8"/>
          <w:szCs w:val="28"/>
        </w:rPr>
        <w:t>6.4  External Testing Strategy</w:t>
      </w:r>
    </w:p>
    <w:p w14:paraId="57AAC7E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1A1A2E"/>
          <w:sz w:val="22"/>
          <w:szCs w:val="22"/>
        </w:rPr>
        <w:t>The following test scenarios were used to validate model generalization beyond the training distribution:</w:t>
      </w:r>
    </w:p>
    <w:p w14:paraId="72E486A4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Unseen BOQ samples from new project types</w:t>
      </w:r>
    </w:p>
    <w:p w14:paraId="7D5F2026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OCR-noisy inputs simulating real scanned documents</w:t>
      </w:r>
    </w:p>
    <w:p w14:paraId="616C4897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Multi-change BOQ revisions with simultaneous additions, removals, and modifications</w:t>
      </w:r>
    </w:p>
    <w:p w14:paraId="423CF540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A1A2E"/>
          <w:sz w:val="22"/>
          <w:szCs w:val="22"/>
        </w:rPr>
        <w:t>Mixed-domain inputs combining structural, finishing, and MEP items in a single BOQ</w:t>
      </w:r>
    </w:p>
    <w:p w14:paraId="593B89DA">
      <w:pPr>
        <w:spacing w:before="0" w:after="80"/>
        <w:rPr>
          <w:rFonts w:hint="default" w:ascii="Times New Roman" w:hAnsi="Times New Roman" w:cs="Times New Roman"/>
        </w:rPr>
      </w:pPr>
    </w:p>
    <w:p w14:paraId="192089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5C1C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2E3B442">
            <w:pPr>
              <w:spacing w:after="1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aps/>
                <w:color w:val="FFFFFF"/>
                <w:sz w:val="32"/>
                <w:szCs w:val="32"/>
              </w:rPr>
              <w:t>CONCLUSION</w:t>
            </w:r>
          </w:p>
          <w:p w14:paraId="2548DFB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D0E4F8"/>
                <w:sz w:val="21"/>
                <w:szCs w:val="21"/>
              </w:rPr>
              <w:t>This project successfully demonstrates a domain-adapted AI system for Construction BOQ Intelligence. The fine-tuned Qwen 2.5 model reliably performs across all three task types, handling real-world noise and multi-domain inputs with strong output consistency.</w:t>
            </w:r>
          </w:p>
        </w:tc>
      </w:tr>
    </w:tbl>
    <w:p w14:paraId="721DC16E">
      <w:pPr>
        <w:spacing w:before="0" w:after="160"/>
        <w:rPr>
          <w:rFonts w:hint="default" w:ascii="Times New Roman" w:hAnsi="Times New Roman" w:cs="Times New Roman"/>
        </w:rPr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2430"/>
        <w:gridCol w:w="2430"/>
        <w:gridCol w:w="2430"/>
      </w:tblGrid>
      <w:tr w14:paraId="47B6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Borders>
              <w:top w:val="single" w:color="1A7F8E" w:sz="6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0239F">
            <w:pPr>
              <w:spacing w:after="4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Structured Extraction</w:t>
            </w:r>
          </w:p>
          <w:p w14:paraId="083445E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66"/>
                <w:sz w:val="18"/>
                <w:szCs w:val="18"/>
              </w:rPr>
              <w:t>from raw BOQ text</w:t>
            </w:r>
          </w:p>
        </w:tc>
        <w:tc>
          <w:tcPr>
            <w:tcW w:w="2430" w:type="dxa"/>
            <w:tcBorders>
              <w:top w:val="single" w:color="1A7F8E" w:sz="6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EAF7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781C11">
            <w:pPr>
              <w:spacing w:after="4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Intelligent Comparison</w:t>
            </w:r>
          </w:p>
          <w:p w14:paraId="25E5E4F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66"/>
                <w:sz w:val="18"/>
                <w:szCs w:val="18"/>
              </w:rPr>
              <w:t>of BOQ revisions</w:t>
            </w:r>
          </w:p>
        </w:tc>
        <w:tc>
          <w:tcPr>
            <w:tcW w:w="2430" w:type="dxa"/>
            <w:tcBorders>
              <w:top w:val="single" w:color="1A7F8E" w:sz="6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DB13A">
            <w:pPr>
              <w:spacing w:after="4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Hybrid Reasoning</w:t>
            </w:r>
          </w:p>
          <w:p w14:paraId="772FBFA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66"/>
                <w:sz w:val="18"/>
                <w:szCs w:val="18"/>
              </w:rPr>
              <w:t>across construction domains</w:t>
            </w:r>
          </w:p>
        </w:tc>
        <w:tc>
          <w:tcPr>
            <w:tcW w:w="2430" w:type="dxa"/>
            <w:tcBorders>
              <w:top w:val="single" w:color="1A7F8E" w:sz="6" w:space="0"/>
              <w:left w:val="single" w:color="D0D4DB" w:sz="0" w:space="0"/>
              <w:bottom w:val="single" w:color="D0D4DB" w:sz="0" w:space="0"/>
              <w:right w:val="single" w:color="D0D4DB" w:sz="0" w:space="0"/>
            </w:tcBorders>
            <w:shd w:val="clear" w:color="auto" w:fill="EAF7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670C43">
            <w:pPr>
              <w:spacing w:after="4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Robust Handling</w:t>
            </w:r>
          </w:p>
          <w:p w14:paraId="4B4579B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444466"/>
                <w:sz w:val="18"/>
                <w:szCs w:val="18"/>
              </w:rPr>
              <w:t>of noisy real-world inputs</w:t>
            </w:r>
          </w:p>
        </w:tc>
      </w:tr>
    </w:tbl>
    <w:p w14:paraId="12E33F90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footerReference r:id="rId3" w:type="default"/>
      <w:pgSz w:w="12240" w:h="15840"/>
      <w:pgMar w:top="1152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3F774">
    <w:pPr>
      <w:pBdr>
        <w:top w:val="single" w:color="D0D4DB" w:sz="4" w:space="8"/>
      </w:pBdr>
      <w:spacing w:before="8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581497"/>
    <w:rsid w:val="32BA14A2"/>
    <w:rsid w:val="40225238"/>
    <w:rsid w:val="54C841A1"/>
    <w:rsid w:val="6669730B"/>
    <w:rsid w:val="75311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color w:val="1A1A2E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2026-04-19T18:46:00Z</dcterms:created>
  <dc:creator>Un-named</dc:creator>
  <cp:lastModifiedBy>AdityaAhirrao</cp:lastModifiedBy>
  <dcterms:modified xsi:type="dcterms:W3CDTF">2026-04-24T13:05:13Z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0439F2643CD7407AA1AA2F7EDDE0968E_12</vt:lpwstr>
  </property>
</Properties>
</file>