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97487">
      <w:pPr>
        <w:spacing w:before="600" w:after="80"/>
        <w:jc w:val="center"/>
      </w:pPr>
      <w:r>
        <w:rPr>
          <w:rFonts w:ascii="Arial" w:hAnsi="Arial" w:eastAsia="Arial" w:cs="Arial"/>
          <w:b/>
          <w:bCs/>
          <w:color w:val="1F3864"/>
          <w:sz w:val="64"/>
          <w:szCs w:val="64"/>
        </w:rPr>
        <w:t>BOQ EXTRACTION</w:t>
      </w:r>
    </w:p>
    <w:p w14:paraId="0AB91041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75B6"/>
          <w:sz w:val="64"/>
          <w:szCs w:val="64"/>
        </w:rPr>
        <w:t>BENCHMARK REPORT</w:t>
      </w:r>
    </w:p>
    <w:p w14:paraId="00562EA2">
      <w:pPr>
        <w:pBdr>
          <w:top w:val="single" w:color="C9A227" w:sz="6" w:space="6"/>
          <w:bottom w:val="single" w:color="C9A227" w:sz="6" w:space="6"/>
        </w:pBdr>
        <w:spacing w:before="60" w:after="60"/>
        <w:jc w:val="center"/>
      </w:pPr>
      <w:r>
        <w:rPr>
          <w:rFonts w:ascii="Arial" w:hAnsi="Arial" w:eastAsia="Arial" w:cs="Arial"/>
          <w:i/>
          <w:iCs/>
          <w:color w:val="555555"/>
          <w:sz w:val="26"/>
          <w:szCs w:val="26"/>
        </w:rPr>
        <w:t>Fine-Tuned SLM (Qwen 2.5 3B Instruct)  vs  Gemini API (LLM)</w:t>
      </w:r>
    </w:p>
    <w:p w14:paraId="6EA28BA0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Executive Summary</w:t>
      </w:r>
    </w:p>
    <w:p w14:paraId="4A5C127B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This report presents a structured evaluation of two AI-driven approaches for automated Bill of Quantities (BOQ) attribute extraction: a fine-tuned Small Language Model (SLM) and a large-scale Gemini API (LLM). The assessment covers extraction accuracy, output consistency, deployment feasibility, and total cost of ownership across both solutions.</w:t>
      </w:r>
    </w:p>
    <w:p w14:paraId="4F683D6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41F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C92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40"/>
                <w:szCs w:val="40"/>
              </w:rPr>
              <w:t>8.65 / 10</w:t>
            </w:r>
          </w:p>
          <w:p w14:paraId="070B9F03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Fine-Tuned SLM · Avg Score</w:t>
            </w:r>
          </w:p>
        </w:tc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DF3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40"/>
                <w:szCs w:val="40"/>
              </w:rPr>
              <w:t>9.14 / 10</w:t>
            </w:r>
          </w:p>
          <w:p w14:paraId="00F1308C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Gemini API · Avg Score</w:t>
            </w:r>
          </w:p>
        </w:tc>
      </w:tr>
    </w:tbl>
    <w:p w14:paraId="0FA01E4B">
      <w:pPr>
        <w:spacing w:before="80" w:after="80"/>
      </w:pPr>
    </w:p>
    <w:p w14:paraId="3336B631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Both models demonstrated zero error rates, indicating production-grade reliability. The Gemini API achieved perfect strict accuracy (100%), while the fine-tuned SLM remains a strong candidate for cost-sensitive, offline, or enterprise-grade deployments.</w:t>
      </w:r>
    </w:p>
    <w:p w14:paraId="10648309">
      <w:pPr>
        <w:spacing w:before="80" w:after="80"/>
      </w:pPr>
    </w:p>
    <w:p w14:paraId="4CC25FAE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 Objective</w:t>
      </w:r>
    </w:p>
    <w:p w14:paraId="2462DBCD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This project evaluates and benchmarks two architectural approaches for BOQ attribute extraction:</w:t>
      </w:r>
    </w:p>
    <w:p w14:paraId="65F50E3C">
      <w:pPr>
        <w:spacing w:before="40" w:after="0"/>
      </w:pPr>
    </w:p>
    <w:p w14:paraId="0A1368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Fine-Tuned Small Language Model (SLM) — Qwen 2.5 3B Instruct, domain-trained on a custom BOQ dataset</w:t>
      </w:r>
    </w:p>
    <w:p w14:paraId="694BD7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Large Language Model API — Gemini API (prompt-based, zero-shot / few-shot, no fine-tuning required)</w:t>
      </w:r>
    </w:p>
    <w:p w14:paraId="0EBE4663">
      <w:pPr>
        <w:spacing w:before="60" w:after="40"/>
      </w:pPr>
    </w:p>
    <w:p w14:paraId="3421218A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The evaluation is designed to measure:</w:t>
      </w:r>
    </w:p>
    <w:p w14:paraId="34A78E70">
      <w:pPr>
        <w:spacing w:before="40" w:after="0"/>
      </w:pPr>
    </w:p>
    <w:p w14:paraId="2D87F2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Extraction accuracy and semantic correctness</w:t>
      </w:r>
    </w:p>
    <w:p w14:paraId="64A6F6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Robustness across varied BOQ formats and construction domains</w:t>
      </w:r>
    </w:p>
    <w:p w14:paraId="48664C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Consistency and reliability of structured JSON output</w:t>
      </w:r>
    </w:p>
    <w:p w14:paraId="576B5F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Practical suitability for production deployment</w:t>
      </w:r>
    </w:p>
    <w:p w14:paraId="53CEB694">
      <w:pPr>
        <w:spacing w:before="80" w:after="80"/>
      </w:pPr>
    </w:p>
    <w:p w14:paraId="44A1D64B">
      <w:pPr>
        <w:spacing w:before="80" w:after="80"/>
      </w:pPr>
    </w:p>
    <w:p w14:paraId="7190945B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 Evaluation Setup</w:t>
      </w:r>
    </w:p>
    <w:p w14:paraId="60F6786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Dataset</w:t>
      </w:r>
    </w:p>
    <w:p w14:paraId="6787D736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A custom BOQ test dataset was constructed, covering the following construction domains:</w:t>
      </w:r>
    </w:p>
    <w:p w14:paraId="234386E9">
      <w:pPr>
        <w:spacing w:before="40" w:after="0"/>
      </w:pPr>
    </w:p>
    <w:p w14:paraId="5705CF3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Civil works</w:t>
      </w:r>
    </w:p>
    <w:p w14:paraId="250990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Structural components</w:t>
      </w:r>
    </w:p>
    <w:p w14:paraId="674EFA1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Material specifications</w:t>
      </w:r>
    </w:p>
    <w:p w14:paraId="37AB9E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Mixed-attribute BOQ descriptions</w:t>
      </w:r>
    </w:p>
    <w:p w14:paraId="693C9859">
      <w:pPr>
        <w:spacing w:before="100" w:after="60"/>
      </w:pPr>
    </w:p>
    <w:p w14:paraId="4273425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Ground Truth &amp; Scoring Methodology</w:t>
      </w:r>
    </w:p>
    <w:p w14:paraId="38C95038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All ground truth outputs were manually verified structured JSON attribute sets. Each model output was evaluated using the following criteria:</w:t>
      </w:r>
    </w:p>
    <w:p w14:paraId="227EB4D3">
      <w:pPr>
        <w:spacing w:before="40" w:after="0"/>
      </w:pPr>
    </w:p>
    <w:p w14:paraId="652F641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Semantic similarity scoring (0–10 scale)</w:t>
      </w:r>
    </w:p>
    <w:p w14:paraId="656400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Strict match evaluation — exact field-level correctness</w:t>
      </w:r>
    </w:p>
    <w:p w14:paraId="1CFB1C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Partial correctness classification — partially correct extractions</w:t>
      </w:r>
    </w:p>
    <w:p w14:paraId="241403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Error detection rate — invalid or malformed outputs</w:t>
      </w:r>
    </w:p>
    <w:p w14:paraId="2261FF0F">
      <w:pPr>
        <w:spacing w:before="80" w:after="80"/>
      </w:pPr>
    </w:p>
    <w:p w14:paraId="681712F9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 Evaluation Results</w:t>
      </w:r>
    </w:p>
    <w:p w14:paraId="585526F6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The table below summarises the quantitative performance of both models across all evaluation dimensions:</w:t>
      </w:r>
    </w:p>
    <w:p w14:paraId="126E6359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668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F4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D7E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Fine-Tuned SLM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622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Gemini API</w:t>
            </w:r>
          </w:p>
        </w:tc>
      </w:tr>
      <w:tr w14:paraId="2EC8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DB1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</w:rPr>
              <w:t>Average Score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0FE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8.65 / 10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C2E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9.14 / 10</w:t>
            </w:r>
          </w:p>
        </w:tc>
      </w:tr>
      <w:tr w14:paraId="6409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55B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</w:rPr>
              <w:t>Weighted Score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B16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86.5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488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91.42</w:t>
            </w:r>
          </w:p>
        </w:tc>
      </w:tr>
      <w:tr w14:paraId="3A6A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508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</w:rPr>
              <w:t>Strict Accuracy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18F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70.0%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FA0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100.0%</w:t>
            </w:r>
          </w:p>
        </w:tc>
      </w:tr>
      <w:tr w14:paraId="1A43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96B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</w:rPr>
              <w:t>Partial Rate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5F5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30.0%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09E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0.0%</w:t>
            </w:r>
          </w:p>
        </w:tc>
      </w:tr>
      <w:tr w14:paraId="479A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F96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</w:rPr>
              <w:t>Error Rate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8EE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0.0%</w:t>
            </w:r>
          </w:p>
        </w:tc>
        <w:tc>
          <w:tcPr>
            <w:tcW w:w="312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63A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0.0%</w:t>
            </w:r>
          </w:p>
        </w:tc>
      </w:tr>
    </w:tbl>
    <w:p w14:paraId="39510B70">
      <w:pPr>
        <w:spacing w:before="120" w:after="80"/>
      </w:pPr>
    </w:p>
    <w:p w14:paraId="7B0B1FE6">
      <w:pPr>
        <w:spacing w:before="60" w:after="60"/>
        <w:rPr>
          <w:rFonts w:ascii="Arial" w:hAnsi="Arial" w:eastAsia="Arial" w:cs="Arial"/>
          <w:color w:val="555555"/>
          <w:sz w:val="22"/>
          <w:szCs w:val="22"/>
        </w:rPr>
      </w:pPr>
      <w:r>
        <w:rPr>
          <w:rFonts w:ascii="Arial" w:hAnsi="Arial" w:eastAsia="Arial" w:cs="Arial"/>
          <w:color w:val="555555"/>
          <w:sz w:val="22"/>
          <w:szCs w:val="22"/>
        </w:rPr>
        <w:t>Key finding: The Gemini API achieved a perfect strict accuracy of 100% with no partial outputs, while the Fine-Tuned SLM demonstrated strong domain-specific performance with an average score of 8.65/10 and zero error rate.</w:t>
      </w:r>
    </w:p>
    <w:p w14:paraId="52EFC8B4">
      <w:pPr>
        <w:spacing w:before="60" w:after="60"/>
        <w:rPr>
          <w:rFonts w:ascii="Arial" w:hAnsi="Arial" w:eastAsia="Arial" w:cs="Arial"/>
          <w:color w:val="555555"/>
          <w:sz w:val="22"/>
          <w:szCs w:val="22"/>
        </w:rPr>
      </w:pPr>
    </w:p>
    <w:p w14:paraId="5C5CC831">
      <w:pPr>
        <w:spacing w:before="60" w:after="60"/>
        <w:rPr>
          <w:rFonts w:ascii="Arial" w:hAnsi="Arial" w:eastAsia="Arial" w:cs="Arial"/>
          <w:color w:val="555555"/>
          <w:sz w:val="22"/>
          <w:szCs w:val="22"/>
        </w:rPr>
      </w:pPr>
    </w:p>
    <w:p w14:paraId="660F0C7A">
      <w:pPr>
        <w:spacing w:before="60" w:after="60"/>
        <w:rPr>
          <w:rFonts w:ascii="Arial" w:hAnsi="Arial" w:eastAsia="Arial" w:cs="Arial"/>
          <w:color w:val="555555"/>
          <w:sz w:val="22"/>
          <w:szCs w:val="22"/>
        </w:rPr>
      </w:pPr>
    </w:p>
    <w:p w14:paraId="04CAD899">
      <w:pPr>
        <w:spacing w:before="80" w:after="80"/>
      </w:pPr>
    </w:p>
    <w:p w14:paraId="2B68904B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 Key Observations</w:t>
      </w:r>
    </w:p>
    <w:p w14:paraId="16B1171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Gemini API (LLM)</w:t>
      </w:r>
    </w:p>
    <w:p w14:paraId="0CEEEB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Demonstrates strong semantic understanding of complex BOQ descriptions</w:t>
      </w:r>
    </w:p>
    <w:p w14:paraId="6350C1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Achieves very high consistency in structured attribute extraction</w:t>
      </w:r>
    </w:p>
    <w:p w14:paraId="0F39C6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Handles paraphrasing, contextual ambiguity, and missing fields effectively</w:t>
      </w:r>
    </w:p>
    <w:p w14:paraId="34287B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Zero error cases observed across all evaluation samples</w:t>
      </w:r>
    </w:p>
    <w:p w14:paraId="0595F641">
      <w:pPr>
        <w:spacing w:before="100" w:after="60"/>
      </w:pPr>
    </w:p>
    <w:p w14:paraId="373DEBA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Fine-Tuned SLM (Qwen 2.5 3B Instruct)</w:t>
      </w:r>
    </w:p>
    <w:p w14:paraId="2B0AB7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Performs well on familiar, domain-specific BOQ patterns</w:t>
      </w:r>
    </w:p>
    <w:p w14:paraId="2C1E080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Slight accuracy degradation on ambiguous or previously unseen formats</w:t>
      </w:r>
    </w:p>
    <w:p w14:paraId="2F6045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Produces consistent and well-structured JSON outputs</w:t>
      </w:r>
    </w:p>
    <w:p w14:paraId="2D678E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Conservative extraction behaviour accounts for partial match occurrences</w:t>
      </w:r>
    </w:p>
    <w:p w14:paraId="55720E82">
      <w:pPr>
        <w:spacing w:before="80" w:after="80"/>
      </w:pPr>
    </w:p>
    <w:p w14:paraId="65A7661E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 Comparative Analysis</w:t>
      </w:r>
    </w:p>
    <w:p w14:paraId="12F92A30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The following table provides a side-by-side comparison of both solutions across technical and operational dimensions:</w:t>
      </w:r>
    </w:p>
    <w:p w14:paraId="4F808E2D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1B09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3C0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6B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Fine-Tuned SLM (Qwen 2.5 3B)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E93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Gemini API (LLM)</w:t>
            </w:r>
          </w:p>
        </w:tc>
      </w:tr>
      <w:tr w14:paraId="55D9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3A4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Avg Score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694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8.65 / 10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A31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9.14 / 10</w:t>
            </w:r>
          </w:p>
        </w:tc>
      </w:tr>
      <w:tr w14:paraId="135D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47A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Strict Accuracy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D0E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70%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208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100%</w:t>
            </w:r>
          </w:p>
        </w:tc>
      </w:tr>
      <w:tr w14:paraId="460E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EC0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Partial Outputs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DFB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30%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71A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0%</w:t>
            </w:r>
          </w:p>
        </w:tc>
      </w:tr>
      <w:tr w14:paraId="2556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5A5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Error Rate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FFF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0%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61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0%</w:t>
            </w:r>
          </w:p>
        </w:tc>
      </w:tr>
      <w:tr w14:paraId="5F3F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522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Domain Adaptation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89B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High (trained BOQ)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AC2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High (general reasoning)</w:t>
            </w:r>
          </w:p>
        </w:tc>
      </w:tr>
      <w:tr w14:paraId="188C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7C5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Consistency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8AB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Good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1A6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Very High</w:t>
            </w:r>
          </w:p>
        </w:tc>
      </w:tr>
      <w:tr w14:paraId="10BF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B3C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Deployment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45B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Local / On-premise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389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API-based</w:t>
            </w:r>
          </w:p>
        </w:tc>
      </w:tr>
      <w:tr w14:paraId="3A500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B00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Latency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4CB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Low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D61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Medium</w:t>
            </w:r>
          </w:p>
        </w:tc>
      </w:tr>
      <w:tr w14:paraId="6A9A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36C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Cost Model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AD0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One-time training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199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Per-request API cost</w:t>
            </w:r>
          </w:p>
        </w:tc>
      </w:tr>
      <w:tr w14:paraId="5990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CD4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Offline Capability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328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Yes</w:t>
            </w:r>
          </w:p>
        </w:tc>
        <w:tc>
          <w:tcPr>
            <w:tcW w:w="33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5DC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No</w:t>
            </w:r>
          </w:p>
        </w:tc>
      </w:tr>
    </w:tbl>
    <w:p w14:paraId="694ED9C5">
      <w:pPr>
        <w:spacing w:before="80" w:after="80"/>
      </w:pPr>
    </w:p>
    <w:p w14:paraId="38405E02">
      <w:pPr>
        <w:spacing w:before="80" w:after="80"/>
      </w:pPr>
    </w:p>
    <w:p w14:paraId="546FD380">
      <w:pPr>
        <w:spacing w:before="80" w:after="80"/>
      </w:pPr>
    </w:p>
    <w:p w14:paraId="7973BF1E">
      <w:pPr>
        <w:spacing w:before="80" w:after="80"/>
      </w:pPr>
    </w:p>
    <w:p w14:paraId="2DD615E2">
      <w:pPr>
        <w:spacing w:before="80" w:after="80"/>
      </w:pPr>
    </w:p>
    <w:p w14:paraId="06D1E5B8">
      <w:pPr>
        <w:spacing w:before="80" w:after="80"/>
      </w:pPr>
    </w:p>
    <w:p w14:paraId="2D52AE19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 Advantages &amp; Disadvantages</w:t>
      </w:r>
    </w:p>
    <w:p w14:paraId="7AED9F2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Fine-Tuned SLM (Qwen 2.5 3B Instruct)</w:t>
      </w:r>
    </w:p>
    <w:p w14:paraId="06CA1F56">
      <w:pPr>
        <w:spacing w:before="60" w:after="60"/>
      </w:pPr>
      <w:r>
        <w:rPr>
          <w:rFonts w:ascii="Arial" w:hAnsi="Arial" w:eastAsia="Arial" w:cs="Arial"/>
          <w:b/>
          <w:bCs/>
          <w:color w:val="1A7A4A"/>
          <w:sz w:val="22"/>
          <w:szCs w:val="22"/>
        </w:rPr>
        <w:t>Advantages:</w:t>
      </w:r>
    </w:p>
    <w:p w14:paraId="4F48EC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Fully offline operation — no external API dependency</w:t>
      </w:r>
    </w:p>
    <w:p w14:paraId="7501539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Significantly lower inference cost at scale</w:t>
      </w:r>
    </w:p>
    <w:p w14:paraId="0A2F73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Complete customisability for specific BOQ domains and formats</w:t>
      </w:r>
    </w:p>
    <w:p w14:paraId="23505F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Data privacy and control with on-premises deployment</w:t>
      </w:r>
    </w:p>
    <w:p w14:paraId="5BC8DD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Faster inference latency after optimisation</w:t>
      </w:r>
    </w:p>
    <w:p w14:paraId="118E9C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Can be specialised for niche construction sectors</w:t>
      </w:r>
    </w:p>
    <w:p w14:paraId="48F5F292">
      <w:pPr>
        <w:spacing w:before="60" w:after="20"/>
      </w:pPr>
    </w:p>
    <w:p w14:paraId="1DB15F63">
      <w:pPr>
        <w:spacing w:before="60" w:after="60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Disadvantages:</w:t>
      </w:r>
    </w:p>
    <w:p w14:paraId="6735A2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Lower generalisation on unseen or novel BOQ formats</w:t>
      </w:r>
    </w:p>
    <w:p w14:paraId="6247F5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Requires dataset creation, labelling, and fine-tuning effort</w:t>
      </w:r>
    </w:p>
    <w:p w14:paraId="41BCB0D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Slightly lower strict accuracy compared to Gemini API</w:t>
      </w:r>
    </w:p>
    <w:p w14:paraId="6DB346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Requires continuous maintenance as new domains emerge</w:t>
      </w:r>
    </w:p>
    <w:p w14:paraId="0EE886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Performance is heavily dependent on training data quality</w:t>
      </w:r>
    </w:p>
    <w:p w14:paraId="1A7404EE">
      <w:pPr>
        <w:spacing w:before="120" w:after="80"/>
      </w:pPr>
    </w:p>
    <w:p w14:paraId="0412A8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Gemini API (LLM)</w:t>
      </w:r>
    </w:p>
    <w:p w14:paraId="2E6418DE">
      <w:pPr>
        <w:spacing w:before="60" w:after="60"/>
      </w:pPr>
      <w:r>
        <w:rPr>
          <w:rFonts w:ascii="Arial" w:hAnsi="Arial" w:eastAsia="Arial" w:cs="Arial"/>
          <w:b/>
          <w:bCs/>
          <w:color w:val="1A7A4A"/>
          <w:sz w:val="22"/>
          <w:szCs w:val="22"/>
        </w:rPr>
        <w:t>Advantages:</w:t>
      </w:r>
    </w:p>
    <w:p w14:paraId="3DEA09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Highest extraction accuracy in current evaluation</w:t>
      </w:r>
    </w:p>
    <w:p w14:paraId="09FBB9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Strong generalisation across diverse BOQ variations</w:t>
      </w:r>
    </w:p>
    <w:p w14:paraId="794F8B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Zero training or fine-tuning required for deployment</w:t>
      </w:r>
    </w:p>
    <w:p w14:paraId="09AC5F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Handles ambiguous and structurally complex descriptions effectively</w:t>
      </w:r>
    </w:p>
    <w:p w14:paraId="56B98A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Rapid development and deployment cycle</w:t>
      </w:r>
    </w:p>
    <w:p w14:paraId="196260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Very stable and reproducible structured output performance</w:t>
      </w:r>
    </w:p>
    <w:p w14:paraId="20336E69">
      <w:pPr>
        <w:spacing w:before="60" w:after="20"/>
      </w:pPr>
    </w:p>
    <w:p w14:paraId="2B2298F0">
      <w:pPr>
        <w:spacing w:before="60" w:after="60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Disadvantages:</w:t>
      </w:r>
    </w:p>
    <w:p w14:paraId="66BE518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Per-request API cost — significant at scale</w:t>
      </w:r>
    </w:p>
    <w:p w14:paraId="5361C91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Requires continuous internet connectivity</w:t>
      </w:r>
    </w:p>
    <w:p w14:paraId="2B77A1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Limited control over model behaviour and versioning</w:t>
      </w:r>
    </w:p>
    <w:p w14:paraId="4F6CD63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Higher latency compared to locally hosted SLM</w:t>
      </w:r>
    </w:p>
    <w:p w14:paraId="006091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Data privacy considerations for sensitive enterprise use cases</w:t>
      </w:r>
    </w:p>
    <w:p w14:paraId="6A9B19CD">
      <w:pPr>
        <w:spacing w:before="80" w:after="80"/>
      </w:pPr>
    </w:p>
    <w:p w14:paraId="726F7CCD">
      <w:pPr>
        <w:spacing w:before="80" w:after="80"/>
      </w:pPr>
    </w:p>
    <w:p w14:paraId="1D19BD34">
      <w:pPr>
        <w:spacing w:before="80" w:after="80"/>
      </w:pPr>
    </w:p>
    <w:p w14:paraId="304E8978">
      <w:pPr>
        <w:spacing w:before="80" w:after="80"/>
      </w:pPr>
    </w:p>
    <w:p w14:paraId="618A507F">
      <w:pPr>
        <w:spacing w:before="80" w:after="80"/>
      </w:pPr>
    </w:p>
    <w:p w14:paraId="3842FB98">
      <w:pPr>
        <w:spacing w:before="80" w:after="80"/>
      </w:pPr>
    </w:p>
    <w:p w14:paraId="28378D1E">
      <w:pPr>
        <w:spacing w:before="80" w:after="80"/>
      </w:pPr>
    </w:p>
    <w:p w14:paraId="4E7842AE">
      <w:pPr>
        <w:spacing w:before="80" w:after="80"/>
      </w:pPr>
    </w:p>
    <w:p w14:paraId="5862097C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7. Deployment Recommendations</w:t>
      </w:r>
    </w:p>
    <w:p w14:paraId="150111AA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Based on the evaluation findings, the following deployment guidance is recommended:</w:t>
      </w:r>
    </w:p>
    <w:p w14:paraId="1416AB62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345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C58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 Gemini API when:</w:t>
            </w:r>
          </w:p>
        </w:tc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D30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 Fine-Tuned SLM when:</w:t>
            </w:r>
          </w:p>
        </w:tc>
      </w:tr>
      <w:tr w14:paraId="6D28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53467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High accuracy is the priority</w:t>
            </w:r>
          </w:p>
        </w:tc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A1F9C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Large-scale batch processing is required</w:t>
            </w:r>
          </w:p>
        </w:tc>
      </w:tr>
      <w:tr w14:paraId="20B6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D7E57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Rapid prototyping or demos</w:t>
            </w:r>
          </w:p>
        </w:tc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C2E8A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Offline or private deployment is needed</w:t>
            </w:r>
          </w:p>
        </w:tc>
      </w:tr>
      <w:tr w14:paraId="3563D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E177B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Cloud-based architecture is acceptable</w:t>
            </w:r>
          </w:p>
        </w:tc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83ACB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Long-term cost optimization is critical</w:t>
            </w:r>
          </w:p>
        </w:tc>
      </w:tr>
      <w:tr w14:paraId="39D0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AFEB3">
            <w:pPr>
              <w:jc w:val="left"/>
            </w:pPr>
          </w:p>
        </w:tc>
        <w:tc>
          <w:tcPr>
            <w:tcW w:w="468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A6C66">
            <w:pPr>
              <w:pStyle w:val="16"/>
              <w:numPr>
                <w:ilvl w:val="0"/>
                <w:numId w:val="1"/>
              </w:num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Domain-specific customization is important</w:t>
            </w:r>
          </w:p>
        </w:tc>
      </w:tr>
    </w:tbl>
    <w:p w14:paraId="1BF40B44">
      <w:pPr>
        <w:spacing w:before="120" w:after="80"/>
      </w:pPr>
    </w:p>
    <w:p w14:paraId="1AA53DDF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A hybrid approach is also viable: deploy Gemini API for high-value, low-volume extraction tasks requiring maximum accuracy, while using the fine-tuned SLM for high-throughput, routine BOQ processing where cost and offline operation are priorities.</w:t>
      </w:r>
    </w:p>
    <w:p w14:paraId="37CB5FD9">
      <w:pPr>
        <w:spacing w:before="80" w:after="80"/>
      </w:pPr>
    </w:p>
    <w:p w14:paraId="23BC03EF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8. Conclusion</w:t>
      </w:r>
    </w:p>
    <w:p w14:paraId="49A8B278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The Gemini API currently delivers the highest extraction quality and strict accuracy (100%), making it the optimal choice for rapid deployment and accuracy-critical BOQ parsing workflows. The fine-tuned Qwen 2.5 3B SLM provides a cost-efficient, fully offline, and controllable alternative that is well-suited for scalable or enterprise-grade deployments where API dependency, data privacy, or operational cost are key constraints.</w:t>
      </w:r>
    </w:p>
    <w:p w14:paraId="31B0DB49">
      <w:pPr>
        <w:spacing w:before="80" w:after="40"/>
      </w:pPr>
    </w:p>
    <w:p w14:paraId="783C0FCF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Despite being a significantly smaller model, the fine-tuned SLM performs competitively (8.65/10), validating the value of domain-specific fine-tuning. With additional training data and iterative refinement, the accuracy gap between the two approaches can be further reduced.</w:t>
      </w:r>
    </w:p>
    <w:p w14:paraId="0DA9062E">
      <w:pPr>
        <w:spacing w:before="80" w:after="40"/>
      </w:pPr>
    </w:p>
    <w:p w14:paraId="330632FB">
      <w:pPr>
        <w:spacing w:before="60" w:after="60"/>
      </w:pPr>
      <w:r>
        <w:rPr>
          <w:rFonts w:ascii="Arial" w:hAnsi="Arial" w:eastAsia="Arial" w:cs="Arial"/>
          <w:b w:val="0"/>
          <w:bCs w:val="0"/>
          <w:color w:val="555555"/>
          <w:sz w:val="22"/>
          <w:szCs w:val="22"/>
        </w:rPr>
        <w:t>Both solutions are production-ready with zero error rates, and the appropriate choice depends on the organisation's infrastructure, budget, data sensitivity, and accuracy requirements.</w:t>
      </w:r>
    </w:p>
    <w:p w14:paraId="7F32403E">
      <w:pPr>
        <w:spacing w:before="200" w:after="0"/>
      </w:pPr>
    </w:p>
    <w:p w14:paraId="2B2C5EE9">
      <w:pPr>
        <w:pBdr>
          <w:top w:val="single" w:color="C9A227" w:sz="4" w:space="6"/>
        </w:pBdr>
        <w:spacing w:before="120" w:after="0"/>
        <w:jc w:val="center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0EA5C">
    <w:pPr>
      <w:pBdr>
        <w:top w:val="single" w:color="2E75B6" w:sz="4" w:space="4"/>
      </w:pBdr>
      <w:tabs>
        <w:tab w:val="right" w:pos="9026"/>
      </w:tabs>
      <w:spacing w:before="8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E2868">
    <w:pPr>
      <w:pBdr>
        <w:bottom w:val="single" w:color="2E75B6" w:sz="6" w:space="6"/>
      </w:pBdr>
      <w:spacing w:before="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D2700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2026-05-22T10:37:00Z</dcterms:created>
  <dc:creator>Un-named</dc:creator>
  <cp:lastModifiedBy>Quoters Hub</cp:lastModifiedBy>
  <dcterms:modified xsi:type="dcterms:W3CDTF">2026-05-22T10:42:39Z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DDBE4F6D3A944C6BB8FE568C96F93008_12</vt:lpwstr>
  </property>
</Properties>
</file>