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Insurance summary - fleet and premises</w:t>
      </w:r>
    </w:p>
    <w:p>
      <w:r>
        <w:t>The fleet policy covers three vans for business use, </w:t>
      </w:r>
      <w:r>
        <w:t>including goods in transit up to twelve thousand per load.</w:t>
      </w:r>
    </w:p>
    <w:p>
      <w:r>
        <w:t>The premises policy covers both depots for fire, flood and theft, with a five hundred excess on each claim.</w:t>
      </w:r>
    </w:p>
    <w:p>
      <w:r>
        <w:t>Renewal falls on the first of April and the broker needs a fortnight of notice to re-quote.</w:t>
      </w:r>
    </w:p>
  </w:body>
</w:document>
</file>