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Data Collection and Preprocessing</w:t>
      </w:r>
    </w:p>
    <w:p w:rsidR="00000000" w:rsidDel="00000000" w:rsidP="00000000" w:rsidRDefault="00000000" w:rsidRPr="00000000" w14:paraId="00000002">
      <w:pPr>
        <w:spacing w:line="259" w:lineRule="auto"/>
        <w:jc w:val="center"/>
        <w:rPr>
          <w:rFonts w:ascii="Times New Roman" w:cs="Times New Roman" w:eastAsia="Times New Roman" w:hAnsi="Times New Roman"/>
          <w:b w:val="1"/>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July 2025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ID</w:t>
            </w:r>
          </w:p>
        </w:tc>
        <w:tc>
          <w:tcPr>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xxxxxx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ind w:left="0" w:firstLine="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Exploring Global Energy Generation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Marks</w:t>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Marks</w:t>
            </w:r>
          </w:p>
        </w:tc>
      </w:tr>
    </w:tbl>
    <w:p w:rsidR="00000000" w:rsidDel="00000000" w:rsidP="00000000" w:rsidRDefault="00000000" w:rsidRPr="00000000" w14:paraId="0000000B">
      <w:pPr>
        <w:spacing w:after="160" w:line="259" w:lineRule="auto"/>
        <w:rPr/>
      </w:pPr>
      <w:r w:rsidDel="00000000" w:rsidR="00000000" w:rsidRPr="00000000">
        <w:rPr>
          <w:rtl w:val="0"/>
        </w:rPr>
      </w:r>
    </w:p>
    <w:p w:rsidR="00000000" w:rsidDel="00000000" w:rsidP="00000000" w:rsidRDefault="00000000" w:rsidRPr="00000000" w14:paraId="0000000C">
      <w:pPr>
        <w:spacing w:after="160" w:line="259"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 Exploration and Preprocessing</w:t>
      </w:r>
    </w:p>
    <w:p w:rsidR="00000000" w:rsidDel="00000000" w:rsidP="00000000" w:rsidRDefault="00000000" w:rsidRPr="00000000" w14:paraId="0000000D">
      <w:pPr>
        <w:spacing w:after="160" w:line="259" w:lineRule="auto"/>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4"/>
        <w:gridCol w:w="6356"/>
        <w:tblGridChange w:id="0">
          <w:tblGrid>
            <w:gridCol w:w="3004"/>
            <w:gridCol w:w="6356"/>
          </w:tblGrid>
        </w:tblGridChange>
      </w:tblGrid>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0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Overview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global energy generation data from multiple countries over several years. It includes variables such as country, continent, year, energy source (coal, gas, renewables, etc.), and energy generated in Terawatt-hour       (TWh).</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3">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Handled missing values by removing incomplete records or filling them using forward-fill method.</w:t>
            </w:r>
          </w:p>
          <w:p w:rsidR="00000000" w:rsidDel="00000000" w:rsidP="00000000" w:rsidRDefault="00000000" w:rsidRPr="00000000" w14:paraId="00000014">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Removed duplicate rows identified by matching country, year, and energy type.</w:t>
            </w:r>
          </w:p>
          <w:p w:rsidR="00000000" w:rsidDel="00000000" w:rsidP="00000000" w:rsidRDefault="00000000" w:rsidRPr="00000000" w14:paraId="00000015">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Corrected inconsistent country names (e.g., "United States" vs "USA").</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Transformation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7">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Power Query to filter out countries with insufficient data.</w:t>
            </w:r>
          </w:p>
          <w:p w:rsidR="00000000" w:rsidDel="00000000" w:rsidP="00000000" w:rsidRDefault="00000000" w:rsidRPr="00000000" w14:paraId="00000018">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Sorted data by year for time-series analysis.</w:t>
            </w:r>
          </w:p>
          <w:p w:rsidR="00000000" w:rsidDel="00000000" w:rsidP="00000000" w:rsidRDefault="00000000" w:rsidRPr="00000000" w14:paraId="00000019">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Pivoted energy source columns for better comparison.</w:t>
            </w:r>
          </w:p>
          <w:p w:rsidR="00000000" w:rsidDel="00000000" w:rsidP="00000000" w:rsidRDefault="00000000" w:rsidRPr="00000000" w14:paraId="0000001A">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calculated columns for total energy generation per region and renewable share.</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 Conversion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C">
            <w:pPr>
              <w:widowControl w:val="0"/>
              <w:numPr>
                <w:ilvl w:val="0"/>
                <w:numId w:val="6"/>
              </w:numPr>
              <w:spacing w:line="240" w:lineRule="auto"/>
              <w:ind w:left="720" w:hanging="360"/>
              <w:rPr>
                <w:sz w:val="24"/>
                <w:szCs w:val="24"/>
                <w:u w:val="none"/>
              </w:rPr>
            </w:pPr>
            <w:r w:rsidDel="00000000" w:rsidR="00000000" w:rsidRPr="00000000">
              <w:rPr>
                <w:rFonts w:ascii="Times New Roman" w:cs="Times New Roman" w:eastAsia="Times New Roman" w:hAnsi="Times New Roman"/>
                <w:sz w:val="24"/>
                <w:szCs w:val="24"/>
                <w:rtl w:val="0"/>
              </w:rPr>
              <w:t xml:space="preserve">Converted year column to </w:t>
            </w:r>
            <w:r w:rsidDel="00000000" w:rsidR="00000000" w:rsidRPr="00000000">
              <w:rPr>
                <w:rFonts w:ascii="Roboto Mono" w:cs="Roboto Mono" w:eastAsia="Roboto Mono" w:hAnsi="Roboto Mono"/>
                <w:color w:val="188038"/>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Integer</w:t>
            </w:r>
            <w:r w:rsidDel="00000000" w:rsidR="00000000" w:rsidRPr="00000000">
              <w:rPr>
                <w:rFonts w:ascii="Times New Roman" w:cs="Times New Roman" w:eastAsia="Times New Roman" w:hAnsi="Times New Roman"/>
                <w:sz w:val="24"/>
                <w:szCs w:val="24"/>
                <w:rtl w:val="0"/>
              </w:rPr>
              <w:t xml:space="preserve"> type.</w:t>
            </w:r>
          </w:p>
          <w:p w:rsidR="00000000" w:rsidDel="00000000" w:rsidP="00000000" w:rsidRDefault="00000000" w:rsidRPr="00000000" w14:paraId="0000001D">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Ensured energy values are stored as numeric (float) types.</w:t>
            </w:r>
          </w:p>
          <w:p w:rsidR="00000000" w:rsidDel="00000000" w:rsidP="00000000" w:rsidRDefault="00000000" w:rsidRPr="00000000" w14:paraId="0000001E">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Corrected any string-to-number inconsistencies in calculated columns.</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Splitting and Merging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0">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Merged multiple renewable types (solar, wind, hydro) into a single “Renewables” column for simplified analysis.</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Modeling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2">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Defined relationships between </w:t>
            </w:r>
            <w:r w:rsidDel="00000000" w:rsidR="00000000" w:rsidRPr="00000000">
              <w:rPr>
                <w:rFonts w:ascii="Times New Roman" w:cs="Times New Roman" w:eastAsia="Times New Roman" w:hAnsi="Times New Roman"/>
                <w:b w:val="1"/>
                <w:sz w:val="24"/>
                <w:szCs w:val="24"/>
                <w:rtl w:val="0"/>
              </w:rPr>
              <w:t xml:space="preserve">Country Table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Energy Generation Table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Region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measures such as </w:t>
            </w:r>
            <w:r w:rsidDel="00000000" w:rsidR="00000000" w:rsidRPr="00000000">
              <w:rPr>
                <w:rFonts w:ascii="Times New Roman" w:cs="Times New Roman" w:eastAsia="Times New Roman" w:hAnsi="Times New Roman"/>
                <w:b w:val="1"/>
                <w:sz w:val="24"/>
                <w:szCs w:val="24"/>
                <w:rtl w:val="0"/>
              </w:rPr>
              <w:t xml:space="preserve">Total Generation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Renewables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Growth Rate</w:t>
            </w:r>
            <w:r w:rsidDel="00000000" w:rsidR="00000000" w:rsidRPr="00000000">
              <w:rPr>
                <w:rFonts w:ascii="Times New Roman" w:cs="Times New Roman" w:eastAsia="Times New Roman" w:hAnsi="Times New Roman"/>
                <w:sz w:val="24"/>
                <w:szCs w:val="24"/>
                <w:rtl w:val="0"/>
              </w:rPr>
              <w:t xml:space="preserve"> using Power BI DAX.</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Processed Data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5">
            <w:pPr>
              <w:widowControl w:val="0"/>
              <w:numPr>
                <w:ilvl w:val="0"/>
                <w:numId w:val="4"/>
              </w:numPr>
              <w:spacing w:line="240" w:lineRule="auto"/>
              <w:ind w:left="720" w:hanging="360"/>
              <w:rPr>
                <w:sz w:val="24"/>
                <w:szCs w:val="24"/>
                <w:u w:val="none"/>
              </w:rPr>
            </w:pPr>
            <w:r w:rsidDel="00000000" w:rsidR="00000000" w:rsidRPr="00000000">
              <w:rPr>
                <w:rFonts w:ascii="Times New Roman" w:cs="Times New Roman" w:eastAsia="Times New Roman" w:hAnsi="Times New Roman"/>
                <w:sz w:val="24"/>
                <w:szCs w:val="24"/>
                <w:rtl w:val="0"/>
              </w:rPr>
              <w:t xml:space="preserve">Saved the cleaned and transformed dataset as an Excel file (.xlsx) and imported into Power BI for further visualization and modeling. Backup version saved in </w:t>
            </w:r>
            <w:r w:rsidDel="00000000" w:rsidR="00000000" w:rsidRPr="00000000">
              <w:rPr>
                <w:rFonts w:ascii="Roboto Mono" w:cs="Roboto Mono" w:eastAsia="Roboto Mono" w:hAnsi="Roboto Mono"/>
                <w:color w:val="188038"/>
                <w:sz w:val="24"/>
                <w:szCs w:val="24"/>
                <w:rtl w:val="0"/>
              </w:rPr>
              <w:t xml:space="preserve">.csv</w:t>
            </w:r>
            <w:r w:rsidDel="00000000" w:rsidR="00000000" w:rsidRPr="00000000">
              <w:rPr>
                <w:rFonts w:ascii="Times New Roman" w:cs="Times New Roman" w:eastAsia="Times New Roman" w:hAnsi="Times New Roman"/>
                <w:sz w:val="24"/>
                <w:szCs w:val="24"/>
                <w:rtl w:val="0"/>
              </w:rPr>
              <w:t xml:space="preserve"> format for reproducibility.</w:t>
            </w:r>
          </w:p>
        </w:tc>
      </w:tr>
    </w:tbl>
    <w:p w:rsidR="00000000" w:rsidDel="00000000" w:rsidP="00000000" w:rsidRDefault="00000000" w:rsidRPr="00000000" w14:paraId="00000026">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160" w:line="259"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