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64748B"/>
          <w:sz w:val="22"/>
        </w:rPr>
        <w:t>L&amp;T Edutech — Deep Learning Engineering &amp; Cloud Deployment</w:t>
      </w:r>
    </w:p>
    <w:p>
      <w:pPr>
        <w:spacing w:before="40" w:after="80"/>
      </w:pPr>
      <w:r>
        <w:rPr>
          <w:rFonts w:ascii="Calibri" w:hAnsi="Calibri"/>
          <w:b/>
          <w:color w:val="1E3A8A"/>
          <w:sz w:val="44"/>
        </w:rPr>
        <w:t>Task 13: Deploying Deep Learning Applications on Kubernetes</w:t>
      </w:r>
    </w:p>
    <w:p>
      <w:pPr>
        <w:spacing w:after="240"/>
      </w:pPr>
      <w:r>
        <w:rPr>
          <w:rFonts w:ascii="Calibri" w:hAnsi="Calibri"/>
          <w:color w:val="0D9488"/>
          <w:sz w:val="24"/>
        </w:rPr>
        <w:t>Production Containerized Microservice Deployment, External Service Configuration, Resource Allocation, and End-to-End Inference Verification</w:t>
      </w:r>
    </w:p>
    <w:tbl>
      <w:tblPr>
        <w:tblW w:type="auto" w:w="0"/>
        <w:jc w:val="center"/>
        <w:tblLook w:firstColumn="1" w:firstRow="1" w:lastColumn="0" w:lastRow="0" w:noHBand="0" w:noVBand="1" w:val="04A0"/>
      </w:tblPr>
      <w:tblGrid>
        <w:gridCol w:w="5040"/>
        <w:gridCol w:w="5040"/>
      </w:tblGrid>
      <w:tr>
        <w:tc>
          <w:tcPr>
            <w:tcW w:type="dxa" w:w="3168"/>
            <w:shd w:fill="F1F5F9"/>
            <w:tcMar>
              <w:top w:w="40" w:type="dxa"/>
              <w:bottom w:w="40" w:type="dxa"/>
              <w:left w:w="80" w:type="dxa"/>
              <w:right w:w="80" w:type="dxa"/>
            </w:tcMar>
          </w:tcPr>
          <w:p>
            <w:r>
              <w:rPr>
                <w:b/>
                <w:sz w:val="19"/>
              </w:rPr>
              <w:t>Student / Engineer:</w:t>
            </w:r>
          </w:p>
        </w:tc>
        <w:tc>
          <w:tcPr>
            <w:tcW w:type="dxa" w:w="6912"/>
            <w:shd w:fill="F1F5F9"/>
            <w:tcMar>
              <w:top w:w="40" w:type="dxa"/>
              <w:bottom w:w="40" w:type="dxa"/>
              <w:left w:w="80" w:type="dxa"/>
              <w:right w:w="80" w:type="dxa"/>
            </w:tcMar>
          </w:tcPr>
          <w:p>
            <w:r>
              <w:rPr>
                <w:sz w:val="19"/>
              </w:rPr>
              <w:t>Aditya Bahira</w:t>
            </w:r>
          </w:p>
        </w:tc>
      </w:tr>
      <w:tr>
        <w:tc>
          <w:tcPr>
            <w:tcW w:type="dxa" w:w="3168"/>
            <w:shd w:fill="FFFFFF"/>
            <w:tcMar>
              <w:top w:w="40" w:type="dxa"/>
              <w:bottom w:w="40" w:type="dxa"/>
              <w:left w:w="80" w:type="dxa"/>
              <w:right w:w="80" w:type="dxa"/>
            </w:tcMar>
          </w:tcPr>
          <w:p>
            <w:r>
              <w:rPr>
                <w:b/>
                <w:sz w:val="19"/>
              </w:rPr>
              <w:t>Course / Track:</w:t>
            </w:r>
          </w:p>
        </w:tc>
        <w:tc>
          <w:tcPr>
            <w:tcW w:type="dxa" w:w="6912"/>
            <w:shd w:fill="FFFFFF"/>
            <w:tcMar>
              <w:top w:w="40" w:type="dxa"/>
              <w:bottom w:w="40" w:type="dxa"/>
              <w:left w:w="80" w:type="dxa"/>
              <w:right w:w="80" w:type="dxa"/>
            </w:tcMar>
          </w:tcPr>
          <w:p>
            <w:r>
              <w:rPr>
                <w:sz w:val="19"/>
              </w:rPr>
              <w:t>Deep Learning Engineering &amp; Cloud Deployment (L&amp;T Edutech)</w:t>
            </w:r>
          </w:p>
        </w:tc>
      </w:tr>
      <w:tr>
        <w:tc>
          <w:tcPr>
            <w:tcW w:type="dxa" w:w="3168"/>
            <w:shd w:fill="F1F5F9"/>
            <w:tcMar>
              <w:top w:w="40" w:type="dxa"/>
              <w:bottom w:w="40" w:type="dxa"/>
              <w:left w:w="80" w:type="dxa"/>
              <w:right w:w="80" w:type="dxa"/>
            </w:tcMar>
          </w:tcPr>
          <w:p>
            <w:r>
              <w:rPr>
                <w:b/>
                <w:sz w:val="19"/>
              </w:rPr>
              <w:t>Target Platform:</w:t>
            </w:r>
          </w:p>
        </w:tc>
        <w:tc>
          <w:tcPr>
            <w:tcW w:type="dxa" w:w="6912"/>
            <w:shd w:fill="F1F5F9"/>
            <w:tcMar>
              <w:top w:w="40" w:type="dxa"/>
              <w:bottom w:w="40" w:type="dxa"/>
              <w:left w:w="80" w:type="dxa"/>
              <w:right w:w="80" w:type="dxa"/>
            </w:tcMar>
          </w:tcPr>
          <w:p>
            <w:r>
              <w:rPr>
                <w:sz w:val="19"/>
              </w:rPr>
              <w:t>Kubernetes Cluster (Minikube / Docker Runtime on Windows)</w:t>
            </w:r>
          </w:p>
        </w:tc>
      </w:tr>
      <w:tr>
        <w:tc>
          <w:tcPr>
            <w:tcW w:type="dxa" w:w="3168"/>
            <w:shd w:fill="FFFFFF"/>
            <w:tcMar>
              <w:top w:w="40" w:type="dxa"/>
              <w:bottom w:w="40" w:type="dxa"/>
              <w:left w:w="80" w:type="dxa"/>
              <w:right w:w="80" w:type="dxa"/>
            </w:tcMar>
          </w:tcPr>
          <w:p>
            <w:r>
              <w:rPr>
                <w:b/>
                <w:sz w:val="19"/>
              </w:rPr>
              <w:t>Submission Deliverables:</w:t>
            </w:r>
          </w:p>
        </w:tc>
        <w:tc>
          <w:tcPr>
            <w:tcW w:type="dxa" w:w="6912"/>
            <w:shd w:fill="FFFFFF"/>
            <w:tcMar>
              <w:top w:w="40" w:type="dxa"/>
              <w:bottom w:w="40" w:type="dxa"/>
              <w:left w:w="80" w:type="dxa"/>
              <w:right w:w="80" w:type="dxa"/>
            </w:tcMar>
          </w:tcPr>
          <w:p>
            <w:r>
              <w:rPr>
                <w:sz w:val="19"/>
              </w:rPr>
              <w:t>Kubernetes Manifests (YAML), Automated Tests, Jupyter Notebook, Reference Screenshots, PDF Report</w:t>
            </w:r>
          </w:p>
        </w:tc>
      </w:tr>
      <w:tr>
        <w:tc>
          <w:tcPr>
            <w:tcW w:type="dxa" w:w="3168"/>
            <w:shd w:fill="F1F5F9"/>
            <w:tcMar>
              <w:top w:w="40" w:type="dxa"/>
              <w:bottom w:w="40" w:type="dxa"/>
              <w:left w:w="80" w:type="dxa"/>
              <w:right w:w="80" w:type="dxa"/>
            </w:tcMar>
          </w:tcPr>
          <w:p>
            <w:r>
              <w:rPr>
                <w:b/>
                <w:sz w:val="19"/>
              </w:rPr>
              <w:t>Operational Status:</w:t>
            </w:r>
          </w:p>
        </w:tc>
        <w:tc>
          <w:tcPr>
            <w:tcW w:type="dxa" w:w="6912"/>
            <w:shd w:fill="F1F5F9"/>
            <w:tcMar>
              <w:top w:w="40" w:type="dxa"/>
              <w:bottom w:w="40" w:type="dxa"/>
              <w:left w:w="80" w:type="dxa"/>
              <w:right w:w="80" w:type="dxa"/>
            </w:tcMar>
          </w:tcPr>
          <w:p>
            <w:r>
              <w:rPr>
                <w:b/>
                <w:color w:val="10B981"/>
                <w:sz w:val="19"/>
              </w:rPr>
              <w:t>Fully Operational &amp; Validated (10/10 Verification Tests Passed - 100%)</w:t>
            </w:r>
          </w:p>
        </w:tc>
      </w:tr>
    </w:tbl>
    <w:p>
      <w:pPr>
        <w:spacing w:after="200"/>
      </w:pPr>
    </w:p>
    <w:p>
      <w:r>
        <w:rPr>
          <w:rFonts w:ascii="Calibri" w:hAnsi="Calibri"/>
          <w:b/>
          <w:color w:val="1E3A8A"/>
          <w:sz w:val="28"/>
        </w:rPr>
        <w:t>1. Executive Summary &amp; Objective</w:t>
      </w:r>
    </w:p>
    <w:p>
      <w:r>
        <w:t>The objective of Task 13 is to deploy and expose containerized deep learning applications within an enterprise Kubernetes orchestration environment. The architecture deploys two coordinated microservices:</w:t>
        <w:br/>
        <w:t>1. PyTorch Deep Learning Inference Engine (dl-backend): A high-performance REST service serving DeepHealthRiskNet, a trained deep neural network performing multi-class clinical patient risk classification.</w:t>
        <w:br/>
        <w:t>2. Clinical Analytics Dashboard (dl-frontend): An interactive Streamlit web application providing patient vital input forms and real-time inference telemetry visualization.</w:t>
        <w:br/>
        <w:br/>
        <w:t>Key technical accomplishments include declarative infrastructure-as-code manifests, decoupled ConfigMap management, fine-tuned compute resource quotas (requests/limits) preventing out-of-memory container terminations, HTTP liveness and readiness probes ensuring zero unready traffic routing, external NodePort service exposure, and 100% automated test verification.</w:t>
      </w:r>
    </w:p>
    <w:p>
      <w:r>
        <w:rPr>
          <w:rFonts w:ascii="Calibri" w:hAnsi="Calibri"/>
          <w:b/>
          <w:color w:val="1E3A8A"/>
          <w:sz w:val="28"/>
        </w:rPr>
        <w:t>2. System Architecture &amp; Kubernetes Networking Topology</w:t>
      </w:r>
    </w:p>
    <w:p>
      <w:r>
        <w:t>The cluster operates under the isolated production namespace 'dl-production-app' with five core components:</w:t>
        <w:br/>
        <w:t>• PyTorch Backend Deployment (dl-backend-deployment): 2 replicas configured with 250m CPU / 512Mi memory requests and 1000m CPU / 1536Mi limits, integrated with HTTP /health probes for automated lifecycle management.</w:t>
        <w:br/>
        <w:t>• Backend Service (dl-backend-svc): Dual-function service exposing port 5000 internally for frontend CoreDNS discovery (http://dl-backend-svc:5000) and NodePort 30500 for direct external REST API querying.</w:t>
        <w:br/>
        <w:t>• Frontend Deployment (dl-frontend-deployment): 2 replicas hosting the clinical Streamlit dashboard, consuming backend endpoints injected via ConfigMap environment variables.</w:t>
        <w:br/>
        <w:t>• Frontend Service (dl-frontend-svc): NodePort service mapping internal container port 8501 to external port 31501 for clinician browser access.</w:t>
        <w:br/>
        <w:t>• Central ConfigMap (dl-production-config): Decoupled key-value pairs governing model hyperparameters, endpoints, and logging.</w:t>
      </w:r>
    </w:p>
    <w:p>
      <w:r>
        <w:rPr>
          <w:rFonts w:ascii="Calibri" w:hAnsi="Calibri"/>
          <w:b/>
          <w:color w:val="1E3A8A"/>
          <w:sz w:val="28"/>
        </w:rPr>
        <w:t>3. Declarative Kubernetes Manifests (Infrastructure as Code)</w:t>
      </w:r>
    </w:p>
    <w:p>
      <w:r>
        <w:rPr>
          <w:b/>
          <w:color w:val="0D9488"/>
          <w:sz w:val="22"/>
        </w:rPr>
        <w:t>• 01-namespace.yaml — Isolated Production Namespace</w:t>
      </w:r>
    </w:p>
    <w:p>
      <w:pPr>
        <w:ind w:left="288"/>
      </w:pPr>
      <w:r>
        <w:rPr>
          <w:rFonts w:ascii="Consolas" w:hAnsi="Consolas"/>
          <w:color w:val="1E293B"/>
          <w:sz w:val="16"/>
        </w:rPr>
        <w:t>apiVersion: v1</w:t>
        <w:br/>
        <w:t>kind: Namespace</w:t>
        <w:br/>
        <w:t>metadata:</w:t>
        <w:br/>
        <w:t xml:space="preserve">  name: dl-production-app</w:t>
        <w:br/>
        <w:t xml:space="preserve">  labels:</w:t>
        <w:br/>
        <w:t xml:space="preserve">    name: dl-production-app</w:t>
        <w:br/>
        <w:t xml:space="preserve">    app.kubernetes.io/part-of: dl-clinical-suite</w:t>
        <w:br/>
        <w:t xml:space="preserve">    environment: production</w:t>
        <w:br/>
        <w:t xml:space="preserve">    task: "13"</w:t>
        <w:br/>
      </w:r>
    </w:p>
    <w:p>
      <w:r>
        <w:rPr>
          <w:b/>
          <w:color w:val="0D9488"/>
          <w:sz w:val="22"/>
        </w:rPr>
        <w:t>• 02-configmap.yaml — Centralized Runtime ConfigMap</w:t>
      </w:r>
    </w:p>
    <w:p>
      <w:pPr>
        <w:ind w:left="288"/>
      </w:pPr>
      <w:r>
        <w:rPr>
          <w:rFonts w:ascii="Consolas" w:hAnsi="Consolas"/>
          <w:color w:val="1E293B"/>
          <w:sz w:val="16"/>
        </w:rPr>
        <w:t>apiVersion: v1</w:t>
        <w:br/>
        <w:t>kind: ConfigMap</w:t>
        <w:br/>
        <w:t>metadata:</w:t>
        <w:br/>
        <w:t xml:space="preserve">  name: dl-production-config</w:t>
        <w:br/>
        <w:t xml:space="preserve">  namespace: dl-production-app</w:t>
        <w:br/>
        <w:t xml:space="preserve">  labels:</w:t>
        <w:br/>
        <w:t xml:space="preserve">    app.kubernetes.io/part-of: dl-clinical-suite</w:t>
        <w:br/>
        <w:t xml:space="preserve">    tier: config</w:t>
        <w:br/>
        <w:t xml:space="preserve">    task: "13"</w:t>
        <w:br/>
        <w:t>data:</w:t>
        <w:br/>
        <w:t xml:space="preserve">  PORT: "5000"</w:t>
        <w:br/>
        <w:t xml:space="preserve">  ENVIRONMENT: "production"</w:t>
        <w:br/>
        <w:t xml:space="preserve">  BACKEND_URL: "http://dl-backend-svc:5000"</w:t>
        <w:br/>
        <w:t xml:space="preserve">  MODEL_NAME: "DeepHealthRiskNet"</w:t>
        <w:br/>
        <w:t xml:space="preserve">  MODEL_FRAMEWORK: "PyTorch-v2.x"</w:t>
        <w:br/>
        <w:t xml:space="preserve">  BATCH_SIZE: "1"</w:t>
        <w:br/>
        <w:t xml:space="preserve">  NUM_WORKERS: "2"</w:t>
        <w:br/>
        <w:t xml:space="preserve">  LOG_LEVEL: "INFO"</w:t>
        <w:br/>
      </w:r>
    </w:p>
    <w:p>
      <w:r>
        <w:rPr>
          <w:b/>
          <w:color w:val="0D9488"/>
          <w:sz w:val="22"/>
        </w:rPr>
        <w:t>• 03-backend-deployment.yaml — PyTorch Inference Deployment (Resource Limits &amp; Probes)</w:t>
      </w:r>
    </w:p>
    <w:p>
      <w:pPr>
        <w:ind w:left="288"/>
      </w:pPr>
      <w:r>
        <w:rPr>
          <w:rFonts w:ascii="Consolas" w:hAnsi="Consolas"/>
          <w:color w:val="1E293B"/>
          <w:sz w:val="16"/>
        </w:rPr>
        <w:t>apiVersion: apps/v1</w:t>
        <w:br/>
        <w:t>kind: Deployment</w:t>
        <w:br/>
        <w:t>metadata:</w:t>
        <w:br/>
        <w:t xml:space="preserve">  name: dl-backend-deployment</w:t>
        <w:br/>
        <w:t xml:space="preserve">  namespace: dl-production-app</w:t>
        <w:br/>
        <w:t xml:space="preserve">  labels:</w:t>
        <w:br/>
        <w:t xml:space="preserve">    app: dl-backend</w:t>
        <w:br/>
        <w:t xml:space="preserve">    tier: api</w:t>
        <w:br/>
        <w:t xml:space="preserve">    app.kubernetes.io/name: dl-backend</w:t>
        <w:br/>
        <w:t xml:space="preserve">    app.kubernetes.io/part-of: dl-clinical-suite</w:t>
        <w:br/>
        <w:t xml:space="preserve">    task: "13"</w:t>
        <w:br/>
        <w:t>spec:</w:t>
        <w:br/>
        <w:t xml:space="preserve">  replicas: 2</w:t>
        <w:br/>
        <w:t xml:space="preserve">  strategy:</w:t>
        <w:br/>
        <w:t xml:space="preserve">    type: RollingUpdate</w:t>
        <w:br/>
        <w:t xml:space="preserve">    rollingUpdate:</w:t>
        <w:br/>
        <w:t xml:space="preserve">      maxSurge: 1</w:t>
        <w:br/>
        <w:t xml:space="preserve">      maxUnavailable: 0</w:t>
        <w:br/>
        <w:t xml:space="preserve">  selector:</w:t>
        <w:br/>
        <w:t xml:space="preserve">    matchLabels:</w:t>
        <w:br/>
        <w:t xml:space="preserve">      app: dl-backend</w:t>
        <w:br/>
        <w:t xml:space="preserve">      tier: api</w:t>
        <w:br/>
        <w:t xml:space="preserve">  template:</w:t>
        <w:br/>
        <w:t xml:space="preserve">    metadata:</w:t>
        <w:br/>
        <w:t xml:space="preserve">      labels:</w:t>
        <w:br/>
        <w:t xml:space="preserve">        app: dl-backend</w:t>
        <w:br/>
        <w:t xml:space="preserve">        tier: api</w:t>
        <w:br/>
        <w:t xml:space="preserve">    spec:</w:t>
        <w:br/>
        <w:t xml:space="preserve">      containers:</w:t>
        <w:br/>
        <w:t xml:space="preserve">      - name: dl-backend-api</w:t>
        <w:br/>
        <w:t xml:space="preserve">        image: adityabahira/dl-clinical-backend:v1.0</w:t>
        <w:br/>
        <w:t xml:space="preserve">        imagePullPolicy: IfNotPresent</w:t>
        <w:br/>
        <w:t xml:space="preserve">        ports:</w:t>
        <w:br/>
        <w:t xml:space="preserve">        - containerPort: 5000</w:t>
        <w:br/>
        <w:t xml:space="preserve">          name: http-api</w:t>
        <w:br/>
        <w:t xml:space="preserve">        env:</w:t>
        <w:br/>
        <w:t xml:space="preserve">        - name: PORT</w:t>
        <w:br/>
        <w:t xml:space="preserve">          valueFrom:</w:t>
        <w:br/>
        <w:t xml:space="preserve">            configMapKeyRef:</w:t>
        <w:br/>
        <w:t xml:space="preserve">              name: dl-production-config</w:t>
        <w:br/>
        <w:t xml:space="preserve">              key: PORT</w:t>
        <w:br/>
        <w:t xml:space="preserve">        - name: ENVIRONMENT</w:t>
        <w:br/>
        <w:t xml:space="preserve">          valueFrom:</w:t>
        <w:br/>
        <w:t xml:space="preserve">            configMapKeyRef:</w:t>
        <w:br/>
        <w:t xml:space="preserve">              name: dl-production-config</w:t>
        <w:br/>
        <w:t xml:space="preserve">              key: ENVIRONMENT</w:t>
        <w:br/>
        <w:t xml:space="preserve">        - name: MODEL_NAME</w:t>
        <w:br/>
        <w:t xml:space="preserve">          valueFrom:</w:t>
        <w:br/>
        <w:t xml:space="preserve">            configMapKeyRef:</w:t>
        <w:br/>
        <w:t xml:space="preserve">              name: dl-production-config</w:t>
        <w:br/>
        <w:t xml:space="preserve">              key: MODEL_NAME</w:t>
        <w:br/>
        <w:t xml:space="preserve">        - name: MODEL_FRAMEWORK</w:t>
        <w:br/>
        <w:t xml:space="preserve">          valueFrom:</w:t>
        <w:br/>
        <w:t xml:space="preserve">            configMapKeyRef:</w:t>
        <w:br/>
        <w:t xml:space="preserve">              name: dl-production-config</w:t>
        <w:br/>
        <w:t xml:space="preserve">              key: MODEL_FRAMEWORK</w:t>
        <w:br/>
        <w:t xml:space="preserve">        resources:</w:t>
        <w:br/>
        <w:t xml:space="preserve">          requests:</w:t>
        <w:br/>
        <w:t xml:space="preserve">            cpu: "250m"</w:t>
        <w:br/>
        <w:t xml:space="preserve">            memory: "512Mi"</w:t>
        <w:br/>
        <w:t xml:space="preserve">          limits:</w:t>
        <w:br/>
        <w:t xml:space="preserve">            cpu: "1000m"</w:t>
        <w:br/>
        <w:t xml:space="preserve">            memory: "1536Mi"</w:t>
        <w:br/>
        <w:t xml:space="preserve">        livenessProbe:</w:t>
        <w:br/>
        <w:t xml:space="preserve">          httpGet:</w:t>
        <w:br/>
        <w:t xml:space="preserve">            path: /health</w:t>
        <w:br/>
        <w:t xml:space="preserve">            port: 5000</w:t>
        <w:br/>
        <w:t xml:space="preserve">          initialDelaySeconds: 20</w:t>
        <w:br/>
        <w:t xml:space="preserve">          periodSeconds: 15</w:t>
        <w:br/>
        <w:t xml:space="preserve">          timeoutSeconds: 5</w:t>
        <w:br/>
        <w:t xml:space="preserve">          failureThreshold: 3</w:t>
        <w:br/>
        <w:t xml:space="preserve">        readinessProbe:</w:t>
        <w:br/>
        <w:t xml:space="preserve">          httpGet:</w:t>
        <w:br/>
        <w:t xml:space="preserve">            path: /health</w:t>
        <w:br/>
        <w:t xml:space="preserve">            port: 5000</w:t>
        <w:br/>
        <w:t xml:space="preserve">          initialDelaySeconds: 10</w:t>
        <w:br/>
        <w:t xml:space="preserve">          periodSeconds: 10</w:t>
        <w:br/>
        <w:t xml:space="preserve">          timeoutSeconds: 3</w:t>
        <w:br/>
        <w:t xml:space="preserve">          failureThreshold: 2</w:t>
        <w:br/>
      </w:r>
    </w:p>
    <w:p>
      <w:r>
        <w:rPr>
          <w:b/>
          <w:color w:val="0D9488"/>
          <w:sz w:val="22"/>
        </w:rPr>
        <w:t>• 04-backend-service.yaml — Backend NodePort &amp; CoreDNS Service (:5000 / :30500)</w:t>
      </w:r>
    </w:p>
    <w:p>
      <w:pPr>
        <w:ind w:left="288"/>
      </w:pPr>
      <w:r>
        <w:rPr>
          <w:rFonts w:ascii="Consolas" w:hAnsi="Consolas"/>
          <w:color w:val="1E293B"/>
          <w:sz w:val="16"/>
        </w:rPr>
        <w:t>apiVersion: v1</w:t>
        <w:br/>
        <w:t>kind: Service</w:t>
        <w:br/>
        <w:t>metadata:</w:t>
        <w:br/>
        <w:t xml:space="preserve">  name: dl-backend-svc</w:t>
        <w:br/>
        <w:t xml:space="preserve">  namespace: dl-production-app</w:t>
        <w:br/>
        <w:t xml:space="preserve">  labels:</w:t>
        <w:br/>
        <w:t xml:space="preserve">    app: dl-backend</w:t>
        <w:br/>
        <w:t xml:space="preserve">    tier: api</w:t>
        <w:br/>
        <w:t xml:space="preserve">    app.kubernetes.io/name: dl-backend</w:t>
        <w:br/>
        <w:t xml:space="preserve">    app.kubernetes.io/part-of: dl-clinical-suite</w:t>
        <w:br/>
        <w:t xml:space="preserve">    task: "13"</w:t>
        <w:br/>
        <w:t>spec:</w:t>
        <w:br/>
        <w:t xml:space="preserve">  type: NodePort</w:t>
        <w:br/>
        <w:t xml:space="preserve">  selector:</w:t>
        <w:br/>
        <w:t xml:space="preserve">    app: dl-backend</w:t>
        <w:br/>
        <w:t xml:space="preserve">    tier: api</w:t>
        <w:br/>
        <w:t xml:space="preserve">  ports:</w:t>
        <w:br/>
        <w:t xml:space="preserve">  - name: http-api</w:t>
        <w:br/>
        <w:t xml:space="preserve">    port: 5000</w:t>
        <w:br/>
        <w:t xml:space="preserve">    targetPort: 5000</w:t>
        <w:br/>
        <w:t xml:space="preserve">    nodePort: 30500</w:t>
        <w:br/>
        <w:t xml:space="preserve">    protocol: TCP</w:t>
        <w:br/>
      </w:r>
    </w:p>
    <w:p>
      <w:r>
        <w:rPr>
          <w:b/>
          <w:color w:val="0D9488"/>
          <w:sz w:val="22"/>
        </w:rPr>
        <w:t>• 05-frontend-deployment.yaml — Streamlit UI Deployment (Rolling Update &amp; Probes)</w:t>
      </w:r>
    </w:p>
    <w:p>
      <w:pPr>
        <w:ind w:left="288"/>
      </w:pPr>
      <w:r>
        <w:rPr>
          <w:rFonts w:ascii="Consolas" w:hAnsi="Consolas"/>
          <w:color w:val="1E293B"/>
          <w:sz w:val="16"/>
        </w:rPr>
        <w:t>apiVersion: apps/v1</w:t>
        <w:br/>
        <w:t>kind: Deployment</w:t>
        <w:br/>
        <w:t>metadata:</w:t>
        <w:br/>
        <w:t xml:space="preserve">  name: dl-frontend-deployment</w:t>
        <w:br/>
        <w:t xml:space="preserve">  namespace: dl-production-app</w:t>
        <w:br/>
        <w:t xml:space="preserve">  labels:</w:t>
        <w:br/>
        <w:t xml:space="preserve">    app: dl-frontend</w:t>
        <w:br/>
        <w:t xml:space="preserve">    tier: ui</w:t>
        <w:br/>
        <w:t xml:space="preserve">    app.kubernetes.io/name: dl-frontend</w:t>
        <w:br/>
        <w:t xml:space="preserve">    app.kubernetes.io/part-of: dl-clinical-suite</w:t>
        <w:br/>
        <w:t xml:space="preserve">    task: "13"</w:t>
        <w:br/>
        <w:t>spec:</w:t>
        <w:br/>
        <w:t xml:space="preserve">  replicas: 2</w:t>
        <w:br/>
        <w:t xml:space="preserve">  strategy:</w:t>
        <w:br/>
        <w:t xml:space="preserve">    type: RollingUpdate</w:t>
        <w:br/>
        <w:t xml:space="preserve">    rollingUpdate:</w:t>
        <w:br/>
        <w:t xml:space="preserve">      maxSurge: 1</w:t>
        <w:br/>
        <w:t xml:space="preserve">      maxUnavailable: 0</w:t>
        <w:br/>
        <w:t xml:space="preserve">  selector:</w:t>
        <w:br/>
        <w:t xml:space="preserve">    matchLabels:</w:t>
        <w:br/>
        <w:t xml:space="preserve">      app: dl-frontend</w:t>
        <w:br/>
        <w:t xml:space="preserve">      tier: ui</w:t>
        <w:br/>
        <w:t xml:space="preserve">  template:</w:t>
        <w:br/>
        <w:t xml:space="preserve">    metadata:</w:t>
        <w:br/>
        <w:t xml:space="preserve">      labels:</w:t>
        <w:br/>
        <w:t xml:space="preserve">        app: dl-frontend</w:t>
        <w:br/>
        <w:t xml:space="preserve">        tier: ui</w:t>
        <w:br/>
        <w:t xml:space="preserve">    spec:</w:t>
        <w:br/>
        <w:t xml:space="preserve">      containers:</w:t>
        <w:br/>
        <w:t xml:space="preserve">      - name: dl-frontend-ui</w:t>
        <w:br/>
        <w:t xml:space="preserve">        image: adityabahira/dl-clinical-frontend:v1.0</w:t>
        <w:br/>
        <w:t xml:space="preserve">        imagePullPolicy: IfNotPresent</w:t>
        <w:br/>
        <w:t xml:space="preserve">        ports:</w:t>
        <w:br/>
        <w:t xml:space="preserve">        - containerPort: 8501</w:t>
        <w:br/>
        <w:t xml:space="preserve">          name: http-ui</w:t>
        <w:br/>
        <w:t xml:space="preserve">        env:</w:t>
        <w:br/>
        <w:t xml:space="preserve">        - name: BACKEND_URL</w:t>
        <w:br/>
        <w:t xml:space="preserve">          valueFrom:</w:t>
        <w:br/>
        <w:t xml:space="preserve">            configMapKeyRef:</w:t>
        <w:br/>
        <w:t xml:space="preserve">              name: dl-production-config</w:t>
        <w:br/>
        <w:t xml:space="preserve">              key: BACKEND_URL</w:t>
        <w:br/>
        <w:t xml:space="preserve">        resources:</w:t>
        <w:br/>
        <w:t xml:space="preserve">          requests:</w:t>
        <w:br/>
        <w:t xml:space="preserve">            cpu: "150m"</w:t>
        <w:br/>
        <w:t xml:space="preserve">            memory: "256Mi"</w:t>
        <w:br/>
        <w:t xml:space="preserve">          limits:</w:t>
        <w:br/>
        <w:t xml:space="preserve">            cpu: "500m"</w:t>
        <w:br/>
        <w:t xml:space="preserve">            memory: "768Mi"</w:t>
        <w:br/>
        <w:t xml:space="preserve">        livenessProbe:</w:t>
        <w:br/>
        <w:t xml:space="preserve">          httpGet:</w:t>
        <w:br/>
        <w:t xml:space="preserve">            path: /_stcore/health</w:t>
        <w:br/>
        <w:t xml:space="preserve">            port: 8501</w:t>
        <w:br/>
        <w:t xml:space="preserve">          initialDelaySeconds: 20</w:t>
        <w:br/>
        <w:t xml:space="preserve">          periodSeconds: 15</w:t>
        <w:br/>
        <w:t xml:space="preserve">          timeoutSeconds: 5</w:t>
        <w:br/>
        <w:t xml:space="preserve">          failureThreshold: 3</w:t>
        <w:br/>
        <w:t xml:space="preserve">        readinessProbe:</w:t>
        <w:br/>
        <w:t xml:space="preserve">          httpGet:</w:t>
        <w:br/>
        <w:t xml:space="preserve">            path: /_stcore/health</w:t>
        <w:br/>
        <w:t xml:space="preserve">            port: 8501</w:t>
        <w:br/>
        <w:t xml:space="preserve">          initialDelaySeconds: 10</w:t>
        <w:br/>
        <w:t xml:space="preserve">          periodSeconds: 10</w:t>
        <w:br/>
        <w:t xml:space="preserve">          timeoutSeconds: 3</w:t>
        <w:br/>
        <w:t xml:space="preserve">          failureThreshold: 2</w:t>
        <w:br/>
      </w:r>
    </w:p>
    <w:p>
      <w:r>
        <w:rPr>
          <w:b/>
          <w:color w:val="0D9488"/>
          <w:sz w:val="22"/>
        </w:rPr>
        <w:t>• 06-frontend-service.yaml — External Frontend NodePort Service (:31501)</w:t>
      </w:r>
    </w:p>
    <w:p>
      <w:pPr>
        <w:ind w:left="288"/>
      </w:pPr>
      <w:r>
        <w:rPr>
          <w:rFonts w:ascii="Consolas" w:hAnsi="Consolas"/>
          <w:color w:val="1E293B"/>
          <w:sz w:val="16"/>
        </w:rPr>
        <w:t>apiVersion: v1</w:t>
        <w:br/>
        <w:t>kind: Service</w:t>
        <w:br/>
        <w:t>metadata:</w:t>
        <w:br/>
        <w:t xml:space="preserve">  name: dl-frontend-svc</w:t>
        <w:br/>
        <w:t xml:space="preserve">  namespace: dl-production-app</w:t>
        <w:br/>
        <w:t xml:space="preserve">  labels:</w:t>
        <w:br/>
        <w:t xml:space="preserve">    app: dl-frontend</w:t>
        <w:br/>
        <w:t xml:space="preserve">    tier: ui</w:t>
        <w:br/>
        <w:t xml:space="preserve">    app.kubernetes.io/name: dl-frontend</w:t>
        <w:br/>
        <w:t xml:space="preserve">    app.kubernetes.io/part-of: dl-clinical-suite</w:t>
        <w:br/>
        <w:t xml:space="preserve">    task: "13"</w:t>
        <w:br/>
        <w:t>spec:</w:t>
        <w:br/>
        <w:t xml:space="preserve">  type: NodePort</w:t>
        <w:br/>
        <w:t xml:space="preserve">  selector:</w:t>
        <w:br/>
        <w:t xml:space="preserve">    app: dl-frontend</w:t>
        <w:br/>
        <w:t xml:space="preserve">    tier: ui</w:t>
        <w:br/>
        <w:t xml:space="preserve">  ports:</w:t>
        <w:br/>
        <w:t xml:space="preserve">  - name: http-ui</w:t>
        <w:br/>
        <w:t xml:space="preserve">    port: 8501</w:t>
        <w:br/>
        <w:t xml:space="preserve">    targetPort: 8501</w:t>
        <w:br/>
        <w:t xml:space="preserve">    nodePort: 31501</w:t>
        <w:br/>
        <w:t xml:space="preserve">    protocol: TCP</w:t>
        <w:br/>
      </w:r>
    </w:p>
    <w:p>
      <w:r>
        <w:rPr>
          <w:rFonts w:ascii="Calibri" w:hAnsi="Calibri"/>
          <w:b/>
          <w:color w:val="1E3A8A"/>
          <w:sz w:val="28"/>
        </w:rPr>
        <w:t>4. Automated Verification Matrix &amp; Operational Test Results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80" w:type="dxa"/>
              <w:bottom w:w="80" w:type="dxa"/>
              <w:left w:w="100" w:type="dxa"/>
              <w:right w:w="100" w:type="dxa"/>
            </w:tcMar>
          </w:tcPr>
          <w:p>
            <w:r>
              <w:rPr>
                <w:b/>
                <w:color w:val="FFFFFF"/>
              </w:rPr>
              <w:t>Test Suite / Verification Item</w:t>
            </w:r>
          </w:p>
        </w:tc>
        <w:tc>
          <w:tcPr>
            <w:tcW w:type="dxa" w:w="3360"/>
            <w:shd w:fill="1E3A8A"/>
            <w:tcMar>
              <w:top w:w="80" w:type="dxa"/>
              <w:bottom w:w="80" w:type="dxa"/>
              <w:left w:w="100" w:type="dxa"/>
              <w:right w:w="100" w:type="dxa"/>
            </w:tcMar>
          </w:tcPr>
          <w:p>
            <w:r>
              <w:rPr>
                <w:b/>
                <w:color w:val="FFFFFF"/>
              </w:rPr>
              <w:t>Status</w:t>
            </w:r>
          </w:p>
        </w:tc>
        <w:tc>
          <w:tcPr>
            <w:tcW w:type="dxa" w:w="3360"/>
            <w:shd w:fill="1E3A8A"/>
            <w:tcMar>
              <w:top w:w="80" w:type="dxa"/>
              <w:bottom w:w="80" w:type="dxa"/>
              <w:left w:w="100" w:type="dxa"/>
              <w:right w:w="100" w:type="dxa"/>
            </w:tcMar>
          </w:tcPr>
          <w:p>
            <w:r>
              <w:rPr>
                <w:b/>
                <w:color w:val="FFFFFF"/>
              </w:rPr>
              <w:t>Operational Validation Details</w:t>
            </w:r>
          </w:p>
        </w:tc>
      </w:tr>
      <w:tr>
        <w:tc>
          <w:tcPr>
            <w:tcW w:type="dxa" w:w="3168"/>
            <w:shd w:fill="FFFFFF"/>
            <w:tcMar>
              <w:top w:w="50" w:type="dxa"/>
              <w:bottom w:w="50" w:type="dxa"/>
              <w:left w:w="80" w:type="dxa"/>
              <w:right w:w="80" w:type="dxa"/>
            </w:tcMar>
          </w:tcPr>
          <w:p>
            <w:r>
              <w:rPr>
                <w:b/>
                <w:sz w:val="18"/>
              </w:rPr>
              <w:t>Cluster &amp; Node Readiness</w:t>
            </w:r>
          </w:p>
        </w:tc>
        <w:tc>
          <w:tcPr>
            <w:tcW w:type="dxa" w:w="1584"/>
            <w:shd w:fill="FFFFFF"/>
            <w:tcMar>
              <w:top w:w="50" w:type="dxa"/>
              <w:bottom w:w="50" w:type="dxa"/>
              <w:left w:w="80" w:type="dxa"/>
              <w:right w:w="80" w:type="dxa"/>
            </w:tcMar>
          </w:tcPr>
          <w:p>
            <w:r>
              <w:rPr>
                <w:b/>
                <w:color w:val="10B981"/>
                <w:sz w:val="18"/>
              </w:rPr>
              <w:t>✔ PASSED</w:t>
            </w:r>
          </w:p>
        </w:tc>
        <w:tc>
          <w:tcPr>
            <w:tcW w:type="dxa" w:w="5328"/>
            <w:shd w:fill="FFFFFF"/>
            <w:tcMar>
              <w:top w:w="50" w:type="dxa"/>
              <w:bottom w:w="50" w:type="dxa"/>
              <w:left w:w="80" w:type="dxa"/>
              <w:right w:w="80" w:type="dxa"/>
            </w:tcMar>
          </w:tcPr>
          <w:p>
            <w:r>
              <w:rPr>
                <w:sz w:val="17"/>
              </w:rPr>
              <w:t>Node 'minikube' is Ready in Minikube control plane.</w:t>
            </w:r>
          </w:p>
        </w:tc>
      </w:tr>
      <w:tr>
        <w:tc>
          <w:tcPr>
            <w:tcW w:type="dxa" w:w="3168"/>
            <w:shd w:fill="F8FAFC"/>
            <w:tcMar>
              <w:top w:w="50" w:type="dxa"/>
              <w:bottom w:w="50" w:type="dxa"/>
              <w:left w:w="80" w:type="dxa"/>
              <w:right w:w="80" w:type="dxa"/>
            </w:tcMar>
          </w:tcPr>
          <w:p>
            <w:r>
              <w:rPr>
                <w:b/>
                <w:sz w:val="18"/>
              </w:rPr>
              <w:t>Production ConfigMap &amp; Decoupling</w:t>
            </w:r>
          </w:p>
        </w:tc>
        <w:tc>
          <w:tcPr>
            <w:tcW w:type="dxa" w:w="1584"/>
            <w:shd w:fill="F8FAFC"/>
            <w:tcMar>
              <w:top w:w="50" w:type="dxa"/>
              <w:bottom w:w="50" w:type="dxa"/>
              <w:left w:w="80" w:type="dxa"/>
              <w:right w:w="80" w:type="dxa"/>
            </w:tcMar>
          </w:tcPr>
          <w:p>
            <w:r>
              <w:rPr>
                <w:b/>
                <w:color w:val="10B981"/>
                <w:sz w:val="18"/>
              </w:rPr>
              <w:t>✔ PASSED</w:t>
            </w:r>
          </w:p>
        </w:tc>
        <w:tc>
          <w:tcPr>
            <w:tcW w:type="dxa" w:w="5328"/>
            <w:shd w:fill="F8FAFC"/>
            <w:tcMar>
              <w:top w:w="50" w:type="dxa"/>
              <w:bottom w:w="50" w:type="dxa"/>
              <w:left w:w="80" w:type="dxa"/>
              <w:right w:w="80" w:type="dxa"/>
            </w:tcMar>
          </w:tcPr>
          <w:p>
            <w:r>
              <w:rPr>
                <w:sz w:val="17"/>
              </w:rPr>
              <w:t>ConfigMap contains 8 keys including BACKEND_URL and MODEL_NAME.</w:t>
            </w:r>
          </w:p>
        </w:tc>
      </w:tr>
      <w:tr>
        <w:tc>
          <w:tcPr>
            <w:tcW w:type="dxa" w:w="3168"/>
            <w:shd w:fill="FFFFFF"/>
            <w:tcMar>
              <w:top w:w="50" w:type="dxa"/>
              <w:bottom w:w="50" w:type="dxa"/>
              <w:left w:w="80" w:type="dxa"/>
              <w:right w:w="80" w:type="dxa"/>
            </w:tcMar>
          </w:tcPr>
          <w:p>
            <w:r>
              <w:rPr>
                <w:b/>
                <w:sz w:val="18"/>
              </w:rPr>
              <w:t>PyTorch Backend Rollout &amp; Probes</w:t>
            </w:r>
          </w:p>
        </w:tc>
        <w:tc>
          <w:tcPr>
            <w:tcW w:type="dxa" w:w="1584"/>
            <w:shd w:fill="FFFFFF"/>
            <w:tcMar>
              <w:top w:w="50" w:type="dxa"/>
              <w:bottom w:w="50" w:type="dxa"/>
              <w:left w:w="80" w:type="dxa"/>
              <w:right w:w="80" w:type="dxa"/>
            </w:tcMar>
          </w:tcPr>
          <w:p>
            <w:r>
              <w:rPr>
                <w:b/>
                <w:color w:val="10B981"/>
                <w:sz w:val="18"/>
              </w:rPr>
              <w:t>✔ PASSED</w:t>
            </w:r>
          </w:p>
        </w:tc>
        <w:tc>
          <w:tcPr>
            <w:tcW w:type="dxa" w:w="5328"/>
            <w:shd w:fill="FFFFFF"/>
            <w:tcMar>
              <w:top w:w="50" w:type="dxa"/>
              <w:bottom w:w="50" w:type="dxa"/>
              <w:left w:w="80" w:type="dxa"/>
              <w:right w:w="80" w:type="dxa"/>
            </w:tcMar>
          </w:tcPr>
          <w:p>
            <w:r>
              <w:rPr>
                <w:sz w:val="17"/>
              </w:rPr>
              <w:t>Backend deployment healthy: 3 replicas ready with liveness/readiness probes.</w:t>
            </w:r>
          </w:p>
        </w:tc>
      </w:tr>
      <w:tr>
        <w:tc>
          <w:tcPr>
            <w:tcW w:type="dxa" w:w="3168"/>
            <w:shd w:fill="F8FAFC"/>
            <w:tcMar>
              <w:top w:w="50" w:type="dxa"/>
              <w:bottom w:w="50" w:type="dxa"/>
              <w:left w:w="80" w:type="dxa"/>
              <w:right w:w="80" w:type="dxa"/>
            </w:tcMar>
          </w:tcPr>
          <w:p>
            <w:r>
              <w:rPr>
                <w:b/>
                <w:sz w:val="18"/>
              </w:rPr>
              <w:t>Streamlit Frontend Deployment Rollout</w:t>
            </w:r>
          </w:p>
        </w:tc>
        <w:tc>
          <w:tcPr>
            <w:tcW w:type="dxa" w:w="1584"/>
            <w:shd w:fill="F8FAFC"/>
            <w:tcMar>
              <w:top w:w="50" w:type="dxa"/>
              <w:bottom w:w="50" w:type="dxa"/>
              <w:left w:w="80" w:type="dxa"/>
              <w:right w:w="80" w:type="dxa"/>
            </w:tcMar>
          </w:tcPr>
          <w:p>
            <w:r>
              <w:rPr>
                <w:b/>
                <w:color w:val="10B981"/>
                <w:sz w:val="18"/>
              </w:rPr>
              <w:t>✔ PASSED</w:t>
            </w:r>
          </w:p>
        </w:tc>
        <w:tc>
          <w:tcPr>
            <w:tcW w:type="dxa" w:w="5328"/>
            <w:shd w:fill="F8FAFC"/>
            <w:tcMar>
              <w:top w:w="50" w:type="dxa"/>
              <w:bottom w:w="50" w:type="dxa"/>
              <w:left w:w="80" w:type="dxa"/>
              <w:right w:w="80" w:type="dxa"/>
            </w:tcMar>
          </w:tcPr>
          <w:p>
            <w:r>
              <w:rPr>
                <w:sz w:val="17"/>
              </w:rPr>
              <w:t>Frontend deployment healthy: 2 replicas active and serving UI.</w:t>
            </w:r>
          </w:p>
        </w:tc>
      </w:tr>
      <w:tr>
        <w:tc>
          <w:tcPr>
            <w:tcW w:type="dxa" w:w="3168"/>
            <w:shd w:fill="FFFFFF"/>
            <w:tcMar>
              <w:top w:w="50" w:type="dxa"/>
              <w:bottom w:w="50" w:type="dxa"/>
              <w:left w:w="80" w:type="dxa"/>
              <w:right w:w="80" w:type="dxa"/>
            </w:tcMar>
          </w:tcPr>
          <w:p>
            <w:r>
              <w:rPr>
                <w:b/>
                <w:sz w:val="18"/>
              </w:rPr>
              <w:t>Kubernetes Service Configurations</w:t>
            </w:r>
          </w:p>
        </w:tc>
        <w:tc>
          <w:tcPr>
            <w:tcW w:type="dxa" w:w="1584"/>
            <w:shd w:fill="FFFFFF"/>
            <w:tcMar>
              <w:top w:w="50" w:type="dxa"/>
              <w:bottom w:w="50" w:type="dxa"/>
              <w:left w:w="80" w:type="dxa"/>
              <w:right w:w="80" w:type="dxa"/>
            </w:tcMar>
          </w:tcPr>
          <w:p>
            <w:r>
              <w:rPr>
                <w:b/>
                <w:color w:val="10B981"/>
                <w:sz w:val="18"/>
              </w:rPr>
              <w:t>✔ PASSED</w:t>
            </w:r>
          </w:p>
        </w:tc>
        <w:tc>
          <w:tcPr>
            <w:tcW w:type="dxa" w:w="5328"/>
            <w:shd w:fill="FFFFFF"/>
            <w:tcMar>
              <w:top w:w="50" w:type="dxa"/>
              <w:bottom w:w="50" w:type="dxa"/>
              <w:left w:w="80" w:type="dxa"/>
              <w:right w:w="80" w:type="dxa"/>
            </w:tcMar>
          </w:tcPr>
          <w:p>
            <w:r>
              <w:rPr>
                <w:sz w:val="17"/>
              </w:rPr>
              <w:t>Services configured with NodePort (Backend :30500, Frontend :31501) for external exposure.</w:t>
            </w:r>
          </w:p>
        </w:tc>
      </w:tr>
      <w:tr>
        <w:tc>
          <w:tcPr>
            <w:tcW w:type="dxa" w:w="3168"/>
            <w:shd w:fill="F8FAFC"/>
            <w:tcMar>
              <w:top w:w="50" w:type="dxa"/>
              <w:bottom w:w="50" w:type="dxa"/>
              <w:left w:w="80" w:type="dxa"/>
              <w:right w:w="80" w:type="dxa"/>
            </w:tcMar>
          </w:tcPr>
          <w:p>
            <w:r>
              <w:rPr>
                <w:b/>
                <w:sz w:val="18"/>
              </w:rPr>
              <w:t>External Backend Health Endpoint</w:t>
            </w:r>
          </w:p>
        </w:tc>
        <w:tc>
          <w:tcPr>
            <w:tcW w:type="dxa" w:w="1584"/>
            <w:shd w:fill="F8FAFC"/>
            <w:tcMar>
              <w:top w:w="50" w:type="dxa"/>
              <w:bottom w:w="50" w:type="dxa"/>
              <w:left w:w="80" w:type="dxa"/>
              <w:right w:w="80" w:type="dxa"/>
            </w:tcMar>
          </w:tcPr>
          <w:p>
            <w:r>
              <w:rPr>
                <w:b/>
                <w:color w:val="10B981"/>
                <w:sz w:val="18"/>
              </w:rPr>
              <w:t>✔ PASSED</w:t>
            </w:r>
          </w:p>
        </w:tc>
        <w:tc>
          <w:tcPr>
            <w:tcW w:type="dxa" w:w="5328"/>
            <w:shd w:fill="F8FAFC"/>
            <w:tcMar>
              <w:top w:w="50" w:type="dxa"/>
              <w:bottom w:w="50" w:type="dxa"/>
              <w:left w:w="80" w:type="dxa"/>
              <w:right w:w="80" w:type="dxa"/>
            </w:tcMar>
          </w:tcPr>
          <w:p>
            <w:r>
              <w:rPr>
                <w:sz w:val="17"/>
              </w:rPr>
              <w:t>HTTP 200 OK: Model DeepHealthRiskNet loaded on cpu.</w:t>
            </w:r>
          </w:p>
        </w:tc>
      </w:tr>
      <w:tr>
        <w:tc>
          <w:tcPr>
            <w:tcW w:type="dxa" w:w="3168"/>
            <w:shd w:fill="FFFFFF"/>
            <w:tcMar>
              <w:top w:w="50" w:type="dxa"/>
              <w:bottom w:w="50" w:type="dxa"/>
              <w:left w:w="80" w:type="dxa"/>
              <w:right w:w="80" w:type="dxa"/>
            </w:tcMar>
          </w:tcPr>
          <w:p>
            <w:r>
              <w:rPr>
                <w:b/>
                <w:sz w:val="18"/>
              </w:rPr>
              <w:t>External Streamlit UI Accessibility</w:t>
            </w:r>
          </w:p>
        </w:tc>
        <w:tc>
          <w:tcPr>
            <w:tcW w:type="dxa" w:w="1584"/>
            <w:shd w:fill="FFFFFF"/>
            <w:tcMar>
              <w:top w:w="50" w:type="dxa"/>
              <w:bottom w:w="50" w:type="dxa"/>
              <w:left w:w="80" w:type="dxa"/>
              <w:right w:w="80" w:type="dxa"/>
            </w:tcMar>
          </w:tcPr>
          <w:p>
            <w:r>
              <w:rPr>
                <w:b/>
                <w:color w:val="10B981"/>
                <w:sz w:val="18"/>
              </w:rPr>
              <w:t>✔ PASSED</w:t>
            </w:r>
          </w:p>
        </w:tc>
        <w:tc>
          <w:tcPr>
            <w:tcW w:type="dxa" w:w="5328"/>
            <w:shd w:fill="FFFFFF"/>
            <w:tcMar>
              <w:top w:w="50" w:type="dxa"/>
              <w:bottom w:w="50" w:type="dxa"/>
              <w:left w:w="80" w:type="dxa"/>
              <w:right w:w="80" w:type="dxa"/>
            </w:tcMar>
          </w:tcPr>
          <w:p>
            <w:r>
              <w:rPr>
                <w:sz w:val="17"/>
              </w:rPr>
              <w:t>Frontend responded HTTP 200 OK on exposed NodePort port 31501.</w:t>
            </w:r>
          </w:p>
        </w:tc>
      </w:tr>
      <w:tr>
        <w:tc>
          <w:tcPr>
            <w:tcW w:type="dxa" w:w="3168"/>
            <w:shd w:fill="F8FAFC"/>
            <w:tcMar>
              <w:top w:w="50" w:type="dxa"/>
              <w:bottom w:w="50" w:type="dxa"/>
              <w:left w:w="80" w:type="dxa"/>
              <w:right w:w="80" w:type="dxa"/>
            </w:tcMar>
          </w:tcPr>
          <w:p>
            <w:r>
              <w:rPr>
                <w:b/>
                <w:sz w:val="18"/>
              </w:rPr>
              <w:t>External Deep Learning Model Inference (/predict)</w:t>
            </w:r>
          </w:p>
        </w:tc>
        <w:tc>
          <w:tcPr>
            <w:tcW w:type="dxa" w:w="1584"/>
            <w:shd w:fill="F8FAFC"/>
            <w:tcMar>
              <w:top w:w="50" w:type="dxa"/>
              <w:bottom w:w="50" w:type="dxa"/>
              <w:left w:w="80" w:type="dxa"/>
              <w:right w:w="80" w:type="dxa"/>
            </w:tcMar>
          </w:tcPr>
          <w:p>
            <w:r>
              <w:rPr>
                <w:b/>
                <w:color w:val="10B981"/>
                <w:sz w:val="18"/>
              </w:rPr>
              <w:t>✔ PASSED</w:t>
            </w:r>
          </w:p>
        </w:tc>
        <w:tc>
          <w:tcPr>
            <w:tcW w:type="dxa" w:w="5328"/>
            <w:shd w:fill="F8FAFC"/>
            <w:tcMar>
              <w:top w:w="50" w:type="dxa"/>
              <w:bottom w:w="50" w:type="dxa"/>
              <w:left w:w="80" w:type="dxa"/>
              <w:right w:w="80" w:type="dxa"/>
            </w:tcMar>
          </w:tcPr>
          <w:p>
            <w:r>
              <w:rPr>
                <w:sz w:val="17"/>
              </w:rPr>
              <w:t>Successfully performed live neural inference: Predicted 'Critical Risk' in 0.67ms.</w:t>
            </w:r>
          </w:p>
        </w:tc>
      </w:tr>
      <w:tr>
        <w:tc>
          <w:tcPr>
            <w:tcW w:type="dxa" w:w="3168"/>
            <w:shd w:fill="FFFFFF"/>
            <w:tcMar>
              <w:top w:w="50" w:type="dxa"/>
              <w:bottom w:w="50" w:type="dxa"/>
              <w:left w:w="80" w:type="dxa"/>
              <w:right w:w="80" w:type="dxa"/>
            </w:tcMar>
          </w:tcPr>
          <w:p>
            <w:r>
              <w:rPr>
                <w:b/>
                <w:sz w:val="18"/>
              </w:rPr>
              <w:t>Horizontal Pod Scaling &amp; Dynamic Rebalancing</w:t>
            </w:r>
          </w:p>
        </w:tc>
        <w:tc>
          <w:tcPr>
            <w:tcW w:type="dxa" w:w="1584"/>
            <w:shd w:fill="FFFFFF"/>
            <w:tcMar>
              <w:top w:w="50" w:type="dxa"/>
              <w:bottom w:w="50" w:type="dxa"/>
              <w:left w:w="80" w:type="dxa"/>
              <w:right w:w="80" w:type="dxa"/>
            </w:tcMar>
          </w:tcPr>
          <w:p>
            <w:r>
              <w:rPr>
                <w:b/>
                <w:color w:val="10B981"/>
                <w:sz w:val="18"/>
              </w:rPr>
              <w:t>✔ PASSED</w:t>
            </w:r>
          </w:p>
        </w:tc>
        <w:tc>
          <w:tcPr>
            <w:tcW w:type="dxa" w:w="5328"/>
            <w:shd w:fill="FFFFFF"/>
            <w:tcMar>
              <w:top w:w="50" w:type="dxa"/>
              <w:bottom w:w="50" w:type="dxa"/>
              <w:left w:w="80" w:type="dxa"/>
              <w:right w:w="80" w:type="dxa"/>
            </w:tcMar>
          </w:tcPr>
          <w:p>
            <w:r>
              <w:rPr>
                <w:sz w:val="17"/>
              </w:rPr>
              <w:t>Successfully scaled backend deployment to 3 replicas dynamically.</w:t>
            </w:r>
          </w:p>
        </w:tc>
      </w:tr>
      <w:tr>
        <w:tc>
          <w:tcPr>
            <w:tcW w:type="dxa" w:w="3168"/>
            <w:shd w:fill="F8FAFC"/>
            <w:tcMar>
              <w:top w:w="50" w:type="dxa"/>
              <w:bottom w:w="50" w:type="dxa"/>
              <w:left w:w="80" w:type="dxa"/>
              <w:right w:w="80" w:type="dxa"/>
            </w:tcMar>
          </w:tcPr>
          <w:p>
            <w:r>
              <w:rPr>
                <w:b/>
                <w:sz w:val="18"/>
              </w:rPr>
              <w:t>Kubernetes Self-Healing &amp; Pod Recovery</w:t>
            </w:r>
          </w:p>
        </w:tc>
        <w:tc>
          <w:tcPr>
            <w:tcW w:type="dxa" w:w="1584"/>
            <w:shd w:fill="F8FAFC"/>
            <w:tcMar>
              <w:top w:w="50" w:type="dxa"/>
              <w:bottom w:w="50" w:type="dxa"/>
              <w:left w:w="80" w:type="dxa"/>
              <w:right w:w="80" w:type="dxa"/>
            </w:tcMar>
          </w:tcPr>
          <w:p>
            <w:r>
              <w:rPr>
                <w:b/>
                <w:color w:val="10B981"/>
                <w:sz w:val="18"/>
              </w:rPr>
              <w:t>✔ PASSED</w:t>
            </w:r>
          </w:p>
        </w:tc>
        <w:tc>
          <w:tcPr>
            <w:tcW w:type="dxa" w:w="5328"/>
            <w:shd w:fill="F8FAFC"/>
            <w:tcMar>
              <w:top w:w="50" w:type="dxa"/>
              <w:bottom w:w="50" w:type="dxa"/>
              <w:left w:w="80" w:type="dxa"/>
              <w:right w:w="80" w:type="dxa"/>
            </w:tcMar>
          </w:tcPr>
          <w:p>
            <w:r>
              <w:rPr>
                <w:sz w:val="17"/>
              </w:rPr>
              <w:t>ReplicaSet detected pod termination and automatically provisioned a replacement pod to maintain desired state.</w:t>
            </w:r>
          </w:p>
        </w:tc>
      </w:tr>
    </w:tbl>
    <w:p>
      <w:pPr>
        <w:spacing w:after="200"/>
      </w:pPr>
    </w:p>
    <w:p>
      <w:r>
        <w:rPr>
          <w:rFonts w:ascii="Calibri" w:hAnsi="Calibri"/>
          <w:b/>
          <w:color w:val="1E3A8A"/>
          <w:sz w:val="28"/>
        </w:rPr>
        <w:t>5. Visual Proof &amp; Deployment Screenshots</w:t>
      </w:r>
    </w:p>
    <w:p>
      <w:pPr>
        <w:spacing w:after="80"/>
      </w:pPr>
    </w:p>
    <w:p>
      <w:pPr>
        <w:spacing w:before="80" w:after="40"/>
        <w:jc w:val="center"/>
      </w:pP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creenshot_01_cluster_and_nodes.png"/>
                    <pic:cNvPicPr/>
                  </pic:nvPicPr>
                  <pic:blipFill>
                    <a:blip r:embed="rId9"/>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1: Minikube Cluster Initialization &amp; Control Plane Status on Windows</w:t>
      </w:r>
    </w:p>
    <w:p>
      <w:pPr>
        <w:spacing w:after="80"/>
      </w:pPr>
    </w:p>
    <w:p>
      <w:pPr>
        <w:spacing w:before="80" w:after="40"/>
        <w:jc w:val="center"/>
      </w:pP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creenshot_02_manifest_application.png"/>
                    <pic:cNvPicPr/>
                  </pic:nvPicPr>
                  <pic:blipFill>
                    <a:blip r:embed="rId10"/>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2: Declarative Manifest Application &amp; Rolling Update Verification</w:t>
      </w:r>
    </w:p>
    <w:p>
      <w:pPr>
        <w:spacing w:after="80"/>
      </w:pPr>
    </w:p>
    <w:p>
      <w:pPr>
        <w:spacing w:before="80" w:after="40"/>
        <w:jc w:val="center"/>
      </w:pP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creenshot_03_kubernetes_workloads_all.png"/>
                    <pic:cNvPicPr/>
                  </pic:nvPicPr>
                  <pic:blipFill>
                    <a:blip r:embed="rId11"/>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3: Complete Kubernetes Workloads (Pods, Services, ReplicaSets, Endpoints)</w:t>
      </w:r>
    </w:p>
    <w:p>
      <w:pPr>
        <w:spacing w:after="80"/>
      </w:pPr>
    </w:p>
    <w:p>
      <w:pPr>
        <w:spacing w:before="80" w:after="40"/>
        <w:jc w:val="center"/>
      </w:pP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creenshot_04_external_service_exposure.png"/>
                    <pic:cNvPicPr/>
                  </pic:nvPicPr>
                  <pic:blipFill>
                    <a:blip r:embed="rId12"/>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4: External Service Port Mapping &amp; HTTP Health Probe Validation</w:t>
      </w:r>
    </w:p>
    <w:p>
      <w:pPr>
        <w:spacing w:after="80"/>
      </w:pPr>
    </w:p>
    <w:p>
      <w:pPr>
        <w:spacing w:before="80" w:after="40"/>
        <w:jc w:val="center"/>
      </w:pP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screenshot_05_external_inference_api.png"/>
                    <pic:cNvPicPr/>
                  </pic:nvPicPr>
                  <pic:blipFill>
                    <a:blip r:embed="rId13"/>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5: Live PyTorch Model Inference via External REST Endpoint (/predict)</w:t>
      </w:r>
    </w:p>
    <w:p>
      <w:pPr>
        <w:spacing w:after="80"/>
      </w:pPr>
    </w:p>
    <w:p>
      <w:pPr>
        <w:spacing w:before="80" w:after="40"/>
        <w:jc w:val="center"/>
      </w:pP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screenshot_06_frontend_dashboard_ui.png"/>
                    <pic:cNvPicPr/>
                  </pic:nvPicPr>
                  <pic:blipFill>
                    <a:blip r:embed="rId14"/>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6: Clinician Streamlit Web Dashboard Running Live via NodePort (Port 31501)</w:t>
      </w:r>
    </w:p>
    <w:p>
      <w:pPr>
        <w:spacing w:after="80"/>
      </w:pPr>
    </w:p>
    <w:p>
      <w:pPr>
        <w:spacing w:before="80" w:after="40"/>
        <w:jc w:val="center"/>
      </w:pP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screenshot_07_pod_scaling_and_healing.png"/>
                    <pic:cNvPicPr/>
                  </pic:nvPicPr>
                  <pic:blipFill>
                    <a:blip r:embed="rId15"/>
                    <a:stretch>
                      <a:fillRect/>
                    </a:stretch>
                  </pic:blipFill>
                  <pic:spPr>
                    <a:xfrm>
                      <a:off x="0" y="0"/>
                      <a:ext cx="5852160" cy="3291840"/>
                    </a:xfrm>
                    <a:prstGeom prst="rect"/>
                  </pic:spPr>
                </pic:pic>
              </a:graphicData>
            </a:graphic>
          </wp:inline>
        </w:drawing>
      </w:r>
    </w:p>
    <w:p>
      <w:pPr>
        <w:spacing w:after="240"/>
        <w:jc w:val="center"/>
      </w:pPr>
      <w:r>
        <w:rPr>
          <w:rFonts w:ascii="Calibri" w:hAnsi="Calibri"/>
          <w:i/>
          <w:color w:val="64748B"/>
          <w:sz w:val="18"/>
        </w:rPr>
        <w:t>Figure 7: Dynamic Horizontal Pod Scaling &amp; Automated Self-Healing Simulation</w:t>
      </w:r>
    </w:p>
    <w:p>
      <w:r>
        <w:rPr>
          <w:rFonts w:ascii="Calibri" w:hAnsi="Calibri"/>
          <w:b/>
          <w:color w:val="1E3A8A"/>
          <w:sz w:val="28"/>
        </w:rPr>
        <w:t>6. Technical Observations &amp; Production Best Practices</w:t>
      </w:r>
    </w:p>
    <w:p>
      <w:r>
        <w:t>1. Resource Allocation for Deep Learning Workloads:</w:t>
        <w:br/>
        <w:t>Deep learning model inference involves transient CPU/RAM spikes during tensor matrix computations. By explicitly defining requests (250m CPU, 512Mi RAM) and limits (1000m CPU, 1536Mi RAM), Kubernetes scheduler prevents node memory starvation while safeguarding against unexpected Out-Of-Memory (OOMKilled) container evictions.</w:t>
        <w:br/>
        <w:br/>
        <w:t>2. Health Probe Design for Neural Network Serving:</w:t>
        <w:br/>
        <w:t>Deep learning models require cold-start warm-up times to load neural weights and instantiate PyTorch computational graphs. Setting initialDelaySeconds to 10s on readinessProbe and 20s on livenessProbe prevents premature kill signals and ensures the service never routes clinical requests to unready pods.</w:t>
        <w:br/>
        <w:br/>
        <w:t>3. Decoupled Architecture &amp; Service Discovery:</w:t>
        <w:br/>
        <w:t>Utilizing Kubernetes ConfigMap and CoreDNS allows seamless horizontal scaling and zero-downtime rolling updates. The frontend consumes the backend service through stable internal DNS (http://dl-backend-svc:5000), eliminating hardcoded IP addresses.</w:t>
      </w:r>
    </w:p>
    <w:p>
      <w:r>
        <w:rPr>
          <w:rFonts w:ascii="Calibri" w:hAnsi="Calibri"/>
          <w:b/>
          <w:color w:val="1E3A8A"/>
          <w:sz w:val="28"/>
        </w:rPr>
        <w:t>7. Evaluation Criteria &amp; Deliverables Compliance</w:t>
      </w:r>
    </w:p>
    <w:tbl>
      <w:tblPr>
        <w:tblW w:type="auto" w:w="0"/>
        <w:jc w:val="center"/>
        <w:tblLook w:firstColumn="1" w:firstRow="1" w:lastColumn="0" w:lastRow="0" w:noHBand="0" w:noVBand="1" w:val="04A0"/>
      </w:tblPr>
      <w:tblGrid>
        <w:gridCol w:w="3360"/>
        <w:gridCol w:w="3360"/>
        <w:gridCol w:w="3360"/>
      </w:tblGrid>
      <w:tr>
        <w:tc>
          <w:tcPr>
            <w:tcW w:type="dxa" w:w="3360"/>
            <w:shd w:fill="0D9488"/>
            <w:tcMar>
              <w:top w:w="80" w:type="dxa"/>
              <w:bottom w:w="80" w:type="dxa"/>
              <w:left w:w="100" w:type="dxa"/>
              <w:right w:w="100" w:type="dxa"/>
            </w:tcMar>
          </w:tcPr>
          <w:p>
            <w:r>
              <w:rPr>
                <w:b/>
                <w:color w:val="FFFFFF"/>
              </w:rPr>
              <w:t>Evaluation Criterion</w:t>
            </w:r>
          </w:p>
        </w:tc>
        <w:tc>
          <w:tcPr>
            <w:tcW w:type="dxa" w:w="3360"/>
            <w:shd w:fill="0D9488"/>
            <w:tcMar>
              <w:top w:w="80" w:type="dxa"/>
              <w:bottom w:w="80" w:type="dxa"/>
              <w:left w:w="100" w:type="dxa"/>
              <w:right w:w="100" w:type="dxa"/>
            </w:tcMar>
          </w:tcPr>
          <w:p>
            <w:r>
              <w:rPr>
                <w:b/>
                <w:color w:val="FFFFFF"/>
              </w:rPr>
              <w:t>Status</w:t>
            </w:r>
          </w:p>
        </w:tc>
        <w:tc>
          <w:tcPr>
            <w:tcW w:type="dxa" w:w="3360"/>
            <w:shd w:fill="0D9488"/>
            <w:tcMar>
              <w:top w:w="80" w:type="dxa"/>
              <w:bottom w:w="80" w:type="dxa"/>
              <w:left w:w="100" w:type="dxa"/>
              <w:right w:w="100" w:type="dxa"/>
            </w:tcMar>
          </w:tcPr>
          <w:p>
            <w:r>
              <w:rPr>
                <w:b/>
                <w:color w:val="FFFFFF"/>
              </w:rPr>
              <w:t>Compliance Summary</w:t>
            </w:r>
          </w:p>
        </w:tc>
      </w:tr>
      <w:tr>
        <w:tc>
          <w:tcPr>
            <w:tcW w:type="dxa" w:w="3168"/>
            <w:shd w:fill="FFFFFF"/>
            <w:tcMar>
              <w:top w:w="50" w:type="dxa"/>
              <w:bottom w:w="50" w:type="dxa"/>
              <w:left w:w="80" w:type="dxa"/>
              <w:right w:w="80" w:type="dxa"/>
            </w:tcMar>
          </w:tcPr>
          <w:p>
            <w:r>
              <w:rPr>
                <w:b/>
                <w:sz w:val="19"/>
              </w:rPr>
              <w:t>Successful Deployment</w:t>
            </w:r>
          </w:p>
        </w:tc>
        <w:tc>
          <w:tcPr>
            <w:tcW w:type="dxa" w:w="1872"/>
            <w:shd w:fill="FFFFFF"/>
            <w:tcMar>
              <w:top w:w="50" w:type="dxa"/>
              <w:bottom w:w="50" w:type="dxa"/>
              <w:left w:w="80" w:type="dxa"/>
              <w:right w:w="80" w:type="dxa"/>
            </w:tcMar>
          </w:tcPr>
          <w:p>
            <w:r>
              <w:rPr>
                <w:b/>
                <w:color w:val="10B981"/>
                <w:sz w:val="19"/>
              </w:rPr>
              <w:t>✔ PASSED (100%)</w:t>
            </w:r>
          </w:p>
        </w:tc>
        <w:tc>
          <w:tcPr>
            <w:tcW w:type="dxa" w:w="5040"/>
            <w:shd w:fill="FFFFFF"/>
            <w:tcMar>
              <w:top w:w="50" w:type="dxa"/>
              <w:bottom w:w="50" w:type="dxa"/>
              <w:left w:w="80" w:type="dxa"/>
              <w:right w:w="80" w:type="dxa"/>
            </w:tcMar>
          </w:tcPr>
          <w:p>
            <w:r>
              <w:rPr>
                <w:sz w:val="18"/>
              </w:rPr>
              <w:t>All pods, deployments, and services deployed cleanly with 100% rollout success.</w:t>
            </w:r>
          </w:p>
        </w:tc>
      </w:tr>
      <w:tr>
        <w:tc>
          <w:tcPr>
            <w:tcW w:type="dxa" w:w="3168"/>
            <w:shd w:fill="F8FAFC"/>
            <w:tcMar>
              <w:top w:w="50" w:type="dxa"/>
              <w:bottom w:w="50" w:type="dxa"/>
              <w:left w:w="80" w:type="dxa"/>
              <w:right w:w="80" w:type="dxa"/>
            </w:tcMar>
          </w:tcPr>
          <w:p>
            <w:r>
              <w:rPr>
                <w:b/>
                <w:sz w:val="19"/>
              </w:rPr>
              <w:t>Service Accessibility</w:t>
            </w:r>
          </w:p>
        </w:tc>
        <w:tc>
          <w:tcPr>
            <w:tcW w:type="dxa" w:w="1872"/>
            <w:shd w:fill="F8FAFC"/>
            <w:tcMar>
              <w:top w:w="50" w:type="dxa"/>
              <w:bottom w:w="50" w:type="dxa"/>
              <w:left w:w="80" w:type="dxa"/>
              <w:right w:w="80" w:type="dxa"/>
            </w:tcMar>
          </w:tcPr>
          <w:p>
            <w:r>
              <w:rPr>
                <w:b/>
                <w:color w:val="10B981"/>
                <w:sz w:val="19"/>
              </w:rPr>
              <w:t>✔ PASSED (100%)</w:t>
            </w:r>
          </w:p>
        </w:tc>
        <w:tc>
          <w:tcPr>
            <w:tcW w:type="dxa" w:w="5040"/>
            <w:shd w:fill="F8FAFC"/>
            <w:tcMar>
              <w:top w:w="50" w:type="dxa"/>
              <w:bottom w:w="50" w:type="dxa"/>
              <w:left w:w="80" w:type="dxa"/>
              <w:right w:w="80" w:type="dxa"/>
            </w:tcMar>
          </w:tcPr>
          <w:p>
            <w:r>
              <w:rPr>
                <w:sz w:val="18"/>
              </w:rPr>
              <w:t>Both NodePort services (:30500 and :31501) fully accessible externally and verified.</w:t>
            </w:r>
          </w:p>
        </w:tc>
      </w:tr>
      <w:tr>
        <w:tc>
          <w:tcPr>
            <w:tcW w:type="dxa" w:w="3168"/>
            <w:shd w:fill="FFFFFF"/>
            <w:tcMar>
              <w:top w:w="50" w:type="dxa"/>
              <w:bottom w:w="50" w:type="dxa"/>
              <w:left w:w="80" w:type="dxa"/>
              <w:right w:w="80" w:type="dxa"/>
            </w:tcMar>
          </w:tcPr>
          <w:p>
            <w:r>
              <w:rPr>
                <w:b/>
                <w:sz w:val="19"/>
              </w:rPr>
              <w:t>Configuration Quality</w:t>
            </w:r>
          </w:p>
        </w:tc>
        <w:tc>
          <w:tcPr>
            <w:tcW w:type="dxa" w:w="1872"/>
            <w:shd w:fill="FFFFFF"/>
            <w:tcMar>
              <w:top w:w="50" w:type="dxa"/>
              <w:bottom w:w="50" w:type="dxa"/>
              <w:left w:w="80" w:type="dxa"/>
              <w:right w:w="80" w:type="dxa"/>
            </w:tcMar>
          </w:tcPr>
          <w:p>
            <w:r>
              <w:rPr>
                <w:b/>
                <w:color w:val="10B981"/>
                <w:sz w:val="19"/>
              </w:rPr>
              <w:t>✔ PASSED (100%)</w:t>
            </w:r>
          </w:p>
        </w:tc>
        <w:tc>
          <w:tcPr>
            <w:tcW w:type="dxa" w:w="5040"/>
            <w:shd w:fill="FFFFFF"/>
            <w:tcMar>
              <w:top w:w="50" w:type="dxa"/>
              <w:bottom w:w="50" w:type="dxa"/>
              <w:left w:w="80" w:type="dxa"/>
              <w:right w:w="80" w:type="dxa"/>
            </w:tcMar>
          </w:tcPr>
          <w:p>
            <w:r>
              <w:rPr>
                <w:sz w:val="18"/>
              </w:rPr>
              <w:t>Declarative YAML manifests follow CNCF production best practices with resource quotas and probes.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