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0A6B" w:rsidRDefault="00466D95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:rsidR="00AB0A6B" w:rsidRDefault="00AB0A6B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4"/>
        <w:tblW w:w="99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671"/>
      </w:tblGrid>
      <w:tr w:rsidR="00AB0A6B" w:rsidTr="00326668">
        <w:trPr>
          <w:jc w:val="center"/>
        </w:trPr>
        <w:tc>
          <w:tcPr>
            <w:tcW w:w="4315" w:type="dxa"/>
          </w:tcPr>
          <w:p w:rsidR="00AB0A6B" w:rsidRDefault="00466D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671" w:type="dxa"/>
          </w:tcPr>
          <w:p w:rsidR="00AB0A6B" w:rsidRDefault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October</w:t>
            </w:r>
            <w:r w:rsidR="00466D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B0A6B" w:rsidTr="00326668">
        <w:trPr>
          <w:jc w:val="center"/>
        </w:trPr>
        <w:tc>
          <w:tcPr>
            <w:tcW w:w="4315" w:type="dxa"/>
          </w:tcPr>
          <w:p w:rsidR="00AB0A6B" w:rsidRDefault="00466D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671" w:type="dxa"/>
          </w:tcPr>
          <w:p w:rsidR="00AB0A6B" w:rsidRDefault="00466D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  <w:proofErr w:type="spellEnd"/>
          </w:p>
        </w:tc>
      </w:tr>
      <w:tr w:rsidR="00AB0A6B" w:rsidTr="00326668">
        <w:trPr>
          <w:jc w:val="center"/>
        </w:trPr>
        <w:tc>
          <w:tcPr>
            <w:tcW w:w="4315" w:type="dxa"/>
          </w:tcPr>
          <w:p w:rsidR="00AB0A6B" w:rsidRDefault="00466D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671" w:type="dxa"/>
          </w:tcPr>
          <w:p w:rsidR="00AB0A6B" w:rsidRDefault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668">
              <w:rPr>
                <w:rFonts w:ascii="Times New Roman" w:eastAsia="Times New Roman" w:hAnsi="Times New Roman" w:cs="Times New Roman"/>
                <w:sz w:val="24"/>
                <w:szCs w:val="24"/>
              </w:rPr>
              <w:t>Global Malnutrition Trends: A Power BI Analysis (1983-2019)</w:t>
            </w:r>
          </w:p>
        </w:tc>
      </w:tr>
      <w:tr w:rsidR="00AB0A6B" w:rsidTr="00326668">
        <w:trPr>
          <w:jc w:val="center"/>
        </w:trPr>
        <w:tc>
          <w:tcPr>
            <w:tcW w:w="4315" w:type="dxa"/>
          </w:tcPr>
          <w:p w:rsidR="00AB0A6B" w:rsidRDefault="00466D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671" w:type="dxa"/>
          </w:tcPr>
          <w:p w:rsidR="00AB0A6B" w:rsidRDefault="00466D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AB0A6B" w:rsidRDefault="00AB0A6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B0A6B" w:rsidRDefault="00466D9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:rsidR="00AB0A6B" w:rsidRDefault="00466D9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780"/>
        <w:gridCol w:w="1350"/>
        <w:gridCol w:w="4230"/>
        <w:gridCol w:w="900"/>
        <w:gridCol w:w="1080"/>
        <w:gridCol w:w="1265"/>
        <w:gridCol w:w="1380"/>
        <w:gridCol w:w="1485"/>
      </w:tblGrid>
      <w:tr w:rsidR="00AB0A6B" w:rsidTr="000C26A3">
        <w:trPr>
          <w:trHeight w:val="266"/>
          <w:tblHeader/>
        </w:trPr>
        <w:tc>
          <w:tcPr>
            <w:tcW w:w="1095" w:type="dxa"/>
          </w:tcPr>
          <w:p w:rsidR="00AB0A6B" w:rsidRDefault="00466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780" w:type="dxa"/>
          </w:tcPr>
          <w:p w:rsidR="00AB0A6B" w:rsidRDefault="00466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50" w:type="dxa"/>
          </w:tcPr>
          <w:p w:rsidR="00AB0A6B" w:rsidRDefault="00466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4230" w:type="dxa"/>
          </w:tcPr>
          <w:p w:rsidR="00AB0A6B" w:rsidRDefault="00466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900" w:type="dxa"/>
          </w:tcPr>
          <w:p w:rsidR="00AB0A6B" w:rsidRDefault="00466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080" w:type="dxa"/>
          </w:tcPr>
          <w:p w:rsidR="00AB0A6B" w:rsidRDefault="00466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265" w:type="dxa"/>
          </w:tcPr>
          <w:p w:rsidR="00AB0A6B" w:rsidRDefault="00466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:rsidR="00AB0A6B" w:rsidRDefault="00466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:rsidR="00AB0A6B" w:rsidRDefault="00466D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AB0A6B" w:rsidTr="000C26A3">
        <w:trPr>
          <w:trHeight w:val="392"/>
        </w:trPr>
        <w:tc>
          <w:tcPr>
            <w:tcW w:w="1095" w:type="dxa"/>
          </w:tcPr>
          <w:p w:rsidR="00AB0A6B" w:rsidRDefault="00466D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80" w:type="dxa"/>
          </w:tcPr>
          <w:p w:rsidR="00AB0A6B" w:rsidRDefault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668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1350" w:type="dxa"/>
          </w:tcPr>
          <w:p w:rsidR="00AB0A6B" w:rsidRDefault="00466D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4230" w:type="dxa"/>
          </w:tcPr>
          <w:p w:rsidR="00AB0A6B" w:rsidRDefault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668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can collect and download malnutrition datasets from Kaggle for further analysis.</w:t>
            </w:r>
          </w:p>
        </w:tc>
        <w:tc>
          <w:tcPr>
            <w:tcW w:w="900" w:type="dxa"/>
          </w:tcPr>
          <w:p w:rsidR="00AB0A6B" w:rsidRDefault="00466D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:rsidR="00AB0A6B" w:rsidRDefault="00466D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5" w:type="dxa"/>
          </w:tcPr>
          <w:p w:rsidR="00AB0A6B" w:rsidRDefault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Aditya</w:t>
            </w:r>
          </w:p>
        </w:tc>
        <w:tc>
          <w:tcPr>
            <w:tcW w:w="1380" w:type="dxa"/>
          </w:tcPr>
          <w:p w:rsidR="00AB0A6B" w:rsidRDefault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01/10/25</w:t>
            </w:r>
          </w:p>
        </w:tc>
        <w:tc>
          <w:tcPr>
            <w:tcW w:w="1485" w:type="dxa"/>
          </w:tcPr>
          <w:p w:rsidR="00AB0A6B" w:rsidRDefault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01/10/25</w:t>
            </w:r>
          </w:p>
        </w:tc>
      </w:tr>
      <w:tr w:rsidR="00326668" w:rsidTr="000C26A3">
        <w:trPr>
          <w:trHeight w:val="392"/>
        </w:trPr>
        <w:tc>
          <w:tcPr>
            <w:tcW w:w="1095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0"/>
            </w:tblGrid>
            <w:tr w:rsidR="00326668" w:rsidRPr="00326668" w:rsidTr="00326668">
              <w:trPr>
                <w:tblCellSpacing w:w="15" w:type="dxa"/>
              </w:trPr>
              <w:tc>
                <w:tcPr>
                  <w:tcW w:w="1650" w:type="dxa"/>
                  <w:vAlign w:val="center"/>
                  <w:hideMark/>
                </w:tcPr>
                <w:p w:rsidR="00326668" w:rsidRDefault="00326668" w:rsidP="003266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2666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Data</w:t>
                  </w:r>
                </w:p>
                <w:p w:rsidR="00326668" w:rsidRPr="00326668" w:rsidRDefault="00326668" w:rsidP="003266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2666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Connection</w:t>
                  </w:r>
                </w:p>
              </w:tc>
            </w:tr>
          </w:tbl>
          <w:p w:rsidR="00326668" w:rsidRPr="00326668" w:rsidRDefault="00326668" w:rsidP="00326668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26668" w:rsidRPr="00326668" w:rsidTr="0032666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26668" w:rsidRPr="00326668" w:rsidRDefault="00326668" w:rsidP="003266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423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668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can connect the CSV datasets to Power BI to begin exploration.</w:t>
            </w:r>
          </w:p>
        </w:tc>
        <w:tc>
          <w:tcPr>
            <w:tcW w:w="900" w:type="dxa"/>
          </w:tcPr>
          <w:p w:rsidR="00326668" w:rsidRDefault="00326668" w:rsidP="0032666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5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Aditya</w:t>
            </w:r>
          </w:p>
        </w:tc>
        <w:tc>
          <w:tcPr>
            <w:tcW w:w="138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01/10/25</w:t>
            </w:r>
          </w:p>
        </w:tc>
        <w:tc>
          <w:tcPr>
            <w:tcW w:w="1485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01/10/25</w:t>
            </w:r>
          </w:p>
        </w:tc>
      </w:tr>
      <w:tr w:rsidR="00326668" w:rsidTr="000C26A3">
        <w:trPr>
          <w:trHeight w:val="728"/>
        </w:trPr>
        <w:tc>
          <w:tcPr>
            <w:tcW w:w="1095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80" w:type="dxa"/>
          </w:tcPr>
          <w:p w:rsidR="00326668" w:rsidRP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668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135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4230" w:type="dxa"/>
          </w:tcPr>
          <w:p w:rsidR="00326668" w:rsidRP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668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can clean and transform data (remove nulls, add calculated fields, and standardize categories) so that the data is ready for visualization.</w:t>
            </w:r>
          </w:p>
        </w:tc>
        <w:tc>
          <w:tcPr>
            <w:tcW w:w="900" w:type="dxa"/>
          </w:tcPr>
          <w:p w:rsidR="00326668" w:rsidRDefault="00326668" w:rsidP="0032666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5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Aditya</w:t>
            </w:r>
          </w:p>
        </w:tc>
        <w:tc>
          <w:tcPr>
            <w:tcW w:w="138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C26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/10/25</w:t>
            </w:r>
          </w:p>
        </w:tc>
        <w:tc>
          <w:tcPr>
            <w:tcW w:w="1485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C26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/10/25</w:t>
            </w:r>
          </w:p>
        </w:tc>
      </w:tr>
      <w:tr w:rsidR="00326668" w:rsidTr="000C26A3">
        <w:trPr>
          <w:trHeight w:val="392"/>
        </w:trPr>
        <w:tc>
          <w:tcPr>
            <w:tcW w:w="1095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8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668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 Development</w:t>
            </w:r>
          </w:p>
        </w:tc>
        <w:tc>
          <w:tcPr>
            <w:tcW w:w="135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423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66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see different malnutrition indicators (stunting, wasting, underweight, overweight) across countries using Power BI visuals.</w:t>
            </w:r>
          </w:p>
        </w:tc>
        <w:tc>
          <w:tcPr>
            <w:tcW w:w="900" w:type="dxa"/>
          </w:tcPr>
          <w:p w:rsidR="00326668" w:rsidRDefault="00326668" w:rsidP="0032666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5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Aditya</w:t>
            </w:r>
          </w:p>
        </w:tc>
        <w:tc>
          <w:tcPr>
            <w:tcW w:w="138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C26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/10/25</w:t>
            </w:r>
          </w:p>
        </w:tc>
        <w:tc>
          <w:tcPr>
            <w:tcW w:w="1485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C26A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/10/25</w:t>
            </w:r>
          </w:p>
        </w:tc>
      </w:tr>
      <w:tr w:rsidR="00326668" w:rsidTr="000C26A3">
        <w:trPr>
          <w:trHeight w:val="1232"/>
        </w:trPr>
        <w:tc>
          <w:tcPr>
            <w:tcW w:w="1095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178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668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 Development</w:t>
            </w:r>
          </w:p>
        </w:tc>
        <w:tc>
          <w:tcPr>
            <w:tcW w:w="135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423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66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view income-based analysis (LDC, LIFD, LLDC, SIDS, low/high income) in visual format for comparison.</w:t>
            </w:r>
          </w:p>
        </w:tc>
        <w:tc>
          <w:tcPr>
            <w:tcW w:w="900" w:type="dxa"/>
          </w:tcPr>
          <w:p w:rsidR="00326668" w:rsidRDefault="00326668" w:rsidP="0032666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5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Aditya</w:t>
            </w:r>
          </w:p>
        </w:tc>
        <w:tc>
          <w:tcPr>
            <w:tcW w:w="138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C26A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/10/25</w:t>
            </w:r>
          </w:p>
        </w:tc>
        <w:tc>
          <w:tcPr>
            <w:tcW w:w="1485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C26A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/10/25</w:t>
            </w:r>
          </w:p>
        </w:tc>
      </w:tr>
      <w:tr w:rsidR="00326668" w:rsidTr="000C26A3">
        <w:trPr>
          <w:trHeight w:val="980"/>
        </w:trPr>
        <w:tc>
          <w:tcPr>
            <w:tcW w:w="1095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8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668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5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423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668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interact with filters, slicers, and charts in the dashboard to analyze malnutrition trends.</w:t>
            </w:r>
          </w:p>
        </w:tc>
        <w:tc>
          <w:tcPr>
            <w:tcW w:w="900" w:type="dxa"/>
          </w:tcPr>
          <w:p w:rsidR="00326668" w:rsidRDefault="00326668" w:rsidP="0032666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5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Aditya</w:t>
            </w:r>
          </w:p>
        </w:tc>
        <w:tc>
          <w:tcPr>
            <w:tcW w:w="1380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C26A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/10/25</w:t>
            </w:r>
          </w:p>
        </w:tc>
        <w:tc>
          <w:tcPr>
            <w:tcW w:w="1485" w:type="dxa"/>
          </w:tcPr>
          <w:p w:rsidR="00326668" w:rsidRDefault="00326668" w:rsidP="0032666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C26A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/10/25</w:t>
            </w:r>
          </w:p>
        </w:tc>
      </w:tr>
      <w:tr w:rsidR="000C26A3" w:rsidTr="000C26A3">
        <w:trPr>
          <w:trHeight w:val="1250"/>
        </w:trPr>
        <w:tc>
          <w:tcPr>
            <w:tcW w:w="1095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80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 &amp; Documentation</w:t>
            </w:r>
          </w:p>
        </w:tc>
        <w:tc>
          <w:tcPr>
            <w:tcW w:w="1350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4230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26A3"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access a written report/documentation that explains the step-by-step process, methodology, and findings.</w:t>
            </w:r>
          </w:p>
        </w:tc>
        <w:tc>
          <w:tcPr>
            <w:tcW w:w="900" w:type="dxa"/>
          </w:tcPr>
          <w:p w:rsidR="000C26A3" w:rsidRDefault="000C26A3" w:rsidP="000C26A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5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Aditya</w:t>
            </w:r>
          </w:p>
        </w:tc>
        <w:tc>
          <w:tcPr>
            <w:tcW w:w="1380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/10/25</w:t>
            </w:r>
          </w:p>
        </w:tc>
        <w:tc>
          <w:tcPr>
            <w:tcW w:w="1485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/10/25</w:t>
            </w:r>
          </w:p>
        </w:tc>
      </w:tr>
      <w:tr w:rsidR="000C26A3" w:rsidTr="000C26A3">
        <w:trPr>
          <w:trHeight w:val="953"/>
        </w:trPr>
        <w:tc>
          <w:tcPr>
            <w:tcW w:w="1095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80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26A3">
              <w:rPr>
                <w:rFonts w:ascii="Times New Roman" w:eastAsia="Times New Roman" w:hAnsi="Times New Roman" w:cs="Times New Roman"/>
                <w:sz w:val="24"/>
                <w:szCs w:val="24"/>
              </w:rPr>
              <w:t>Project Demonstration</w:t>
            </w:r>
          </w:p>
        </w:tc>
        <w:tc>
          <w:tcPr>
            <w:tcW w:w="1350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4230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26A3"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watch a demo video explaining the dashboard and analysis.</w:t>
            </w:r>
          </w:p>
        </w:tc>
        <w:tc>
          <w:tcPr>
            <w:tcW w:w="900" w:type="dxa"/>
          </w:tcPr>
          <w:p w:rsidR="000C26A3" w:rsidRDefault="000C26A3" w:rsidP="000C26A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5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Aditya</w:t>
            </w:r>
          </w:p>
        </w:tc>
        <w:tc>
          <w:tcPr>
            <w:tcW w:w="1380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/10/25</w:t>
            </w:r>
          </w:p>
        </w:tc>
        <w:tc>
          <w:tcPr>
            <w:tcW w:w="1485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/10/25</w:t>
            </w:r>
          </w:p>
        </w:tc>
      </w:tr>
      <w:tr w:rsidR="000C26A3" w:rsidTr="000C26A3">
        <w:trPr>
          <w:trHeight w:val="1160"/>
        </w:trPr>
        <w:tc>
          <w:tcPr>
            <w:tcW w:w="1095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80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26A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Testing</w:t>
            </w:r>
          </w:p>
        </w:tc>
        <w:tc>
          <w:tcPr>
            <w:tcW w:w="1350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4230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26A3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can test filters, responsiveness, and calculation accuracy in Power BI to ensure dashboard performance.</w:t>
            </w:r>
          </w:p>
        </w:tc>
        <w:tc>
          <w:tcPr>
            <w:tcW w:w="900" w:type="dxa"/>
          </w:tcPr>
          <w:p w:rsidR="000C26A3" w:rsidRDefault="000C26A3" w:rsidP="000C26A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5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Aditya</w:t>
            </w:r>
          </w:p>
        </w:tc>
        <w:tc>
          <w:tcPr>
            <w:tcW w:w="1380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/10/25</w:t>
            </w:r>
          </w:p>
        </w:tc>
        <w:tc>
          <w:tcPr>
            <w:tcW w:w="1485" w:type="dxa"/>
          </w:tcPr>
          <w:p w:rsidR="000C26A3" w:rsidRDefault="000C26A3" w:rsidP="000C26A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/10/25</w:t>
            </w:r>
          </w:p>
        </w:tc>
      </w:tr>
    </w:tbl>
    <w:p w:rsidR="00AB0A6B" w:rsidRDefault="00AB0A6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B0A6B" w:rsidRDefault="00AB0A6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B0A6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6D95" w:rsidRDefault="00466D95">
      <w:pPr>
        <w:spacing w:after="0" w:line="240" w:lineRule="auto"/>
      </w:pPr>
      <w:r>
        <w:separator/>
      </w:r>
    </w:p>
  </w:endnote>
  <w:endnote w:type="continuationSeparator" w:id="0">
    <w:p w:rsidR="00466D95" w:rsidRDefault="00466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6D95" w:rsidRDefault="00466D95">
      <w:pPr>
        <w:spacing w:after="0" w:line="240" w:lineRule="auto"/>
      </w:pPr>
      <w:r>
        <w:separator/>
      </w:r>
    </w:p>
  </w:footnote>
  <w:footnote w:type="continuationSeparator" w:id="0">
    <w:p w:rsidR="00466D95" w:rsidRDefault="00466D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0A6B" w:rsidRDefault="00466D95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8477250</wp:posOffset>
          </wp:positionH>
          <wp:positionV relativeFrom="paragraph">
            <wp:posOffset>-109536</wp:posOffset>
          </wp:positionV>
          <wp:extent cx="1073606" cy="29114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B0A6B" w:rsidRDefault="00AB0A6B">
    <w:pPr>
      <w:widowControl w:val="0"/>
      <w:spacing w:after="0" w:line="240" w:lineRule="auto"/>
    </w:pPr>
  </w:p>
  <w:p w:rsidR="00AB0A6B" w:rsidRDefault="00AB0A6B">
    <w:pPr>
      <w:widowControl w:val="0"/>
      <w:spacing w:after="0" w:line="240" w:lineRule="auto"/>
    </w:pPr>
  </w:p>
  <w:p w:rsidR="00AB0A6B" w:rsidRDefault="00AB0A6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A6B"/>
    <w:rsid w:val="000C26A3"/>
    <w:rsid w:val="00326668"/>
    <w:rsid w:val="00466D95"/>
    <w:rsid w:val="00AB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BBD30"/>
  <w15:docId w15:val="{3B62171A-0C5B-4B18-B8BE-CF76F2D9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56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2025-10-01T08:37:00Z</dcterms:created>
  <dcterms:modified xsi:type="dcterms:W3CDTF">2025-10-01T08:52:00Z</dcterms:modified>
</cp:coreProperties>
</file>