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85C634" w14:textId="77777777" w:rsidR="00F9755A" w:rsidRDefault="009B52FA">
      <w:pPr>
        <w:rPr>
          <w:rFonts w:ascii="Cambria" w:eastAsia="Cambria" w:hAnsi="Cambria" w:cs="Cambria"/>
          <w:b/>
          <w:sz w:val="32"/>
          <w:szCs w:val="32"/>
          <w:highlight w:val="white"/>
        </w:rPr>
      </w:pPr>
      <w:r>
        <w:rPr>
          <w:rFonts w:ascii="Cambria" w:eastAsia="Cambria" w:hAnsi="Cambria" w:cs="Cambria"/>
          <w:b/>
          <w:color w:val="000000"/>
          <w:sz w:val="32"/>
          <w:szCs w:val="32"/>
          <w:highlight w:val="white"/>
        </w:rPr>
        <w:t xml:space="preserve">                                      Dashboard Design</w:t>
      </w:r>
    </w:p>
    <w:p w14:paraId="231173F0" w14:textId="77777777" w:rsidR="00F9755A" w:rsidRDefault="00F9755A">
      <w:pPr>
        <w:widowControl w:val="0"/>
        <w:spacing w:before="39" w:after="0" w:line="240" w:lineRule="auto"/>
        <w:ind w:left="2701"/>
        <w:rPr>
          <w:b/>
          <w:sz w:val="28"/>
          <w:szCs w:val="28"/>
        </w:rPr>
      </w:pPr>
    </w:p>
    <w:tbl>
      <w:tblPr>
        <w:tblStyle w:val="a"/>
        <w:tblW w:w="90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60"/>
        <w:gridCol w:w="5158"/>
      </w:tblGrid>
      <w:tr w:rsidR="00F9755A" w14:paraId="28C36E11" w14:textId="77777777" w:rsidTr="009B52FA">
        <w:trPr>
          <w:trHeight w:val="278"/>
        </w:trPr>
        <w:tc>
          <w:tcPr>
            <w:tcW w:w="3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76C1" w14:textId="77777777" w:rsidR="00F9755A" w:rsidRDefault="009B52FA">
            <w:pPr>
              <w:widowControl w:val="0"/>
              <w:spacing w:after="0" w:line="240" w:lineRule="auto"/>
              <w:ind w:left="131"/>
            </w:pPr>
            <w:r>
              <w:t xml:space="preserve">Date </w:t>
            </w:r>
          </w:p>
        </w:tc>
        <w:tc>
          <w:tcPr>
            <w:tcW w:w="5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CFA2" w14:textId="5D8F7E79" w:rsidR="00F9755A" w:rsidRDefault="009B52FA">
            <w:pPr>
              <w:widowControl w:val="0"/>
              <w:spacing w:after="0" w:line="240" w:lineRule="auto"/>
              <w:ind w:left="131"/>
            </w:pPr>
            <w:r>
              <w:t>04 October</w:t>
            </w:r>
            <w:r>
              <w:t xml:space="preserve"> 2025</w:t>
            </w:r>
          </w:p>
        </w:tc>
      </w:tr>
      <w:tr w:rsidR="00F9755A" w14:paraId="7977D778" w14:textId="77777777" w:rsidTr="009B52FA">
        <w:trPr>
          <w:trHeight w:val="278"/>
        </w:trPr>
        <w:tc>
          <w:tcPr>
            <w:tcW w:w="3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5186" w14:textId="77777777" w:rsidR="00F9755A" w:rsidRDefault="009B52FA">
            <w:pPr>
              <w:widowControl w:val="0"/>
              <w:spacing w:after="0" w:line="240" w:lineRule="auto"/>
              <w:ind w:left="114"/>
            </w:pPr>
            <w:r>
              <w:t xml:space="preserve">Team ID </w:t>
            </w:r>
          </w:p>
        </w:tc>
        <w:tc>
          <w:tcPr>
            <w:tcW w:w="5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693C" w14:textId="77777777" w:rsidR="00F9755A" w:rsidRDefault="009B52FA">
            <w:pPr>
              <w:widowControl w:val="0"/>
              <w:spacing w:after="0" w:line="240" w:lineRule="auto"/>
              <w:ind w:left="131"/>
            </w:pPr>
            <w:r>
              <w:t>PNT2022TMIDxxxxxx</w:t>
            </w:r>
          </w:p>
        </w:tc>
      </w:tr>
      <w:tr w:rsidR="00F9755A" w14:paraId="6D67DDF3" w14:textId="77777777" w:rsidTr="009B52FA">
        <w:trPr>
          <w:trHeight w:val="278"/>
        </w:trPr>
        <w:tc>
          <w:tcPr>
            <w:tcW w:w="3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20B09" w14:textId="77777777" w:rsidR="00F9755A" w:rsidRDefault="009B52FA">
            <w:pPr>
              <w:widowControl w:val="0"/>
              <w:spacing w:after="0" w:line="240" w:lineRule="auto"/>
              <w:ind w:left="131"/>
            </w:pPr>
            <w:r>
              <w:t xml:space="preserve">Project Name </w:t>
            </w:r>
          </w:p>
        </w:tc>
        <w:tc>
          <w:tcPr>
            <w:tcW w:w="5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163C" w14:textId="054991C1" w:rsidR="00F9755A" w:rsidRDefault="009B52FA">
            <w:pPr>
              <w:widowControl w:val="0"/>
              <w:spacing w:after="0" w:line="240" w:lineRule="auto"/>
              <w:ind w:left="131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Global Malnutrition Trends: A Power BI Analysis (1983-2019)</w:t>
            </w:r>
          </w:p>
        </w:tc>
      </w:tr>
      <w:tr w:rsidR="00F9755A" w14:paraId="3F8E6629" w14:textId="77777777" w:rsidTr="009B52FA">
        <w:trPr>
          <w:trHeight w:val="278"/>
        </w:trPr>
        <w:tc>
          <w:tcPr>
            <w:tcW w:w="3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B188" w14:textId="77777777" w:rsidR="00F9755A" w:rsidRDefault="009B52FA">
            <w:pPr>
              <w:widowControl w:val="0"/>
              <w:spacing w:after="0" w:line="240" w:lineRule="auto"/>
              <w:ind w:left="131"/>
            </w:pPr>
            <w:r>
              <w:t xml:space="preserve">Maximum Marks </w:t>
            </w:r>
          </w:p>
        </w:tc>
        <w:tc>
          <w:tcPr>
            <w:tcW w:w="5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8ACB" w14:textId="37DFF212" w:rsidR="00F9755A" w:rsidRDefault="0017660E">
            <w:pPr>
              <w:widowControl w:val="0"/>
              <w:spacing w:after="0" w:line="240" w:lineRule="auto"/>
              <w:ind w:left="125"/>
            </w:pPr>
            <w:r>
              <w:t>5 Marks</w:t>
            </w:r>
          </w:p>
        </w:tc>
      </w:tr>
    </w:tbl>
    <w:p w14:paraId="54F2199F" w14:textId="77777777" w:rsidR="00F9755A" w:rsidRDefault="00F9755A">
      <w:pPr>
        <w:widowControl w:val="0"/>
        <w:spacing w:after="0" w:line="276" w:lineRule="auto"/>
        <w:rPr>
          <w:rFonts w:ascii="Cambria" w:eastAsia="Cambria" w:hAnsi="Cambria" w:cs="Cambria"/>
          <w:b/>
          <w:sz w:val="32"/>
          <w:szCs w:val="32"/>
          <w:highlight w:val="white"/>
        </w:rPr>
      </w:pPr>
    </w:p>
    <w:p w14:paraId="2F4AFFB4" w14:textId="25565FFA" w:rsidR="00293C5D" w:rsidRDefault="009B52FA" w:rsidP="009B52FA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Creating an effective dashboard involves thoughtful design to ensure that the presented </w:t>
      </w: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information is clear, relevant, and easily understandable for the intended audience. Here are some key principles and best practices for dashboard design</w:t>
      </w:r>
    </w:p>
    <w:p w14:paraId="60B0C726" w14:textId="77777777" w:rsidR="009B52FA" w:rsidRPr="009B52FA" w:rsidRDefault="009B52FA" w:rsidP="009B52FA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Interactive and Visually Appealing Dashboard</w:t>
      </w:r>
    </w:p>
    <w:p w14:paraId="78D4EC5F" w14:textId="77777777" w:rsidR="009B52FA" w:rsidRPr="009B52FA" w:rsidRDefault="009B52FA" w:rsidP="009B52FA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>To ensure the dashboard is engaging and useful for policymakers, researchers, and stakeholders, the following design principles were applied:</w:t>
      </w:r>
    </w:p>
    <w:p w14:paraId="1B7CE41C" w14:textId="77777777" w:rsidR="009B52FA" w:rsidRPr="009B52FA" w:rsidRDefault="009B52FA" w:rsidP="009B52FA">
      <w:pPr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Clear and Intuitive Layout: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Dashboard sections are divided by malnutrition indicators (underweight, overweight, stunting, wasting).</w:t>
      </w:r>
    </w:p>
    <w:p w14:paraId="2147D9B8" w14:textId="77777777" w:rsidR="009B52FA" w:rsidRPr="009B52FA" w:rsidRDefault="009B52FA" w:rsidP="009B52FA">
      <w:pPr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Appropriate Visualizations: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Line charts for time trends, bar charts for country-level comparisons, ribbon charts for overweight vs underweight, and maps for regional distribution.</w:t>
      </w:r>
    </w:p>
    <w:p w14:paraId="5C782FA0" w14:textId="77777777" w:rsidR="009B52FA" w:rsidRPr="009B52FA" w:rsidRDefault="009B52FA" w:rsidP="009B52FA">
      <w:pPr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proofErr w:type="spellStart"/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Color</w:t>
      </w:r>
      <w:proofErr w:type="spellEnd"/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 xml:space="preserve"> and Theming: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Consistent use of </w:t>
      </w:r>
      <w:proofErr w:type="spellStart"/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>colors</w:t>
      </w:r>
      <w:proofErr w:type="spellEnd"/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— red/orange for undernutrition, green for healthy indicators, and blue for overweight — to improve clarity.</w:t>
      </w:r>
    </w:p>
    <w:p w14:paraId="09C7E76B" w14:textId="77777777" w:rsidR="009B52FA" w:rsidRPr="009B52FA" w:rsidRDefault="009B52FA" w:rsidP="009B52FA">
      <w:pPr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Interactive Filters and Slicers: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Filters by country, income level (low, lower-middle, upper-middle, high), and special categories (LDC, LIFD, LLDC, SIDS).</w:t>
      </w:r>
    </w:p>
    <w:p w14:paraId="5505A2A0" w14:textId="77777777" w:rsidR="009B52FA" w:rsidRPr="009B52FA" w:rsidRDefault="009B52FA" w:rsidP="009B52FA">
      <w:pPr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Drill-Down Capabilities: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Ability to move from global trends → region → country → year for deeper insights.</w:t>
      </w:r>
    </w:p>
    <w:p w14:paraId="543CBB27" w14:textId="77777777" w:rsidR="009B52FA" w:rsidRPr="009B52FA" w:rsidRDefault="009B52FA" w:rsidP="009B52FA">
      <w:pPr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Responsive Design: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Dashboard optimized for different screen sizes (desktop and projection).</w:t>
      </w:r>
    </w:p>
    <w:p w14:paraId="38E497A4" w14:textId="77777777" w:rsidR="009B52FA" w:rsidRPr="009B52FA" w:rsidRDefault="009B52FA" w:rsidP="009B52FA">
      <w:pPr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Custom Visuals and Icons: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Use of icons for children, regions, and income groups to improve user experience.</w:t>
      </w:r>
    </w:p>
    <w:p w14:paraId="349A4B91" w14:textId="77777777" w:rsidR="009B52FA" w:rsidRPr="009B52FA" w:rsidRDefault="009B52FA" w:rsidP="009B52FA">
      <w:pPr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Use of Infographics: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Key metrics (Survey Sample Size, Underweight Cases, U5 Count) highlighted with infographic-style cards.</w:t>
      </w:r>
    </w:p>
    <w:p w14:paraId="1E51BD1D" w14:textId="3A2F1EB0" w:rsidR="009B52FA" w:rsidRDefault="009B52FA" w:rsidP="009B52FA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3CB92C11" w14:textId="26DC51C2" w:rsidR="009B52FA" w:rsidRDefault="009B52FA" w:rsidP="009B52FA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6D394130" w14:textId="4886B3BE" w:rsidR="009B52FA" w:rsidRDefault="009B52FA" w:rsidP="009B52FA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72AA49AD" w14:textId="00315134" w:rsidR="009B52FA" w:rsidRDefault="009B52FA" w:rsidP="009B52FA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color w:val="000000"/>
          <w:sz w:val="24"/>
          <w:szCs w:val="24"/>
        </w:rPr>
        <w:lastRenderedPageBreak/>
        <w:drawing>
          <wp:inline distT="0" distB="0" distL="0" distR="0" wp14:anchorId="33F666F7" wp14:editId="27519797">
            <wp:extent cx="5731510" cy="33089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E718" w14:textId="4EAEF11D" w:rsidR="009B52FA" w:rsidRPr="009B52FA" w:rsidRDefault="009B52FA" w:rsidP="009B52FA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2864C7EB" wp14:editId="33341424">
            <wp:extent cx="5731510" cy="32181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D0C74B" w14:textId="77777777" w:rsidR="009B52FA" w:rsidRPr="009B52FA" w:rsidRDefault="009B52FA" w:rsidP="009B52FA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Major Outcomes from the Dashboard</w:t>
      </w:r>
    </w:p>
    <w:p w14:paraId="247A6635" w14:textId="77777777" w:rsidR="009B52FA" w:rsidRPr="009B52FA" w:rsidRDefault="009B52FA" w:rsidP="009B52FA">
      <w:pPr>
        <w:numPr>
          <w:ilvl w:val="0"/>
          <w:numId w:val="4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Survey Sample Coverage: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The dataset includes </w:t>
      </w: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11 million survey samples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>, ensuring robustness of findings.</w:t>
      </w:r>
    </w:p>
    <w:p w14:paraId="06AFD08E" w14:textId="77777777" w:rsidR="009B52FA" w:rsidRPr="009B52FA" w:rsidRDefault="009B52FA" w:rsidP="009B52FA">
      <w:pPr>
        <w:numPr>
          <w:ilvl w:val="0"/>
          <w:numId w:val="4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Underweight Cases: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A total of </w:t>
      </w: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2,080 underweight cases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were recorded, highlighting critical areas of child undernutrition.</w:t>
      </w:r>
    </w:p>
    <w:p w14:paraId="21E08E23" w14:textId="77777777" w:rsidR="009B52FA" w:rsidRPr="009B52FA" w:rsidRDefault="009B52FA" w:rsidP="009B52FA">
      <w:pPr>
        <w:numPr>
          <w:ilvl w:val="0"/>
          <w:numId w:val="4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Stunting vs Income Levels: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Visualization shows a clear negative correlation — </w:t>
      </w: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higher income groups experience lower stunting rates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>.</w:t>
      </w:r>
    </w:p>
    <w:p w14:paraId="3EB9912F" w14:textId="77777777" w:rsidR="009B52FA" w:rsidRPr="009B52FA" w:rsidRDefault="009B52FA" w:rsidP="009B52FA">
      <w:pPr>
        <w:numPr>
          <w:ilvl w:val="0"/>
          <w:numId w:val="4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lastRenderedPageBreak/>
        <w:t>Overweight Trends by Country: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Certain high-income countries show rising overweight levels, indicating the double burden of malnutrition.</w:t>
      </w:r>
    </w:p>
    <w:p w14:paraId="700381F3" w14:textId="77777777" w:rsidR="009B52FA" w:rsidRPr="009B52FA" w:rsidRDefault="009B52FA" w:rsidP="009B52FA">
      <w:pPr>
        <w:numPr>
          <w:ilvl w:val="0"/>
          <w:numId w:val="4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Overweight vs Underweight Analysis: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Ribbon chart demonstrates that </w:t>
      </w: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low-income countries struggle more with underweight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, while </w:t>
      </w: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high-income countries face overweight issues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>.</w:t>
      </w:r>
    </w:p>
    <w:p w14:paraId="519D4B3A" w14:textId="77777777" w:rsidR="009B52FA" w:rsidRPr="009B52FA" w:rsidRDefault="009B52FA" w:rsidP="009B52FA">
      <w:pPr>
        <w:numPr>
          <w:ilvl w:val="0"/>
          <w:numId w:val="4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Income Classification Distribution: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Pie chart highlights the spread of countries across low, middle, and high-income groups.</w:t>
      </w:r>
    </w:p>
    <w:p w14:paraId="1A5BC4F7" w14:textId="77777777" w:rsidR="009B52FA" w:rsidRPr="009B52FA" w:rsidRDefault="009B52FA" w:rsidP="009B52FA">
      <w:pPr>
        <w:numPr>
          <w:ilvl w:val="0"/>
          <w:numId w:val="4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Regional Vulnerability: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LDC and LLDC countries show the highest malnutrition rates, requiring </w:t>
      </w: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urgent intervention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>.</w:t>
      </w:r>
    </w:p>
    <w:p w14:paraId="4DA009DA" w14:textId="77777777" w:rsidR="009B52FA" w:rsidRPr="009B52FA" w:rsidRDefault="009B52FA" w:rsidP="009B52FA">
      <w:pPr>
        <w:numPr>
          <w:ilvl w:val="0"/>
          <w:numId w:val="4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Time Trends (1983–2019):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Line charts reveal gradual improvement in some indicators, but </w:t>
      </w:r>
      <w:r w:rsidRPr="009B52FA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progress is uneven across regions</w:t>
      </w:r>
      <w:r w:rsidRPr="009B52FA">
        <w:rPr>
          <w:rFonts w:ascii="Cambria" w:eastAsia="Cambria" w:hAnsi="Cambria" w:cs="Cambria"/>
          <w:color w:val="000000"/>
          <w:sz w:val="24"/>
          <w:szCs w:val="24"/>
          <w:highlight w:val="white"/>
        </w:rPr>
        <w:t>.</w:t>
      </w:r>
    </w:p>
    <w:p w14:paraId="7DACBF93" w14:textId="77777777" w:rsidR="009B52FA" w:rsidRPr="009B52FA" w:rsidRDefault="009B52FA" w:rsidP="009B52FA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sectPr w:rsidR="009B52FA" w:rsidRPr="009B52F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964F0E3-CB00-483F-831B-DD3231C705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4167B9-1B5B-4AC7-8894-DBC71B6BB644}"/>
    <w:embedBold r:id="rId3" w:fontKey="{F3E370A4-B772-435E-8A4B-F34E232074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A3A8F9D-A1D4-476E-AA69-4B7157340F06}"/>
    <w:embedItalic r:id="rId5" w:fontKey="{FD7A7C0A-5D6C-4BBA-AF46-5883BC9266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62C118D-9B73-405E-AC2D-8A9CE16138A1}"/>
    <w:embedBold r:id="rId7" w:fontKey="{1C630147-AC56-4E89-B1B6-B2765528386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39A4B50-5243-4925-B6D6-B8591B2803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46F6D"/>
    <w:multiLevelType w:val="multilevel"/>
    <w:tmpl w:val="EAD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F5D56"/>
    <w:multiLevelType w:val="multilevel"/>
    <w:tmpl w:val="CBBC8C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4F94CDE"/>
    <w:multiLevelType w:val="multilevel"/>
    <w:tmpl w:val="47DE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7B10AA"/>
    <w:multiLevelType w:val="multilevel"/>
    <w:tmpl w:val="17D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55A"/>
    <w:rsid w:val="0017660E"/>
    <w:rsid w:val="00293C5D"/>
    <w:rsid w:val="00933D90"/>
    <w:rsid w:val="009B52FA"/>
    <w:rsid w:val="00AD37FB"/>
    <w:rsid w:val="00D043A9"/>
    <w:rsid w:val="00D3353A"/>
    <w:rsid w:val="00F9755A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6692"/>
  <w15:docId w15:val="{3FAF9F86-E290-4697-9FCA-4EA77CB7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31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7E317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+WDxcuUify8Cnrp+LC/CCTGJVw==">CgMxLjA4AHIhMTdFaC1wTlF3SWNHN0dyNU1DWFA0bENxckc4RTFIRnRY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Admin</cp:lastModifiedBy>
  <cp:revision>7</cp:revision>
  <dcterms:created xsi:type="dcterms:W3CDTF">2024-01-13T08:54:00Z</dcterms:created>
  <dcterms:modified xsi:type="dcterms:W3CDTF">2025-10-06T11:11:00Z</dcterms:modified>
</cp:coreProperties>
</file>