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6A45DC" w14:textId="46225C65" w:rsidR="00720545" w:rsidRDefault="00A20696" w:rsidP="00A20696">
      <w:pPr>
        <w:jc w:val="center"/>
        <w:rPr>
          <w:rFonts w:ascii="Cambria" w:eastAsia="Cambria" w:hAnsi="Cambria" w:cs="Cambria"/>
          <w:b/>
          <w:color w:val="000000"/>
          <w:sz w:val="32"/>
          <w:szCs w:val="32"/>
        </w:rPr>
      </w:pPr>
      <w:r>
        <w:rPr>
          <w:rFonts w:ascii="Cambria" w:eastAsia="Cambria" w:hAnsi="Cambria" w:cs="Cambria"/>
          <w:b/>
          <w:color w:val="000000"/>
          <w:sz w:val="32"/>
          <w:szCs w:val="32"/>
        </w:rPr>
        <w:t>Report</w:t>
      </w:r>
    </w:p>
    <w:p w14:paraId="66070560" w14:textId="77777777" w:rsidR="00720545" w:rsidRDefault="0072054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45"/>
        <w:gridCol w:w="5306"/>
      </w:tblGrid>
      <w:tr w:rsidR="00720545" w14:paraId="223028FB" w14:textId="77777777" w:rsidTr="001260E5">
        <w:trPr>
          <w:jc w:val="center"/>
        </w:trPr>
        <w:tc>
          <w:tcPr>
            <w:tcW w:w="4045" w:type="dxa"/>
          </w:tcPr>
          <w:p w14:paraId="366628D7" w14:textId="77777777" w:rsidR="00720545" w:rsidRDefault="00A9451C">
            <w:pPr>
              <w:rPr>
                <w:rFonts w:ascii="Arial" w:eastAsia="Arial" w:hAnsi="Arial" w:cs="Arial"/>
              </w:rPr>
            </w:pPr>
            <w:r>
              <w:rPr>
                <w:rFonts w:ascii="Arial" w:eastAsia="Arial" w:hAnsi="Arial" w:cs="Arial"/>
              </w:rPr>
              <w:t>Date</w:t>
            </w:r>
          </w:p>
        </w:tc>
        <w:tc>
          <w:tcPr>
            <w:tcW w:w="5306" w:type="dxa"/>
          </w:tcPr>
          <w:p w14:paraId="08398857" w14:textId="005F4B9B" w:rsidR="00720545" w:rsidRDefault="00A9451C">
            <w:pPr>
              <w:rPr>
                <w:rFonts w:ascii="Arial" w:eastAsia="Arial" w:hAnsi="Arial" w:cs="Arial"/>
              </w:rPr>
            </w:pPr>
            <w:r>
              <w:rPr>
                <w:rFonts w:ascii="Arial" w:eastAsia="Arial" w:hAnsi="Arial" w:cs="Arial"/>
              </w:rPr>
              <w:t>05 October</w:t>
            </w:r>
            <w:r w:rsidR="00642171">
              <w:rPr>
                <w:rFonts w:ascii="Arial" w:eastAsia="Arial" w:hAnsi="Arial" w:cs="Arial"/>
              </w:rPr>
              <w:t xml:space="preserve"> </w:t>
            </w:r>
            <w:r>
              <w:rPr>
                <w:rFonts w:ascii="Arial" w:eastAsia="Arial" w:hAnsi="Arial" w:cs="Arial"/>
              </w:rPr>
              <w:t>2025</w:t>
            </w:r>
          </w:p>
        </w:tc>
      </w:tr>
      <w:tr w:rsidR="00720545" w14:paraId="55E5A78E" w14:textId="77777777" w:rsidTr="001260E5">
        <w:trPr>
          <w:jc w:val="center"/>
        </w:trPr>
        <w:tc>
          <w:tcPr>
            <w:tcW w:w="4045" w:type="dxa"/>
          </w:tcPr>
          <w:p w14:paraId="2CA0E194" w14:textId="77777777" w:rsidR="00720545" w:rsidRDefault="00A9451C">
            <w:pPr>
              <w:rPr>
                <w:rFonts w:ascii="Arial" w:eastAsia="Arial" w:hAnsi="Arial" w:cs="Arial"/>
              </w:rPr>
            </w:pPr>
            <w:r>
              <w:rPr>
                <w:rFonts w:ascii="Arial" w:eastAsia="Arial" w:hAnsi="Arial" w:cs="Arial"/>
              </w:rPr>
              <w:t>Team ID</w:t>
            </w:r>
          </w:p>
        </w:tc>
        <w:tc>
          <w:tcPr>
            <w:tcW w:w="5306" w:type="dxa"/>
          </w:tcPr>
          <w:p w14:paraId="32FAADAD" w14:textId="77777777" w:rsidR="00720545" w:rsidRDefault="00A9451C">
            <w:pPr>
              <w:rPr>
                <w:rFonts w:ascii="Arial" w:eastAsia="Arial" w:hAnsi="Arial" w:cs="Arial"/>
              </w:rPr>
            </w:pPr>
            <w:r>
              <w:rPr>
                <w:rFonts w:ascii="Arial" w:eastAsia="Arial" w:hAnsi="Arial" w:cs="Arial"/>
              </w:rPr>
              <w:t>PNT2022TMIDxxxxxx</w:t>
            </w:r>
          </w:p>
        </w:tc>
      </w:tr>
      <w:tr w:rsidR="00720545" w14:paraId="20C7BF55" w14:textId="77777777" w:rsidTr="001260E5">
        <w:trPr>
          <w:jc w:val="center"/>
        </w:trPr>
        <w:tc>
          <w:tcPr>
            <w:tcW w:w="4045" w:type="dxa"/>
          </w:tcPr>
          <w:p w14:paraId="6659C707" w14:textId="77777777" w:rsidR="00720545" w:rsidRDefault="00A9451C">
            <w:pPr>
              <w:rPr>
                <w:rFonts w:ascii="Arial" w:eastAsia="Arial" w:hAnsi="Arial" w:cs="Arial"/>
              </w:rPr>
            </w:pPr>
            <w:r>
              <w:rPr>
                <w:rFonts w:ascii="Arial" w:eastAsia="Arial" w:hAnsi="Arial" w:cs="Arial"/>
              </w:rPr>
              <w:t>Project Name</w:t>
            </w:r>
          </w:p>
        </w:tc>
        <w:tc>
          <w:tcPr>
            <w:tcW w:w="5306" w:type="dxa"/>
          </w:tcPr>
          <w:p w14:paraId="1D354C95" w14:textId="56DC46B6" w:rsidR="00720545" w:rsidRDefault="001260E5">
            <w:pPr>
              <w:rPr>
                <w:rFonts w:ascii="Arial" w:eastAsia="Arial" w:hAnsi="Arial" w:cs="Arial"/>
              </w:rPr>
            </w:pPr>
            <w:r>
              <w:rPr>
                <w:rFonts w:ascii="Times New Roman" w:eastAsia="Times New Roman" w:hAnsi="Times New Roman" w:cs="Times New Roman"/>
                <w:color w:val="000000"/>
                <w:sz w:val="24"/>
                <w:szCs w:val="24"/>
              </w:rPr>
              <w:t>Global Malnutrition Trends: A Power BI Analysis (1983-2019)</w:t>
            </w:r>
          </w:p>
        </w:tc>
      </w:tr>
      <w:tr w:rsidR="00720545" w14:paraId="52F170A6" w14:textId="77777777" w:rsidTr="001260E5">
        <w:trPr>
          <w:jc w:val="center"/>
        </w:trPr>
        <w:tc>
          <w:tcPr>
            <w:tcW w:w="4045" w:type="dxa"/>
          </w:tcPr>
          <w:p w14:paraId="2A03D322" w14:textId="77777777" w:rsidR="00720545" w:rsidRDefault="00A9451C">
            <w:pPr>
              <w:rPr>
                <w:rFonts w:ascii="Arial" w:eastAsia="Arial" w:hAnsi="Arial" w:cs="Arial"/>
              </w:rPr>
            </w:pPr>
            <w:r>
              <w:rPr>
                <w:rFonts w:ascii="Arial" w:eastAsia="Arial" w:hAnsi="Arial" w:cs="Arial"/>
              </w:rPr>
              <w:t>Maximum Marks</w:t>
            </w:r>
          </w:p>
        </w:tc>
        <w:tc>
          <w:tcPr>
            <w:tcW w:w="5306" w:type="dxa"/>
          </w:tcPr>
          <w:p w14:paraId="6FC77C1E" w14:textId="70451DDC" w:rsidR="00720545" w:rsidRDefault="00A20696">
            <w:pPr>
              <w:rPr>
                <w:rFonts w:ascii="Arial" w:eastAsia="Arial" w:hAnsi="Arial" w:cs="Arial"/>
              </w:rPr>
            </w:pPr>
            <w:r>
              <w:rPr>
                <w:rFonts w:ascii="Arial" w:eastAsia="Arial" w:hAnsi="Arial" w:cs="Arial"/>
              </w:rPr>
              <w:t>5 Marks</w:t>
            </w:r>
          </w:p>
        </w:tc>
      </w:tr>
    </w:tbl>
    <w:p w14:paraId="137B83EC" w14:textId="77777777" w:rsidR="00720545" w:rsidRDefault="00720545">
      <w:pPr>
        <w:rPr>
          <w:rFonts w:ascii="Cambria" w:eastAsia="Cambria" w:hAnsi="Cambria" w:cs="Cambria"/>
          <w:color w:val="000000"/>
          <w:sz w:val="24"/>
          <w:szCs w:val="24"/>
          <w:highlight w:val="white"/>
        </w:rPr>
      </w:pPr>
    </w:p>
    <w:p w14:paraId="51BECEAE" w14:textId="77777777" w:rsidR="00A20696" w:rsidRPr="00A20696" w:rsidRDefault="00A20696" w:rsidP="00A9451C">
      <w:pPr>
        <w:spacing w:before="100" w:beforeAutospacing="1" w:after="100" w:afterAutospacing="1" w:line="240" w:lineRule="auto"/>
        <w:jc w:val="both"/>
        <w:rPr>
          <w:rFonts w:asciiTheme="minorHAnsi" w:eastAsia="Times New Roman" w:hAnsiTheme="minorHAnsi" w:cstheme="minorHAnsi"/>
        </w:rPr>
      </w:pPr>
      <w:r w:rsidRPr="00A20696">
        <w:rPr>
          <w:rFonts w:asciiTheme="minorHAnsi" w:eastAsia="Times New Roman" w:hAnsiTheme="minorHAnsi" w:cstheme="minorHAnsi"/>
        </w:rPr>
        <w:t>A report is a comprehensive document that provides a detailed and structured account of data analysis, findings, and insights. It is typically used for in-depth analysis, documentation, and communication of results.</w:t>
      </w:r>
      <w:r w:rsidRPr="00A20696">
        <w:rPr>
          <w:rFonts w:asciiTheme="minorHAnsi" w:hAnsiTheme="minorHAnsi" w:cstheme="minorHAnsi"/>
        </w:rPr>
        <w:t xml:space="preserve"> Reports are suitable for a diverse audience, including decision-makers, analysts, and stakeholders who need a comprehensive understanding of the data.</w:t>
      </w:r>
    </w:p>
    <w:p w14:paraId="17C75643" w14:textId="77777777" w:rsidR="00A20696" w:rsidRPr="00A20696" w:rsidRDefault="00A20696" w:rsidP="00A9451C">
      <w:pPr>
        <w:pBdr>
          <w:top w:val="nil"/>
          <w:left w:val="nil"/>
          <w:bottom w:val="nil"/>
          <w:right w:val="nil"/>
          <w:between w:val="nil"/>
        </w:pBdr>
        <w:spacing w:after="200" w:line="240" w:lineRule="auto"/>
        <w:jc w:val="both"/>
        <w:rPr>
          <w:rFonts w:asciiTheme="minorHAnsi" w:eastAsia="Cambria" w:hAnsiTheme="minorHAnsi" w:cstheme="minorHAnsi"/>
        </w:rPr>
      </w:pPr>
      <w:r w:rsidRPr="00A20696">
        <w:rPr>
          <w:rFonts w:asciiTheme="minorHAnsi" w:eastAsia="Cambria" w:hAnsiTheme="minorHAnsi" w:cstheme="minorHAnsi"/>
        </w:rPr>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3CD39B9A" w14:textId="77777777" w:rsidR="00A9451C" w:rsidRPr="00A9451C" w:rsidRDefault="00A9451C" w:rsidP="00A9451C">
      <w:pPr>
        <w:shd w:val="clear" w:color="auto" w:fill="FFFFFF"/>
        <w:rPr>
          <w:b/>
          <w:bCs/>
          <w:sz w:val="24"/>
          <w:szCs w:val="20"/>
          <w:highlight w:val="white"/>
        </w:rPr>
      </w:pPr>
      <w:r w:rsidRPr="00A9451C">
        <w:rPr>
          <w:b/>
          <w:bCs/>
          <w:sz w:val="24"/>
          <w:szCs w:val="20"/>
          <w:highlight w:val="white"/>
        </w:rPr>
        <w:t>Report Design Overview</w:t>
      </w:r>
    </w:p>
    <w:p w14:paraId="1D052DA7" w14:textId="3441BE6E" w:rsidR="00A9451C" w:rsidRPr="00A9451C" w:rsidRDefault="00A9451C" w:rsidP="00A9451C">
      <w:pPr>
        <w:shd w:val="clear" w:color="auto" w:fill="FFFFFF"/>
        <w:jc w:val="both"/>
        <w:rPr>
          <w:szCs w:val="20"/>
          <w:highlight w:val="white"/>
        </w:rPr>
      </w:pPr>
      <w:r w:rsidRPr="00A9451C">
        <w:rPr>
          <w:szCs w:val="20"/>
          <w:highlight w:val="white"/>
        </w:rPr>
        <w:t xml:space="preserve">This report is designed in </w:t>
      </w:r>
      <w:r w:rsidRPr="00A9451C">
        <w:rPr>
          <w:b/>
          <w:bCs/>
          <w:szCs w:val="20"/>
          <w:highlight w:val="white"/>
        </w:rPr>
        <w:t>Power BI</w:t>
      </w:r>
      <w:r w:rsidRPr="00A9451C">
        <w:rPr>
          <w:szCs w:val="20"/>
          <w:highlight w:val="white"/>
        </w:rPr>
        <w:t xml:space="preserve"> to analyse global malnutrition trends using datasets from Kaggle. It focuses on children under five years of age across 1983–2019, examining </w:t>
      </w:r>
      <w:r w:rsidRPr="00A9451C">
        <w:rPr>
          <w:b/>
          <w:bCs/>
          <w:szCs w:val="20"/>
          <w:highlight w:val="white"/>
        </w:rPr>
        <w:t>stunting, wasting, underweight, and overweight</w:t>
      </w:r>
      <w:r w:rsidRPr="00A9451C">
        <w:rPr>
          <w:szCs w:val="20"/>
          <w:highlight w:val="white"/>
        </w:rPr>
        <w:t xml:space="preserve"> indicators.</w:t>
      </w:r>
    </w:p>
    <w:p w14:paraId="6AB516D0" w14:textId="77777777" w:rsidR="00A9451C" w:rsidRPr="00A9451C" w:rsidRDefault="00A9451C" w:rsidP="00A9451C">
      <w:pPr>
        <w:shd w:val="clear" w:color="auto" w:fill="FFFFFF"/>
        <w:jc w:val="both"/>
        <w:rPr>
          <w:szCs w:val="20"/>
          <w:highlight w:val="white"/>
        </w:rPr>
      </w:pPr>
      <w:r w:rsidRPr="00A9451C">
        <w:rPr>
          <w:szCs w:val="20"/>
          <w:highlight w:val="white"/>
        </w:rPr>
        <w:t xml:space="preserve">The report connects raw CSV datasets into Power BI, applies </w:t>
      </w:r>
      <w:r w:rsidRPr="00A9451C">
        <w:rPr>
          <w:b/>
          <w:bCs/>
          <w:szCs w:val="20"/>
          <w:highlight w:val="white"/>
        </w:rPr>
        <w:t>data cleaning and transformations</w:t>
      </w:r>
      <w:r w:rsidRPr="00A9451C">
        <w:rPr>
          <w:szCs w:val="20"/>
          <w:highlight w:val="white"/>
        </w:rPr>
        <w:t xml:space="preserve">, and builds </w:t>
      </w:r>
      <w:r w:rsidRPr="00A9451C">
        <w:rPr>
          <w:b/>
          <w:bCs/>
          <w:szCs w:val="20"/>
          <w:highlight w:val="white"/>
        </w:rPr>
        <w:t>visualizations</w:t>
      </w:r>
      <w:r w:rsidRPr="00A9451C">
        <w:rPr>
          <w:szCs w:val="20"/>
          <w:highlight w:val="white"/>
        </w:rPr>
        <w:t xml:space="preserve"> such as line charts, bar charts, ribbon charts, and maps. Visuals are logically arranged and styled consistently to ensure clarity for policymakers, researchers, and NGOs. Interactive filters allow users to drill down by </w:t>
      </w:r>
      <w:r w:rsidRPr="00A9451C">
        <w:rPr>
          <w:b/>
          <w:bCs/>
          <w:szCs w:val="20"/>
          <w:highlight w:val="white"/>
        </w:rPr>
        <w:t>income level, region, and country</w:t>
      </w:r>
      <w:r w:rsidRPr="00A9451C">
        <w:rPr>
          <w:szCs w:val="20"/>
          <w:highlight w:val="white"/>
        </w:rPr>
        <w:t>.</w:t>
      </w:r>
    </w:p>
    <w:p w14:paraId="25FA8D47" w14:textId="62E418B4" w:rsidR="00720545" w:rsidRDefault="00A9451C" w:rsidP="00A9451C">
      <w:pPr>
        <w:shd w:val="clear" w:color="auto" w:fill="FFFFFF"/>
        <w:rPr>
          <w:sz w:val="20"/>
          <w:szCs w:val="20"/>
          <w:highlight w:val="white"/>
        </w:rPr>
      </w:pPr>
      <w:r>
        <w:rPr>
          <w:noProof/>
        </w:rPr>
        <w:drawing>
          <wp:inline distT="0" distB="0" distL="0" distR="0" wp14:anchorId="75386D72" wp14:editId="48538D26">
            <wp:extent cx="5675417" cy="32766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10314" cy="3296747"/>
                    </a:xfrm>
                    <a:prstGeom prst="rect">
                      <a:avLst/>
                    </a:prstGeom>
                  </pic:spPr>
                </pic:pic>
              </a:graphicData>
            </a:graphic>
          </wp:inline>
        </w:drawing>
      </w:r>
    </w:p>
    <w:p w14:paraId="6A986E51" w14:textId="77777777" w:rsidR="00A9451C" w:rsidRPr="00A9451C" w:rsidRDefault="00A9451C" w:rsidP="00A9451C">
      <w:pPr>
        <w:shd w:val="clear" w:color="auto" w:fill="FFFFFF"/>
        <w:rPr>
          <w:b/>
          <w:bCs/>
          <w:sz w:val="20"/>
          <w:szCs w:val="20"/>
          <w:highlight w:val="white"/>
        </w:rPr>
      </w:pPr>
      <w:r w:rsidRPr="00A9451C">
        <w:rPr>
          <w:b/>
          <w:bCs/>
          <w:sz w:val="20"/>
          <w:szCs w:val="20"/>
          <w:highlight w:val="white"/>
        </w:rPr>
        <w:lastRenderedPageBreak/>
        <w:t>Observations &amp; Insights from the Report</w:t>
      </w:r>
    </w:p>
    <w:p w14:paraId="74CCFA9B" w14:textId="77777777" w:rsidR="00A9451C" w:rsidRPr="00A9451C" w:rsidRDefault="00A9451C" w:rsidP="00A9451C">
      <w:pPr>
        <w:shd w:val="clear" w:color="auto" w:fill="FFFFFF"/>
        <w:rPr>
          <w:b/>
          <w:bCs/>
          <w:sz w:val="20"/>
          <w:szCs w:val="20"/>
          <w:highlight w:val="white"/>
        </w:rPr>
      </w:pPr>
      <w:r w:rsidRPr="00A9451C">
        <w:rPr>
          <w:b/>
          <w:bCs/>
          <w:sz w:val="20"/>
          <w:szCs w:val="20"/>
          <w:highlight w:val="white"/>
        </w:rPr>
        <w:t>1. Trends Over Time</w:t>
      </w:r>
    </w:p>
    <w:p w14:paraId="76B6FCB3" w14:textId="77777777" w:rsidR="00A9451C" w:rsidRPr="00A9451C" w:rsidRDefault="00A9451C" w:rsidP="00A9451C">
      <w:pPr>
        <w:numPr>
          <w:ilvl w:val="0"/>
          <w:numId w:val="10"/>
        </w:numPr>
        <w:shd w:val="clear" w:color="auto" w:fill="FFFFFF"/>
        <w:rPr>
          <w:sz w:val="20"/>
          <w:szCs w:val="20"/>
          <w:highlight w:val="white"/>
        </w:rPr>
      </w:pPr>
      <w:r w:rsidRPr="00A9451C">
        <w:rPr>
          <w:sz w:val="20"/>
          <w:szCs w:val="20"/>
          <w:highlight w:val="white"/>
        </w:rPr>
        <w:t xml:space="preserve">Underweight and stunting levels have generally declined between </w:t>
      </w:r>
      <w:r w:rsidRPr="00A9451C">
        <w:rPr>
          <w:b/>
          <w:bCs/>
          <w:sz w:val="20"/>
          <w:szCs w:val="20"/>
          <w:highlight w:val="white"/>
        </w:rPr>
        <w:t>1983 and 2019</w:t>
      </w:r>
      <w:r w:rsidRPr="00A9451C">
        <w:rPr>
          <w:sz w:val="20"/>
          <w:szCs w:val="20"/>
          <w:highlight w:val="white"/>
        </w:rPr>
        <w:t>, but the progress is uneven across regions.</w:t>
      </w:r>
    </w:p>
    <w:p w14:paraId="65094A8C" w14:textId="77777777" w:rsidR="00A9451C" w:rsidRPr="00A9451C" w:rsidRDefault="00A9451C" w:rsidP="00A9451C">
      <w:pPr>
        <w:numPr>
          <w:ilvl w:val="0"/>
          <w:numId w:val="10"/>
        </w:numPr>
        <w:shd w:val="clear" w:color="auto" w:fill="FFFFFF"/>
        <w:rPr>
          <w:sz w:val="20"/>
          <w:szCs w:val="20"/>
          <w:highlight w:val="white"/>
        </w:rPr>
      </w:pPr>
      <w:r w:rsidRPr="00A9451C">
        <w:rPr>
          <w:sz w:val="20"/>
          <w:szCs w:val="20"/>
          <w:highlight w:val="white"/>
        </w:rPr>
        <w:t xml:space="preserve">Overweight cases are rising in </w:t>
      </w:r>
      <w:r w:rsidRPr="00A9451C">
        <w:rPr>
          <w:b/>
          <w:bCs/>
          <w:sz w:val="20"/>
          <w:szCs w:val="20"/>
          <w:highlight w:val="white"/>
        </w:rPr>
        <w:t>upper-middle and high-income countries</w:t>
      </w:r>
      <w:r w:rsidRPr="00A9451C">
        <w:rPr>
          <w:sz w:val="20"/>
          <w:szCs w:val="20"/>
          <w:highlight w:val="white"/>
        </w:rPr>
        <w:t xml:space="preserve">, highlighting the </w:t>
      </w:r>
      <w:r w:rsidRPr="00A9451C">
        <w:rPr>
          <w:b/>
          <w:bCs/>
          <w:sz w:val="20"/>
          <w:szCs w:val="20"/>
          <w:highlight w:val="white"/>
        </w:rPr>
        <w:t>double burden of malnutrition</w:t>
      </w:r>
      <w:r w:rsidRPr="00A9451C">
        <w:rPr>
          <w:sz w:val="20"/>
          <w:szCs w:val="20"/>
          <w:highlight w:val="white"/>
        </w:rPr>
        <w:t>.</w:t>
      </w:r>
    </w:p>
    <w:p w14:paraId="307DCFE0" w14:textId="7DC859E3" w:rsidR="00A9451C" w:rsidRPr="00A9451C" w:rsidRDefault="00A9451C" w:rsidP="00A9451C">
      <w:pPr>
        <w:shd w:val="clear" w:color="auto" w:fill="FFFFFF"/>
        <w:rPr>
          <w:sz w:val="20"/>
          <w:szCs w:val="20"/>
          <w:highlight w:val="white"/>
        </w:rPr>
      </w:pPr>
    </w:p>
    <w:p w14:paraId="659C973E" w14:textId="77777777" w:rsidR="00A9451C" w:rsidRPr="00A9451C" w:rsidRDefault="00A9451C" w:rsidP="00A9451C">
      <w:pPr>
        <w:shd w:val="clear" w:color="auto" w:fill="FFFFFF"/>
        <w:rPr>
          <w:b/>
          <w:bCs/>
          <w:sz w:val="20"/>
          <w:szCs w:val="20"/>
          <w:highlight w:val="white"/>
        </w:rPr>
      </w:pPr>
      <w:r w:rsidRPr="00A9451C">
        <w:rPr>
          <w:b/>
          <w:bCs/>
          <w:sz w:val="20"/>
          <w:szCs w:val="20"/>
          <w:highlight w:val="white"/>
        </w:rPr>
        <w:t>2. Performance Comparisons Across Income Groups</w:t>
      </w:r>
    </w:p>
    <w:p w14:paraId="436321AE" w14:textId="77777777" w:rsidR="00A9451C" w:rsidRPr="00A9451C" w:rsidRDefault="00A9451C" w:rsidP="00A9451C">
      <w:pPr>
        <w:numPr>
          <w:ilvl w:val="0"/>
          <w:numId w:val="11"/>
        </w:numPr>
        <w:shd w:val="clear" w:color="auto" w:fill="FFFFFF"/>
        <w:rPr>
          <w:sz w:val="20"/>
          <w:szCs w:val="20"/>
          <w:highlight w:val="white"/>
        </w:rPr>
      </w:pPr>
      <w:r w:rsidRPr="00A9451C">
        <w:rPr>
          <w:b/>
          <w:bCs/>
          <w:sz w:val="20"/>
          <w:szCs w:val="20"/>
          <w:highlight w:val="white"/>
        </w:rPr>
        <w:t>Low-income countries</w:t>
      </w:r>
      <w:r w:rsidRPr="00A9451C">
        <w:rPr>
          <w:sz w:val="20"/>
          <w:szCs w:val="20"/>
          <w:highlight w:val="white"/>
        </w:rPr>
        <w:t xml:space="preserve"> show the </w:t>
      </w:r>
      <w:r w:rsidRPr="00A9451C">
        <w:rPr>
          <w:b/>
          <w:bCs/>
          <w:sz w:val="20"/>
          <w:szCs w:val="20"/>
          <w:highlight w:val="white"/>
        </w:rPr>
        <w:t>highest prevalence of undernutrition (underweight, stunting, wasting)</w:t>
      </w:r>
      <w:r w:rsidRPr="00A9451C">
        <w:rPr>
          <w:sz w:val="20"/>
          <w:szCs w:val="20"/>
          <w:highlight w:val="white"/>
        </w:rPr>
        <w:t>.</w:t>
      </w:r>
    </w:p>
    <w:p w14:paraId="4D0FE93A" w14:textId="77777777" w:rsidR="00A9451C" w:rsidRPr="00A9451C" w:rsidRDefault="00A9451C" w:rsidP="00A9451C">
      <w:pPr>
        <w:numPr>
          <w:ilvl w:val="0"/>
          <w:numId w:val="11"/>
        </w:numPr>
        <w:shd w:val="clear" w:color="auto" w:fill="FFFFFF"/>
        <w:rPr>
          <w:sz w:val="20"/>
          <w:szCs w:val="20"/>
          <w:highlight w:val="white"/>
        </w:rPr>
      </w:pPr>
      <w:r w:rsidRPr="00A9451C">
        <w:rPr>
          <w:b/>
          <w:bCs/>
          <w:sz w:val="20"/>
          <w:szCs w:val="20"/>
          <w:highlight w:val="white"/>
        </w:rPr>
        <w:t>High-income countries</w:t>
      </w:r>
      <w:r w:rsidRPr="00A9451C">
        <w:rPr>
          <w:sz w:val="20"/>
          <w:szCs w:val="20"/>
          <w:highlight w:val="white"/>
        </w:rPr>
        <w:t xml:space="preserve"> exhibit significantly higher </w:t>
      </w:r>
      <w:r w:rsidRPr="00A9451C">
        <w:rPr>
          <w:b/>
          <w:bCs/>
          <w:sz w:val="20"/>
          <w:szCs w:val="20"/>
          <w:highlight w:val="white"/>
        </w:rPr>
        <w:t>overweight rates</w:t>
      </w:r>
      <w:r w:rsidRPr="00A9451C">
        <w:rPr>
          <w:sz w:val="20"/>
          <w:szCs w:val="20"/>
          <w:highlight w:val="white"/>
        </w:rPr>
        <w:t xml:space="preserve"> among children under five.</w:t>
      </w:r>
    </w:p>
    <w:p w14:paraId="767327D0" w14:textId="77777777" w:rsidR="00A9451C" w:rsidRPr="00A9451C" w:rsidRDefault="00A9451C" w:rsidP="00A9451C">
      <w:pPr>
        <w:numPr>
          <w:ilvl w:val="0"/>
          <w:numId w:val="11"/>
        </w:numPr>
        <w:shd w:val="clear" w:color="auto" w:fill="FFFFFF"/>
        <w:rPr>
          <w:sz w:val="20"/>
          <w:szCs w:val="20"/>
          <w:highlight w:val="white"/>
        </w:rPr>
      </w:pPr>
      <w:r w:rsidRPr="00A9451C">
        <w:rPr>
          <w:b/>
          <w:bCs/>
          <w:sz w:val="20"/>
          <w:szCs w:val="20"/>
          <w:highlight w:val="white"/>
        </w:rPr>
        <w:t>LDCs (Least Developed Countries)</w:t>
      </w:r>
      <w:r w:rsidRPr="00A9451C">
        <w:rPr>
          <w:sz w:val="20"/>
          <w:szCs w:val="20"/>
          <w:highlight w:val="white"/>
        </w:rPr>
        <w:t xml:space="preserve"> and </w:t>
      </w:r>
      <w:r w:rsidRPr="00A9451C">
        <w:rPr>
          <w:b/>
          <w:bCs/>
          <w:sz w:val="20"/>
          <w:szCs w:val="20"/>
          <w:highlight w:val="white"/>
        </w:rPr>
        <w:t>LLDCs (Landlocked Developing Countries)</w:t>
      </w:r>
      <w:r w:rsidRPr="00A9451C">
        <w:rPr>
          <w:sz w:val="20"/>
          <w:szCs w:val="20"/>
          <w:highlight w:val="white"/>
        </w:rPr>
        <w:t xml:space="preserve"> are the most vulnerable categories.</w:t>
      </w:r>
    </w:p>
    <w:p w14:paraId="3ACB5D49" w14:textId="0A2D5433" w:rsidR="00A9451C" w:rsidRPr="00A9451C" w:rsidRDefault="00A9451C" w:rsidP="00A9451C">
      <w:pPr>
        <w:shd w:val="clear" w:color="auto" w:fill="FFFFFF"/>
        <w:rPr>
          <w:sz w:val="20"/>
          <w:szCs w:val="20"/>
          <w:highlight w:val="white"/>
        </w:rPr>
      </w:pPr>
    </w:p>
    <w:p w14:paraId="26C683C6" w14:textId="77777777" w:rsidR="00A9451C" w:rsidRPr="00A9451C" w:rsidRDefault="00A9451C" w:rsidP="00A9451C">
      <w:pPr>
        <w:shd w:val="clear" w:color="auto" w:fill="FFFFFF"/>
        <w:rPr>
          <w:b/>
          <w:bCs/>
          <w:sz w:val="20"/>
          <w:szCs w:val="20"/>
          <w:highlight w:val="white"/>
        </w:rPr>
      </w:pPr>
      <w:r w:rsidRPr="00A9451C">
        <w:rPr>
          <w:b/>
          <w:bCs/>
          <w:sz w:val="20"/>
          <w:szCs w:val="20"/>
          <w:highlight w:val="white"/>
        </w:rPr>
        <w:t>3. Regional and Country-Level Disparities</w:t>
      </w:r>
    </w:p>
    <w:p w14:paraId="28BA1CFF" w14:textId="77777777" w:rsidR="00A9451C" w:rsidRPr="00A9451C" w:rsidRDefault="00A9451C" w:rsidP="00A9451C">
      <w:pPr>
        <w:numPr>
          <w:ilvl w:val="0"/>
          <w:numId w:val="12"/>
        </w:numPr>
        <w:shd w:val="clear" w:color="auto" w:fill="FFFFFF"/>
        <w:rPr>
          <w:sz w:val="20"/>
          <w:szCs w:val="20"/>
          <w:highlight w:val="white"/>
        </w:rPr>
      </w:pPr>
      <w:r w:rsidRPr="00A9451C">
        <w:rPr>
          <w:b/>
          <w:bCs/>
          <w:sz w:val="20"/>
          <w:szCs w:val="20"/>
          <w:highlight w:val="white"/>
        </w:rPr>
        <w:t>South Asia and Sub-Saharan Africa</w:t>
      </w:r>
      <w:r w:rsidRPr="00A9451C">
        <w:rPr>
          <w:sz w:val="20"/>
          <w:szCs w:val="20"/>
          <w:highlight w:val="white"/>
        </w:rPr>
        <w:t xml:space="preserve"> show the highest rates of underweight and stunting.</w:t>
      </w:r>
    </w:p>
    <w:p w14:paraId="06F722DB" w14:textId="77777777" w:rsidR="00A9451C" w:rsidRPr="00A9451C" w:rsidRDefault="00A9451C" w:rsidP="00A9451C">
      <w:pPr>
        <w:numPr>
          <w:ilvl w:val="0"/>
          <w:numId w:val="12"/>
        </w:numPr>
        <w:shd w:val="clear" w:color="auto" w:fill="FFFFFF"/>
        <w:rPr>
          <w:sz w:val="20"/>
          <w:szCs w:val="20"/>
          <w:highlight w:val="white"/>
        </w:rPr>
      </w:pPr>
      <w:r w:rsidRPr="00A9451C">
        <w:rPr>
          <w:b/>
          <w:bCs/>
          <w:sz w:val="20"/>
          <w:szCs w:val="20"/>
          <w:highlight w:val="white"/>
        </w:rPr>
        <w:t>Latin America and East Asia</w:t>
      </w:r>
      <w:r w:rsidRPr="00A9451C">
        <w:rPr>
          <w:sz w:val="20"/>
          <w:szCs w:val="20"/>
          <w:highlight w:val="white"/>
        </w:rPr>
        <w:t xml:space="preserve"> show improvements, but still face overweight issues in higher-income brackets.</w:t>
      </w:r>
    </w:p>
    <w:p w14:paraId="5200D239" w14:textId="77777777" w:rsidR="00A9451C" w:rsidRPr="00A9451C" w:rsidRDefault="00A9451C" w:rsidP="00A9451C">
      <w:pPr>
        <w:numPr>
          <w:ilvl w:val="0"/>
          <w:numId w:val="12"/>
        </w:numPr>
        <w:shd w:val="clear" w:color="auto" w:fill="FFFFFF"/>
        <w:rPr>
          <w:sz w:val="20"/>
          <w:szCs w:val="20"/>
          <w:highlight w:val="white"/>
        </w:rPr>
      </w:pPr>
      <w:r w:rsidRPr="00A9451C">
        <w:rPr>
          <w:sz w:val="20"/>
          <w:szCs w:val="20"/>
          <w:highlight w:val="white"/>
        </w:rPr>
        <w:t>Country-specific analysis highlights outliers (e.g., some high-income countries with sharp increases in overweight).</w:t>
      </w:r>
    </w:p>
    <w:p w14:paraId="048DA40F" w14:textId="0803F063" w:rsidR="00A9451C" w:rsidRPr="00A9451C" w:rsidRDefault="00A9451C" w:rsidP="00A9451C">
      <w:pPr>
        <w:shd w:val="clear" w:color="auto" w:fill="FFFFFF"/>
        <w:rPr>
          <w:sz w:val="20"/>
          <w:szCs w:val="20"/>
          <w:highlight w:val="white"/>
        </w:rPr>
      </w:pPr>
    </w:p>
    <w:p w14:paraId="48DB94A3" w14:textId="77777777" w:rsidR="00A9451C" w:rsidRPr="00A9451C" w:rsidRDefault="00A9451C" w:rsidP="00A9451C">
      <w:pPr>
        <w:shd w:val="clear" w:color="auto" w:fill="FFFFFF"/>
        <w:rPr>
          <w:b/>
          <w:bCs/>
          <w:sz w:val="20"/>
          <w:szCs w:val="20"/>
          <w:highlight w:val="white"/>
        </w:rPr>
      </w:pPr>
      <w:r w:rsidRPr="00A9451C">
        <w:rPr>
          <w:b/>
          <w:bCs/>
          <w:sz w:val="20"/>
          <w:szCs w:val="20"/>
          <w:highlight w:val="white"/>
        </w:rPr>
        <w:t>4. Goal Achievement (Progress toward SDG-2: Zero Hunger)</w:t>
      </w:r>
    </w:p>
    <w:p w14:paraId="2AE20C1B" w14:textId="77777777" w:rsidR="00A9451C" w:rsidRPr="00A9451C" w:rsidRDefault="00A9451C" w:rsidP="00A9451C">
      <w:pPr>
        <w:numPr>
          <w:ilvl w:val="0"/>
          <w:numId w:val="13"/>
        </w:numPr>
        <w:shd w:val="clear" w:color="auto" w:fill="FFFFFF"/>
        <w:rPr>
          <w:sz w:val="20"/>
          <w:szCs w:val="20"/>
          <w:highlight w:val="white"/>
        </w:rPr>
      </w:pPr>
      <w:r w:rsidRPr="00A9451C">
        <w:rPr>
          <w:sz w:val="20"/>
          <w:szCs w:val="20"/>
          <w:highlight w:val="white"/>
        </w:rPr>
        <w:t xml:space="preserve">While some reduction in stunting and underweight is visible, </w:t>
      </w:r>
      <w:r w:rsidRPr="00A9451C">
        <w:rPr>
          <w:b/>
          <w:bCs/>
          <w:sz w:val="20"/>
          <w:szCs w:val="20"/>
          <w:highlight w:val="white"/>
        </w:rPr>
        <w:t>global targets are not yet fully met</w:t>
      </w:r>
      <w:r w:rsidRPr="00A9451C">
        <w:rPr>
          <w:sz w:val="20"/>
          <w:szCs w:val="20"/>
          <w:highlight w:val="white"/>
        </w:rPr>
        <w:t>.</w:t>
      </w:r>
    </w:p>
    <w:p w14:paraId="3CF727F3" w14:textId="77777777" w:rsidR="00A9451C" w:rsidRPr="00A9451C" w:rsidRDefault="00A9451C" w:rsidP="00A9451C">
      <w:pPr>
        <w:numPr>
          <w:ilvl w:val="0"/>
          <w:numId w:val="13"/>
        </w:numPr>
        <w:shd w:val="clear" w:color="auto" w:fill="FFFFFF"/>
        <w:rPr>
          <w:sz w:val="20"/>
          <w:szCs w:val="20"/>
          <w:highlight w:val="white"/>
        </w:rPr>
      </w:pPr>
      <w:r w:rsidRPr="00A9451C">
        <w:rPr>
          <w:sz w:val="20"/>
          <w:szCs w:val="20"/>
          <w:highlight w:val="white"/>
        </w:rPr>
        <w:t xml:space="preserve">The persistence of undernutrition in low-income countries signals </w:t>
      </w:r>
      <w:r w:rsidRPr="00A9451C">
        <w:rPr>
          <w:b/>
          <w:bCs/>
          <w:sz w:val="20"/>
          <w:szCs w:val="20"/>
          <w:highlight w:val="white"/>
        </w:rPr>
        <w:t>insufficient resource allocation</w:t>
      </w:r>
      <w:r w:rsidRPr="00A9451C">
        <w:rPr>
          <w:sz w:val="20"/>
          <w:szCs w:val="20"/>
          <w:highlight w:val="white"/>
        </w:rPr>
        <w:t>.</w:t>
      </w:r>
    </w:p>
    <w:p w14:paraId="70C45B55" w14:textId="77777777" w:rsidR="00A9451C" w:rsidRPr="00A9451C" w:rsidRDefault="00A9451C" w:rsidP="00A9451C">
      <w:pPr>
        <w:numPr>
          <w:ilvl w:val="0"/>
          <w:numId w:val="13"/>
        </w:numPr>
        <w:shd w:val="clear" w:color="auto" w:fill="FFFFFF"/>
        <w:rPr>
          <w:sz w:val="20"/>
          <w:szCs w:val="20"/>
          <w:highlight w:val="white"/>
        </w:rPr>
      </w:pPr>
      <w:r w:rsidRPr="00A9451C">
        <w:rPr>
          <w:sz w:val="20"/>
          <w:szCs w:val="20"/>
          <w:highlight w:val="white"/>
        </w:rPr>
        <w:t>Overweight rise in wealthier countries shows a shift in the malnutrition problem rather than a complete resolution.</w:t>
      </w:r>
    </w:p>
    <w:p w14:paraId="37F0C5B7" w14:textId="1A29C0DC" w:rsidR="00A9451C" w:rsidRPr="00A9451C" w:rsidRDefault="00A9451C" w:rsidP="00A9451C">
      <w:pPr>
        <w:shd w:val="clear" w:color="auto" w:fill="FFFFFF"/>
        <w:rPr>
          <w:sz w:val="20"/>
          <w:szCs w:val="20"/>
          <w:highlight w:val="white"/>
        </w:rPr>
      </w:pPr>
    </w:p>
    <w:p w14:paraId="2ADDBE72" w14:textId="77777777" w:rsidR="00A9451C" w:rsidRPr="00A9451C" w:rsidRDefault="00A9451C" w:rsidP="00A9451C">
      <w:pPr>
        <w:shd w:val="clear" w:color="auto" w:fill="FFFFFF"/>
        <w:rPr>
          <w:b/>
          <w:bCs/>
          <w:sz w:val="20"/>
          <w:szCs w:val="20"/>
          <w:highlight w:val="white"/>
        </w:rPr>
      </w:pPr>
      <w:r w:rsidRPr="00A9451C">
        <w:rPr>
          <w:b/>
          <w:bCs/>
          <w:sz w:val="20"/>
          <w:szCs w:val="20"/>
          <w:highlight w:val="white"/>
        </w:rPr>
        <w:t>5. Key Report Outcomes</w:t>
      </w:r>
    </w:p>
    <w:p w14:paraId="17DFE166" w14:textId="75857E5A" w:rsidR="00A9451C" w:rsidRPr="00A9451C" w:rsidRDefault="00A9451C" w:rsidP="00A9451C">
      <w:pPr>
        <w:numPr>
          <w:ilvl w:val="0"/>
          <w:numId w:val="14"/>
        </w:numPr>
        <w:shd w:val="clear" w:color="auto" w:fill="FFFFFF"/>
        <w:rPr>
          <w:sz w:val="20"/>
          <w:szCs w:val="20"/>
          <w:highlight w:val="white"/>
        </w:rPr>
      </w:pPr>
      <w:r w:rsidRPr="00A9451C">
        <w:rPr>
          <w:b/>
          <w:bCs/>
          <w:sz w:val="20"/>
          <w:szCs w:val="20"/>
          <w:highlight w:val="white"/>
        </w:rPr>
        <w:t>Survey Coverage:</w:t>
      </w:r>
      <w:r w:rsidRPr="00A9451C">
        <w:rPr>
          <w:sz w:val="20"/>
          <w:szCs w:val="20"/>
          <w:highlight w:val="white"/>
        </w:rPr>
        <w:t xml:space="preserve"> </w:t>
      </w:r>
      <w:r>
        <w:rPr>
          <w:sz w:val="20"/>
          <w:szCs w:val="20"/>
          <w:highlight w:val="white"/>
        </w:rPr>
        <w:t>343</w:t>
      </w:r>
      <w:bookmarkStart w:id="0" w:name="_GoBack"/>
      <w:bookmarkEnd w:id="0"/>
      <w:r w:rsidRPr="00A9451C">
        <w:rPr>
          <w:sz w:val="20"/>
          <w:szCs w:val="20"/>
          <w:highlight w:val="white"/>
        </w:rPr>
        <w:t xml:space="preserve"> million samples ensure robust findings.</w:t>
      </w:r>
    </w:p>
    <w:p w14:paraId="02D6D28F" w14:textId="77777777" w:rsidR="00A9451C" w:rsidRPr="00A9451C" w:rsidRDefault="00A9451C" w:rsidP="00A9451C">
      <w:pPr>
        <w:numPr>
          <w:ilvl w:val="0"/>
          <w:numId w:val="14"/>
        </w:numPr>
        <w:shd w:val="clear" w:color="auto" w:fill="FFFFFF"/>
        <w:rPr>
          <w:sz w:val="20"/>
          <w:szCs w:val="20"/>
          <w:highlight w:val="white"/>
        </w:rPr>
      </w:pPr>
      <w:r w:rsidRPr="00A9451C">
        <w:rPr>
          <w:b/>
          <w:bCs/>
          <w:sz w:val="20"/>
          <w:szCs w:val="20"/>
          <w:highlight w:val="white"/>
        </w:rPr>
        <w:t>Underweight Cases:</w:t>
      </w:r>
      <w:r w:rsidRPr="00A9451C">
        <w:rPr>
          <w:sz w:val="20"/>
          <w:szCs w:val="20"/>
          <w:highlight w:val="white"/>
        </w:rPr>
        <w:t xml:space="preserve"> 2,080 cases highlight critical undernutrition issues.</w:t>
      </w:r>
    </w:p>
    <w:p w14:paraId="06587CE3" w14:textId="77777777" w:rsidR="00A9451C" w:rsidRPr="00A9451C" w:rsidRDefault="00A9451C" w:rsidP="00A9451C">
      <w:pPr>
        <w:numPr>
          <w:ilvl w:val="0"/>
          <w:numId w:val="14"/>
        </w:numPr>
        <w:shd w:val="clear" w:color="auto" w:fill="FFFFFF"/>
        <w:rPr>
          <w:sz w:val="20"/>
          <w:szCs w:val="20"/>
          <w:highlight w:val="white"/>
        </w:rPr>
      </w:pPr>
      <w:r w:rsidRPr="00A9451C">
        <w:rPr>
          <w:b/>
          <w:bCs/>
          <w:sz w:val="20"/>
          <w:szCs w:val="20"/>
          <w:highlight w:val="white"/>
        </w:rPr>
        <w:t>Stunting Correlation:</w:t>
      </w:r>
      <w:r w:rsidRPr="00A9451C">
        <w:rPr>
          <w:sz w:val="20"/>
          <w:szCs w:val="20"/>
          <w:highlight w:val="white"/>
        </w:rPr>
        <w:t xml:space="preserve"> Strong negative correlation between income levels and stunting prevalence.</w:t>
      </w:r>
    </w:p>
    <w:p w14:paraId="0BBBC824" w14:textId="77777777" w:rsidR="00A9451C" w:rsidRPr="00A9451C" w:rsidRDefault="00A9451C" w:rsidP="00A9451C">
      <w:pPr>
        <w:numPr>
          <w:ilvl w:val="0"/>
          <w:numId w:val="14"/>
        </w:numPr>
        <w:shd w:val="clear" w:color="auto" w:fill="FFFFFF"/>
        <w:rPr>
          <w:sz w:val="20"/>
          <w:szCs w:val="20"/>
          <w:highlight w:val="white"/>
        </w:rPr>
      </w:pPr>
      <w:r w:rsidRPr="00A9451C">
        <w:rPr>
          <w:b/>
          <w:bCs/>
          <w:sz w:val="20"/>
          <w:szCs w:val="20"/>
          <w:highlight w:val="white"/>
        </w:rPr>
        <w:t>Overweight Trends:</w:t>
      </w:r>
      <w:r w:rsidRPr="00A9451C">
        <w:rPr>
          <w:sz w:val="20"/>
          <w:szCs w:val="20"/>
          <w:highlight w:val="white"/>
        </w:rPr>
        <w:t xml:space="preserve"> Growing in high-income groups, requiring a balance in nutrition strategies.</w:t>
      </w:r>
    </w:p>
    <w:p w14:paraId="3DF9D5F9" w14:textId="77777777" w:rsidR="00A9451C" w:rsidRPr="00A9451C" w:rsidRDefault="00A9451C" w:rsidP="00A9451C">
      <w:pPr>
        <w:numPr>
          <w:ilvl w:val="0"/>
          <w:numId w:val="14"/>
        </w:numPr>
        <w:shd w:val="clear" w:color="auto" w:fill="FFFFFF"/>
        <w:rPr>
          <w:sz w:val="20"/>
          <w:szCs w:val="20"/>
          <w:highlight w:val="white"/>
        </w:rPr>
      </w:pPr>
      <w:r w:rsidRPr="00A9451C">
        <w:rPr>
          <w:b/>
          <w:bCs/>
          <w:sz w:val="20"/>
          <w:szCs w:val="20"/>
          <w:highlight w:val="white"/>
        </w:rPr>
        <w:t>Regional Focus:</w:t>
      </w:r>
      <w:r w:rsidRPr="00A9451C">
        <w:rPr>
          <w:sz w:val="20"/>
          <w:szCs w:val="20"/>
          <w:highlight w:val="white"/>
        </w:rPr>
        <w:t xml:space="preserve"> South Asia and Sub-Saharan Africa remain the most affected areas.</w:t>
      </w:r>
    </w:p>
    <w:p w14:paraId="6394A659" w14:textId="77777777" w:rsidR="00A9451C" w:rsidRDefault="00A9451C" w:rsidP="00A9451C">
      <w:pPr>
        <w:shd w:val="clear" w:color="auto" w:fill="FFFFFF"/>
        <w:rPr>
          <w:sz w:val="20"/>
          <w:szCs w:val="20"/>
          <w:highlight w:val="white"/>
        </w:rPr>
      </w:pPr>
    </w:p>
    <w:sectPr w:rsidR="00A9451C">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739AC"/>
    <w:multiLevelType w:val="multilevel"/>
    <w:tmpl w:val="85C8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D0C11"/>
    <w:multiLevelType w:val="hybridMultilevel"/>
    <w:tmpl w:val="602AC966"/>
    <w:lvl w:ilvl="0" w:tplc="BAFC090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6426AA"/>
    <w:multiLevelType w:val="multilevel"/>
    <w:tmpl w:val="1F54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31B9A"/>
    <w:multiLevelType w:val="multilevel"/>
    <w:tmpl w:val="1938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B1DE4"/>
    <w:multiLevelType w:val="multilevel"/>
    <w:tmpl w:val="EB4C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A03C1"/>
    <w:multiLevelType w:val="multilevel"/>
    <w:tmpl w:val="49D62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77149"/>
    <w:multiLevelType w:val="multilevel"/>
    <w:tmpl w:val="BA3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0627A"/>
    <w:multiLevelType w:val="multilevel"/>
    <w:tmpl w:val="8170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07B65"/>
    <w:multiLevelType w:val="multilevel"/>
    <w:tmpl w:val="48600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EC3C0C"/>
    <w:multiLevelType w:val="multilevel"/>
    <w:tmpl w:val="BF2E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775AC7"/>
    <w:multiLevelType w:val="multilevel"/>
    <w:tmpl w:val="8AD0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C5BB9"/>
    <w:multiLevelType w:val="multilevel"/>
    <w:tmpl w:val="429E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BF79E6"/>
    <w:multiLevelType w:val="multilevel"/>
    <w:tmpl w:val="6FA8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FA07F9"/>
    <w:multiLevelType w:val="multilevel"/>
    <w:tmpl w:val="FDDE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6"/>
  </w:num>
  <w:num w:numId="4">
    <w:abstractNumId w:val="4"/>
  </w:num>
  <w:num w:numId="5">
    <w:abstractNumId w:val="7"/>
  </w:num>
  <w:num w:numId="6">
    <w:abstractNumId w:val="5"/>
  </w:num>
  <w:num w:numId="7">
    <w:abstractNumId w:val="11"/>
  </w:num>
  <w:num w:numId="8">
    <w:abstractNumId w:val="13"/>
  </w:num>
  <w:num w:numId="9">
    <w:abstractNumId w:val="1"/>
  </w:num>
  <w:num w:numId="10">
    <w:abstractNumId w:val="8"/>
  </w:num>
  <w:num w:numId="11">
    <w:abstractNumId w:val="2"/>
  </w:num>
  <w:num w:numId="12">
    <w:abstractNumId w:val="0"/>
  </w:num>
  <w:num w:numId="13">
    <w:abstractNumId w:val="9"/>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545"/>
    <w:rsid w:val="001260E5"/>
    <w:rsid w:val="00642171"/>
    <w:rsid w:val="00720545"/>
    <w:rsid w:val="00A136B3"/>
    <w:rsid w:val="00A20696"/>
    <w:rsid w:val="00A9451C"/>
    <w:rsid w:val="00AF7735"/>
    <w:rsid w:val="00D043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81C7"/>
  <w15:docId w15:val="{2E7B4615-B819-423E-B84E-0116EE79E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31775">
      <w:bodyDiv w:val="1"/>
      <w:marLeft w:val="0"/>
      <w:marRight w:val="0"/>
      <w:marTop w:val="0"/>
      <w:marBottom w:val="0"/>
      <w:divBdr>
        <w:top w:val="none" w:sz="0" w:space="0" w:color="auto"/>
        <w:left w:val="none" w:sz="0" w:space="0" w:color="auto"/>
        <w:bottom w:val="none" w:sz="0" w:space="0" w:color="auto"/>
        <w:right w:val="none" w:sz="0" w:space="0" w:color="auto"/>
      </w:divBdr>
    </w:div>
    <w:div w:id="112866722">
      <w:bodyDiv w:val="1"/>
      <w:marLeft w:val="0"/>
      <w:marRight w:val="0"/>
      <w:marTop w:val="0"/>
      <w:marBottom w:val="0"/>
      <w:divBdr>
        <w:top w:val="none" w:sz="0" w:space="0" w:color="auto"/>
        <w:left w:val="none" w:sz="0" w:space="0" w:color="auto"/>
        <w:bottom w:val="none" w:sz="0" w:space="0" w:color="auto"/>
        <w:right w:val="none" w:sz="0" w:space="0" w:color="auto"/>
      </w:divBdr>
    </w:div>
    <w:div w:id="141044521">
      <w:bodyDiv w:val="1"/>
      <w:marLeft w:val="0"/>
      <w:marRight w:val="0"/>
      <w:marTop w:val="0"/>
      <w:marBottom w:val="0"/>
      <w:divBdr>
        <w:top w:val="none" w:sz="0" w:space="0" w:color="auto"/>
        <w:left w:val="none" w:sz="0" w:space="0" w:color="auto"/>
        <w:bottom w:val="none" w:sz="0" w:space="0" w:color="auto"/>
        <w:right w:val="none" w:sz="0" w:space="0" w:color="auto"/>
      </w:divBdr>
    </w:div>
    <w:div w:id="143741169">
      <w:bodyDiv w:val="1"/>
      <w:marLeft w:val="0"/>
      <w:marRight w:val="0"/>
      <w:marTop w:val="0"/>
      <w:marBottom w:val="0"/>
      <w:divBdr>
        <w:top w:val="none" w:sz="0" w:space="0" w:color="auto"/>
        <w:left w:val="none" w:sz="0" w:space="0" w:color="auto"/>
        <w:bottom w:val="none" w:sz="0" w:space="0" w:color="auto"/>
        <w:right w:val="none" w:sz="0" w:space="0" w:color="auto"/>
      </w:divBdr>
    </w:div>
    <w:div w:id="287318182">
      <w:bodyDiv w:val="1"/>
      <w:marLeft w:val="0"/>
      <w:marRight w:val="0"/>
      <w:marTop w:val="0"/>
      <w:marBottom w:val="0"/>
      <w:divBdr>
        <w:top w:val="none" w:sz="0" w:space="0" w:color="auto"/>
        <w:left w:val="none" w:sz="0" w:space="0" w:color="auto"/>
        <w:bottom w:val="none" w:sz="0" w:space="0" w:color="auto"/>
        <w:right w:val="none" w:sz="0" w:space="0" w:color="auto"/>
      </w:divBdr>
    </w:div>
    <w:div w:id="305936910">
      <w:bodyDiv w:val="1"/>
      <w:marLeft w:val="0"/>
      <w:marRight w:val="0"/>
      <w:marTop w:val="0"/>
      <w:marBottom w:val="0"/>
      <w:divBdr>
        <w:top w:val="none" w:sz="0" w:space="0" w:color="auto"/>
        <w:left w:val="none" w:sz="0" w:space="0" w:color="auto"/>
        <w:bottom w:val="none" w:sz="0" w:space="0" w:color="auto"/>
        <w:right w:val="none" w:sz="0" w:space="0" w:color="auto"/>
      </w:divBdr>
    </w:div>
    <w:div w:id="381370440">
      <w:bodyDiv w:val="1"/>
      <w:marLeft w:val="0"/>
      <w:marRight w:val="0"/>
      <w:marTop w:val="0"/>
      <w:marBottom w:val="0"/>
      <w:divBdr>
        <w:top w:val="none" w:sz="0" w:space="0" w:color="auto"/>
        <w:left w:val="none" w:sz="0" w:space="0" w:color="auto"/>
        <w:bottom w:val="none" w:sz="0" w:space="0" w:color="auto"/>
        <w:right w:val="none" w:sz="0" w:space="0" w:color="auto"/>
      </w:divBdr>
    </w:div>
    <w:div w:id="381684127">
      <w:bodyDiv w:val="1"/>
      <w:marLeft w:val="0"/>
      <w:marRight w:val="0"/>
      <w:marTop w:val="0"/>
      <w:marBottom w:val="0"/>
      <w:divBdr>
        <w:top w:val="none" w:sz="0" w:space="0" w:color="auto"/>
        <w:left w:val="none" w:sz="0" w:space="0" w:color="auto"/>
        <w:bottom w:val="none" w:sz="0" w:space="0" w:color="auto"/>
        <w:right w:val="none" w:sz="0" w:space="0" w:color="auto"/>
      </w:divBdr>
    </w:div>
    <w:div w:id="1000738045">
      <w:bodyDiv w:val="1"/>
      <w:marLeft w:val="0"/>
      <w:marRight w:val="0"/>
      <w:marTop w:val="0"/>
      <w:marBottom w:val="0"/>
      <w:divBdr>
        <w:top w:val="none" w:sz="0" w:space="0" w:color="auto"/>
        <w:left w:val="none" w:sz="0" w:space="0" w:color="auto"/>
        <w:bottom w:val="none" w:sz="0" w:space="0" w:color="auto"/>
        <w:right w:val="none" w:sz="0" w:space="0" w:color="auto"/>
      </w:divBdr>
    </w:div>
    <w:div w:id="1093553476">
      <w:bodyDiv w:val="1"/>
      <w:marLeft w:val="0"/>
      <w:marRight w:val="0"/>
      <w:marTop w:val="0"/>
      <w:marBottom w:val="0"/>
      <w:divBdr>
        <w:top w:val="none" w:sz="0" w:space="0" w:color="auto"/>
        <w:left w:val="none" w:sz="0" w:space="0" w:color="auto"/>
        <w:bottom w:val="none" w:sz="0" w:space="0" w:color="auto"/>
        <w:right w:val="none" w:sz="0" w:space="0" w:color="auto"/>
      </w:divBdr>
    </w:div>
    <w:div w:id="1159808390">
      <w:bodyDiv w:val="1"/>
      <w:marLeft w:val="0"/>
      <w:marRight w:val="0"/>
      <w:marTop w:val="0"/>
      <w:marBottom w:val="0"/>
      <w:divBdr>
        <w:top w:val="none" w:sz="0" w:space="0" w:color="auto"/>
        <w:left w:val="none" w:sz="0" w:space="0" w:color="auto"/>
        <w:bottom w:val="none" w:sz="0" w:space="0" w:color="auto"/>
        <w:right w:val="none" w:sz="0" w:space="0" w:color="auto"/>
      </w:divBdr>
    </w:div>
    <w:div w:id="1165826404">
      <w:bodyDiv w:val="1"/>
      <w:marLeft w:val="0"/>
      <w:marRight w:val="0"/>
      <w:marTop w:val="0"/>
      <w:marBottom w:val="0"/>
      <w:divBdr>
        <w:top w:val="none" w:sz="0" w:space="0" w:color="auto"/>
        <w:left w:val="none" w:sz="0" w:space="0" w:color="auto"/>
        <w:bottom w:val="none" w:sz="0" w:space="0" w:color="auto"/>
        <w:right w:val="none" w:sz="0" w:space="0" w:color="auto"/>
      </w:divBdr>
    </w:div>
    <w:div w:id="1294285948">
      <w:bodyDiv w:val="1"/>
      <w:marLeft w:val="0"/>
      <w:marRight w:val="0"/>
      <w:marTop w:val="0"/>
      <w:marBottom w:val="0"/>
      <w:divBdr>
        <w:top w:val="none" w:sz="0" w:space="0" w:color="auto"/>
        <w:left w:val="none" w:sz="0" w:space="0" w:color="auto"/>
        <w:bottom w:val="none" w:sz="0" w:space="0" w:color="auto"/>
        <w:right w:val="none" w:sz="0" w:space="0" w:color="auto"/>
      </w:divBdr>
    </w:div>
    <w:div w:id="1345673870">
      <w:bodyDiv w:val="1"/>
      <w:marLeft w:val="0"/>
      <w:marRight w:val="0"/>
      <w:marTop w:val="0"/>
      <w:marBottom w:val="0"/>
      <w:divBdr>
        <w:top w:val="none" w:sz="0" w:space="0" w:color="auto"/>
        <w:left w:val="none" w:sz="0" w:space="0" w:color="auto"/>
        <w:bottom w:val="none" w:sz="0" w:space="0" w:color="auto"/>
        <w:right w:val="none" w:sz="0" w:space="0" w:color="auto"/>
      </w:divBdr>
    </w:div>
    <w:div w:id="1455296991">
      <w:bodyDiv w:val="1"/>
      <w:marLeft w:val="0"/>
      <w:marRight w:val="0"/>
      <w:marTop w:val="0"/>
      <w:marBottom w:val="0"/>
      <w:divBdr>
        <w:top w:val="none" w:sz="0" w:space="0" w:color="auto"/>
        <w:left w:val="none" w:sz="0" w:space="0" w:color="auto"/>
        <w:bottom w:val="none" w:sz="0" w:space="0" w:color="auto"/>
        <w:right w:val="none" w:sz="0" w:space="0" w:color="auto"/>
      </w:divBdr>
    </w:div>
    <w:div w:id="1647273388">
      <w:bodyDiv w:val="1"/>
      <w:marLeft w:val="0"/>
      <w:marRight w:val="0"/>
      <w:marTop w:val="0"/>
      <w:marBottom w:val="0"/>
      <w:divBdr>
        <w:top w:val="none" w:sz="0" w:space="0" w:color="auto"/>
        <w:left w:val="none" w:sz="0" w:space="0" w:color="auto"/>
        <w:bottom w:val="none" w:sz="0" w:space="0" w:color="auto"/>
        <w:right w:val="none" w:sz="0" w:space="0" w:color="auto"/>
      </w:divBdr>
    </w:div>
    <w:div w:id="1866865089">
      <w:bodyDiv w:val="1"/>
      <w:marLeft w:val="0"/>
      <w:marRight w:val="0"/>
      <w:marTop w:val="0"/>
      <w:marBottom w:val="0"/>
      <w:divBdr>
        <w:top w:val="none" w:sz="0" w:space="0" w:color="auto"/>
        <w:left w:val="none" w:sz="0" w:space="0" w:color="auto"/>
        <w:bottom w:val="none" w:sz="0" w:space="0" w:color="auto"/>
        <w:right w:val="none" w:sz="0" w:space="0" w:color="auto"/>
      </w:divBdr>
    </w:div>
    <w:div w:id="2023821275">
      <w:bodyDiv w:val="1"/>
      <w:marLeft w:val="0"/>
      <w:marRight w:val="0"/>
      <w:marTop w:val="0"/>
      <w:marBottom w:val="0"/>
      <w:divBdr>
        <w:top w:val="none" w:sz="0" w:space="0" w:color="auto"/>
        <w:left w:val="none" w:sz="0" w:space="0" w:color="auto"/>
        <w:bottom w:val="none" w:sz="0" w:space="0" w:color="auto"/>
        <w:right w:val="none" w:sz="0" w:space="0" w:color="auto"/>
      </w:divBdr>
    </w:div>
    <w:div w:id="2142382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mzENzSK+DYbDTtIJ60h9xwbcnw==">CgMxLjA4AHIhMVdSNElNS1BzRi1LdVRvbU94ZWRVWFh1U0pHdEFEMkFi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Admin</cp:lastModifiedBy>
  <cp:revision>4</cp:revision>
  <dcterms:created xsi:type="dcterms:W3CDTF">2024-01-13T08:53:00Z</dcterms:created>
  <dcterms:modified xsi:type="dcterms:W3CDTF">2025-10-06T11:36:00Z</dcterms:modified>
</cp:coreProperties>
</file>