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TOUCHLINE   /   TECH-003</w:t>
      </w:r>
    </w:p>
    <w:p>
      <w:pPr>
        <w:pStyle w:val="Title"/>
      </w:pPr>
      <w:r>
        <w:t>Technical Specification &amp; Data Contracts</w:t>
      </w:r>
    </w:p>
    <w:p>
      <w:r>
        <w:t>Architecture decisions, relational model, authorization, canvas schema, interfaces and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9F4EE"/>
          </w:tcPr>
          <w:p>
            <w:r>
              <w:t>Version 0.9</w:t>
            </w:r>
          </w:p>
        </w:tc>
        <w:tc>
          <w:tcPr>
            <w:tcW w:type="dxa" w:w="2448"/>
            <w:shd w:fill="E9F4EE"/>
          </w:tcPr>
          <w:p>
            <w:r>
              <w:t>Status: Proposed</w:t>
            </w:r>
          </w:p>
        </w:tc>
        <w:tc>
          <w:tcPr>
            <w:tcW w:type="dxa" w:w="2448"/>
            <w:shd w:fill="E9F4EE"/>
          </w:tcPr>
          <w:p>
            <w:r>
              <w:t>Owner: Product</w:t>
            </w:r>
          </w:p>
        </w:tc>
        <w:tc>
          <w:tcPr>
            <w:tcW w:type="dxa" w:w="2448"/>
            <w:shd w:fill="E9F4EE"/>
          </w:tcPr>
          <w:p>
            <w:r>
              <w:t>17 Oct 2026</w:t>
            </w:r>
          </w:p>
        </w:tc>
      </w:tr>
    </w:tbl>
    <w:p>
      <w:pPr>
        <w:pStyle w:val="Caption"/>
      </w:pPr>
      <w:r>
        <w:t>Decision status: Proposed specification. Assumptions, targets, and design choices require validation; no user research or shipped capability is claimed.</w:t>
      </w:r>
    </w:p>
    <w:p>
      <w:pPr>
        <w:pStyle w:val="Heading1"/>
      </w:pPr>
      <w:r>
        <w:t>1. Architecture and ADRs</w:t>
      </w:r>
    </w:p>
    <w:p>
      <w:r>
        <w:t>Proposed MVP: Next.js / TypeScript, React Konva for editor, Zustand for ephemeral canvas state, Supabase Postgres + Auth for persistence, Tailwind/shadcn components, Zod validation, and a shared slide renderer with server-side PDF generation. Exact dependency versions should be pinned at build start after compatibility checks.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52A29"/>
          </w:tcPr>
          <w:p>
            <w:r>
              <w:rPr>
                <w:b/>
                <w:color w:val="FFFFFF"/>
              </w:rPr>
              <w:t>ADR</w:t>
            </w:r>
          </w:p>
        </w:tc>
        <w:tc>
          <w:tcPr>
            <w:tcW w:type="dxa" w:w="3264"/>
            <w:shd w:fill="152A29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3264"/>
            <w:shd w:fill="152A29"/>
          </w:tcPr>
          <w:p>
            <w:r>
              <w:rPr>
                <w:b/>
                <w:color w:val="FFFFFF"/>
              </w:rPr>
              <w:t>Rationale / trade-off</w:t>
            </w:r>
          </w:p>
        </w:tc>
      </w:tr>
      <w:tr>
        <w:tc>
          <w:tcPr>
            <w:tcW w:type="dxa" w:w="3264"/>
            <w:vAlign w:val="center"/>
          </w:tcPr>
          <w:p>
            <w:r>
              <w:t>ADR-01</w:t>
            </w:r>
          </w:p>
        </w:tc>
        <w:tc>
          <w:tcPr>
            <w:tcW w:type="dxa" w:w="3264"/>
            <w:vAlign w:val="center"/>
          </w:tcPr>
          <w:p>
            <w:r>
              <w:t>Single Next.js codebase</w:t>
            </w:r>
          </w:p>
        </w:tc>
        <w:tc>
          <w:tcPr>
            <w:tcW w:type="dxa" w:w="3264"/>
            <w:vAlign w:val="center"/>
          </w:tcPr>
          <w:p>
            <w:r>
              <w:t>Faster build, simpler deployments; may split services later</w:t>
            </w:r>
          </w:p>
        </w:tc>
      </w:tr>
      <w:tr>
        <w:tc>
          <w:tcPr>
            <w:tcW w:type="dxa" w:w="3264"/>
            <w:vAlign w:val="center"/>
            <w:shd w:fill="F0F5F1"/>
          </w:tcPr>
          <w:p>
            <w:r>
              <w:t>ADR-02</w:t>
            </w:r>
          </w:p>
        </w:tc>
        <w:tc>
          <w:tcPr>
            <w:tcW w:type="dxa" w:w="3264"/>
            <w:vAlign w:val="center"/>
            <w:shd w:fill="F0F5F1"/>
          </w:tcPr>
          <w:p>
            <w:r>
              <w:t>Normalized 0–100 board coordinates</w:t>
            </w:r>
          </w:p>
        </w:tc>
        <w:tc>
          <w:tcPr>
            <w:tcW w:type="dxa" w:w="3264"/>
            <w:vAlign w:val="center"/>
            <w:shd w:fill="F0F5F1"/>
          </w:tcPr>
          <w:p>
            <w:r>
              <w:t>Resolution independence; must carefully map pitch aspect ratio</w:t>
            </w:r>
          </w:p>
        </w:tc>
      </w:tr>
      <w:tr>
        <w:tc>
          <w:tcPr>
            <w:tcW w:type="dxa" w:w="3264"/>
            <w:vAlign w:val="center"/>
          </w:tcPr>
          <w:p>
            <w:r>
              <w:t>ADR-03</w:t>
            </w:r>
          </w:p>
        </w:tc>
        <w:tc>
          <w:tcPr>
            <w:tcW w:type="dxa" w:w="3264"/>
            <w:vAlign w:val="center"/>
          </w:tcPr>
          <w:p>
            <w:r>
              <w:t>Immutable publication snapshots</w:t>
            </w:r>
          </w:p>
        </w:tc>
        <w:tc>
          <w:tcPr>
            <w:tcW w:type="dxa" w:w="3264"/>
            <w:vAlign w:val="center"/>
          </w:tcPr>
          <w:p>
            <w:r>
              <w:t>Shared links remain stable; requires republish workflow</w:t>
            </w:r>
          </w:p>
        </w:tc>
      </w:tr>
      <w:tr>
        <w:tc>
          <w:tcPr>
            <w:tcW w:type="dxa" w:w="3264"/>
            <w:vAlign w:val="center"/>
            <w:shd w:fill="F0F5F1"/>
          </w:tcPr>
          <w:p>
            <w:r>
              <w:t>ADR-04</w:t>
            </w:r>
          </w:p>
        </w:tc>
        <w:tc>
          <w:tcPr>
            <w:tcW w:type="dxa" w:w="3264"/>
            <w:vAlign w:val="center"/>
            <w:shd w:fill="F0F5F1"/>
          </w:tcPr>
          <w:p>
            <w:r>
              <w:t>Owner-only write model in MVP</w:t>
            </w:r>
          </w:p>
        </w:tc>
        <w:tc>
          <w:tcPr>
            <w:tcW w:type="dxa" w:w="3264"/>
            <w:vAlign w:val="center"/>
            <w:shd w:fill="F0F5F1"/>
          </w:tcPr>
          <w:p>
            <w:r>
              <w:t>Reduces permissions complexity; invitation roles later</w:t>
            </w:r>
          </w:p>
        </w:tc>
      </w:tr>
      <w:tr>
        <w:tc>
          <w:tcPr>
            <w:tcW w:type="dxa" w:w="3264"/>
            <w:vAlign w:val="center"/>
          </w:tcPr>
          <w:p>
            <w:r>
              <w:t>ADR-05</w:t>
            </w:r>
          </w:p>
        </w:tc>
        <w:tc>
          <w:tcPr>
            <w:tcW w:type="dxa" w:w="3264"/>
            <w:vAlign w:val="center"/>
          </w:tcPr>
          <w:p>
            <w:r>
              <w:t>Server-side publish and PDF</w:t>
            </w:r>
          </w:p>
        </w:tc>
        <w:tc>
          <w:tcPr>
            <w:tcW w:type="dxa" w:w="3264"/>
            <w:vAlign w:val="center"/>
          </w:tcPr>
          <w:p>
            <w:r>
              <w:t>Keeps secrets private and enforces validation; extra server cost</w:t>
            </w:r>
          </w:p>
        </w:tc>
      </w:tr>
    </w:tbl>
    <w:p/>
    <w:p>
      <w:pPr>
        <w:pStyle w:val="Heading1"/>
      </w:pPr>
      <w:r>
        <w:t>2. Logical modules</w:t>
      </w:r>
    </w:p>
    <w:p>
      <w:r>
        <w:t>Web clients (authenticated editor, authenticated matchday preview, public read-only viewer) → Next.js server actions/routes (validation, tenancy and publication) → PostgreSQL (teams, players, matches, tactics, plans, snapshots) and Auth. PDF renderer consumes the exact published snapshot schema; storage optionally caches exported PDFs.</w:t>
      </w:r>
    </w:p>
    <w:p>
      <w:pPr>
        <w:pStyle w:val="Heading1"/>
      </w:pPr>
      <w:r>
        <w:t>3. Relational schema (proposed)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52A29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4896"/>
            <w:shd w:fill="152A29"/>
          </w:tcPr>
          <w:p>
            <w:r>
              <w:rPr>
                <w:b/>
                <w:color w:val="FFFFFF"/>
              </w:rPr>
              <w:t>Representative fields / constraints</w:t>
            </w:r>
          </w:p>
        </w:tc>
      </w:tr>
      <w:tr>
        <w:tc>
          <w:tcPr>
            <w:tcW w:type="dxa" w:w="4896"/>
            <w:vAlign w:val="center"/>
          </w:tcPr>
          <w:p>
            <w:r>
              <w:t>profiles</w:t>
            </w:r>
          </w:p>
        </w:tc>
        <w:tc>
          <w:tcPr>
            <w:tcW w:type="dxa" w:w="4896"/>
            <w:vAlign w:val="center"/>
          </w:tcPr>
          <w:p>
            <w:r>
              <w:t>id uuid PK references auth.users; display_name; created_at</w:t>
            </w:r>
          </w:p>
        </w:tc>
      </w:tr>
      <w:tr>
        <w:tc>
          <w:tcPr>
            <w:tcW w:type="dxa" w:w="4896"/>
            <w:vAlign w:val="center"/>
            <w:shd w:fill="F0F5F1"/>
          </w:tcPr>
          <w:p>
            <w:r>
              <w:t>teams</w:t>
            </w:r>
          </w:p>
        </w:tc>
        <w:tc>
          <w:tcPr>
            <w:tcW w:type="dxa" w:w="4896"/>
            <w:vAlign w:val="center"/>
            <w:shd w:fill="F0F5F1"/>
          </w:tcPr>
          <w:p>
            <w:r>
              <w:t>id uuid PK; owner_id FK; name varchar(60); match_format int CHECK IN (5,7,11); primary_color; created_at</w:t>
            </w:r>
          </w:p>
        </w:tc>
      </w:tr>
      <w:tr>
        <w:tc>
          <w:tcPr>
            <w:tcW w:type="dxa" w:w="4896"/>
            <w:vAlign w:val="center"/>
          </w:tcPr>
          <w:p>
            <w:r>
              <w:t>players</w:t>
            </w:r>
          </w:p>
        </w:tc>
        <w:tc>
          <w:tcPr>
            <w:tcW w:type="dxa" w:w="4896"/>
            <w:vAlign w:val="center"/>
          </w:tcPr>
          <w:p>
            <w:r>
              <w:t>id uuid PK; team_id FK; name varchar(60); shirt_number nullable; preferred_positions text[]; archived_at nullable</w:t>
            </w:r>
          </w:p>
        </w:tc>
      </w:tr>
      <w:tr>
        <w:tc>
          <w:tcPr>
            <w:tcW w:type="dxa" w:w="4896"/>
            <w:vAlign w:val="center"/>
            <w:shd w:fill="F0F5F1"/>
          </w:tcPr>
          <w:p>
            <w:r>
              <w:t>tactics</w:t>
            </w:r>
          </w:p>
        </w:tc>
        <w:tc>
          <w:tcPr>
            <w:tcW w:type="dxa" w:w="4896"/>
            <w:vAlign w:val="center"/>
            <w:shd w:fill="F0F5F1"/>
          </w:tcPr>
          <w:p>
            <w:r>
              <w:t>id uuid PK; team_id FK; name; category; board_schema_version int; board_json jsonb; version int; updated_at</w:t>
            </w:r>
          </w:p>
        </w:tc>
      </w:tr>
      <w:tr>
        <w:tc>
          <w:tcPr>
            <w:tcW w:type="dxa" w:w="4896"/>
            <w:vAlign w:val="center"/>
          </w:tcPr>
          <w:p>
            <w:r>
              <w:t>matches</w:t>
            </w:r>
          </w:p>
        </w:tc>
        <w:tc>
          <w:tcPr>
            <w:tcW w:type="dxa" w:w="4896"/>
            <w:vAlign w:val="center"/>
          </w:tcPr>
          <w:p>
            <w:r>
              <w:t>id uuid PK; team_id FK; opponent_name; kickoff_at timestamptz; venue; status</w:t>
            </w:r>
          </w:p>
        </w:tc>
      </w:tr>
      <w:tr>
        <w:tc>
          <w:tcPr>
            <w:tcW w:type="dxa" w:w="4896"/>
            <w:vAlign w:val="center"/>
            <w:shd w:fill="F0F5F1"/>
          </w:tcPr>
          <w:p>
            <w:r>
              <w:t>match_plans</w:t>
            </w:r>
          </w:p>
        </w:tc>
        <w:tc>
          <w:tcPr>
            <w:tcW w:type="dxa" w:w="4896"/>
            <w:vAlign w:val="center"/>
            <w:shd w:fill="F0F5F1"/>
          </w:tcPr>
          <w:p>
            <w:r>
              <w:t>id uuid PK; match_id unique FK; objective; draft_status; version; updated_at</w:t>
            </w:r>
          </w:p>
        </w:tc>
      </w:tr>
      <w:tr>
        <w:tc>
          <w:tcPr>
            <w:tcW w:type="dxa" w:w="4896"/>
            <w:vAlign w:val="center"/>
          </w:tcPr>
          <w:p>
            <w:r>
              <w:t>lineup_assignments</w:t>
            </w:r>
          </w:p>
        </w:tc>
        <w:tc>
          <w:tcPr>
            <w:tcW w:type="dxa" w:w="4896"/>
            <w:vAlign w:val="center"/>
          </w:tcPr>
          <w:p>
            <w:r>
              <w:t>plan_id FK; player_id FK; role starter/bench; formation_slot; UNIQUE(plan_id,player_id)</w:t>
            </w:r>
          </w:p>
        </w:tc>
      </w:tr>
      <w:tr>
        <w:tc>
          <w:tcPr>
            <w:tcW w:type="dxa" w:w="4896"/>
            <w:vAlign w:val="center"/>
            <w:shd w:fill="F0F5F1"/>
          </w:tcPr>
          <w:p>
            <w:r>
              <w:t>plan_sections</w:t>
            </w:r>
          </w:p>
        </w:tc>
        <w:tc>
          <w:tcPr>
            <w:tcW w:type="dxa" w:w="4896"/>
            <w:vAlign w:val="center"/>
            <w:shd w:fill="F0F5F1"/>
          </w:tcPr>
          <w:p>
            <w:r>
              <w:t>id uuid PK; plan_id FK; section_type; title; content_json; tactic_id nullable; sort_order</w:t>
            </w:r>
          </w:p>
        </w:tc>
      </w:tr>
      <w:tr>
        <w:tc>
          <w:tcPr>
            <w:tcW w:type="dxa" w:w="4896"/>
            <w:vAlign w:val="center"/>
          </w:tcPr>
          <w:p>
            <w:r>
              <w:t>published_plans</w:t>
            </w:r>
          </w:p>
        </w:tc>
        <w:tc>
          <w:tcPr>
            <w:tcW w:type="dxa" w:w="4896"/>
            <w:vAlign w:val="center"/>
          </w:tcPr>
          <w:p>
            <w:r>
              <w:t>id uuid PK; plan_id FK; share_token_hash unique; snapshot_json jsonb; published_at; revoked_at</w:t>
            </w:r>
          </w:p>
        </w:tc>
      </w:tr>
      <w:tr>
        <w:tc>
          <w:tcPr>
            <w:tcW w:type="dxa" w:w="4896"/>
            <w:vAlign w:val="center"/>
            <w:shd w:fill="F0F5F1"/>
          </w:tcPr>
          <w:p>
            <w:r>
              <w:t>audit_events</w:t>
            </w:r>
          </w:p>
        </w:tc>
        <w:tc>
          <w:tcPr>
            <w:tcW w:type="dxa" w:w="4896"/>
            <w:vAlign w:val="center"/>
            <w:shd w:fill="F0F5F1"/>
          </w:tcPr>
          <w:p>
            <w:r>
              <w:t>id uuid PK; actor_id; team_id; action; resource_type; resource_id; created_at</w:t>
            </w:r>
          </w:p>
        </w:tc>
      </w:tr>
    </w:tbl>
    <w:p/>
    <w:p>
      <w:r>
        <w:t>Required DB indexes: teams(owner_id), players(team_id, archived_at), tactics(team_id, updated_at), matches(team_id,kickoff_at), plan_sections(plan_id,sort_order), published_plans(share_token_hash). Foreign keys need ON DELETE behaviors designed to protect historic published content.</w:t>
      </w:r>
    </w:p>
    <w:p>
      <w:pPr>
        <w:pStyle w:val="Heading1"/>
      </w:pPr>
      <w:r>
        <w:t>4. Canvas JSON contract</w:t>
      </w:r>
    </w:p>
    <w:p>
      <w:r>
        <w:t>Persist typed, versioned JSON, not a serialized DOM or Konva node tree. Validate with Zod at API boundary and migrate schema versions explicitly.</w:t>
      </w:r>
    </w:p>
    <w:p>
      <w:r>
        <w:t>Illustrative schema: { schemaVersion: 1, format: 7, orientation: "vertical", objects: [{ id: "obj-1", kind: "player", playerId: "uuid", x: 50, y: 74, team: "home", label: "6" }, { id: "obj-2", kind: "arrow", from: {x:45,y:55}, to:{x:65,y:38}, style:"run" }] }.</w:t>
      </w:r>
    </w:p>
    <w:p>
      <w:pPr>
        <w:pStyle w:val="ListBullet"/>
      </w:pPr>
      <w:r>
        <w:t>Each object has stable UUID, supported kind, coordinates within [0,100], and permitted annotation styles.</w:t>
      </w:r>
    </w:p>
    <w:p>
      <w:pPr>
        <w:pStyle w:val="ListBullet"/>
      </w:pPr>
      <w:r>
        <w:t>Drawing operations must be deterministic and serializable; strip unknown fields before persistence.</w:t>
      </w:r>
    </w:p>
    <w:p>
      <w:pPr>
        <w:pStyle w:val="ListBullet"/>
      </w:pPr>
      <w:r>
        <w:t>Published snapshots embed resolved player labels and asset references; private player profile data is not copied automatically.</w:t>
      </w:r>
    </w:p>
    <w:p>
      <w:pPr>
        <w:pStyle w:val="ListBullet"/>
      </w:pPr>
      <w:r>
        <w:t>Track board version for optimistic concurrency; reject stale writes with a conflict response.</w:t>
      </w:r>
    </w:p>
    <w:p>
      <w:pPr>
        <w:pStyle w:val="Heading1"/>
      </w:pPr>
      <w:r>
        <w:t>5. Server/API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52A29"/>
          </w:tcPr>
          <w:p>
            <w:r>
              <w:rPr>
                <w:b/>
                <w:color w:val="FFFFFF"/>
              </w:rPr>
              <w:t>Method / path (illustrative)</w:t>
            </w:r>
          </w:p>
        </w:tc>
        <w:tc>
          <w:tcPr>
            <w:tcW w:type="dxa" w:w="3264"/>
            <w:shd w:fill="152A29"/>
          </w:tcPr>
          <w:p>
            <w:r>
              <w:rPr>
                <w:b/>
                <w:color w:val="FFFFFF"/>
              </w:rPr>
              <w:t>Request / response</w:t>
            </w:r>
          </w:p>
        </w:tc>
        <w:tc>
          <w:tcPr>
            <w:tcW w:type="dxa" w:w="3264"/>
            <w:shd w:fill="152A29"/>
          </w:tcPr>
          <w:p>
            <w:r>
              <w:rPr>
                <w:b/>
                <w:color w:val="FFFFFF"/>
              </w:rPr>
              <w:t>Authorization</w:t>
            </w:r>
          </w:p>
        </w:tc>
      </w:tr>
      <w:tr>
        <w:tc>
          <w:tcPr>
            <w:tcW w:type="dxa" w:w="3264"/>
            <w:vAlign w:val="center"/>
          </w:tcPr>
          <w:p>
            <w:r>
              <w:t>POST /api/teams</w:t>
            </w:r>
          </w:p>
        </w:tc>
        <w:tc>
          <w:tcPr>
            <w:tcW w:type="dxa" w:w="3264"/>
            <w:vAlign w:val="center"/>
          </w:tcPr>
          <w:p>
            <w:r>
              <w:t>{name, format, color} → {teamId}</w:t>
            </w:r>
          </w:p>
        </w:tc>
        <w:tc>
          <w:tcPr>
            <w:tcW w:type="dxa" w:w="3264"/>
            <w:vAlign w:val="center"/>
          </w:tcPr>
          <w:p>
            <w:r>
              <w:t>Authenticated owner</w:t>
            </w:r>
          </w:p>
        </w:tc>
      </w:tr>
      <w:tr>
        <w:tc>
          <w:tcPr>
            <w:tcW w:type="dxa" w:w="3264"/>
            <w:vAlign w:val="center"/>
            <w:shd w:fill="F0F5F1"/>
          </w:tcPr>
          <w:p>
            <w:r>
              <w:t>POST /api/teams/:id/players</w:t>
            </w:r>
          </w:p>
        </w:tc>
        <w:tc>
          <w:tcPr>
            <w:tcW w:type="dxa" w:w="3264"/>
            <w:vAlign w:val="center"/>
            <w:shd w:fill="F0F5F1"/>
          </w:tcPr>
          <w:p>
            <w:r>
              <w:t>Player fields → {playerId}</w:t>
            </w:r>
          </w:p>
        </w:tc>
        <w:tc>
          <w:tcPr>
            <w:tcW w:type="dxa" w:w="3264"/>
            <w:vAlign w:val="center"/>
            <w:shd w:fill="F0F5F1"/>
          </w:tcPr>
          <w:p>
            <w:r>
              <w:t>Owner of team</w:t>
            </w:r>
          </w:p>
        </w:tc>
      </w:tr>
      <w:tr>
        <w:tc>
          <w:tcPr>
            <w:tcW w:type="dxa" w:w="3264"/>
            <w:vAlign w:val="center"/>
          </w:tcPr>
          <w:p>
            <w:r>
              <w:t>PUT /api/tactics/:id</w:t>
            </w:r>
          </w:p>
        </w:tc>
        <w:tc>
          <w:tcPr>
            <w:tcW w:type="dxa" w:w="3264"/>
            <w:vAlign w:val="center"/>
          </w:tcPr>
          <w:p>
            <w:r>
              <w:t>{board, expectedVersion} → {newVersion}</w:t>
            </w:r>
          </w:p>
        </w:tc>
        <w:tc>
          <w:tcPr>
            <w:tcW w:type="dxa" w:w="3264"/>
            <w:vAlign w:val="center"/>
          </w:tcPr>
          <w:p>
            <w:r>
              <w:t>Owner; reject stale version</w:t>
            </w:r>
          </w:p>
        </w:tc>
      </w:tr>
      <w:tr>
        <w:tc>
          <w:tcPr>
            <w:tcW w:type="dxa" w:w="3264"/>
            <w:vAlign w:val="center"/>
            <w:shd w:fill="F0F5F1"/>
          </w:tcPr>
          <w:p>
            <w:r>
              <w:t>POST /api/matches/:id/plan/publish</w:t>
            </w:r>
          </w:p>
        </w:tc>
        <w:tc>
          <w:tcPr>
            <w:tcW w:type="dxa" w:w="3264"/>
            <w:vAlign w:val="center"/>
            <w:shd w:fill="F0F5F1"/>
          </w:tcPr>
          <w:p>
            <w:r>
              <w:t>{includedSectionIds} → {publishedId, shareUrl}</w:t>
            </w:r>
          </w:p>
        </w:tc>
        <w:tc>
          <w:tcPr>
            <w:tcW w:type="dxa" w:w="3264"/>
            <w:vAlign w:val="center"/>
            <w:shd w:fill="F0F5F1"/>
          </w:tcPr>
          <w:p>
            <w:r>
              <w:t>Owner; validate complete lineup</w:t>
            </w:r>
          </w:p>
        </w:tc>
      </w:tr>
      <w:tr>
        <w:tc>
          <w:tcPr>
            <w:tcW w:type="dxa" w:w="3264"/>
            <w:vAlign w:val="center"/>
          </w:tcPr>
          <w:p>
            <w:r>
              <w:t>POST /api/published/:id/revoke</w:t>
            </w:r>
          </w:p>
        </w:tc>
        <w:tc>
          <w:tcPr>
            <w:tcW w:type="dxa" w:w="3264"/>
            <w:vAlign w:val="center"/>
          </w:tcPr>
          <w:p>
            <w:r>
              <w:t>No body → {revoked:true}</w:t>
            </w:r>
          </w:p>
        </w:tc>
        <w:tc>
          <w:tcPr>
            <w:tcW w:type="dxa" w:w="3264"/>
            <w:vAlign w:val="center"/>
          </w:tcPr>
          <w:p>
            <w:r>
              <w:t>Owner of underlying plan</w:t>
            </w:r>
          </w:p>
        </w:tc>
      </w:tr>
      <w:tr>
        <w:tc>
          <w:tcPr>
            <w:tcW w:type="dxa" w:w="3264"/>
            <w:vAlign w:val="center"/>
            <w:shd w:fill="F0F5F1"/>
          </w:tcPr>
          <w:p>
            <w:r>
              <w:t>GET /p/:token</w:t>
            </w:r>
          </w:p>
        </w:tc>
        <w:tc>
          <w:tcPr>
            <w:tcW w:type="dxa" w:w="3264"/>
            <w:vAlign w:val="center"/>
            <w:shd w:fill="F0F5F1"/>
          </w:tcPr>
          <w:p>
            <w:r>
              <w:t>Sanitized snapshot / rendered viewer</w:t>
            </w:r>
          </w:p>
        </w:tc>
        <w:tc>
          <w:tcPr>
            <w:tcW w:type="dxa" w:w="3264"/>
            <w:vAlign w:val="center"/>
            <w:shd w:fill="F0F5F1"/>
          </w:tcPr>
          <w:p>
            <w:r>
              <w:t>Token bearer; check revoked status</w:t>
            </w:r>
          </w:p>
        </w:tc>
      </w:tr>
      <w:tr>
        <w:tc>
          <w:tcPr>
            <w:tcW w:type="dxa" w:w="3264"/>
            <w:vAlign w:val="center"/>
          </w:tcPr>
          <w:p>
            <w:r>
              <w:t>GET /api/published/:id/pdf</w:t>
            </w:r>
          </w:p>
        </w:tc>
        <w:tc>
          <w:tcPr>
            <w:tcW w:type="dxa" w:w="3264"/>
            <w:vAlign w:val="center"/>
          </w:tcPr>
          <w:p>
            <w:r>
              <w:t>PDF document</w:t>
            </w:r>
          </w:p>
        </w:tc>
        <w:tc>
          <w:tcPr>
            <w:tcW w:type="dxa" w:w="3264"/>
            <w:vAlign w:val="center"/>
          </w:tcPr>
          <w:p>
            <w:r>
              <w:t>Owner or authorized public token</w:t>
            </w:r>
          </w:p>
        </w:tc>
      </w:tr>
    </w:tbl>
    <w:p/>
    <w:p>
      <w:pPr>
        <w:pStyle w:val="Heading1"/>
      </w:pPr>
      <w:r>
        <w:t>6. Security and privacy design</w:t>
      </w:r>
    </w:p>
    <w:p>
      <w:pPr>
        <w:pStyle w:val="ListBullet"/>
      </w:pPr>
      <w:r>
        <w:t>Turn on PostgreSQL RLS for every exposed table and match grants to actual use; test allow/deny paths for anonymous, owner and other authenticated user.</w:t>
      </w:r>
    </w:p>
    <w:p>
      <w:pPr>
        <w:pStyle w:val="ListBullet"/>
      </w:pPr>
      <w:r>
        <w:t>Every private resource query must be scoped to team ownership server-side; never trust teamId from client without authorization.</w:t>
      </w:r>
    </w:p>
    <w:p>
      <w:pPr>
        <w:pStyle w:val="ListBullet"/>
      </w:pPr>
      <w:r>
        <w:t>Only hashes of share tokens are stored; create cryptographically random raw token once when publishing.</w:t>
      </w:r>
    </w:p>
    <w:p>
      <w:pPr>
        <w:pStyle w:val="ListBullet"/>
      </w:pPr>
      <w:r>
        <w:t>Token links grant read-only access to an explicit immutable presentation snapshot, not underlying roster or editable plans.</w:t>
      </w:r>
    </w:p>
    <w:p>
      <w:pPr>
        <w:pStyle w:val="ListBullet"/>
      </w:pPr>
      <w:r>
        <w:t>Use no-store on sensitive server responses, prevent token logging, apply rate limiting to public token lookups, and support revocation.</w:t>
      </w:r>
    </w:p>
    <w:p>
      <w:pPr>
        <w:pStyle w:val="ListBullet"/>
      </w:pPr>
      <w:r>
        <w:t>Keep Supabase service-role credentials only on server; separate dev and production projects; redact email/player notes from app telemetry.</w:t>
      </w:r>
    </w:p>
    <w:p>
      <w:r>
        <w:t>Supabase RLS reference: https://supabase.com/docs/guides/database/postgres/row-level-security (reviewed 17 Oct 2026).</w:t>
      </w:r>
    </w:p>
    <w:p>
      <w:pPr>
        <w:pStyle w:val="Heading1"/>
      </w:pPr>
      <w:r>
        <w:t>7. Rendering and export consistency</w:t>
      </w:r>
    </w:p>
    <w:p>
      <w:r>
        <w:t>Define a canonical SlideSpec[] from a published snapshot. Both full-screen presentation and PDF must consume SlideSpec, not independently assemble match data. Store slide order and resolved text in the snapshot. Use an SVG/pitch renderer or equivalent deterministic drawing pipeline for export where Konva DOM is unavailable on the server.</w:t>
      </w:r>
    </w:p>
    <w:p>
      <w:pPr>
        <w:pStyle w:val="Heading1"/>
      </w:pPr>
      <w:r>
        <w:t>8. Non-functional SLOs (proposed targets)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52A29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4896"/>
            <w:shd w:fill="152A29"/>
          </w:tcPr>
          <w:p>
            <w:r>
              <w:rPr>
                <w:b/>
                <w:color w:val="FFFFFF"/>
              </w:rPr>
              <w:t>Acceptance target</w:t>
            </w:r>
          </w:p>
        </w:tc>
      </w:tr>
      <w:tr>
        <w:tc>
          <w:tcPr>
            <w:tcW w:type="dxa" w:w="4896"/>
            <w:vAlign w:val="center"/>
          </w:tcPr>
          <w:p>
            <w:r>
              <w:t>Editor stability</w:t>
            </w:r>
          </w:p>
        </w:tc>
        <w:tc>
          <w:tcPr>
            <w:tcW w:type="dxa" w:w="4896"/>
            <w:vAlign w:val="center"/>
          </w:tcPr>
          <w:p>
            <w:r>
              <w:t>No unsaved data loss on transient network failure during pilot tests</w:t>
            </w:r>
          </w:p>
        </w:tc>
      </w:tr>
      <w:tr>
        <w:tc>
          <w:tcPr>
            <w:tcW w:type="dxa" w:w="4896"/>
            <w:vAlign w:val="center"/>
            <w:shd w:fill="F0F5F1"/>
          </w:tcPr>
          <w:p>
            <w:r>
              <w:t>Performance</w:t>
            </w:r>
          </w:p>
        </w:tc>
        <w:tc>
          <w:tcPr>
            <w:tcW w:type="dxa" w:w="4896"/>
            <w:vAlign w:val="center"/>
            <w:shd w:fill="F0F5F1"/>
          </w:tcPr>
          <w:p>
            <w:r>
              <w:t>p75 editor interactive within 3 seconds on baseline laptop/network (measure in pilot)</w:t>
            </w:r>
          </w:p>
        </w:tc>
      </w:tr>
      <w:tr>
        <w:tc>
          <w:tcPr>
            <w:tcW w:type="dxa" w:w="4896"/>
            <w:vAlign w:val="center"/>
          </w:tcPr>
          <w:p>
            <w:r>
              <w:t>Export</w:t>
            </w:r>
          </w:p>
        </w:tc>
        <w:tc>
          <w:tcPr>
            <w:tcW w:type="dxa" w:w="4896"/>
            <w:vAlign w:val="center"/>
          </w:tcPr>
          <w:p>
            <w:r>
              <w:t>95% of standard &lt;= 12-slide exports complete under 10 seconds in staging</w:t>
            </w:r>
          </w:p>
        </w:tc>
      </w:tr>
      <w:tr>
        <w:tc>
          <w:tcPr>
            <w:tcW w:type="dxa" w:w="4896"/>
            <w:vAlign w:val="center"/>
            <w:shd w:fill="F0F5F1"/>
          </w:tcPr>
          <w:p>
            <w:r>
              <w:t>Security</w:t>
            </w:r>
          </w:p>
        </w:tc>
        <w:tc>
          <w:tcPr>
            <w:tcW w:type="dxa" w:w="4896"/>
            <w:vAlign w:val="center"/>
            <w:shd w:fill="F0F5F1"/>
          </w:tcPr>
          <w:p>
            <w:r>
              <w:t>All cross-tenant access tests deny; zero exposed service keys</w:t>
            </w:r>
          </w:p>
        </w:tc>
      </w:tr>
      <w:tr>
        <w:tc>
          <w:tcPr>
            <w:tcW w:type="dxa" w:w="4896"/>
            <w:vAlign w:val="center"/>
          </w:tcPr>
          <w:p>
            <w:r>
              <w:t>Compatibility</w:t>
            </w:r>
          </w:p>
        </w:tc>
        <w:tc>
          <w:tcPr>
            <w:tcW w:type="dxa" w:w="4896"/>
            <w:vAlign w:val="center"/>
          </w:tcPr>
          <w:p>
            <w:r>
              <w:t>Latest stable Chrome, Firefox, Safari; keyboard presentation controls</w:t>
            </w:r>
          </w:p>
        </w:tc>
      </w:tr>
      <w:tr>
        <w:tc>
          <w:tcPr>
            <w:tcW w:type="dxa" w:w="4896"/>
            <w:vAlign w:val="center"/>
            <w:shd w:fill="F0F5F1"/>
          </w:tcPr>
          <w:p>
            <w:r>
              <w:t>Observability</w:t>
            </w:r>
          </w:p>
        </w:tc>
        <w:tc>
          <w:tcPr>
            <w:tcW w:type="dxa" w:w="4896"/>
            <w:vAlign w:val="center"/>
            <w:shd w:fill="F0F5F1"/>
          </w:tcPr>
          <w:p>
            <w:r>
              <w:t>Structured errors with request IDs; events for save, publish, view, export without personal notes</w:t>
            </w:r>
          </w:p>
        </w:tc>
      </w:tr>
    </w:tbl>
    <w:p/>
    <w:p>
      <w:pPr>
        <w:pStyle w:val="Heading1"/>
      </w:pPr>
      <w:r>
        <w:t>9. Test strategy and developer done criteria</w:t>
      </w:r>
    </w:p>
    <w:p>
      <w:pPr>
        <w:pStyle w:val="ListBullet"/>
      </w:pPr>
      <w:r>
        <w:t>Unit: schema validation, coordinate clamping, lineup capacity, slide order and publication inclusion rules.</w:t>
      </w:r>
    </w:p>
    <w:p>
      <w:pPr>
        <w:pStyle w:val="ListBullet"/>
      </w:pPr>
      <w:r>
        <w:t>Integration: team tenancy, optimistic concurrency, share-token revocation, snapshot immutability.</w:t>
      </w:r>
    </w:p>
    <w:p>
      <w:pPr>
        <w:pStyle w:val="ListBullet"/>
      </w:pPr>
      <w:r>
        <w:t>E2E: new user → team → seven players → tactic → fixture → plan → publish → present → PDF.</w:t>
      </w:r>
    </w:p>
    <w:p>
      <w:pPr>
        <w:pStyle w:val="ListBullet"/>
      </w:pPr>
      <w:r>
        <w:t>Visual regression: tactics board and published PDF screenshots with representative 5v5/7v7/11v11 fixtures.</w:t>
      </w:r>
    </w:p>
    <w:p>
      <w:pPr>
        <w:pStyle w:val="ListBullet"/>
      </w:pPr>
      <w:r>
        <w:t>Accessibility: focus order, labels, contrast, reduced-motion and keyboard navigation.</w:t>
      </w:r>
    </w:p>
    <w:p>
      <w:pPr>
        <w:pStyle w:val="ListBullet"/>
      </w:pPr>
      <w:r>
        <w:t>Database: run RLS allow/deny tests in CI alongside migrations.</w:t>
      </w:r>
    </w:p>
    <w:p>
      <w:pPr>
        <w:pStyle w:val="Heading1"/>
      </w:pPr>
      <w:r>
        <w:t>10. Repo structure and Claude implementation contract</w:t>
      </w:r>
    </w:p>
    <w:p>
      <w:r>
        <w:t>Suggested folders: app/(auth), app/(app)/teams, app/(app)/matches, app/p/[token]; components/tactics, components/presentation; lib/domain, lib/auth, lib/db, lib/validation; supabase/migrations, supabase/tests; tests/unit, tests/e2e.</w:t>
      </w:r>
    </w:p>
    <w:p>
      <w:r>
        <w:t>For every feature: implement smallest vertical slice; include migration and RLS when needed; add typed schemas and tests; run lint/typecheck/build; provide screenshots of altered screens; never claim passing tests not executed. Request explicit approval before introducing new major dependencies, paid APIs, changes to publication/privacy model, or requirements absent from PRD.</w:t>
      </w:r>
    </w:p>
    <w:p>
      <w:pPr>
        <w:pStyle w:val="Heading1"/>
      </w:pPr>
      <w:r>
        <w:t>11. Sources</w:t>
      </w:r>
    </w:p>
    <w:p>
      <w:r>
        <w:t>React Konva drag-and-drop: https://konvajs.org/docs/react/Drag_And_Drop.html. Supabase RLS: https://supabase.com/docs/guides/database/postgres/row-level-security. Reviewed 17 Oct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DRAFT FOR REVIEW   •   17 OCT 2026  •   TECH-003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27865E"/>
      </w:rPr>
      <w:t>TOUCHLINE  /  PRODUCT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7292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786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2A2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7865E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152A2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