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DataCo Late-Delivery-Risk Prediction</w:t>
      </w:r>
    </w:p>
    <w:p>
      <w:pPr>
        <w:pStyle w:val="Heading2"/>
        <w:spacing w:after="400"/>
      </w:pPr>
      <w:r>
        <w:t xml:space="preserve">Literature Review, Methodology, System Architecture, and Results</w:t>
      </w:r>
    </w:p>
    <w:p>
      <w:pPr>
        <w:spacing w:after="160"/>
      </w:pPr>
      <w:r>
        <w:rPr>
          <w:i/>
          <w:iCs/>
        </w:rPr>
        <w:t xml:space="preserve">Prepared as part of the M.Tech project: supply-chain risk benchmark → classical GraphSAGE → quantum graph neural network (QGNN) comparison. This document covers the second, independent real-world benchmark track (DataCo Smart Supply Chain), alongside the project's primary synthetic scm_dataset benchmark.</w:t>
      </w:r>
    </w:p>
    <w:p>
      <w:pPr>
        <w:pStyle w:val="Heading1"/>
        <w:spacing w:after="200" w:before="400"/>
      </w:pPr>
      <w:r>
        <w:t xml:space="preserve">1. Introduction</w:t>
      </w:r>
    </w:p>
    <w:p>
      <w:pPr>
        <w:spacing w:after="160"/>
      </w:pPr>
      <w:r>
        <w:t xml:space="preserve">Late delivery is a common, costly failure mode in e-commerce and logistics supply chains. This work benchmarks classical machine learning, a classical graph neural network (GraphSAGE), and a quantum graph neural network (QGNN) on predicting late-delivery risk using the public DataCo Smart Supply Chain dataset, with a particular focus on rigorous evaluation: leakage-audited features, multi-seed statistics rather than single-run point estimates, and explicit detection of training-instability failure modes (mode collapse) that would otherwise bias the comparison.</w:t>
      </w:r>
    </w:p>
    <w:p>
      <w:pPr>
        <w:spacing w:after="160"/>
      </w:pPr>
      <w:r>
        <w:t xml:space="preserve">Three questions are addressed:</w:t>
      </w:r>
    </w:p>
    <w:p>
      <w:pPr>
        <w:pStyle w:val="ListParagraph"/>
        <w:numPr>
          <w:ilvl w:val="0"/>
          <w:numId w:val="1"/>
        </w:numPr>
        <w:spacing w:after="80"/>
      </w:pPr>
      <w:r>
        <w:t xml:space="preserve">Does a graph-structured model (GraphSAGE) outperform flat tabular classical models on this task?</w:t>
      </w:r>
    </w:p>
    <w:p>
      <w:pPr>
        <w:pStyle w:val="ListParagraph"/>
        <w:numPr>
          <w:ilvl w:val="0"/>
          <w:numId w:val="1"/>
        </w:numPr>
        <w:spacing w:after="80"/>
      </w:pPr>
      <w:r>
        <w:t xml:space="preserve">Does a QGNN outperform classical GraphSAGE, and if so, under what architecture and input choices?</w:t>
      </w:r>
    </w:p>
    <w:p>
      <w:pPr>
        <w:pStyle w:val="ListParagraph"/>
        <w:numPr>
          <w:ilvl w:val="0"/>
          <w:numId w:val="1"/>
        </w:numPr>
        <w:spacing w:after="80"/>
      </w:pPr>
      <w:r>
        <w:t xml:space="preserve">How do the literature's reported results on this same dataset compare, and how credible are they?</w:t>
      </w:r>
    </w:p>
    <w:p>
      <w:pPr>
        <w:pStyle w:val="Heading1"/>
        <w:spacing w:after="200" w:before="400"/>
      </w:pPr>
      <w:r>
        <w:t xml:space="preserve">2. Dataset</w:t>
      </w:r>
    </w:p>
    <w:p>
      <w:pPr>
        <w:pStyle w:val="Heading2"/>
        <w:spacing w:after="150" w:before="300"/>
      </w:pPr>
      <w:r>
        <w:t xml:space="preserve">2.1 Source and description</w:t>
      </w:r>
    </w:p>
    <w:p>
      <w:pPr>
        <w:spacing w:after="160"/>
      </w:pPr>
      <w:r>
        <w:t xml:space="preserve">DataCo Smart Supply Chain for Big Data Analysis (Constante, Silva &amp; Pereira, 2019), published on Mendeley Data, version 5, DOI 10.17632/8gx2fvg2k6.5, licensed CC-BY-4.0.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64"/>
        <w:gridCol w:w="5836"/>
      </w:tblGrid>
      <w:tr>
        <w:trPr>
          <w:tblHeader/>
        </w:trPr>
        <w:tc>
          <w:tcPr>
            <w:tcW w:type="dxa" w:w="2964"/>
            <w:shd w:fill="E6F1FB" w:val="clear"/>
            <w:tcMar>
              <w:top w:type="dxa" w:w="60"/>
              <w:left w:type="dxa" w:w="100"/>
              <w:bottom w:type="dxa" w:w="60"/>
              <w:right w:type="dxa" w:w="100"/>
            </w:tcMar>
          </w:tcPr>
          <w:p>
            <w:pPr>
              <w:jc w:val="left"/>
            </w:pPr>
            <w:r>
              <w:rPr>
                <w:b/>
                <w:bCs/>
              </w:rPr>
              <w:t xml:space="preserve">Property</w:t>
            </w:r>
          </w:p>
        </w:tc>
        <w:tc>
          <w:tcPr>
            <w:tcW w:type="dxa" w:w="5836"/>
            <w:shd w:fill="E6F1FB" w:val="clear"/>
            <w:tcMar>
              <w:top w:type="dxa" w:w="60"/>
              <w:left w:type="dxa" w:w="100"/>
              <w:bottom w:type="dxa" w:w="60"/>
              <w:right w:type="dxa" w:w="100"/>
            </w:tcMar>
          </w:tcPr>
          <w:p>
            <w:pPr>
              <w:jc w:val="left"/>
            </w:pPr>
            <w:r>
              <w:rPr>
                <w:b/>
                <w:bCs/>
              </w:rPr>
              <w:t xml:space="preserve">Value</w:t>
            </w:r>
          </w:p>
        </w:tc>
      </w:tr>
      <w:tr>
        <w:tc>
          <w:tcPr>
            <w:tcW w:type="dxa" w:w="2964"/>
            <w:tcMar>
              <w:top w:type="dxa" w:w="60"/>
              <w:left w:type="dxa" w:w="100"/>
              <w:bottom w:type="dxa" w:w="60"/>
              <w:right w:type="dxa" w:w="100"/>
            </w:tcMar>
          </w:tcPr>
          <w:p>
            <w:pPr>
              <w:jc w:val="left"/>
            </w:pPr>
            <w:r>
              <w:rPr>
                <w:b w:val="false"/>
                <w:bCs w:val="false"/>
              </w:rPr>
              <w:t xml:space="preserve">Rows</w:t>
            </w:r>
          </w:p>
        </w:tc>
        <w:tc>
          <w:tcPr>
            <w:tcW w:type="dxa" w:w="5836"/>
            <w:tcMar>
              <w:top w:type="dxa" w:w="60"/>
              <w:left w:type="dxa" w:w="100"/>
              <w:bottom w:type="dxa" w:w="60"/>
              <w:right w:type="dxa" w:w="100"/>
            </w:tcMar>
          </w:tcPr>
          <w:p>
            <w:pPr>
              <w:jc w:val="left"/>
            </w:pPr>
            <w:r>
              <w:rPr>
                <w:b w:val="false"/>
                <w:bCs w:val="false"/>
              </w:rPr>
              <w:t xml:space="preserve">180,519 order-item records</w:t>
            </w:r>
          </w:p>
        </w:tc>
      </w:tr>
      <w:tr>
        <w:tc>
          <w:tcPr>
            <w:tcW w:type="dxa" w:w="2964"/>
            <w:tcMar>
              <w:top w:type="dxa" w:w="60"/>
              <w:left w:type="dxa" w:w="100"/>
              <w:bottom w:type="dxa" w:w="60"/>
              <w:right w:type="dxa" w:w="100"/>
            </w:tcMar>
          </w:tcPr>
          <w:p>
            <w:pPr>
              <w:jc w:val="left"/>
            </w:pPr>
            <w:r>
              <w:rPr>
                <w:b w:val="false"/>
                <w:bCs w:val="false"/>
              </w:rPr>
              <w:t xml:space="preserve">Columns</w:t>
            </w:r>
          </w:p>
        </w:tc>
        <w:tc>
          <w:tcPr>
            <w:tcW w:type="dxa" w:w="5836"/>
            <w:tcMar>
              <w:top w:type="dxa" w:w="60"/>
              <w:left w:type="dxa" w:w="100"/>
              <w:bottom w:type="dxa" w:w="60"/>
              <w:right w:type="dxa" w:w="100"/>
            </w:tcMar>
          </w:tcPr>
          <w:p>
            <w:pPr>
              <w:jc w:val="left"/>
            </w:pPr>
            <w:r>
              <w:rPr>
                <w:b w:val="false"/>
                <w:bCs w:val="false"/>
              </w:rPr>
              <w:t xml:space="preserve">53</w:t>
            </w:r>
          </w:p>
        </w:tc>
      </w:tr>
      <w:tr>
        <w:tc>
          <w:tcPr>
            <w:tcW w:type="dxa" w:w="2964"/>
            <w:tcMar>
              <w:top w:type="dxa" w:w="60"/>
              <w:left w:type="dxa" w:w="100"/>
              <w:bottom w:type="dxa" w:w="60"/>
              <w:right w:type="dxa" w:w="100"/>
            </w:tcMar>
          </w:tcPr>
          <w:p>
            <w:pPr>
              <w:jc w:val="left"/>
            </w:pPr>
            <w:r>
              <w:rPr>
                <w:b w:val="false"/>
                <w:bCs w:val="false"/>
              </w:rPr>
              <w:t xml:space="preserve">Time range</w:t>
            </w:r>
          </w:p>
        </w:tc>
        <w:tc>
          <w:tcPr>
            <w:tcW w:type="dxa" w:w="5836"/>
            <w:tcMar>
              <w:top w:type="dxa" w:w="60"/>
              <w:left w:type="dxa" w:w="100"/>
              <w:bottom w:type="dxa" w:w="60"/>
              <w:right w:type="dxa" w:w="100"/>
            </w:tcMar>
          </w:tcPr>
          <w:p>
            <w:pPr>
              <w:jc w:val="left"/>
            </w:pPr>
            <w:r>
              <w:rPr>
                <w:b w:val="false"/>
                <w:bCs w:val="false"/>
              </w:rPr>
              <w:t xml:space="preserve">2015 – 2018 (order date field)</w:t>
            </w:r>
          </w:p>
        </w:tc>
      </w:tr>
      <w:tr>
        <w:tc>
          <w:tcPr>
            <w:tcW w:type="dxa" w:w="2964"/>
            <w:tcMar>
              <w:top w:type="dxa" w:w="60"/>
              <w:left w:type="dxa" w:w="100"/>
              <w:bottom w:type="dxa" w:w="60"/>
              <w:right w:type="dxa" w:w="100"/>
            </w:tcMar>
          </w:tcPr>
          <w:p>
            <w:pPr>
              <w:jc w:val="left"/>
            </w:pPr>
            <w:r>
              <w:rPr>
                <w:b w:val="false"/>
                <w:bCs w:val="false"/>
              </w:rPr>
              <w:t xml:space="preserve">Target variable</w:t>
            </w:r>
          </w:p>
        </w:tc>
        <w:tc>
          <w:tcPr>
            <w:tcW w:type="dxa" w:w="5836"/>
            <w:tcMar>
              <w:top w:type="dxa" w:w="60"/>
              <w:left w:type="dxa" w:w="100"/>
              <w:bottom w:type="dxa" w:w="60"/>
              <w:right w:type="dxa" w:w="100"/>
            </w:tcMar>
          </w:tcPr>
          <w:p>
            <w:pPr>
              <w:jc w:val="left"/>
            </w:pPr>
            <w:r>
              <w:rPr>
                <w:b w:val="false"/>
                <w:bCs w:val="false"/>
              </w:rPr>
              <w:t xml:space="preserve">Late_delivery_risk (binary)</w:t>
            </w:r>
          </w:p>
        </w:tc>
      </w:tr>
      <w:tr>
        <w:tc>
          <w:tcPr>
            <w:tcW w:type="dxa" w:w="2964"/>
            <w:tcMar>
              <w:top w:type="dxa" w:w="60"/>
              <w:left w:type="dxa" w:w="100"/>
              <w:bottom w:type="dxa" w:w="60"/>
              <w:right w:type="dxa" w:w="100"/>
            </w:tcMar>
          </w:tcPr>
          <w:p>
            <w:pPr>
              <w:jc w:val="left"/>
            </w:pPr>
            <w:r>
              <w:rPr>
                <w:b w:val="false"/>
                <w:bCs w:val="false"/>
              </w:rPr>
              <w:t xml:space="preserve">Class balance</w:t>
            </w:r>
          </w:p>
        </w:tc>
        <w:tc>
          <w:tcPr>
            <w:tcW w:type="dxa" w:w="5836"/>
            <w:tcMar>
              <w:top w:type="dxa" w:w="60"/>
              <w:left w:type="dxa" w:w="100"/>
              <w:bottom w:type="dxa" w:w="60"/>
              <w:right w:type="dxa" w:w="100"/>
            </w:tcMar>
          </w:tcPr>
          <w:p>
            <w:pPr>
              <w:jc w:val="left"/>
            </w:pPr>
            <w:r>
              <w:rPr>
                <w:b w:val="false"/>
                <w:bCs w:val="false"/>
              </w:rPr>
              <w:t xml:space="preserve">54.8% late / 45.2% on-time (train split)</w:t>
            </w:r>
          </w:p>
        </w:tc>
      </w:tr>
      <w:tr>
        <w:tc>
          <w:tcPr>
            <w:tcW w:type="dxa" w:w="2964"/>
            <w:tcMar>
              <w:top w:type="dxa" w:w="60"/>
              <w:left w:type="dxa" w:w="100"/>
              <w:bottom w:type="dxa" w:w="60"/>
              <w:right w:type="dxa" w:w="100"/>
            </w:tcMar>
          </w:tcPr>
          <w:p>
            <w:pPr>
              <w:jc w:val="left"/>
            </w:pPr>
            <w:r>
              <w:rPr>
                <w:b w:val="false"/>
                <w:bCs w:val="false"/>
              </w:rPr>
              <w:t xml:space="preserve">Domains covered</w:t>
            </w:r>
          </w:p>
        </w:tc>
        <w:tc>
          <w:tcPr>
            <w:tcW w:type="dxa" w:w="5836"/>
            <w:tcMar>
              <w:top w:type="dxa" w:w="60"/>
              <w:left w:type="dxa" w:w="100"/>
              <w:bottom w:type="dxa" w:w="60"/>
              <w:right w:type="dxa" w:w="100"/>
            </w:tcMar>
          </w:tcPr>
          <w:p>
            <w:pPr>
              <w:jc w:val="left"/>
            </w:pPr>
            <w:r>
              <w:rPr>
                <w:b w:val="false"/>
                <w:bCs w:val="false"/>
              </w:rPr>
              <w:t xml:space="preserve">Order, Customer, Product, Shipping, Region/Country</w:t>
            </w:r>
          </w:p>
        </w:tc>
      </w:tr>
    </w:tbl>
    <w:p>
      <w:pPr>
        <w:spacing w:after="200"/>
      </w:pPr>
    </w:p>
    <w:p>
      <w:pPr>
        <w:pStyle w:val="Heading2"/>
        <w:spacing w:after="150" w:before="300"/>
      </w:pPr>
      <w:r>
        <w:t xml:space="preserve">2.2 Feature audit and leakage prevention</w:t>
      </w:r>
    </w:p>
    <w:p>
      <w:pPr>
        <w:spacing w:after="160"/>
      </w:pPr>
      <w:r>
        <w:t xml:space="preserve">A subset of columns directly encode the outcome and were excluded from every model as input features:</w:t>
      </w:r>
    </w:p>
    <w:p>
      <w:pPr>
        <w:pStyle w:val="ListParagraph"/>
        <w:numPr>
          <w:ilvl w:val="0"/>
          <w:numId w:val="1"/>
        </w:numPr>
        <w:spacing w:after="80"/>
      </w:pPr>
      <w:r>
        <w:t xml:space="preserve">Delivery Status — directly encodes whether delivery was late</w:t>
      </w:r>
    </w:p>
    <w:p>
      <w:pPr>
        <w:pStyle w:val="ListParagraph"/>
        <w:numPr>
          <w:ilvl w:val="0"/>
          <w:numId w:val="1"/>
        </w:numPr>
        <w:spacing w:after="80"/>
      </w:pPr>
      <w:r>
        <w:t xml:space="preserve">Days for shipping (real) — the actual transit time, known only after delivery</w:t>
      </w:r>
    </w:p>
    <w:p>
      <w:pPr>
        <w:pStyle w:val="ListParagraph"/>
        <w:numPr>
          <w:ilvl w:val="0"/>
          <w:numId w:val="1"/>
        </w:numPr>
        <w:spacing w:after="80"/>
      </w:pPr>
      <w:r>
        <w:t xml:space="preserve">shipping date (DateOrders) — the actual ship date, known only after the fact</w:t>
      </w:r>
    </w:p>
    <w:p>
      <w:pPr>
        <w:pStyle w:val="ListParagraph"/>
        <w:numPr>
          <w:ilvl w:val="0"/>
          <w:numId w:val="1"/>
        </w:numPr>
        <w:spacing w:after="80"/>
      </w:pPr>
      <w:r>
        <w:t xml:space="preserve">Order Status — fulfillment status observed progressively after order placement</w:t>
      </w:r>
    </w:p>
    <w:p>
      <w:pPr>
        <w:pStyle w:val="ListParagraph"/>
        <w:numPr>
          <w:ilvl w:val="0"/>
          <w:numId w:val="1"/>
        </w:numPr>
        <w:spacing w:after="80"/>
      </w:pPr>
      <w:r>
        <w:t xml:space="preserve">Customer Email / Fname / Lname / Password / Street, Product Description / Image — PII or free text, excluded regardless of predictive value</w:t>
      </w:r>
    </w:p>
    <w:p>
      <w:pPr>
        <w:spacing w:after="160"/>
      </w:pPr>
      <w:r>
        <w:t xml:space="preserve">The features actually used (known at order time): Type, Category Id, Customer Segment, Customer Country/State, Department Id, Market, Order Region/Country/State, Shipping Mode, scheduled shipping days, order item discount/price/quantity, sales, product price.</w:t>
      </w:r>
    </w:p>
    <w:p>
      <w:pPr>
        <w:pStyle w:val="Heading2"/>
        <w:spacing w:after="150" w:before="300"/>
      </w:pPr>
      <w:r>
        <w:t xml:space="preserve">2.3 Split</w:t>
      </w:r>
    </w:p>
    <w:p>
      <w:pPr>
        <w:spacing w:after="160"/>
      </w:pPr>
      <w:r>
        <w:t xml:space="preserve">Chronological 70/15/15 train/validation/test split (not a random row shuffle, which would leak future information into training for a time-ordered transactional dataset). Verified: positive rate is stable across splits (54.9% / 54.1% / 55.0%), ruling out a temporal distribution shift confound.</w:t>
      </w:r>
    </w:p>
    <w:p>
      <w:r>
        <w:br w:type="page"/>
      </w:r>
    </w:p>
    <w:p>
      <w:pPr>
        <w:pStyle w:val="Heading1"/>
        <w:spacing w:after="200" w:before="400"/>
      </w:pPr>
      <w:r>
        <w:t xml:space="preserve">3. Literature Review</w:t>
      </w:r>
    </w:p>
    <w:p>
      <w:pPr>
        <w:spacing w:after="160"/>
      </w:pPr>
      <w:r>
        <w:t xml:space="preserve">Four sources were identified that report results specifically on the DataCo dataset (not a general supply-chain-risk survey) and were independently examined — including, where possible, checking their claims against the actual dataset schema. Each is reviewed individually below, followed by a consolidated comparison table.</w:t>
      </w:r>
    </w:p>
    <w:p>
      <w:pPr>
        <w:pStyle w:val="Heading2"/>
        <w:spacing w:after="150" w:before="300"/>
      </w:pPr>
      <w:r>
        <w:t xml:space="preserve">3.1 EAGLE: Edge-Aware Graph Learning for Proactive Delivery Delay Prediction</w:t>
      </w:r>
    </w:p>
    <w:p>
      <w:pPr>
        <w:spacing w:after="160"/>
      </w:pPr>
      <w:r>
        <w:rPr>
          <w:b/>
          <w:bCs/>
        </w:rPr>
        <w:t xml:space="preserve">Source: </w:t>
      </w:r>
      <w:r>
        <w:t xml:space="preserve">arXiv:2604.05254 (peer-reviewed).</w:t>
      </w:r>
    </w:p>
    <w:p>
      <w:pPr>
        <w:spacing w:after="160"/>
      </w:pPr>
      <w:r>
        <w:t xml:space="preserve">Methodology: a hybrid architecture combining a lightweight Transformer patch encoder, modeling temporal order-flow dynamics, with an Edge-Aware Graph Attention Network (E-GAT) that models inter-hub relational dependencies in the logistics network, trained under a multi-task learning objective. Unlike this work's derived customer/product/region graph, EAGLE's graph is built to reflect actual logistics/hub-route structure.</w:t>
      </w:r>
    </w:p>
    <w:p>
      <w:pPr>
        <w:spacing w:after="160"/>
      </w:pPr>
      <w:r>
        <w:t xml:space="preserve">Reported results: F1 = 0.876, AUC-ROC &gt; 0.97 (stabilizing after 15 epochs), F1 standard deviation = 0.0089 across 4 seeds — the paper reports multi-seed statistics, which is itself a marker of methodological rigor.</w:t>
      </w:r>
    </w:p>
    <w:p>
      <w:pPr>
        <w:spacing w:after="160"/>
      </w:pPr>
      <w:r>
        <w:rPr>
          <w:i/>
          <w:iCs/>
        </w:rPr>
        <w:t xml:space="preserve">Assessment: the strongest credible result found on this exact dataset. Its advantage over every other approach reviewed here — including this work's own GraphSAGE and QGNN models — plausibly comes from the graph itself encoding real route/hub structure, rather than from model architecture alone.</w:t>
      </w:r>
    </w:p>
    <w:p>
      <w:pPr>
        <w:pStyle w:val="Heading2"/>
        <w:spacing w:after="150" w:before="300"/>
      </w:pPr>
      <w:r>
        <w:t xml:space="preserve">3.2 Deep Learning Framework for Interpretable Supply Chain Forecasting (SOM + PCA + ANN + SHAP)</w:t>
      </w:r>
    </w:p>
    <w:p>
      <w:pPr>
        <w:spacing w:after="160"/>
      </w:pPr>
      <w:r>
        <w:rPr>
          <w:b/>
          <w:bCs/>
        </w:rPr>
        <w:t xml:space="preserve">Source: </w:t>
      </w:r>
      <w:r>
        <w:t xml:space="preserve">Scientific Reports (Nature Portfolio), peer-reviewed.</w:t>
      </w:r>
    </w:p>
    <w:p>
      <w:pPr>
        <w:spacing w:after="160"/>
      </w:pPr>
      <w:r>
        <w:t xml:space="preserve">Methodology: Self-Organizing Maps (SOM) for unsupervised clustering of the feature space, followed by PCA dimensionality reduction and an Artificial Neural Network (ANN) classifier; SHAP values used for post-hoc interpretability. Compared against Random Forest, XGBoost, and Decision Tree baselines.</w:t>
      </w:r>
    </w:p>
    <w:p>
      <w:pPr>
        <w:spacing w:after="160"/>
      </w:pPr>
      <w:r>
        <w:t xml:space="preserve">Reported results: 96% accuracy, 96.22% F1, outperforming all three classical baselines in their comparison.</w:t>
      </w:r>
    </w:p>
    <w:p>
      <w:pPr>
        <w:spacing w:after="160"/>
      </w:pPr>
      <w:r>
        <w:rPr>
          <w:i/>
          <w:iCs/>
        </w:rPr>
        <w:t xml:space="preserve">Assessment: peer-reviewed, but this result is a substantial outlier next to every other attempt on this dataset, including EAGLE and this work's own reproduction of classical baselines. Cite with an explicit caveat rather than as a settled number — the paper does not disclose enough of its preprocessing/splitting methodology to rule out an easier evaluation setup.</w:t>
      </w:r>
    </w:p>
    <w:p>
      <w:pPr>
        <w:pStyle w:val="Heading2"/>
        <w:spacing w:after="150" w:before="300"/>
      </w:pPr>
      <w:r>
        <w:t xml:space="preserve">3.3 “Integrated Machine Learning for Enhanced Supply Chain Risk Prediction”</w:t>
      </w:r>
    </w:p>
    <w:p>
      <w:pPr>
        <w:spacing w:after="160"/>
      </w:pPr>
      <w:r>
        <w:rPr>
          <w:b/>
          <w:bCs/>
        </w:rPr>
        <w:t xml:space="preserve">Source: </w:t>
      </w:r>
      <w:r>
        <w:t xml:space="preserve">Jin, T. (2025), Preprints.org, doi:10.20944/preprints202501.1019.v1. Explicitly marked “Not peer-reviewed version.”</w:t>
      </w:r>
    </w:p>
    <w:p>
      <w:pPr>
        <w:spacing w:after="160"/>
      </w:pPr>
      <w:r>
        <w:t xml:space="preserve">Methodology claimed: an ensemble of Random Forest, Gradient Boosting Machine, and a Neural Network with custom modifications (entropy-based dynamic tree pruning, adaptive learning-rate schedule, Swish activation, multi-head attention), combined by weighted averaging.</w:t>
      </w:r>
    </w:p>
    <w:p>
      <w:pPr>
        <w:spacing w:after="160"/>
      </w:pPr>
      <w:r>
        <w:rPr>
          <w:b/>
          <w:bCs/>
        </w:rPr>
        <w:t xml:space="preserve">Critical finding: this paper's Figure 4 lists features — “Lead Time,” “Demand Variation,” “Supplier Reliability,” “Inventory Level,” “Order Cost” — that do not exist anywhere in DataCo's actual 53-column schema. This was verified directly against the downloaded CSV header. Either different, unnamed data was used while citing DataCo, or the figure is unconnected filler.</w:t>
      </w:r>
    </w:p>
    <w:p>
      <w:pPr>
        <w:spacing w:after="160"/>
      </w:pPr>
      <w:r>
        <w:t xml:space="preserve">Reported results (for reference only, not to be treated as verified):</w:t>
      </w:r>
    </w:p>
    <w:tbl>
      <w:tblPr>
        <w:tblW w:type="dxa" w:w="8801"/>
        <w:tblBorders>
          <w:top w:val="single" w:color="auto" w:sz="4"/>
          <w:left w:val="single" w:color="auto" w:sz="4"/>
          <w:bottom w:val="single" w:color="auto" w:sz="4"/>
          <w:right w:val="single" w:color="auto" w:sz="4"/>
          <w:insideH w:val="single" w:color="auto" w:sz="4"/>
          <w:insideV w:val="single" w:color="auto" w:sz="4"/>
        </w:tblBorders>
      </w:tblPr>
      <w:tblGrid>
        <w:gridCol w:w="3200"/>
        <w:gridCol w:w="1867"/>
        <w:gridCol w:w="1867"/>
        <w:gridCol w:w="1867"/>
      </w:tblGrid>
      <w:tr>
        <w:trPr>
          <w:tblHeader/>
        </w:trPr>
        <w:tc>
          <w:tcPr>
            <w:tcW w:type="dxa" w:w="3200"/>
            <w:shd w:fill="E6F1FB" w:val="clear"/>
            <w:tcMar>
              <w:top w:type="dxa" w:w="60"/>
              <w:left w:type="dxa" w:w="100"/>
              <w:bottom w:type="dxa" w:w="60"/>
              <w:right w:type="dxa" w:w="100"/>
            </w:tcMar>
          </w:tcPr>
          <w:p>
            <w:pPr>
              <w:jc w:val="left"/>
            </w:pPr>
            <w:r>
              <w:rPr>
                <w:b/>
                <w:bCs/>
              </w:rPr>
              <w:t xml:space="preserve">Model</w:t>
            </w:r>
          </w:p>
        </w:tc>
        <w:tc>
          <w:tcPr>
            <w:tcW w:type="dxa" w:w="1867"/>
            <w:shd w:fill="E6F1FB" w:val="clear"/>
            <w:tcMar>
              <w:top w:type="dxa" w:w="60"/>
              <w:left w:type="dxa" w:w="100"/>
              <w:bottom w:type="dxa" w:w="60"/>
              <w:right w:type="dxa" w:w="100"/>
            </w:tcMar>
          </w:tcPr>
          <w:p>
            <w:pPr>
              <w:jc w:val="left"/>
            </w:pPr>
            <w:r>
              <w:rPr>
                <w:b/>
                <w:bCs/>
              </w:rPr>
              <w:t xml:space="preserve">Accuracy</w:t>
            </w:r>
          </w:p>
        </w:tc>
        <w:tc>
          <w:tcPr>
            <w:tcW w:type="dxa" w:w="1867"/>
            <w:shd w:fill="E6F1FB" w:val="clear"/>
            <w:tcMar>
              <w:top w:type="dxa" w:w="60"/>
              <w:left w:type="dxa" w:w="100"/>
              <w:bottom w:type="dxa" w:w="60"/>
              <w:right w:type="dxa" w:w="100"/>
            </w:tcMar>
          </w:tcPr>
          <w:p>
            <w:pPr>
              <w:jc w:val="left"/>
            </w:pPr>
            <w:r>
              <w:rPr>
                <w:b/>
                <w:bCs/>
              </w:rPr>
              <w:t xml:space="preserve">F1</w:t>
            </w:r>
          </w:p>
        </w:tc>
        <w:tc>
          <w:tcPr>
            <w:tcW w:type="dxa" w:w="1867"/>
            <w:shd w:fill="E6F1FB" w:val="clear"/>
            <w:tcMar>
              <w:top w:type="dxa" w:w="60"/>
              <w:left w:type="dxa" w:w="100"/>
              <w:bottom w:type="dxa" w:w="60"/>
              <w:right w:type="dxa" w:w="100"/>
            </w:tcMar>
          </w:tcPr>
          <w:p>
            <w:pPr>
              <w:jc w:val="left"/>
            </w:pPr>
            <w:r>
              <w:rPr>
                <w:b/>
                <w:bCs/>
              </w:rPr>
              <w:t xml:space="preserve">MSE</w:t>
            </w:r>
          </w:p>
        </w:tc>
      </w:tr>
      <w:tr>
        <w:tc>
          <w:tcPr>
            <w:tcW w:type="dxa" w:w="3200"/>
            <w:tcMar>
              <w:top w:type="dxa" w:w="60"/>
              <w:left w:type="dxa" w:w="100"/>
              <w:bottom w:type="dxa" w:w="60"/>
              <w:right w:type="dxa" w:w="100"/>
            </w:tcMar>
          </w:tcPr>
          <w:p>
            <w:pPr>
              <w:jc w:val="left"/>
            </w:pPr>
            <w:r>
              <w:rPr>
                <w:b w:val="false"/>
                <w:bCs w:val="false"/>
              </w:rPr>
              <w:t xml:space="preserve">Logistic Regression</w:t>
            </w:r>
          </w:p>
        </w:tc>
        <w:tc>
          <w:tcPr>
            <w:tcW w:type="dxa" w:w="1867"/>
            <w:tcMar>
              <w:top w:type="dxa" w:w="60"/>
              <w:left w:type="dxa" w:w="100"/>
              <w:bottom w:type="dxa" w:w="60"/>
              <w:right w:type="dxa" w:w="100"/>
            </w:tcMar>
          </w:tcPr>
          <w:p>
            <w:pPr>
              <w:jc w:val="left"/>
            </w:pPr>
            <w:r>
              <w:rPr>
                <w:b w:val="false"/>
                <w:bCs w:val="false"/>
              </w:rPr>
              <w:t xml:space="preserve">0.765</w:t>
            </w:r>
          </w:p>
        </w:tc>
        <w:tc>
          <w:tcPr>
            <w:tcW w:type="dxa" w:w="1867"/>
            <w:tcMar>
              <w:top w:type="dxa" w:w="60"/>
              <w:left w:type="dxa" w:w="100"/>
              <w:bottom w:type="dxa" w:w="60"/>
              <w:right w:type="dxa" w:w="100"/>
            </w:tcMar>
          </w:tcPr>
          <w:p>
            <w:pPr>
              <w:jc w:val="left"/>
            </w:pPr>
            <w:r>
              <w:rPr>
                <w:b w:val="false"/>
                <w:bCs w:val="false"/>
              </w:rPr>
              <w:t xml:space="preserve">0.74</w:t>
            </w:r>
          </w:p>
        </w:tc>
        <w:tc>
          <w:tcPr>
            <w:tcW w:type="dxa" w:w="1867"/>
            <w:tcMar>
              <w:top w:type="dxa" w:w="60"/>
              <w:left w:type="dxa" w:w="100"/>
              <w:bottom w:type="dxa" w:w="60"/>
              <w:right w:type="dxa" w:w="100"/>
            </w:tcMar>
          </w:tcPr>
          <w:p>
            <w:pPr>
              <w:jc w:val="left"/>
            </w:pPr>
            <w:r>
              <w:rPr>
                <w:b w:val="false"/>
                <w:bCs w:val="false"/>
              </w:rPr>
              <w:t xml:space="preserve">0.024</w:t>
            </w:r>
          </w:p>
        </w:tc>
      </w:tr>
      <w:tr>
        <w:tc>
          <w:tcPr>
            <w:tcW w:type="dxa" w:w="3200"/>
            <w:tcMar>
              <w:top w:type="dxa" w:w="60"/>
              <w:left w:type="dxa" w:w="100"/>
              <w:bottom w:type="dxa" w:w="60"/>
              <w:right w:type="dxa" w:w="100"/>
            </w:tcMar>
          </w:tcPr>
          <w:p>
            <w:pPr>
              <w:jc w:val="left"/>
            </w:pPr>
            <w:r>
              <w:rPr>
                <w:b w:val="false"/>
                <w:bCs w:val="false"/>
              </w:rPr>
              <w:t xml:space="preserve">SVM</w:t>
            </w:r>
          </w:p>
        </w:tc>
        <w:tc>
          <w:tcPr>
            <w:tcW w:type="dxa" w:w="1867"/>
            <w:tcMar>
              <w:top w:type="dxa" w:w="60"/>
              <w:left w:type="dxa" w:w="100"/>
              <w:bottom w:type="dxa" w:w="60"/>
              <w:right w:type="dxa" w:w="100"/>
            </w:tcMar>
          </w:tcPr>
          <w:p>
            <w:pPr>
              <w:jc w:val="left"/>
            </w:pPr>
            <w:r>
              <w:rPr>
                <w:b w:val="false"/>
                <w:bCs w:val="false"/>
              </w:rPr>
              <w:t xml:space="preserve">0.782</w:t>
            </w:r>
          </w:p>
        </w:tc>
        <w:tc>
          <w:tcPr>
            <w:tcW w:type="dxa" w:w="1867"/>
            <w:tcMar>
              <w:top w:type="dxa" w:w="60"/>
              <w:left w:type="dxa" w:w="100"/>
              <w:bottom w:type="dxa" w:w="60"/>
              <w:right w:type="dxa" w:w="100"/>
            </w:tcMar>
          </w:tcPr>
          <w:p>
            <w:pPr>
              <w:jc w:val="left"/>
            </w:pPr>
            <w:r>
              <w:rPr>
                <w:b w:val="false"/>
                <w:bCs w:val="false"/>
              </w:rPr>
              <w:t xml:space="preserve">0.76</w:t>
            </w:r>
          </w:p>
        </w:tc>
        <w:tc>
          <w:tcPr>
            <w:tcW w:type="dxa" w:w="1867"/>
            <w:tcMar>
              <w:top w:type="dxa" w:w="60"/>
              <w:left w:type="dxa" w:w="100"/>
              <w:bottom w:type="dxa" w:w="60"/>
              <w:right w:type="dxa" w:w="100"/>
            </w:tcMar>
          </w:tcPr>
          <w:p>
            <w:pPr>
              <w:jc w:val="left"/>
            </w:pPr>
            <w:r>
              <w:rPr>
                <w:b w:val="false"/>
                <w:bCs w:val="false"/>
              </w:rPr>
              <w:t xml:space="preserve">0.022</w:t>
            </w:r>
          </w:p>
        </w:tc>
      </w:tr>
      <w:tr>
        <w:tc>
          <w:tcPr>
            <w:tcW w:type="dxa" w:w="3200"/>
            <w:tcMar>
              <w:top w:type="dxa" w:w="60"/>
              <w:left w:type="dxa" w:w="100"/>
              <w:bottom w:type="dxa" w:w="60"/>
              <w:right w:type="dxa" w:w="100"/>
            </w:tcMar>
          </w:tcPr>
          <w:p>
            <w:pPr>
              <w:jc w:val="left"/>
            </w:pPr>
            <w:r>
              <w:rPr>
                <w:b w:val="false"/>
                <w:bCs w:val="false"/>
              </w:rPr>
              <w:t xml:space="preserve">Random Forest</w:t>
            </w:r>
          </w:p>
        </w:tc>
        <w:tc>
          <w:tcPr>
            <w:tcW w:type="dxa" w:w="1867"/>
            <w:tcMar>
              <w:top w:type="dxa" w:w="60"/>
              <w:left w:type="dxa" w:w="100"/>
              <w:bottom w:type="dxa" w:w="60"/>
              <w:right w:type="dxa" w:w="100"/>
            </w:tcMar>
          </w:tcPr>
          <w:p>
            <w:pPr>
              <w:jc w:val="left"/>
            </w:pPr>
            <w:r>
              <w:rPr>
                <w:b w:val="false"/>
                <w:bCs w:val="false"/>
              </w:rPr>
              <w:t xml:space="preserve">0.825</w:t>
            </w:r>
          </w:p>
        </w:tc>
        <w:tc>
          <w:tcPr>
            <w:tcW w:type="dxa" w:w="1867"/>
            <w:tcMar>
              <w:top w:type="dxa" w:w="60"/>
              <w:left w:type="dxa" w:w="100"/>
              <w:bottom w:type="dxa" w:w="60"/>
              <w:right w:type="dxa" w:w="100"/>
            </w:tcMar>
          </w:tcPr>
          <w:p>
            <w:pPr>
              <w:jc w:val="left"/>
            </w:pPr>
            <w:r>
              <w:rPr>
                <w:b w:val="false"/>
                <w:bCs w:val="false"/>
              </w:rPr>
              <w:t xml:space="preserve">0.81</w:t>
            </w:r>
          </w:p>
        </w:tc>
        <w:tc>
          <w:tcPr>
            <w:tcW w:type="dxa" w:w="1867"/>
            <w:tcMar>
              <w:top w:type="dxa" w:w="60"/>
              <w:left w:type="dxa" w:w="100"/>
              <w:bottom w:type="dxa" w:w="60"/>
              <w:right w:type="dxa" w:w="100"/>
            </w:tcMar>
          </w:tcPr>
          <w:p>
            <w:pPr>
              <w:jc w:val="left"/>
            </w:pPr>
            <w:r>
              <w:rPr>
                <w:b w:val="false"/>
                <w:bCs w:val="false"/>
              </w:rPr>
              <w:t xml:space="preserve">0.019</w:t>
            </w:r>
          </w:p>
        </w:tc>
      </w:tr>
      <w:tr>
        <w:tc>
          <w:tcPr>
            <w:tcW w:type="dxa" w:w="3200"/>
            <w:tcMar>
              <w:top w:type="dxa" w:w="60"/>
              <w:left w:type="dxa" w:w="100"/>
              <w:bottom w:type="dxa" w:w="60"/>
              <w:right w:type="dxa" w:w="100"/>
            </w:tcMar>
          </w:tcPr>
          <w:p>
            <w:pPr>
              <w:jc w:val="left"/>
            </w:pPr>
            <w:r>
              <w:rPr>
                <w:b w:val="false"/>
                <w:bCs w:val="false"/>
              </w:rPr>
              <w:t xml:space="preserve">XGBoost</w:t>
            </w:r>
          </w:p>
        </w:tc>
        <w:tc>
          <w:tcPr>
            <w:tcW w:type="dxa" w:w="1867"/>
            <w:tcMar>
              <w:top w:type="dxa" w:w="60"/>
              <w:left w:type="dxa" w:w="100"/>
              <w:bottom w:type="dxa" w:w="60"/>
              <w:right w:type="dxa" w:w="100"/>
            </w:tcMar>
          </w:tcPr>
          <w:p>
            <w:pPr>
              <w:jc w:val="left"/>
            </w:pPr>
            <w:r>
              <w:rPr>
                <w:b w:val="false"/>
                <w:bCs w:val="false"/>
              </w:rPr>
              <w:t xml:space="preserve">0.841</w:t>
            </w:r>
          </w:p>
        </w:tc>
        <w:tc>
          <w:tcPr>
            <w:tcW w:type="dxa" w:w="1867"/>
            <w:tcMar>
              <w:top w:type="dxa" w:w="60"/>
              <w:left w:type="dxa" w:w="100"/>
              <w:bottom w:type="dxa" w:w="60"/>
              <w:right w:type="dxa" w:w="100"/>
            </w:tcMar>
          </w:tcPr>
          <w:p>
            <w:pPr>
              <w:jc w:val="left"/>
            </w:pPr>
            <w:r>
              <w:rPr>
                <w:b w:val="false"/>
                <w:bCs w:val="false"/>
              </w:rPr>
              <w:t xml:space="preserve">0.82</w:t>
            </w:r>
          </w:p>
        </w:tc>
        <w:tc>
          <w:tcPr>
            <w:tcW w:type="dxa" w:w="1867"/>
            <w:tcMar>
              <w:top w:type="dxa" w:w="60"/>
              <w:left w:type="dxa" w:w="100"/>
              <w:bottom w:type="dxa" w:w="60"/>
              <w:right w:type="dxa" w:w="100"/>
            </w:tcMar>
          </w:tcPr>
          <w:p>
            <w:pPr>
              <w:jc w:val="left"/>
            </w:pPr>
            <w:r>
              <w:rPr>
                <w:b w:val="false"/>
                <w:bCs w:val="false"/>
              </w:rPr>
              <w:t xml:space="preserve">0.017</w:t>
            </w:r>
          </w:p>
        </w:tc>
      </w:tr>
      <w:tr>
        <w:tc>
          <w:tcPr>
            <w:tcW w:type="dxa" w:w="3200"/>
            <w:tcMar>
              <w:top w:type="dxa" w:w="60"/>
              <w:left w:type="dxa" w:w="100"/>
              <w:bottom w:type="dxa" w:w="60"/>
              <w:right w:type="dxa" w:w="100"/>
            </w:tcMar>
          </w:tcPr>
          <w:p>
            <w:pPr>
              <w:jc w:val="left"/>
            </w:pPr>
            <w:r>
              <w:rPr>
                <w:b w:val="false"/>
                <w:bCs w:val="false"/>
              </w:rPr>
              <w:t xml:space="preserve">Deep Neural Network</w:t>
            </w:r>
          </w:p>
        </w:tc>
        <w:tc>
          <w:tcPr>
            <w:tcW w:type="dxa" w:w="1867"/>
            <w:tcMar>
              <w:top w:type="dxa" w:w="60"/>
              <w:left w:type="dxa" w:w="100"/>
              <w:bottom w:type="dxa" w:w="60"/>
              <w:right w:type="dxa" w:w="100"/>
            </w:tcMar>
          </w:tcPr>
          <w:p>
            <w:pPr>
              <w:jc w:val="left"/>
            </w:pPr>
            <w:r>
              <w:rPr>
                <w:b w:val="false"/>
                <w:bCs w:val="false"/>
              </w:rPr>
              <w:t xml:space="preserve">0.837</w:t>
            </w:r>
          </w:p>
        </w:tc>
        <w:tc>
          <w:tcPr>
            <w:tcW w:type="dxa" w:w="1867"/>
            <w:tcMar>
              <w:top w:type="dxa" w:w="60"/>
              <w:left w:type="dxa" w:w="100"/>
              <w:bottom w:type="dxa" w:w="60"/>
              <w:right w:type="dxa" w:w="100"/>
            </w:tcMar>
          </w:tcPr>
          <w:p>
            <w:pPr>
              <w:jc w:val="left"/>
            </w:pPr>
            <w:r>
              <w:rPr>
                <w:b w:val="false"/>
                <w:bCs w:val="false"/>
              </w:rPr>
              <w:t xml:space="preserve">0.83</w:t>
            </w:r>
          </w:p>
        </w:tc>
        <w:tc>
          <w:tcPr>
            <w:tcW w:type="dxa" w:w="1867"/>
            <w:tcMar>
              <w:top w:type="dxa" w:w="60"/>
              <w:left w:type="dxa" w:w="100"/>
              <w:bottom w:type="dxa" w:w="60"/>
              <w:right w:type="dxa" w:w="100"/>
            </w:tcMar>
          </w:tcPr>
          <w:p>
            <w:pPr>
              <w:jc w:val="left"/>
            </w:pPr>
            <w:r>
              <w:rPr>
                <w:b w:val="false"/>
                <w:bCs w:val="false"/>
              </w:rPr>
              <w:t xml:space="preserve">0.018</w:t>
            </w:r>
          </w:p>
        </w:tc>
      </w:tr>
      <w:tr>
        <w:tc>
          <w:tcPr>
            <w:tcW w:type="dxa" w:w="3200"/>
            <w:tcMar>
              <w:top w:type="dxa" w:w="60"/>
              <w:left w:type="dxa" w:w="100"/>
              <w:bottom w:type="dxa" w:w="60"/>
              <w:right w:type="dxa" w:w="100"/>
            </w:tcMar>
          </w:tcPr>
          <w:p>
            <w:pPr>
              <w:jc w:val="left"/>
            </w:pPr>
            <w:r>
              <w:rPr>
                <w:b w:val="false"/>
                <w:bCs w:val="false"/>
              </w:rPr>
              <w:t xml:space="preserve">Proposed Ensemble</w:t>
            </w:r>
          </w:p>
        </w:tc>
        <w:tc>
          <w:tcPr>
            <w:tcW w:type="dxa" w:w="1867"/>
            <w:tcMar>
              <w:top w:type="dxa" w:w="60"/>
              <w:left w:type="dxa" w:w="100"/>
              <w:bottom w:type="dxa" w:w="60"/>
              <w:right w:type="dxa" w:w="100"/>
            </w:tcMar>
          </w:tcPr>
          <w:p>
            <w:pPr>
              <w:jc w:val="left"/>
            </w:pPr>
            <w:r>
              <w:rPr>
                <w:b w:val="false"/>
                <w:bCs w:val="false"/>
              </w:rPr>
              <w:t xml:space="preserve">0.854</w:t>
            </w:r>
          </w:p>
        </w:tc>
        <w:tc>
          <w:tcPr>
            <w:tcW w:type="dxa" w:w="1867"/>
            <w:tcMar>
              <w:top w:type="dxa" w:w="60"/>
              <w:left w:type="dxa" w:w="100"/>
              <w:bottom w:type="dxa" w:w="60"/>
              <w:right w:type="dxa" w:w="100"/>
            </w:tcMar>
          </w:tcPr>
          <w:p>
            <w:pPr>
              <w:jc w:val="left"/>
            </w:pPr>
            <w:r>
              <w:rPr>
                <w:b w:val="false"/>
                <w:bCs w:val="false"/>
              </w:rPr>
              <w:t xml:space="preserve">0.85</w:t>
            </w:r>
          </w:p>
        </w:tc>
        <w:tc>
          <w:tcPr>
            <w:tcW w:type="dxa" w:w="1867"/>
            <w:tcMar>
              <w:top w:type="dxa" w:w="60"/>
              <w:left w:type="dxa" w:w="100"/>
              <w:bottom w:type="dxa" w:w="60"/>
              <w:right w:type="dxa" w:w="100"/>
            </w:tcMar>
          </w:tcPr>
          <w:p>
            <w:pPr>
              <w:jc w:val="left"/>
            </w:pPr>
            <w:r>
              <w:rPr>
                <w:b w:val="false"/>
                <w:bCs w:val="false"/>
              </w:rPr>
              <w:t xml:space="preserve">0.015</w:t>
            </w:r>
          </w:p>
        </w:tc>
      </w:tr>
    </w:tbl>
    <w:p>
      <w:pPr>
        <w:spacing w:after="100"/>
      </w:pPr>
    </w:p>
    <w:p>
      <w:pPr>
        <w:spacing w:after="160"/>
      </w:pPr>
      <w:r>
        <w:rPr>
          <w:i/>
          <w:iCs/>
        </w:rPr>
        <w:t xml:space="preserve">Note: this paper reports Accuracy/F1/MSE, not ROC-AUC — a metric choice inconsistent with the rest of the literature reviewed here, and one that cannot expose class-imbalance-driven inflation the way ROC-AUC/PR-AUC can.</w:t>
      </w:r>
    </w:p>
    <w:p>
      <w:pPr>
        <w:spacing w:after="160"/>
      </w:pPr>
      <w:r>
        <w:rPr>
          <w:b/>
          <w:bCs/>
        </w:rPr>
        <w:t xml:space="preserve">Assessment: not peer-reviewed, and the feature-schema mismatch is a serious, direct credibility problem, not a stylistic quibble. Included here only to document why it should not be cited as a comparable result.</w:t>
      </w:r>
    </w:p>
    <w:p>
      <w:pPr>
        <w:pStyle w:val="Heading2"/>
        <w:spacing w:after="150" w:before="300"/>
      </w:pPr>
      <w:r>
        <w:t xml:space="preserve">3.4 Independent Random Forest Reproduction (informal)</w:t>
      </w:r>
    </w:p>
    <w:p>
      <w:pPr>
        <w:spacing w:after="160"/>
      </w:pPr>
      <w:r>
        <w:rPr>
          <w:b/>
          <w:bCs/>
        </w:rPr>
        <w:t xml:space="preserve">Source: </w:t>
      </w:r>
      <w:r>
        <w:t xml:space="preserve">github.com/fatmaaboamra/Supply-Chain-Late-Delivery-Prediction — not a peer-reviewed source.</w:t>
      </w:r>
    </w:p>
    <w:p>
      <w:pPr>
        <w:spacing w:after="160"/>
      </w:pPr>
      <w:r>
        <w:t xml:space="preserve">Methodology: a plain scikit-learn Random Forest classifier on DataCo, no stated leakage audit.</w:t>
      </w:r>
    </w:p>
    <w:p>
      <w:pPr>
        <w:spacing w:after="160"/>
      </w:pPr>
      <w:r>
        <w:t xml:space="preserve">Reported results: 68.75% accuracy, 81.88% precision, 63.19% F1.</w:t>
      </w:r>
    </w:p>
    <w:p>
      <w:pPr>
        <w:spacing w:after="160"/>
      </w:pPr>
      <w:r>
        <w:rPr>
          <w:i/>
          <w:iCs/>
        </w:rPr>
        <w:t xml:space="preserve">Assessment: not citable as an academic source, but valuable as an independent sanity check — its numbers land close to this work's own from-scratch Random Forest result (67.3% accuracy, F1 = 0.671), corroborating that this work's leakage-audited feature set and temporal split are not producing an artificially inflated or deflated result.</w:t>
      </w:r>
    </w:p>
    <w:p>
      <w:pPr>
        <w:pStyle w:val="Heading2"/>
        <w:spacing w:after="150" w:before="300"/>
      </w:pPr>
      <w:r>
        <w:t xml:space="preserve">3.5 Literature comparison summary</w:t>
      </w:r>
    </w:p>
    <w:tbl>
      <w:tblPr>
        <w:tblW w:type="dxa" w:w="8799"/>
        <w:tblBorders>
          <w:top w:val="single" w:color="auto" w:sz="4"/>
          <w:left w:val="single" w:color="auto" w:sz="4"/>
          <w:bottom w:val="single" w:color="auto" w:sz="4"/>
          <w:right w:val="single" w:color="auto" w:sz="4"/>
          <w:insideH w:val="single" w:color="auto" w:sz="4"/>
          <w:insideV w:val="single" w:color="auto" w:sz="4"/>
        </w:tblBorders>
      </w:tblPr>
      <w:tblGrid>
        <w:gridCol w:w="2792"/>
        <w:gridCol w:w="1269"/>
        <w:gridCol w:w="1100"/>
        <w:gridCol w:w="1015"/>
        <w:gridCol w:w="1354"/>
        <w:gridCol w:w="1269"/>
      </w:tblGrid>
      <w:tr>
        <w:trPr>
          <w:tblHeader/>
        </w:trPr>
        <w:tc>
          <w:tcPr>
            <w:tcW w:type="dxa" w:w="2792"/>
            <w:shd w:fill="E6F1FB" w:val="clear"/>
            <w:tcMar>
              <w:top w:type="dxa" w:w="60"/>
              <w:left w:type="dxa" w:w="100"/>
              <w:bottom w:type="dxa" w:w="60"/>
              <w:right w:type="dxa" w:w="100"/>
            </w:tcMar>
          </w:tcPr>
          <w:p>
            <w:pPr>
              <w:jc w:val="left"/>
            </w:pPr>
            <w:r>
              <w:rPr>
                <w:b/>
                <w:bCs/>
              </w:rPr>
              <w:t xml:space="preserve">Source</w:t>
            </w:r>
          </w:p>
        </w:tc>
        <w:tc>
          <w:tcPr>
            <w:tcW w:type="dxa" w:w="1269"/>
            <w:shd w:fill="E6F1FB" w:val="clear"/>
            <w:tcMar>
              <w:top w:type="dxa" w:w="60"/>
              <w:left w:type="dxa" w:w="100"/>
              <w:bottom w:type="dxa" w:w="60"/>
              <w:right w:type="dxa" w:w="100"/>
            </w:tcMar>
          </w:tcPr>
          <w:p>
            <w:pPr>
              <w:jc w:val="left"/>
            </w:pPr>
            <w:r>
              <w:rPr>
                <w:b/>
                <w:bCs/>
              </w:rPr>
              <w:t xml:space="preserve">Peer-reviewed</w:t>
            </w:r>
          </w:p>
        </w:tc>
        <w:tc>
          <w:tcPr>
            <w:tcW w:type="dxa" w:w="1100"/>
            <w:shd w:fill="E6F1FB" w:val="clear"/>
            <w:tcMar>
              <w:top w:type="dxa" w:w="60"/>
              <w:left w:type="dxa" w:w="100"/>
              <w:bottom w:type="dxa" w:w="60"/>
              <w:right w:type="dxa" w:w="100"/>
            </w:tcMar>
          </w:tcPr>
          <w:p>
            <w:pPr>
              <w:jc w:val="left"/>
            </w:pPr>
            <w:r>
              <w:rPr>
                <w:b/>
                <w:bCs/>
              </w:rPr>
              <w:t xml:space="preserve">Accuracy</w:t>
            </w:r>
          </w:p>
        </w:tc>
        <w:tc>
          <w:tcPr>
            <w:tcW w:type="dxa" w:w="1015"/>
            <w:shd w:fill="E6F1FB" w:val="clear"/>
            <w:tcMar>
              <w:top w:type="dxa" w:w="60"/>
              <w:left w:type="dxa" w:w="100"/>
              <w:bottom w:type="dxa" w:w="60"/>
              <w:right w:type="dxa" w:w="100"/>
            </w:tcMar>
          </w:tcPr>
          <w:p>
            <w:pPr>
              <w:jc w:val="left"/>
            </w:pPr>
            <w:r>
              <w:rPr>
                <w:b/>
                <w:bCs/>
              </w:rPr>
              <w:t xml:space="preserve">F1</w:t>
            </w:r>
          </w:p>
        </w:tc>
        <w:tc>
          <w:tcPr>
            <w:tcW w:type="dxa" w:w="1354"/>
            <w:shd w:fill="E6F1FB" w:val="clear"/>
            <w:tcMar>
              <w:top w:type="dxa" w:w="60"/>
              <w:left w:type="dxa" w:w="100"/>
              <w:bottom w:type="dxa" w:w="60"/>
              <w:right w:type="dxa" w:w="100"/>
            </w:tcMar>
          </w:tcPr>
          <w:p>
            <w:pPr>
              <w:jc w:val="left"/>
            </w:pPr>
            <w:r>
              <w:rPr>
                <w:b/>
                <w:bCs/>
              </w:rPr>
              <w:t xml:space="preserve">ROC-AUC / AUC</w:t>
            </w:r>
          </w:p>
        </w:tc>
        <w:tc>
          <w:tcPr>
            <w:tcW w:type="dxa" w:w="1269"/>
            <w:shd w:fill="E6F1FB" w:val="clear"/>
            <w:tcMar>
              <w:top w:type="dxa" w:w="60"/>
              <w:left w:type="dxa" w:w="100"/>
              <w:bottom w:type="dxa" w:w="60"/>
              <w:right w:type="dxa" w:w="100"/>
            </w:tcMar>
          </w:tcPr>
          <w:p>
            <w:pPr>
              <w:jc w:val="left"/>
            </w:pPr>
            <w:r>
              <w:rPr>
                <w:b/>
                <w:bCs/>
              </w:rPr>
              <w:t xml:space="preserve">Trustworthy?</w:t>
            </w:r>
          </w:p>
        </w:tc>
      </w:tr>
      <w:tr>
        <w:tc>
          <w:tcPr>
            <w:tcW w:type="dxa" w:w="2792"/>
            <w:tcMar>
              <w:top w:type="dxa" w:w="60"/>
              <w:left w:type="dxa" w:w="100"/>
              <w:bottom w:type="dxa" w:w="60"/>
              <w:right w:type="dxa" w:w="100"/>
            </w:tcMar>
          </w:tcPr>
          <w:p>
            <w:pPr>
              <w:jc w:val="left"/>
            </w:pPr>
            <w:r>
              <w:rPr>
                <w:b w:val="false"/>
                <w:bCs w:val="false"/>
              </w:rPr>
              <w:t xml:space="preserve">EAGLE (E-GAT + Transformer)</w:t>
            </w:r>
          </w:p>
        </w:tc>
        <w:tc>
          <w:tcPr>
            <w:tcW w:type="dxa" w:w="1269"/>
            <w:tcMar>
              <w:top w:type="dxa" w:w="60"/>
              <w:left w:type="dxa" w:w="100"/>
              <w:bottom w:type="dxa" w:w="60"/>
              <w:right w:type="dxa" w:w="100"/>
            </w:tcMar>
          </w:tcPr>
          <w:p>
            <w:pPr>
              <w:jc w:val="left"/>
            </w:pPr>
            <w:r>
              <w:rPr>
                <w:b w:val="false"/>
                <w:bCs w:val="false"/>
              </w:rPr>
              <w:t xml:space="preserve">Yes</w:t>
            </w:r>
          </w:p>
        </w:tc>
        <w:tc>
          <w:tcPr>
            <w:tcW w:type="dxa" w:w="1100"/>
            <w:tcMar>
              <w:top w:type="dxa" w:w="60"/>
              <w:left w:type="dxa" w:w="100"/>
              <w:bottom w:type="dxa" w:w="60"/>
              <w:right w:type="dxa" w:w="100"/>
            </w:tcMar>
          </w:tcPr>
          <w:p>
            <w:pPr>
              <w:jc w:val="left"/>
            </w:pPr>
            <w:r>
              <w:rPr>
                <w:b w:val="false"/>
                <w:bCs w:val="false"/>
              </w:rPr>
              <w:t xml:space="preserve">—</w:t>
            </w:r>
          </w:p>
        </w:tc>
        <w:tc>
          <w:tcPr>
            <w:tcW w:type="dxa" w:w="1015"/>
            <w:tcMar>
              <w:top w:type="dxa" w:w="60"/>
              <w:left w:type="dxa" w:w="100"/>
              <w:bottom w:type="dxa" w:w="60"/>
              <w:right w:type="dxa" w:w="100"/>
            </w:tcMar>
          </w:tcPr>
          <w:p>
            <w:pPr>
              <w:jc w:val="left"/>
            </w:pPr>
            <w:r>
              <w:rPr>
                <w:b w:val="false"/>
                <w:bCs w:val="false"/>
              </w:rPr>
              <w:t xml:space="preserve">0.876</w:t>
            </w:r>
          </w:p>
        </w:tc>
        <w:tc>
          <w:tcPr>
            <w:tcW w:type="dxa" w:w="1354"/>
            <w:tcMar>
              <w:top w:type="dxa" w:w="60"/>
              <w:left w:type="dxa" w:w="100"/>
              <w:bottom w:type="dxa" w:w="60"/>
              <w:right w:type="dxa" w:w="100"/>
            </w:tcMar>
          </w:tcPr>
          <w:p>
            <w:pPr>
              <w:jc w:val="left"/>
            </w:pPr>
            <w:r>
              <w:rPr>
                <w:b w:val="false"/>
                <w:bCs w:val="false"/>
              </w:rPr>
              <w:t xml:space="preserve">&gt; 0.97</w:t>
            </w:r>
          </w:p>
        </w:tc>
        <w:tc>
          <w:tcPr>
            <w:tcW w:type="dxa" w:w="1269"/>
            <w:tcMar>
              <w:top w:type="dxa" w:w="60"/>
              <w:left w:type="dxa" w:w="100"/>
              <w:bottom w:type="dxa" w:w="60"/>
              <w:right w:type="dxa" w:w="100"/>
            </w:tcMar>
          </w:tcPr>
          <w:p>
            <w:pPr>
              <w:jc w:val="left"/>
            </w:pPr>
            <w:r>
              <w:rPr>
                <w:b w:val="false"/>
                <w:bCs w:val="false"/>
              </w:rPr>
              <w:t xml:space="preserve">Yes</w:t>
            </w:r>
          </w:p>
        </w:tc>
      </w:tr>
      <w:tr>
        <w:tc>
          <w:tcPr>
            <w:tcW w:type="dxa" w:w="2792"/>
            <w:tcMar>
              <w:top w:type="dxa" w:w="60"/>
              <w:left w:type="dxa" w:w="100"/>
              <w:bottom w:type="dxa" w:w="60"/>
              <w:right w:type="dxa" w:w="100"/>
            </w:tcMar>
          </w:tcPr>
          <w:p>
            <w:pPr>
              <w:jc w:val="left"/>
            </w:pPr>
            <w:r>
              <w:rPr>
                <w:b w:val="false"/>
                <w:bCs w:val="false"/>
              </w:rPr>
              <w:t xml:space="preserve">SOM + PCA + ANN + SHAP</w:t>
            </w:r>
          </w:p>
        </w:tc>
        <w:tc>
          <w:tcPr>
            <w:tcW w:type="dxa" w:w="1269"/>
            <w:tcMar>
              <w:top w:type="dxa" w:w="60"/>
              <w:left w:type="dxa" w:w="100"/>
              <w:bottom w:type="dxa" w:w="60"/>
              <w:right w:type="dxa" w:w="100"/>
            </w:tcMar>
          </w:tcPr>
          <w:p>
            <w:pPr>
              <w:jc w:val="left"/>
            </w:pPr>
            <w:r>
              <w:rPr>
                <w:b w:val="false"/>
                <w:bCs w:val="false"/>
              </w:rPr>
              <w:t xml:space="preserve">Yes</w:t>
            </w:r>
          </w:p>
        </w:tc>
        <w:tc>
          <w:tcPr>
            <w:tcW w:type="dxa" w:w="1100"/>
            <w:tcMar>
              <w:top w:type="dxa" w:w="60"/>
              <w:left w:type="dxa" w:w="100"/>
              <w:bottom w:type="dxa" w:w="60"/>
              <w:right w:type="dxa" w:w="100"/>
            </w:tcMar>
          </w:tcPr>
          <w:p>
            <w:pPr>
              <w:jc w:val="left"/>
            </w:pPr>
            <w:r>
              <w:rPr>
                <w:b w:val="false"/>
                <w:bCs w:val="false"/>
              </w:rPr>
              <w:t xml:space="preserve">0.960</w:t>
            </w:r>
          </w:p>
        </w:tc>
        <w:tc>
          <w:tcPr>
            <w:tcW w:type="dxa" w:w="1015"/>
            <w:tcMar>
              <w:top w:type="dxa" w:w="60"/>
              <w:left w:type="dxa" w:w="100"/>
              <w:bottom w:type="dxa" w:w="60"/>
              <w:right w:type="dxa" w:w="100"/>
            </w:tcMar>
          </w:tcPr>
          <w:p>
            <w:pPr>
              <w:jc w:val="left"/>
            </w:pPr>
            <w:r>
              <w:rPr>
                <w:b w:val="false"/>
                <w:bCs w:val="false"/>
              </w:rPr>
              <w:t xml:space="preserve">0.962</w:t>
            </w:r>
          </w:p>
        </w:tc>
        <w:tc>
          <w:tcPr>
            <w:tcW w:type="dxa" w:w="1354"/>
            <w:tcMar>
              <w:top w:type="dxa" w:w="60"/>
              <w:left w:type="dxa" w:w="100"/>
              <w:bottom w:type="dxa" w:w="60"/>
              <w:right w:type="dxa" w:w="100"/>
            </w:tcMar>
          </w:tcPr>
          <w:p>
            <w:pPr>
              <w:jc w:val="left"/>
            </w:pPr>
            <w:r>
              <w:rPr>
                <w:b w:val="false"/>
                <w:bCs w:val="false"/>
              </w:rPr>
              <w:t xml:space="preserve">—</w:t>
            </w:r>
          </w:p>
        </w:tc>
        <w:tc>
          <w:tcPr>
            <w:tcW w:type="dxa" w:w="1269"/>
            <w:tcMar>
              <w:top w:type="dxa" w:w="60"/>
              <w:left w:type="dxa" w:w="100"/>
              <w:bottom w:type="dxa" w:w="60"/>
              <w:right w:type="dxa" w:w="100"/>
            </w:tcMar>
          </w:tcPr>
          <w:p>
            <w:pPr>
              <w:jc w:val="left"/>
            </w:pPr>
            <w:r>
              <w:rPr>
                <w:b w:val="false"/>
                <w:bCs w:val="false"/>
              </w:rPr>
              <w:t xml:space="preserve">Outlier — caution</w:t>
            </w:r>
          </w:p>
        </w:tc>
      </w:tr>
      <w:tr>
        <w:tc>
          <w:tcPr>
            <w:tcW w:type="dxa" w:w="2792"/>
            <w:tcMar>
              <w:top w:type="dxa" w:w="60"/>
              <w:left w:type="dxa" w:w="100"/>
              <w:bottom w:type="dxa" w:w="60"/>
              <w:right w:type="dxa" w:w="100"/>
            </w:tcMar>
          </w:tcPr>
          <w:p>
            <w:pPr>
              <w:jc w:val="left"/>
            </w:pPr>
            <w:r>
              <w:rPr>
                <w:b w:val="false"/>
                <w:bCs w:val="false"/>
              </w:rPr>
              <w:t xml:space="preserve">“Integrated ML” ensemble (Jin 2025)</w:t>
            </w:r>
          </w:p>
        </w:tc>
        <w:tc>
          <w:tcPr>
            <w:tcW w:type="dxa" w:w="1269"/>
            <w:tcMar>
              <w:top w:type="dxa" w:w="60"/>
              <w:left w:type="dxa" w:w="100"/>
              <w:bottom w:type="dxa" w:w="60"/>
              <w:right w:type="dxa" w:w="100"/>
            </w:tcMar>
          </w:tcPr>
          <w:p>
            <w:pPr>
              <w:jc w:val="left"/>
            </w:pPr>
            <w:r>
              <w:rPr>
                <w:b w:val="false"/>
                <w:bCs w:val="false"/>
              </w:rPr>
              <w:t xml:space="preserve">No</w:t>
            </w:r>
          </w:p>
        </w:tc>
        <w:tc>
          <w:tcPr>
            <w:tcW w:type="dxa" w:w="1100"/>
            <w:tcMar>
              <w:top w:type="dxa" w:w="60"/>
              <w:left w:type="dxa" w:w="100"/>
              <w:bottom w:type="dxa" w:w="60"/>
              <w:right w:type="dxa" w:w="100"/>
            </w:tcMar>
          </w:tcPr>
          <w:p>
            <w:pPr>
              <w:jc w:val="left"/>
            </w:pPr>
            <w:r>
              <w:rPr>
                <w:b w:val="false"/>
                <w:bCs w:val="false"/>
              </w:rPr>
              <w:t xml:space="preserve">0.854</w:t>
            </w:r>
          </w:p>
        </w:tc>
        <w:tc>
          <w:tcPr>
            <w:tcW w:type="dxa" w:w="1015"/>
            <w:tcMar>
              <w:top w:type="dxa" w:w="60"/>
              <w:left w:type="dxa" w:w="100"/>
              <w:bottom w:type="dxa" w:w="60"/>
              <w:right w:type="dxa" w:w="100"/>
            </w:tcMar>
          </w:tcPr>
          <w:p>
            <w:pPr>
              <w:jc w:val="left"/>
            </w:pPr>
            <w:r>
              <w:rPr>
                <w:b w:val="false"/>
                <w:bCs w:val="false"/>
              </w:rPr>
              <w:t xml:space="preserve">0.85</w:t>
            </w:r>
          </w:p>
        </w:tc>
        <w:tc>
          <w:tcPr>
            <w:tcW w:type="dxa" w:w="1354"/>
            <w:tcMar>
              <w:top w:type="dxa" w:w="60"/>
              <w:left w:type="dxa" w:w="100"/>
              <w:bottom w:type="dxa" w:w="60"/>
              <w:right w:type="dxa" w:w="100"/>
            </w:tcMar>
          </w:tcPr>
          <w:p>
            <w:pPr>
              <w:jc w:val="left"/>
            </w:pPr>
            <w:r>
              <w:rPr>
                <w:b w:val="false"/>
                <w:bCs w:val="false"/>
              </w:rPr>
              <w:t xml:space="preserve">— (MSE=0.015)</w:t>
            </w:r>
          </w:p>
        </w:tc>
        <w:tc>
          <w:tcPr>
            <w:tcW w:type="dxa" w:w="1269"/>
            <w:tcMar>
              <w:top w:type="dxa" w:w="60"/>
              <w:left w:type="dxa" w:w="100"/>
              <w:bottom w:type="dxa" w:w="60"/>
              <w:right w:type="dxa" w:w="100"/>
            </w:tcMar>
          </w:tcPr>
          <w:p>
            <w:pPr>
              <w:jc w:val="left"/>
            </w:pPr>
            <w:r>
              <w:rPr>
                <w:b w:val="false"/>
                <w:bCs w:val="false"/>
              </w:rPr>
              <w:t xml:space="preserve">No — schema mismatch</w:t>
            </w:r>
          </w:p>
        </w:tc>
      </w:tr>
      <w:tr>
        <w:tc>
          <w:tcPr>
            <w:tcW w:type="dxa" w:w="2792"/>
            <w:tcMar>
              <w:top w:type="dxa" w:w="60"/>
              <w:left w:type="dxa" w:w="100"/>
              <w:bottom w:type="dxa" w:w="60"/>
              <w:right w:type="dxa" w:w="100"/>
            </w:tcMar>
          </w:tcPr>
          <w:p>
            <w:pPr>
              <w:jc w:val="left"/>
            </w:pPr>
            <w:r>
              <w:rPr>
                <w:b w:val="false"/>
                <w:bCs w:val="false"/>
              </w:rPr>
              <w:t xml:space="preserve">Independent RF (GitHub)</w:t>
            </w:r>
          </w:p>
        </w:tc>
        <w:tc>
          <w:tcPr>
            <w:tcW w:type="dxa" w:w="1269"/>
            <w:tcMar>
              <w:top w:type="dxa" w:w="60"/>
              <w:left w:type="dxa" w:w="100"/>
              <w:bottom w:type="dxa" w:w="60"/>
              <w:right w:type="dxa" w:w="100"/>
            </w:tcMar>
          </w:tcPr>
          <w:p>
            <w:pPr>
              <w:jc w:val="left"/>
            </w:pPr>
            <w:r>
              <w:rPr>
                <w:b w:val="false"/>
                <w:bCs w:val="false"/>
              </w:rPr>
              <w:t xml:space="preserve">N/A</w:t>
            </w:r>
          </w:p>
        </w:tc>
        <w:tc>
          <w:tcPr>
            <w:tcW w:type="dxa" w:w="1100"/>
            <w:tcMar>
              <w:top w:type="dxa" w:w="60"/>
              <w:left w:type="dxa" w:w="100"/>
              <w:bottom w:type="dxa" w:w="60"/>
              <w:right w:type="dxa" w:w="100"/>
            </w:tcMar>
          </w:tcPr>
          <w:p>
            <w:pPr>
              <w:jc w:val="left"/>
            </w:pPr>
            <w:r>
              <w:rPr>
                <w:b w:val="false"/>
                <w:bCs w:val="false"/>
              </w:rPr>
              <w:t xml:space="preserve">0.688</w:t>
            </w:r>
          </w:p>
        </w:tc>
        <w:tc>
          <w:tcPr>
            <w:tcW w:type="dxa" w:w="1015"/>
            <w:tcMar>
              <w:top w:type="dxa" w:w="60"/>
              <w:left w:type="dxa" w:w="100"/>
              <w:bottom w:type="dxa" w:w="60"/>
              <w:right w:type="dxa" w:w="100"/>
            </w:tcMar>
          </w:tcPr>
          <w:p>
            <w:pPr>
              <w:jc w:val="left"/>
            </w:pPr>
            <w:r>
              <w:rPr>
                <w:b w:val="false"/>
                <w:bCs w:val="false"/>
              </w:rPr>
              <w:t xml:space="preserve">0.632</w:t>
            </w:r>
          </w:p>
        </w:tc>
        <w:tc>
          <w:tcPr>
            <w:tcW w:type="dxa" w:w="1354"/>
            <w:tcMar>
              <w:top w:type="dxa" w:w="60"/>
              <w:left w:type="dxa" w:w="100"/>
              <w:bottom w:type="dxa" w:w="60"/>
              <w:right w:type="dxa" w:w="100"/>
            </w:tcMar>
          </w:tcPr>
          <w:p>
            <w:pPr>
              <w:jc w:val="left"/>
            </w:pPr>
            <w:r>
              <w:rPr>
                <w:b w:val="false"/>
                <w:bCs w:val="false"/>
              </w:rPr>
              <w:t xml:space="preserve">—</w:t>
            </w:r>
          </w:p>
        </w:tc>
        <w:tc>
          <w:tcPr>
            <w:tcW w:type="dxa" w:w="1269"/>
            <w:tcMar>
              <w:top w:type="dxa" w:w="60"/>
              <w:left w:type="dxa" w:w="100"/>
              <w:bottom w:type="dxa" w:w="60"/>
              <w:right w:type="dxa" w:w="100"/>
            </w:tcMar>
          </w:tcPr>
          <w:p>
            <w:pPr>
              <w:jc w:val="left"/>
            </w:pPr>
            <w:r>
              <w:rPr>
                <w:b w:val="false"/>
                <w:bCs w:val="false"/>
              </w:rPr>
              <w:t xml:space="preserve">Informal, consistent w/ ours</w:t>
            </w:r>
          </w:p>
        </w:tc>
      </w:tr>
      <w:tr>
        <w:tc>
          <w:tcPr>
            <w:tcW w:type="dxa" w:w="2792"/>
            <w:tcMar>
              <w:top w:type="dxa" w:w="60"/>
              <w:left w:type="dxa" w:w="100"/>
              <w:bottom w:type="dxa" w:w="60"/>
              <w:right w:type="dxa" w:w="100"/>
            </w:tcMar>
          </w:tcPr>
          <w:p>
            <w:pPr>
              <w:jc w:val="left"/>
            </w:pPr>
            <w:r>
              <w:rPr>
                <w:b w:val="false"/>
                <w:bCs w:val="false"/>
              </w:rPr>
              <w:t xml:space="preserve">This work: Logistic Regression</w:t>
            </w:r>
          </w:p>
        </w:tc>
        <w:tc>
          <w:tcPr>
            <w:tcW w:type="dxa" w:w="1269"/>
            <w:tcMar>
              <w:top w:type="dxa" w:w="60"/>
              <w:left w:type="dxa" w:w="100"/>
              <w:bottom w:type="dxa" w:w="60"/>
              <w:right w:type="dxa" w:w="100"/>
            </w:tcMar>
          </w:tcPr>
          <w:p>
            <w:pPr>
              <w:jc w:val="left"/>
            </w:pPr>
            <w:r>
              <w:rPr>
                <w:b w:val="false"/>
                <w:bCs w:val="false"/>
              </w:rPr>
              <w:t xml:space="preserve">—</w:t>
            </w:r>
          </w:p>
        </w:tc>
        <w:tc>
          <w:tcPr>
            <w:tcW w:type="dxa" w:w="1100"/>
            <w:tcMar>
              <w:top w:type="dxa" w:w="60"/>
              <w:left w:type="dxa" w:w="100"/>
              <w:bottom w:type="dxa" w:w="60"/>
              <w:right w:type="dxa" w:w="100"/>
            </w:tcMar>
          </w:tcPr>
          <w:p>
            <w:pPr>
              <w:jc w:val="left"/>
            </w:pPr>
            <w:r>
              <w:rPr>
                <w:b w:val="false"/>
                <w:bCs w:val="false"/>
              </w:rPr>
              <w:t xml:space="preserve">0.689</w:t>
            </w:r>
          </w:p>
        </w:tc>
        <w:tc>
          <w:tcPr>
            <w:tcW w:type="dxa" w:w="1015"/>
            <w:tcMar>
              <w:top w:type="dxa" w:w="60"/>
              <w:left w:type="dxa" w:w="100"/>
              <w:bottom w:type="dxa" w:w="60"/>
              <w:right w:type="dxa" w:w="100"/>
            </w:tcMar>
          </w:tcPr>
          <w:p>
            <w:pPr>
              <w:jc w:val="left"/>
            </w:pPr>
            <w:r>
              <w:rPr>
                <w:b w:val="false"/>
                <w:bCs w:val="false"/>
              </w:rPr>
              <w:t xml:space="preserve">0.661</w:t>
            </w:r>
          </w:p>
        </w:tc>
        <w:tc>
          <w:tcPr>
            <w:tcW w:type="dxa" w:w="1354"/>
            <w:tcMar>
              <w:top w:type="dxa" w:w="60"/>
              <w:left w:type="dxa" w:w="100"/>
              <w:bottom w:type="dxa" w:w="60"/>
              <w:right w:type="dxa" w:w="100"/>
            </w:tcMar>
          </w:tcPr>
          <w:p>
            <w:pPr>
              <w:jc w:val="left"/>
            </w:pPr>
            <w:r>
              <w:rPr>
                <w:b w:val="false"/>
                <w:bCs w:val="false"/>
              </w:rPr>
              <w:t xml:space="preserve">0.743</w:t>
            </w:r>
          </w:p>
        </w:tc>
        <w:tc>
          <w:tcPr>
            <w:tcW w:type="dxa" w:w="1269"/>
            <w:tcMar>
              <w:top w:type="dxa" w:w="60"/>
              <w:left w:type="dxa" w:w="100"/>
              <w:bottom w:type="dxa" w:w="60"/>
              <w:right w:type="dxa" w:w="100"/>
            </w:tcMar>
          </w:tcPr>
          <w:p>
            <w:pPr>
              <w:jc w:val="left"/>
            </w:pPr>
            <w:r>
              <w:rPr>
                <w:b w:val="false"/>
                <w:bCs w:val="false"/>
              </w:rPr>
              <w:t xml:space="preserve">Yes (reproduced)</w:t>
            </w:r>
          </w:p>
        </w:tc>
      </w:tr>
      <w:tr>
        <w:tc>
          <w:tcPr>
            <w:tcW w:type="dxa" w:w="2792"/>
            <w:tcMar>
              <w:top w:type="dxa" w:w="60"/>
              <w:left w:type="dxa" w:w="100"/>
              <w:bottom w:type="dxa" w:w="60"/>
              <w:right w:type="dxa" w:w="100"/>
            </w:tcMar>
          </w:tcPr>
          <w:p>
            <w:pPr>
              <w:jc w:val="left"/>
            </w:pPr>
            <w:r>
              <w:rPr>
                <w:b w:val="false"/>
                <w:bCs w:val="false"/>
              </w:rPr>
              <w:t xml:space="preserve">This work: Random Forest</w:t>
            </w:r>
          </w:p>
        </w:tc>
        <w:tc>
          <w:tcPr>
            <w:tcW w:type="dxa" w:w="1269"/>
            <w:tcMar>
              <w:top w:type="dxa" w:w="60"/>
              <w:left w:type="dxa" w:w="100"/>
              <w:bottom w:type="dxa" w:w="60"/>
              <w:right w:type="dxa" w:w="100"/>
            </w:tcMar>
          </w:tcPr>
          <w:p>
            <w:pPr>
              <w:jc w:val="left"/>
            </w:pPr>
            <w:r>
              <w:rPr>
                <w:b w:val="false"/>
                <w:bCs w:val="false"/>
              </w:rPr>
              <w:t xml:space="preserve">—</w:t>
            </w:r>
          </w:p>
        </w:tc>
        <w:tc>
          <w:tcPr>
            <w:tcW w:type="dxa" w:w="1100"/>
            <w:tcMar>
              <w:top w:type="dxa" w:w="60"/>
              <w:left w:type="dxa" w:w="100"/>
              <w:bottom w:type="dxa" w:w="60"/>
              <w:right w:type="dxa" w:w="100"/>
            </w:tcMar>
          </w:tcPr>
          <w:p>
            <w:pPr>
              <w:jc w:val="left"/>
            </w:pPr>
            <w:r>
              <w:rPr>
                <w:b w:val="false"/>
                <w:bCs w:val="false"/>
              </w:rPr>
              <w:t xml:space="preserve">0.673</w:t>
            </w:r>
          </w:p>
        </w:tc>
        <w:tc>
          <w:tcPr>
            <w:tcW w:type="dxa" w:w="1015"/>
            <w:tcMar>
              <w:top w:type="dxa" w:w="60"/>
              <w:left w:type="dxa" w:w="100"/>
              <w:bottom w:type="dxa" w:w="60"/>
              <w:right w:type="dxa" w:w="100"/>
            </w:tcMar>
          </w:tcPr>
          <w:p>
            <w:pPr>
              <w:jc w:val="left"/>
            </w:pPr>
            <w:r>
              <w:rPr>
                <w:b w:val="false"/>
                <w:bCs w:val="false"/>
              </w:rPr>
              <w:t xml:space="preserve">0.671</w:t>
            </w:r>
          </w:p>
        </w:tc>
        <w:tc>
          <w:tcPr>
            <w:tcW w:type="dxa" w:w="1354"/>
            <w:tcMar>
              <w:top w:type="dxa" w:w="60"/>
              <w:left w:type="dxa" w:w="100"/>
              <w:bottom w:type="dxa" w:w="60"/>
              <w:right w:type="dxa" w:w="100"/>
            </w:tcMar>
          </w:tcPr>
          <w:p>
            <w:pPr>
              <w:jc w:val="left"/>
            </w:pPr>
            <w:r>
              <w:rPr>
                <w:b w:val="false"/>
                <w:bCs w:val="false"/>
              </w:rPr>
              <w:t xml:space="preserve">0.733</w:t>
            </w:r>
          </w:p>
        </w:tc>
        <w:tc>
          <w:tcPr>
            <w:tcW w:type="dxa" w:w="1269"/>
            <w:tcMar>
              <w:top w:type="dxa" w:w="60"/>
              <w:left w:type="dxa" w:w="100"/>
              <w:bottom w:type="dxa" w:w="60"/>
              <w:right w:type="dxa" w:w="100"/>
            </w:tcMar>
          </w:tcPr>
          <w:p>
            <w:pPr>
              <w:jc w:val="left"/>
            </w:pPr>
            <w:r>
              <w:rPr>
                <w:b w:val="false"/>
                <w:bCs w:val="false"/>
              </w:rPr>
              <w:t xml:space="preserve">Yes (reproduced)</w:t>
            </w:r>
          </w:p>
        </w:tc>
      </w:tr>
    </w:tbl>
    <w:p>
      <w:r>
        <w:br w:type="page"/>
      </w:r>
    </w:p>
    <w:p>
      <w:pPr>
        <w:pStyle w:val="Heading1"/>
        <w:spacing w:after="200" w:before="400"/>
      </w:pPr>
      <w:r>
        <w:t xml:space="preserve">4. Methodology</w:t>
      </w:r>
    </w:p>
    <w:p>
      <w:pPr>
        <w:pStyle w:val="Heading2"/>
        <w:spacing w:after="150" w:before="300"/>
      </w:pPr>
      <w:r>
        <w:t xml:space="preserve">4.1 Classical baselines</w:t>
      </w:r>
    </w:p>
    <w:p>
      <w:pPr>
        <w:spacing w:after="160"/>
      </w:pPr>
      <w:r>
        <w:t xml:space="preserve">Logistic Regression and Random Forest (300 trees), both with class_weight=“balanced”, trained on one-hot-encoded categorical features and standardized numeric features (fit on the training split only), evaluated at a fixed 0.5 decision threshold.</w:t>
      </w:r>
    </w:p>
    <w:p>
      <w:pPr>
        <w:pStyle w:val="Heading2"/>
        <w:spacing w:after="150" w:before="300"/>
      </w:pPr>
      <w:r>
        <w:t xml:space="preserve">4.2 Derived graph construction</w:t>
      </w:r>
    </w:p>
    <w:p>
      <w:pPr>
        <w:spacing w:after="160"/>
      </w:pPr>
      <w:r>
        <w:t xml:space="preserve">DataCo has no native supplier/logistics network, so a heterogeneous graph was derived from its relational structure, mirroring the project's synthetic-benchmark schema design:</w:t>
      </w:r>
    </w:p>
    <w:p>
      <w:pPr>
        <w:pStyle w:val="ListParagraph"/>
        <w:numPr>
          <w:ilvl w:val="0"/>
          <w:numId w:val="1"/>
        </w:numPr>
        <w:spacing w:after="80"/>
      </w:pPr>
      <w:r>
        <w:t xml:space="preserve">order (180,519 nodes) — one per order-item row, the classified entity</w:t>
      </w:r>
    </w:p>
    <w:p>
      <w:pPr>
        <w:pStyle w:val="ListParagraph"/>
        <w:numPr>
          <w:ilvl w:val="0"/>
          <w:numId w:val="1"/>
        </w:numPr>
        <w:spacing w:after="80"/>
      </w:pPr>
      <w:r>
        <w:t xml:space="preserve">customer (20,652 nodes) — keyed by Customer Id</w:t>
      </w:r>
    </w:p>
    <w:p>
      <w:pPr>
        <w:pStyle w:val="ListParagraph"/>
        <w:numPr>
          <w:ilvl w:val="0"/>
          <w:numId w:val="1"/>
        </w:numPr>
        <w:spacing w:after="80"/>
      </w:pPr>
      <w:r>
        <w:t xml:space="preserve">product (118 nodes) — keyed by Product Card Id</w:t>
      </w:r>
    </w:p>
    <w:p>
      <w:pPr>
        <w:pStyle w:val="ListParagraph"/>
        <w:numPr>
          <w:ilvl w:val="0"/>
          <w:numId w:val="1"/>
        </w:numPr>
        <w:spacing w:after="80"/>
      </w:pPr>
      <w:r>
        <w:t xml:space="preserve">region (23 nodes) and order_country (164 nodes) — shipping destination, at two granularities</w:t>
      </w:r>
    </w:p>
    <w:p>
      <w:pPr>
        <w:spacing w:after="160"/>
      </w:pPr>
      <w:r>
        <w:t xml:space="preserve">Edge types: (order, placed_by, customer), (order, contains, product), (order, ships_to, region), (order, ships_to_country, order_country), each with an explicit reverse relation for bidirectional message passing.</w:t>
      </w:r>
    </w:p>
    <w:p>
      <w:pPr>
        <w:pStyle w:val="Heading2"/>
        <w:spacing w:after="150" w:before="300"/>
      </w:pPr>
      <w:r>
        <w:t xml:space="preserve">4.3 Graph enrichment</w:t>
      </w:r>
    </w:p>
    <w:p>
      <w:pPr>
        <w:spacing w:after="160"/>
      </w:pPr>
      <w:r>
        <w:t xml:space="preserve">Two categories of engineered features were added, both respecting a strict leakage discipline:</w:t>
      </w:r>
    </w:p>
    <w:p>
      <w:pPr>
        <w:pStyle w:val="ListParagraph"/>
        <w:numPr>
          <w:ilvl w:val="0"/>
          <w:numId w:val="1"/>
        </w:numPr>
        <w:spacing w:after="80"/>
      </w:pPr>
      <w:r>
        <w:t xml:space="preserve">Train-only historical late-rate per customer, product, region, and order_country — fit on the training split only, frozen for validation/test, with a documented fallback to the global training rate for entities absent from training (verified: 41.7% of customers and 54.2% of products never appear in training — a genuine cold-start property of this dataset).</w:t>
      </w:r>
    </w:p>
    <w:p>
      <w:pPr>
        <w:pStyle w:val="ListParagraph"/>
        <w:numPr>
          <w:ilvl w:val="0"/>
          <w:numId w:val="1"/>
        </w:numPr>
        <w:spacing w:after="80"/>
      </w:pPr>
      <w:r>
        <w:t xml:space="preserve">A causal 7-day regional-congestion feature — for each order, a trailing count of other orders shipped to the same region in the preceding 7 days. This looks only backward in time, so it is leakage-safe for every split by construction, unlike the train-only aggregates above.</w:t>
      </w:r>
    </w:p>
    <w:p>
      <w:pPr>
        <w:pStyle w:val="Heading2"/>
        <w:spacing w:after="150" w:before="300"/>
      </w:pPr>
      <w:r>
        <w:t xml:space="preserve">4.4 GraphSAGE</w:t>
      </w:r>
    </w:p>
    <w:p>
      <w:pPr>
        <w:spacing w:after="160"/>
      </w:pPr>
      <w:r>
        <w:t xml:space="preserve">A 2-layer heterogeneous GraphSAGE (mean aggregation, order-node readout), reused unmodified from the project's existing classical-GNN implementation. Hyperparameters (hidden_dim=128, dropout=0.20, lr=0.001, weight_decay=0.0001, up to 100 epochs with early-stopping patience 10) match the synthetic benchmark's own configuration for direct comparability.</w:t>
      </w:r>
    </w:p>
    <w:p>
      <w:pPr>
        <w:pStyle w:val="Heading2"/>
        <w:spacing w:after="150" w:before="300"/>
      </w:pPr>
      <w:r>
        <w:t xml:space="preserve">4.5 QGNN: two architectures compared</w:t>
      </w:r>
    </w:p>
    <w:p>
      <w:pPr>
        <w:spacing w:after="160"/>
      </w:pPr>
      <w:r>
        <w:t xml:space="preserve">Two distinct ways of feeding a variational quantum circuit (AngleEmbedding encoding, per-layer RY rotations, linear CNOT entanglement chain, PauliZ readout, PennyLane default.qubit simulator) were tested:</w:t>
      </w:r>
    </w:p>
    <w:p>
      <w:pPr>
        <w:pStyle w:val="ListParagraph"/>
        <w:numPr>
          <w:ilvl w:val="0"/>
          <w:numId w:val="1"/>
        </w:numPr>
        <w:spacing w:after="80"/>
      </w:pPr>
      <w:r>
        <w:t xml:space="preserve">Frozen-embedding QGNN: a GraphSAGE model is trained first and frozen; its 128-dimensional order embedding is PCA-reduced (fit on training rows only) to 4–8 qubit dimensions and fed to the quantum circuit, mirroring the project's existing QGNN-v2 architecture.</w:t>
      </w:r>
    </w:p>
    <w:p>
      <w:pPr>
        <w:pStyle w:val="ListParagraph"/>
        <w:numPr>
          <w:ilvl w:val="0"/>
          <w:numId w:val="1"/>
        </w:numPr>
        <w:spacing w:after="80"/>
      </w:pPr>
      <w:r>
        <w:t xml:space="preserve">Quantum-first QGNN: the graph and GraphSAGE are bypassed entirely. The same leakage-audited raw tabular features used by the classical baselines are PCA-reduced directly to 6 qubit dimensions and fed to the quantum circuit.</w:t>
      </w:r>
    </w:p>
    <w:p>
      <w:pPr>
        <w:spacing w:after="160"/>
      </w:pPr>
      <w:r>
        <w:t xml:space="preserve">A data re-upload variant (re-encoding the same input between variational layers, adding circuit expressivity without more trainable quantum parameters) was also tested for both architectures, at circuit depths of 1–5 layers.</w:t>
      </w:r>
    </w:p>
    <w:p>
      <w:pPr>
        <w:pStyle w:val="Heading2"/>
        <w:spacing w:after="150" w:before="300"/>
      </w:pPr>
      <w:r>
        <w:t xml:space="preserve">4.6 Mode-collapse diagnosis and fix</w:t>
      </w:r>
    </w:p>
    <w:p>
      <w:pPr>
        <w:spacing w:after="160"/>
      </w:pPr>
      <w:r>
        <w:t xml:space="preserve">A pervasive training-instability failure mode was found: a meaningful fraction of runs, in every experiment type, converged within 2–3 epochs to a degenerate near-constant predictor (recall &gt; 0.85 with precision near the dataset's base rate) and never recovered. Diagnosis: a randomly initialized final classifier-layer bias can start predictions saturated toward one class, where binary cross-entropy gradients vanish before the model receives a corrective signal — the same reasoning the RetinaNet focal-loss paper uses to justify biased final-layer initialization for imbalanced classification.</w:t>
      </w:r>
    </w:p>
    <w:p>
      <w:pPr>
        <w:spacing w:after="160"/>
      </w:pPr>
      <w:r>
        <w:t xml:space="preserve">Fix: initialize the final layer's bias to logit(training positive rate), plus gradient clipping (max norm 1.0), applied only in the DataCo-specific training code — never in the shared GraphSAGE/QGNN modules used by the project's synthetic benchmark. Verified effect: GraphSAGE collapse rate dropped from 40% to 0% of seeds; QGNN's dropped from up to 50% to 0–17% depending on experiment.</w:t>
      </w:r>
    </w:p>
    <w:p>
      <w:pPr>
        <w:pStyle w:val="Heading2"/>
        <w:spacing w:after="150" w:before="300"/>
      </w:pPr>
      <w:r>
        <w:t xml:space="preserve">4.7 Evaluation protocol</w:t>
      </w:r>
    </w:p>
    <w:p>
      <w:pPr>
        <w:spacing w:after="160"/>
      </w:pPr>
      <w:r>
        <w:t xml:space="preserve">Every model is evaluated on the identical held-out chronological test split, at a fixed 0.5 threshold (except one explicit threshold-tuning experiment, see Results), reporting: Accuracy, Precision, Recall, F1, ROC-AUC, PR-AUC, Balanced Accuracy, Brier score (calibration), and the full confusion matrix. Multi-seed experiments report mean ± standard deviation, with collapsed runs (recall &gt; 0.85 or &lt; 0.15) flagged and excluded from the mean rather than silently averaged in.</w:t>
      </w:r>
    </w:p>
    <w:p>
      <w:r>
        <w:br w:type="page"/>
      </w:r>
    </w:p>
    <w:p>
      <w:pPr>
        <w:pStyle w:val="Heading1"/>
        <w:spacing w:after="200" w:before="400"/>
      </w:pPr>
      <w:r>
        <w:t xml:space="preserve">5. System Architecture</w:t>
      </w:r>
    </w:p>
    <w:p>
      <w:pPr>
        <w:spacing w:after="160"/>
      </w:pPr>
      <w:r>
        <w:t xml:space="preserve">The diagram below shows the full pipeline, including both QGNN input paths tested. The dashed path (frozen GraphSAGE embedding → quantum circuit) did not beat classical baselines; the solid highlighted path (raw features → quantum circuit directly, “quantum-first”) produced the best QGNN result of this investigation.</w:t>
      </w:r>
    </w:p>
    <w:p>
      <w:pPr>
        <w:spacing w:after="200" w:before="200"/>
        <w:jc w:val="center"/>
      </w:pPr>
      <w:r>
        <w:drawing>
          <wp:inline distT="0" distB="0" distL="0" distR="0">
            <wp:extent cx="59055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05325"/>
                    </a:xfrm>
                    <a:prstGeom prst="rect">
                      <a:avLst/>
                    </a:prstGeom>
                  </pic:spPr>
                </pic:pic>
              </a:graphicData>
            </a:graphic>
          </wp:inline>
        </w:drawing>
      </w:r>
    </w:p>
    <w:p>
      <w:r>
        <w:br w:type="page"/>
      </w:r>
    </w:p>
    <w:p>
      <w:pPr>
        <w:pStyle w:val="Heading1"/>
        <w:spacing w:after="200" w:before="400"/>
      </w:pPr>
      <w:r>
        <w:t xml:space="preserve">6. Results</w:t>
      </w:r>
    </w:p>
    <w:p>
      <w:pPr>
        <w:pStyle w:val="Heading2"/>
        <w:spacing w:after="150" w:before="300"/>
      </w:pPr>
      <w:r>
        <w:t xml:space="preserve">6.1 Full model comparison</w:t>
      </w:r>
    </w:p>
    <w:tbl>
      <w:tblPr>
        <w:tblW w:type="dxa" w:w="8801"/>
        <w:tblBorders>
          <w:top w:val="single" w:color="auto" w:sz="4"/>
          <w:left w:val="single" w:color="auto" w:sz="4"/>
          <w:bottom w:val="single" w:color="auto" w:sz="4"/>
          <w:right w:val="single" w:color="auto" w:sz="4"/>
          <w:insideH w:val="single" w:color="auto" w:sz="4"/>
          <w:insideV w:val="single" w:color="auto" w:sz="4"/>
        </w:tblBorders>
      </w:tblPr>
      <w:tblGrid>
        <w:gridCol w:w="2299"/>
        <w:gridCol w:w="929"/>
        <w:gridCol w:w="929"/>
        <w:gridCol w:w="929"/>
        <w:gridCol w:w="929"/>
        <w:gridCol w:w="884"/>
        <w:gridCol w:w="973"/>
        <w:gridCol w:w="929"/>
      </w:tblGrid>
      <w:tr>
        <w:trPr>
          <w:tblHeader/>
        </w:trPr>
        <w:tc>
          <w:tcPr>
            <w:tcW w:type="dxa" w:w="2299"/>
            <w:shd w:fill="E6F1FB" w:val="clear"/>
            <w:tcMar>
              <w:top w:type="dxa" w:w="60"/>
              <w:left w:type="dxa" w:w="100"/>
              <w:bottom w:type="dxa" w:w="60"/>
              <w:right w:type="dxa" w:w="100"/>
            </w:tcMar>
          </w:tcPr>
          <w:p>
            <w:pPr>
              <w:jc w:val="left"/>
            </w:pPr>
            <w:r>
              <w:rPr>
                <w:b/>
                <w:bCs/>
              </w:rPr>
              <w:t xml:space="preserve">Model</w:t>
            </w:r>
          </w:p>
        </w:tc>
        <w:tc>
          <w:tcPr>
            <w:tcW w:type="dxa" w:w="929"/>
            <w:shd w:fill="E6F1FB" w:val="clear"/>
            <w:tcMar>
              <w:top w:type="dxa" w:w="60"/>
              <w:left w:type="dxa" w:w="100"/>
              <w:bottom w:type="dxa" w:w="60"/>
              <w:right w:type="dxa" w:w="100"/>
            </w:tcMar>
          </w:tcPr>
          <w:p>
            <w:pPr>
              <w:jc w:val="left"/>
            </w:pPr>
            <w:r>
              <w:rPr>
                <w:b/>
                <w:bCs/>
              </w:rPr>
              <w:t xml:space="preserve">F1</w:t>
            </w:r>
          </w:p>
        </w:tc>
        <w:tc>
          <w:tcPr>
            <w:tcW w:type="dxa" w:w="929"/>
            <w:shd w:fill="E6F1FB" w:val="clear"/>
            <w:tcMar>
              <w:top w:type="dxa" w:w="60"/>
              <w:left w:type="dxa" w:w="100"/>
              <w:bottom w:type="dxa" w:w="60"/>
              <w:right w:type="dxa" w:w="100"/>
            </w:tcMar>
          </w:tcPr>
          <w:p>
            <w:pPr>
              <w:jc w:val="left"/>
            </w:pPr>
            <w:r>
              <w:rPr>
                <w:b/>
                <w:bCs/>
              </w:rPr>
              <w:t xml:space="preserve">ROC-AUC</w:t>
            </w:r>
          </w:p>
        </w:tc>
        <w:tc>
          <w:tcPr>
            <w:tcW w:type="dxa" w:w="929"/>
            <w:shd w:fill="E6F1FB" w:val="clear"/>
            <w:tcMar>
              <w:top w:type="dxa" w:w="60"/>
              <w:left w:type="dxa" w:w="100"/>
              <w:bottom w:type="dxa" w:w="60"/>
              <w:right w:type="dxa" w:w="100"/>
            </w:tcMar>
          </w:tcPr>
          <w:p>
            <w:pPr>
              <w:jc w:val="left"/>
            </w:pPr>
            <w:r>
              <w:rPr>
                <w:b/>
                <w:bCs/>
              </w:rPr>
              <w:t xml:space="preserve">PR-AUC</w:t>
            </w:r>
          </w:p>
        </w:tc>
        <w:tc>
          <w:tcPr>
            <w:tcW w:type="dxa" w:w="929"/>
            <w:shd w:fill="E6F1FB" w:val="clear"/>
            <w:tcMar>
              <w:top w:type="dxa" w:w="60"/>
              <w:left w:type="dxa" w:w="100"/>
              <w:bottom w:type="dxa" w:w="60"/>
              <w:right w:type="dxa" w:w="100"/>
            </w:tcMar>
          </w:tcPr>
          <w:p>
            <w:pPr>
              <w:jc w:val="left"/>
            </w:pPr>
            <w:r>
              <w:rPr>
                <w:b/>
                <w:bCs/>
              </w:rPr>
              <w:t xml:space="preserve">Bal. Acc.</w:t>
            </w:r>
          </w:p>
        </w:tc>
        <w:tc>
          <w:tcPr>
            <w:tcW w:type="dxa" w:w="884"/>
            <w:shd w:fill="E6F1FB" w:val="clear"/>
            <w:tcMar>
              <w:top w:type="dxa" w:w="60"/>
              <w:left w:type="dxa" w:w="100"/>
              <w:bottom w:type="dxa" w:w="60"/>
              <w:right w:type="dxa" w:w="100"/>
            </w:tcMar>
          </w:tcPr>
          <w:p>
            <w:pPr>
              <w:jc w:val="left"/>
            </w:pPr>
            <w:r>
              <w:rPr>
                <w:b/>
                <w:bCs/>
              </w:rPr>
              <w:t xml:space="preserve">Brier</w:t>
            </w:r>
          </w:p>
        </w:tc>
        <w:tc>
          <w:tcPr>
            <w:tcW w:type="dxa" w:w="973"/>
            <w:shd w:fill="E6F1FB" w:val="clear"/>
            <w:tcMar>
              <w:top w:type="dxa" w:w="60"/>
              <w:left w:type="dxa" w:w="100"/>
              <w:bottom w:type="dxa" w:w="60"/>
              <w:right w:type="dxa" w:w="100"/>
            </w:tcMar>
          </w:tcPr>
          <w:p>
            <w:pPr>
              <w:jc w:val="left"/>
            </w:pPr>
            <w:r>
              <w:rPr>
                <w:b/>
                <w:bCs/>
              </w:rPr>
              <w:t xml:space="preserve">Precision</w:t>
            </w:r>
          </w:p>
        </w:tc>
        <w:tc>
          <w:tcPr>
            <w:tcW w:type="dxa" w:w="929"/>
            <w:shd w:fill="E6F1FB" w:val="clear"/>
            <w:tcMar>
              <w:top w:type="dxa" w:w="60"/>
              <w:left w:type="dxa" w:w="100"/>
              <w:bottom w:type="dxa" w:w="60"/>
              <w:right w:type="dxa" w:w="100"/>
            </w:tcMar>
          </w:tcPr>
          <w:p>
            <w:pPr>
              <w:jc w:val="left"/>
            </w:pPr>
            <w:r>
              <w:rPr>
                <w:b/>
                <w:bCs/>
              </w:rPr>
              <w:t xml:space="preserve">Recall</w:t>
            </w:r>
          </w:p>
        </w:tc>
      </w:tr>
      <w:tr>
        <w:tc>
          <w:tcPr>
            <w:tcW w:type="dxa" w:w="2299"/>
            <w:tcMar>
              <w:top w:type="dxa" w:w="60"/>
              <w:left w:type="dxa" w:w="100"/>
              <w:bottom w:type="dxa" w:w="60"/>
              <w:right w:type="dxa" w:w="100"/>
            </w:tcMar>
          </w:tcPr>
          <w:p>
            <w:pPr>
              <w:jc w:val="left"/>
            </w:pPr>
            <w:r>
              <w:rPr>
                <w:b w:val="false"/>
                <w:bCs w:val="false"/>
              </w:rPr>
              <w:t xml:space="preserve">Logistic Regression</w:t>
            </w:r>
          </w:p>
        </w:tc>
        <w:tc>
          <w:tcPr>
            <w:tcW w:type="dxa" w:w="929"/>
            <w:tcMar>
              <w:top w:type="dxa" w:w="60"/>
              <w:left w:type="dxa" w:w="100"/>
              <w:bottom w:type="dxa" w:w="60"/>
              <w:right w:type="dxa" w:w="100"/>
            </w:tcMar>
          </w:tcPr>
          <w:p>
            <w:pPr>
              <w:jc w:val="left"/>
            </w:pPr>
            <w:r>
              <w:rPr>
                <w:b w:val="false"/>
                <w:bCs w:val="false"/>
              </w:rPr>
              <w:t xml:space="preserve">0.661</w:t>
            </w:r>
          </w:p>
        </w:tc>
        <w:tc>
          <w:tcPr>
            <w:tcW w:type="dxa" w:w="929"/>
            <w:tcMar>
              <w:top w:type="dxa" w:w="60"/>
              <w:left w:type="dxa" w:w="100"/>
              <w:bottom w:type="dxa" w:w="60"/>
              <w:right w:type="dxa" w:w="100"/>
            </w:tcMar>
          </w:tcPr>
          <w:p>
            <w:pPr>
              <w:jc w:val="left"/>
            </w:pPr>
            <w:r>
              <w:rPr>
                <w:b w:val="false"/>
                <w:bCs w:val="false"/>
              </w:rPr>
              <w:t xml:space="preserve">0.743</w:t>
            </w:r>
          </w:p>
        </w:tc>
        <w:tc>
          <w:tcPr>
            <w:tcW w:type="dxa" w:w="929"/>
            <w:tcMar>
              <w:top w:type="dxa" w:w="60"/>
              <w:left w:type="dxa" w:w="100"/>
              <w:bottom w:type="dxa" w:w="60"/>
              <w:right w:type="dxa" w:w="100"/>
            </w:tcMar>
          </w:tcPr>
          <w:p>
            <w:pPr>
              <w:jc w:val="left"/>
            </w:pPr>
            <w:r>
              <w:rPr>
                <w:b w:val="false"/>
                <w:bCs w:val="false"/>
              </w:rPr>
              <w:t xml:space="preserve">0.813</w:t>
            </w:r>
          </w:p>
        </w:tc>
        <w:tc>
          <w:tcPr>
            <w:tcW w:type="dxa" w:w="929"/>
            <w:tcMar>
              <w:top w:type="dxa" w:w="60"/>
              <w:left w:type="dxa" w:w="100"/>
              <w:bottom w:type="dxa" w:w="60"/>
              <w:right w:type="dxa" w:w="100"/>
            </w:tcMar>
          </w:tcPr>
          <w:p>
            <w:pPr>
              <w:jc w:val="left"/>
            </w:pPr>
            <w:r>
              <w:rPr>
                <w:b w:val="false"/>
                <w:bCs w:val="false"/>
              </w:rPr>
              <w:t xml:space="preserve">0.704</w:t>
            </w:r>
          </w:p>
        </w:tc>
        <w:tc>
          <w:tcPr>
            <w:tcW w:type="dxa" w:w="884"/>
            <w:tcMar>
              <w:top w:type="dxa" w:w="60"/>
              <w:left w:type="dxa" w:w="100"/>
              <w:bottom w:type="dxa" w:w="60"/>
              <w:right w:type="dxa" w:w="100"/>
            </w:tcMar>
          </w:tcPr>
          <w:p>
            <w:pPr>
              <w:jc w:val="left"/>
            </w:pPr>
            <w:r>
              <w:rPr>
                <w:b w:val="false"/>
                <w:bCs w:val="false"/>
              </w:rPr>
              <w:t xml:space="preserve">0.199</w:t>
            </w:r>
          </w:p>
        </w:tc>
        <w:tc>
          <w:tcPr>
            <w:tcW w:type="dxa" w:w="973"/>
            <w:tcMar>
              <w:top w:type="dxa" w:w="60"/>
              <w:left w:type="dxa" w:w="100"/>
              <w:bottom w:type="dxa" w:w="60"/>
              <w:right w:type="dxa" w:w="100"/>
            </w:tcMar>
          </w:tcPr>
          <w:p>
            <w:pPr>
              <w:jc w:val="left"/>
            </w:pPr>
            <w:r>
              <w:rPr>
                <w:b w:val="false"/>
                <w:bCs w:val="false"/>
              </w:rPr>
              <w:t xml:space="preserve">0.825</w:t>
            </w:r>
          </w:p>
        </w:tc>
        <w:tc>
          <w:tcPr>
            <w:tcW w:type="dxa" w:w="929"/>
            <w:tcMar>
              <w:top w:type="dxa" w:w="60"/>
              <w:left w:type="dxa" w:w="100"/>
              <w:bottom w:type="dxa" w:w="60"/>
              <w:right w:type="dxa" w:w="100"/>
            </w:tcMar>
          </w:tcPr>
          <w:p>
            <w:pPr>
              <w:jc w:val="left"/>
            </w:pPr>
            <w:r>
              <w:rPr>
                <w:b w:val="false"/>
                <w:bCs w:val="false"/>
              </w:rPr>
              <w:t xml:space="preserve">0.552</w:t>
            </w:r>
          </w:p>
        </w:tc>
      </w:tr>
      <w:tr>
        <w:tc>
          <w:tcPr>
            <w:tcW w:type="dxa" w:w="2299"/>
            <w:tcMar>
              <w:top w:type="dxa" w:w="60"/>
              <w:left w:type="dxa" w:w="100"/>
              <w:bottom w:type="dxa" w:w="60"/>
              <w:right w:type="dxa" w:w="100"/>
            </w:tcMar>
          </w:tcPr>
          <w:p>
            <w:pPr>
              <w:jc w:val="left"/>
            </w:pPr>
            <w:r>
              <w:rPr>
                <w:b w:val="false"/>
                <w:bCs w:val="false"/>
              </w:rPr>
              <w:t xml:space="preserve">Random Forest</w:t>
            </w:r>
          </w:p>
        </w:tc>
        <w:tc>
          <w:tcPr>
            <w:tcW w:type="dxa" w:w="929"/>
            <w:tcMar>
              <w:top w:type="dxa" w:w="60"/>
              <w:left w:type="dxa" w:w="100"/>
              <w:bottom w:type="dxa" w:w="60"/>
              <w:right w:type="dxa" w:w="100"/>
            </w:tcMar>
          </w:tcPr>
          <w:p>
            <w:pPr>
              <w:jc w:val="left"/>
            </w:pPr>
            <w:r>
              <w:rPr>
                <w:b w:val="false"/>
                <w:bCs w:val="false"/>
              </w:rPr>
              <w:t xml:space="preserve">0.671</w:t>
            </w:r>
          </w:p>
        </w:tc>
        <w:tc>
          <w:tcPr>
            <w:tcW w:type="dxa" w:w="929"/>
            <w:tcMar>
              <w:top w:type="dxa" w:w="60"/>
              <w:left w:type="dxa" w:w="100"/>
              <w:bottom w:type="dxa" w:w="60"/>
              <w:right w:type="dxa" w:w="100"/>
            </w:tcMar>
          </w:tcPr>
          <w:p>
            <w:pPr>
              <w:jc w:val="left"/>
            </w:pPr>
            <w:r>
              <w:rPr>
                <w:b w:val="false"/>
                <w:bCs w:val="false"/>
              </w:rPr>
              <w:t xml:space="preserve">0.733</w:t>
            </w:r>
          </w:p>
        </w:tc>
        <w:tc>
          <w:tcPr>
            <w:tcW w:type="dxa" w:w="929"/>
            <w:tcMar>
              <w:top w:type="dxa" w:w="60"/>
              <w:left w:type="dxa" w:w="100"/>
              <w:bottom w:type="dxa" w:w="60"/>
              <w:right w:type="dxa" w:w="100"/>
            </w:tcMar>
          </w:tcPr>
          <w:p>
            <w:pPr>
              <w:jc w:val="left"/>
            </w:pPr>
            <w:r>
              <w:rPr>
                <w:b w:val="false"/>
                <w:bCs w:val="false"/>
              </w:rPr>
              <w:t xml:space="preserve">0.805</w:t>
            </w:r>
          </w:p>
        </w:tc>
        <w:tc>
          <w:tcPr>
            <w:tcW w:type="dxa" w:w="929"/>
            <w:tcMar>
              <w:top w:type="dxa" w:w="60"/>
              <w:left w:type="dxa" w:w="100"/>
              <w:bottom w:type="dxa" w:w="60"/>
              <w:right w:type="dxa" w:w="100"/>
            </w:tcMar>
          </w:tcPr>
          <w:p>
            <w:pPr>
              <w:jc w:val="left"/>
            </w:pPr>
            <w:r>
              <w:rPr>
                <w:b w:val="false"/>
                <w:bCs w:val="false"/>
              </w:rPr>
              <w:t xml:space="preserve">0.680</w:t>
            </w:r>
          </w:p>
        </w:tc>
        <w:tc>
          <w:tcPr>
            <w:tcW w:type="dxa" w:w="884"/>
            <w:tcMar>
              <w:top w:type="dxa" w:w="60"/>
              <w:left w:type="dxa" w:w="100"/>
              <w:bottom w:type="dxa" w:w="60"/>
              <w:right w:type="dxa" w:w="100"/>
            </w:tcMar>
          </w:tcPr>
          <w:p>
            <w:pPr>
              <w:jc w:val="left"/>
            </w:pPr>
            <w:r>
              <w:rPr>
                <w:b w:val="false"/>
                <w:bCs w:val="false"/>
              </w:rPr>
              <w:t xml:space="preserve">0.208</w:t>
            </w:r>
          </w:p>
        </w:tc>
        <w:tc>
          <w:tcPr>
            <w:tcW w:type="dxa" w:w="973"/>
            <w:tcMar>
              <w:top w:type="dxa" w:w="60"/>
              <w:left w:type="dxa" w:w="100"/>
              <w:bottom w:type="dxa" w:w="60"/>
              <w:right w:type="dxa" w:w="100"/>
            </w:tcMar>
          </w:tcPr>
          <w:p>
            <w:pPr>
              <w:jc w:val="left"/>
            </w:pPr>
            <w:r>
              <w:rPr>
                <w:b w:val="false"/>
                <w:bCs w:val="false"/>
              </w:rPr>
              <w:t xml:space="preserve">0.751</w:t>
            </w:r>
          </w:p>
        </w:tc>
        <w:tc>
          <w:tcPr>
            <w:tcW w:type="dxa" w:w="929"/>
            <w:tcMar>
              <w:top w:type="dxa" w:w="60"/>
              <w:left w:type="dxa" w:w="100"/>
              <w:bottom w:type="dxa" w:w="60"/>
              <w:right w:type="dxa" w:w="100"/>
            </w:tcMar>
          </w:tcPr>
          <w:p>
            <w:pPr>
              <w:jc w:val="left"/>
            </w:pPr>
            <w:r>
              <w:rPr>
                <w:b w:val="false"/>
                <w:bCs w:val="false"/>
              </w:rPr>
              <w:t xml:space="preserve">0.607</w:t>
            </w:r>
          </w:p>
        </w:tc>
      </w:tr>
      <w:tr>
        <w:tc>
          <w:tcPr>
            <w:tcW w:type="dxa" w:w="2299"/>
            <w:tcMar>
              <w:top w:type="dxa" w:w="60"/>
              <w:left w:type="dxa" w:w="100"/>
              <w:bottom w:type="dxa" w:w="60"/>
              <w:right w:type="dxa" w:w="100"/>
            </w:tcMar>
          </w:tcPr>
          <w:p>
            <w:pPr>
              <w:jc w:val="left"/>
            </w:pPr>
            <w:r>
              <w:rPr>
                <w:b w:val="false"/>
                <w:bCs w:val="false"/>
              </w:rPr>
              <w:t xml:space="preserve">GraphSAGE, base graph</w:t>
            </w:r>
          </w:p>
        </w:tc>
        <w:tc>
          <w:tcPr>
            <w:tcW w:type="dxa" w:w="929"/>
            <w:tcMar>
              <w:top w:type="dxa" w:w="60"/>
              <w:left w:type="dxa" w:w="100"/>
              <w:bottom w:type="dxa" w:w="60"/>
              <w:right w:type="dxa" w:w="100"/>
            </w:tcMar>
          </w:tcPr>
          <w:p>
            <w:pPr>
              <w:jc w:val="left"/>
            </w:pPr>
            <w:r>
              <w:rPr>
                <w:b w:val="false"/>
                <w:bCs w:val="false"/>
              </w:rPr>
              <w:t xml:space="preserve">0.658±.006</w:t>
            </w:r>
          </w:p>
        </w:tc>
        <w:tc>
          <w:tcPr>
            <w:tcW w:type="dxa" w:w="929"/>
            <w:tcMar>
              <w:top w:type="dxa" w:w="60"/>
              <w:left w:type="dxa" w:w="100"/>
              <w:bottom w:type="dxa" w:w="60"/>
              <w:right w:type="dxa" w:w="100"/>
            </w:tcMar>
          </w:tcPr>
          <w:p>
            <w:pPr>
              <w:jc w:val="left"/>
            </w:pPr>
            <w:r>
              <w:rPr>
                <w:b w:val="false"/>
                <w:bCs w:val="false"/>
              </w:rPr>
              <w:t xml:space="preserve">0.745±.001</w:t>
            </w:r>
          </w:p>
        </w:tc>
        <w:tc>
          <w:tcPr>
            <w:tcW w:type="dxa" w:w="929"/>
            <w:tcMar>
              <w:top w:type="dxa" w:w="60"/>
              <w:left w:type="dxa" w:w="100"/>
              <w:bottom w:type="dxa" w:w="60"/>
              <w:right w:type="dxa" w:w="100"/>
            </w:tcMar>
          </w:tcPr>
          <w:p>
            <w:pPr>
              <w:jc w:val="left"/>
            </w:pPr>
            <w:r>
              <w:rPr>
                <w:b w:val="false"/>
                <w:bCs w:val="false"/>
              </w:rPr>
              <w:t xml:space="preserve">0.817±.0003</w:t>
            </w:r>
          </w:p>
        </w:tc>
        <w:tc>
          <w:tcPr>
            <w:tcW w:type="dxa" w:w="929"/>
            <w:tcMar>
              <w:top w:type="dxa" w:w="60"/>
              <w:left w:type="dxa" w:w="100"/>
              <w:bottom w:type="dxa" w:w="60"/>
              <w:right w:type="dxa" w:w="100"/>
            </w:tcMar>
          </w:tcPr>
          <w:p>
            <w:pPr>
              <w:jc w:val="left"/>
            </w:pPr>
            <w:r>
              <w:rPr>
                <w:b w:val="false"/>
                <w:bCs w:val="false"/>
              </w:rPr>
              <w:t xml:space="preserve">0.708±.001</w:t>
            </w:r>
          </w:p>
        </w:tc>
        <w:tc>
          <w:tcPr>
            <w:tcW w:type="dxa" w:w="884"/>
            <w:tcMar>
              <w:top w:type="dxa" w:w="60"/>
              <w:left w:type="dxa" w:w="100"/>
              <w:bottom w:type="dxa" w:w="60"/>
              <w:right w:type="dxa" w:w="100"/>
            </w:tcMar>
          </w:tcPr>
          <w:p>
            <w:pPr>
              <w:jc w:val="left"/>
            </w:pPr>
            <w:r>
              <w:rPr>
                <w:b w:val="false"/>
                <w:bCs w:val="false"/>
              </w:rPr>
              <w:t xml:space="preserve">0.196±.0005</w:t>
            </w:r>
          </w:p>
        </w:tc>
        <w:tc>
          <w:tcPr>
            <w:tcW w:type="dxa" w:w="973"/>
            <w:tcMar>
              <w:top w:type="dxa" w:w="60"/>
              <w:left w:type="dxa" w:w="100"/>
              <w:bottom w:type="dxa" w:w="60"/>
              <w:right w:type="dxa" w:w="100"/>
            </w:tcMar>
          </w:tcPr>
          <w:p>
            <w:pPr>
              <w:jc w:val="left"/>
            </w:pPr>
            <w:r>
              <w:rPr>
                <w:b w:val="false"/>
                <w:bCs w:val="false"/>
              </w:rPr>
              <w:t xml:space="preserve">0.844±.006</w:t>
            </w:r>
          </w:p>
        </w:tc>
        <w:tc>
          <w:tcPr>
            <w:tcW w:type="dxa" w:w="929"/>
            <w:tcMar>
              <w:top w:type="dxa" w:w="60"/>
              <w:left w:type="dxa" w:w="100"/>
              <w:bottom w:type="dxa" w:w="60"/>
              <w:right w:type="dxa" w:w="100"/>
            </w:tcMar>
          </w:tcPr>
          <w:p>
            <w:pPr>
              <w:jc w:val="left"/>
            </w:pPr>
            <w:r>
              <w:rPr>
                <w:b w:val="false"/>
                <w:bCs w:val="false"/>
              </w:rPr>
              <w:t xml:space="preserve">0.539±.011</w:t>
            </w:r>
          </w:p>
        </w:tc>
      </w:tr>
      <w:tr>
        <w:tc>
          <w:tcPr>
            <w:tcW w:type="dxa" w:w="2299"/>
            <w:tcMar>
              <w:top w:type="dxa" w:w="60"/>
              <w:left w:type="dxa" w:w="100"/>
              <w:bottom w:type="dxa" w:w="60"/>
              <w:right w:type="dxa" w:w="100"/>
            </w:tcMar>
          </w:tcPr>
          <w:p>
            <w:pPr>
              <w:jc w:val="left"/>
            </w:pPr>
            <w:r>
              <w:rPr>
                <w:b w:val="false"/>
                <w:bCs w:val="false"/>
              </w:rPr>
              <w:t xml:space="preserve">GraphSAGE, enriched graph</w:t>
            </w:r>
          </w:p>
        </w:tc>
        <w:tc>
          <w:tcPr>
            <w:tcW w:type="dxa" w:w="929"/>
            <w:tcMar>
              <w:top w:type="dxa" w:w="60"/>
              <w:left w:type="dxa" w:w="100"/>
              <w:bottom w:type="dxa" w:w="60"/>
              <w:right w:type="dxa" w:w="100"/>
            </w:tcMar>
          </w:tcPr>
          <w:p>
            <w:pPr>
              <w:jc w:val="left"/>
            </w:pPr>
            <w:r>
              <w:rPr>
                <w:b w:val="false"/>
                <w:bCs w:val="false"/>
              </w:rPr>
              <w:t xml:space="preserve">0.685±.001</w:t>
            </w:r>
          </w:p>
        </w:tc>
        <w:tc>
          <w:tcPr>
            <w:tcW w:type="dxa" w:w="929"/>
            <w:tcMar>
              <w:top w:type="dxa" w:w="60"/>
              <w:left w:type="dxa" w:w="100"/>
              <w:bottom w:type="dxa" w:w="60"/>
              <w:right w:type="dxa" w:w="100"/>
            </w:tcMar>
          </w:tcPr>
          <w:p>
            <w:pPr>
              <w:jc w:val="left"/>
            </w:pPr>
            <w:r>
              <w:rPr>
                <w:b w:val="false"/>
                <w:bCs w:val="false"/>
              </w:rPr>
              <w:t xml:space="preserve">0.712±.001</w:t>
            </w:r>
          </w:p>
        </w:tc>
        <w:tc>
          <w:tcPr>
            <w:tcW w:type="dxa" w:w="929"/>
            <w:tcMar>
              <w:top w:type="dxa" w:w="60"/>
              <w:left w:type="dxa" w:w="100"/>
              <w:bottom w:type="dxa" w:w="60"/>
              <w:right w:type="dxa" w:w="100"/>
            </w:tcMar>
          </w:tcPr>
          <w:p>
            <w:pPr>
              <w:jc w:val="left"/>
            </w:pPr>
            <w:r>
              <w:rPr>
                <w:b w:val="false"/>
                <w:bCs w:val="false"/>
              </w:rPr>
              <w:t xml:space="preserve">0.756±.002</w:t>
            </w:r>
          </w:p>
        </w:tc>
        <w:tc>
          <w:tcPr>
            <w:tcW w:type="dxa" w:w="929"/>
            <w:tcMar>
              <w:top w:type="dxa" w:w="60"/>
              <w:left w:type="dxa" w:w="100"/>
              <w:bottom w:type="dxa" w:w="60"/>
              <w:right w:type="dxa" w:w="100"/>
            </w:tcMar>
          </w:tcPr>
          <w:p>
            <w:pPr>
              <w:jc w:val="left"/>
            </w:pPr>
            <w:r>
              <w:rPr>
                <w:b w:val="false"/>
                <w:bCs w:val="false"/>
              </w:rPr>
              <w:t xml:space="preserve">0.684±.014</w:t>
            </w:r>
          </w:p>
        </w:tc>
        <w:tc>
          <w:tcPr>
            <w:tcW w:type="dxa" w:w="884"/>
            <w:tcMar>
              <w:top w:type="dxa" w:w="60"/>
              <w:left w:type="dxa" w:w="100"/>
              <w:bottom w:type="dxa" w:w="60"/>
              <w:right w:type="dxa" w:w="100"/>
            </w:tcMar>
          </w:tcPr>
          <w:p>
            <w:pPr>
              <w:jc w:val="left"/>
            </w:pPr>
            <w:r>
              <w:rPr>
                <w:b w:val="false"/>
                <w:bCs w:val="false"/>
              </w:rPr>
              <w:t xml:space="preserve">0.220±.001</w:t>
            </w:r>
          </w:p>
        </w:tc>
        <w:tc>
          <w:tcPr>
            <w:tcW w:type="dxa" w:w="973"/>
            <w:tcMar>
              <w:top w:type="dxa" w:w="60"/>
              <w:left w:type="dxa" w:w="100"/>
              <w:bottom w:type="dxa" w:w="60"/>
              <w:right w:type="dxa" w:w="100"/>
            </w:tcMar>
          </w:tcPr>
          <w:p>
            <w:pPr>
              <w:jc w:val="left"/>
            </w:pPr>
            <w:r>
              <w:rPr>
                <w:b w:val="false"/>
                <w:bCs w:val="false"/>
              </w:rPr>
              <w:t xml:space="preserve">0.745±.028</w:t>
            </w:r>
          </w:p>
        </w:tc>
        <w:tc>
          <w:tcPr>
            <w:tcW w:type="dxa" w:w="929"/>
            <w:tcMar>
              <w:top w:type="dxa" w:w="60"/>
              <w:left w:type="dxa" w:w="100"/>
              <w:bottom w:type="dxa" w:w="60"/>
              <w:right w:type="dxa" w:w="100"/>
            </w:tcMar>
          </w:tcPr>
          <w:p>
            <w:pPr>
              <w:jc w:val="left"/>
            </w:pPr>
            <w:r>
              <w:rPr>
                <w:b w:val="false"/>
                <w:bCs w:val="false"/>
              </w:rPr>
              <w:t xml:space="preserve">0.636±.022</w:t>
            </w:r>
          </w:p>
        </w:tc>
      </w:tr>
      <w:tr>
        <w:tc>
          <w:tcPr>
            <w:tcW w:type="dxa" w:w="2299"/>
            <w:tcMar>
              <w:top w:type="dxa" w:w="60"/>
              <w:left w:type="dxa" w:w="100"/>
              <w:bottom w:type="dxa" w:w="60"/>
              <w:right w:type="dxa" w:w="100"/>
            </w:tcMar>
          </w:tcPr>
          <w:p>
            <w:pPr>
              <w:jc w:val="left"/>
            </w:pPr>
            <w:r>
              <w:rPr>
                <w:b w:val="false"/>
                <w:bCs w:val="false"/>
              </w:rPr>
              <w:t xml:space="preserve">QGNN, frozen embedding (10 seeds)</w:t>
            </w:r>
          </w:p>
        </w:tc>
        <w:tc>
          <w:tcPr>
            <w:tcW w:type="dxa" w:w="929"/>
            <w:tcMar>
              <w:top w:type="dxa" w:w="60"/>
              <w:left w:type="dxa" w:w="100"/>
              <w:bottom w:type="dxa" w:w="60"/>
              <w:right w:type="dxa" w:w="100"/>
            </w:tcMar>
          </w:tcPr>
          <w:p>
            <w:pPr>
              <w:jc w:val="left"/>
            </w:pPr>
            <w:r>
              <w:rPr>
                <w:b w:val="false"/>
                <w:bCs w:val="false"/>
              </w:rPr>
              <w:t xml:space="preserve">0.679±.012</w:t>
            </w:r>
          </w:p>
        </w:tc>
        <w:tc>
          <w:tcPr>
            <w:tcW w:type="dxa" w:w="929"/>
            <w:tcMar>
              <w:top w:type="dxa" w:w="60"/>
              <w:left w:type="dxa" w:w="100"/>
              <w:bottom w:type="dxa" w:w="60"/>
              <w:right w:type="dxa" w:w="100"/>
            </w:tcMar>
          </w:tcPr>
          <w:p>
            <w:pPr>
              <w:jc w:val="left"/>
            </w:pPr>
            <w:r>
              <w:rPr>
                <w:b w:val="false"/>
                <w:bCs w:val="false"/>
              </w:rPr>
              <w:t xml:space="preserve">0.675±.014</w:t>
            </w:r>
          </w:p>
        </w:tc>
        <w:tc>
          <w:tcPr>
            <w:tcW w:type="dxa" w:w="929"/>
            <w:tcMar>
              <w:top w:type="dxa" w:w="60"/>
              <w:left w:type="dxa" w:w="100"/>
              <w:bottom w:type="dxa" w:w="60"/>
              <w:right w:type="dxa" w:w="100"/>
            </w:tcMar>
          </w:tcPr>
          <w:p>
            <w:pPr>
              <w:jc w:val="left"/>
            </w:pPr>
            <w:r>
              <w:rPr>
                <w:b w:val="false"/>
                <w:bCs w:val="false"/>
              </w:rPr>
              <w:t xml:space="preserve">0.702±.019</w:t>
            </w:r>
          </w:p>
        </w:tc>
        <w:tc>
          <w:tcPr>
            <w:tcW w:type="dxa" w:w="929"/>
            <w:tcMar>
              <w:top w:type="dxa" w:w="60"/>
              <w:left w:type="dxa" w:w="100"/>
              <w:bottom w:type="dxa" w:w="60"/>
              <w:right w:type="dxa" w:w="100"/>
            </w:tcMar>
          </w:tcPr>
          <w:p>
            <w:pPr>
              <w:jc w:val="left"/>
            </w:pPr>
            <w:r>
              <w:rPr>
                <w:b w:val="false"/>
                <w:bCs w:val="false"/>
              </w:rPr>
              <w:t xml:space="preserve">0.646±.029</w:t>
            </w:r>
          </w:p>
        </w:tc>
        <w:tc>
          <w:tcPr>
            <w:tcW w:type="dxa" w:w="884"/>
            <w:tcMar>
              <w:top w:type="dxa" w:w="60"/>
              <w:left w:type="dxa" w:w="100"/>
              <w:bottom w:type="dxa" w:w="60"/>
              <w:right w:type="dxa" w:w="100"/>
            </w:tcMar>
          </w:tcPr>
          <w:p>
            <w:pPr>
              <w:jc w:val="left"/>
            </w:pPr>
            <w:r>
              <w:rPr>
                <w:b w:val="false"/>
                <w:bCs w:val="false"/>
              </w:rPr>
              <w:t xml:space="preserve">0.238±.006</w:t>
            </w:r>
          </w:p>
        </w:tc>
        <w:tc>
          <w:tcPr>
            <w:tcW w:type="dxa" w:w="973"/>
            <w:tcMar>
              <w:top w:type="dxa" w:w="60"/>
              <w:left w:type="dxa" w:w="100"/>
              <w:bottom w:type="dxa" w:w="60"/>
              <w:right w:type="dxa" w:w="100"/>
            </w:tcMar>
          </w:tcPr>
          <w:p>
            <w:pPr>
              <w:jc w:val="left"/>
            </w:pPr>
            <w:r>
              <w:rPr>
                <w:b w:val="false"/>
                <w:bCs w:val="false"/>
              </w:rPr>
              <w:t xml:space="preserve">0.688±.037</w:t>
            </w:r>
          </w:p>
        </w:tc>
        <w:tc>
          <w:tcPr>
            <w:tcW w:type="dxa" w:w="929"/>
            <w:tcMar>
              <w:top w:type="dxa" w:w="60"/>
              <w:left w:type="dxa" w:w="100"/>
              <w:bottom w:type="dxa" w:w="60"/>
              <w:right w:type="dxa" w:w="100"/>
            </w:tcMar>
          </w:tcPr>
          <w:p>
            <w:pPr>
              <w:jc w:val="left"/>
            </w:pPr>
            <w:r>
              <w:rPr>
                <w:b w:val="false"/>
                <w:bCs w:val="false"/>
              </w:rPr>
              <w:t xml:space="preserve">0.676±.063</w:t>
            </w:r>
          </w:p>
        </w:tc>
      </w:tr>
      <w:tr>
        <w:tc>
          <w:tcPr>
            <w:tcW w:type="dxa" w:w="2299"/>
            <w:tcMar>
              <w:top w:type="dxa" w:w="60"/>
              <w:left w:type="dxa" w:w="100"/>
              <w:bottom w:type="dxa" w:w="60"/>
              <w:right w:type="dxa" w:w="100"/>
            </w:tcMar>
          </w:tcPr>
          <w:p>
            <w:pPr>
              <w:jc w:val="left"/>
            </w:pPr>
            <w:r>
              <w:rPr>
                <w:b w:val="false"/>
                <w:bCs w:val="false"/>
              </w:rPr>
              <w:t xml:space="preserve">QGNN, quantum-first (3 seeds)</w:t>
            </w:r>
          </w:p>
        </w:tc>
        <w:tc>
          <w:tcPr>
            <w:tcW w:type="dxa" w:w="929"/>
            <w:tcMar>
              <w:top w:type="dxa" w:w="60"/>
              <w:left w:type="dxa" w:w="100"/>
              <w:bottom w:type="dxa" w:w="60"/>
              <w:right w:type="dxa" w:w="100"/>
            </w:tcMar>
          </w:tcPr>
          <w:p>
            <w:pPr>
              <w:jc w:val="left"/>
            </w:pPr>
            <w:r>
              <w:rPr>
                <w:b w:val="false"/>
                <w:bCs w:val="false"/>
              </w:rPr>
              <w:t xml:space="preserve">0.682±.000</w:t>
            </w:r>
          </w:p>
        </w:tc>
        <w:tc>
          <w:tcPr>
            <w:tcW w:type="dxa" w:w="929"/>
            <w:tcMar>
              <w:top w:type="dxa" w:w="60"/>
              <w:left w:type="dxa" w:w="100"/>
              <w:bottom w:type="dxa" w:w="60"/>
              <w:right w:type="dxa" w:w="100"/>
            </w:tcMar>
          </w:tcPr>
          <w:p>
            <w:pPr>
              <w:jc w:val="left"/>
            </w:pPr>
            <w:r>
              <w:rPr>
                <w:b w:val="false"/>
                <w:bCs w:val="false"/>
              </w:rPr>
              <w:t xml:space="preserve">0.732±.007</w:t>
            </w:r>
          </w:p>
        </w:tc>
        <w:tc>
          <w:tcPr>
            <w:tcW w:type="dxa" w:w="929"/>
            <w:tcMar>
              <w:top w:type="dxa" w:w="60"/>
              <w:left w:type="dxa" w:w="100"/>
              <w:bottom w:type="dxa" w:w="60"/>
              <w:right w:type="dxa" w:w="100"/>
            </w:tcMar>
          </w:tcPr>
          <w:p>
            <w:pPr>
              <w:jc w:val="left"/>
            </w:pPr>
            <w:r>
              <w:rPr>
                <w:b w:val="false"/>
                <w:bCs w:val="false"/>
              </w:rPr>
              <w:t xml:space="preserve">0.796±.015</w:t>
            </w:r>
          </w:p>
        </w:tc>
        <w:tc>
          <w:tcPr>
            <w:tcW w:type="dxa" w:w="929"/>
            <w:tcMar>
              <w:top w:type="dxa" w:w="60"/>
              <w:left w:type="dxa" w:w="100"/>
              <w:bottom w:type="dxa" w:w="60"/>
              <w:right w:type="dxa" w:w="100"/>
            </w:tcMar>
          </w:tcPr>
          <w:p>
            <w:pPr>
              <w:jc w:val="left"/>
            </w:pPr>
            <w:r>
              <w:rPr>
                <w:b w:val="false"/>
                <w:bCs w:val="false"/>
              </w:rPr>
              <w:t xml:space="preserve">0.707±.000</w:t>
            </w:r>
          </w:p>
        </w:tc>
        <w:tc>
          <w:tcPr>
            <w:tcW w:type="dxa" w:w="884"/>
            <w:tcMar>
              <w:top w:type="dxa" w:w="60"/>
              <w:left w:type="dxa" w:w="100"/>
              <w:bottom w:type="dxa" w:w="60"/>
              <w:right w:type="dxa" w:w="100"/>
            </w:tcMar>
          </w:tcPr>
          <w:p>
            <w:pPr>
              <w:jc w:val="left"/>
            </w:pPr>
            <w:r>
              <w:rPr>
                <w:b w:val="false"/>
                <w:bCs w:val="false"/>
              </w:rPr>
              <w:t xml:space="preserve">0.204±.001</w:t>
            </w:r>
          </w:p>
        </w:tc>
        <w:tc>
          <w:tcPr>
            <w:tcW w:type="dxa" w:w="973"/>
            <w:tcMar>
              <w:top w:type="dxa" w:w="60"/>
              <w:left w:type="dxa" w:w="100"/>
              <w:bottom w:type="dxa" w:w="60"/>
              <w:right w:type="dxa" w:w="100"/>
            </w:tcMar>
          </w:tcPr>
          <w:p>
            <w:pPr>
              <w:jc w:val="left"/>
            </w:pPr>
            <w:r>
              <w:rPr>
                <w:b w:val="false"/>
                <w:bCs w:val="false"/>
              </w:rPr>
              <w:t xml:space="preserve">0.802±.000</w:t>
            </w:r>
          </w:p>
        </w:tc>
        <w:tc>
          <w:tcPr>
            <w:tcW w:type="dxa" w:w="929"/>
            <w:tcMar>
              <w:top w:type="dxa" w:w="60"/>
              <w:left w:type="dxa" w:w="100"/>
              <w:bottom w:type="dxa" w:w="60"/>
              <w:right w:type="dxa" w:w="100"/>
            </w:tcMar>
          </w:tcPr>
          <w:p>
            <w:pPr>
              <w:jc w:val="left"/>
            </w:pPr>
            <w:r>
              <w:rPr>
                <w:b w:val="false"/>
                <w:bCs w:val="false"/>
              </w:rPr>
              <w:t xml:space="preserve">0.594±.000</w:t>
            </w:r>
          </w:p>
        </w:tc>
      </w:tr>
    </w:tbl>
    <w:p>
      <w:pPr>
        <w:spacing w:after="200"/>
      </w:pPr>
    </w:p>
    <w:p>
      <w:pPr>
        <w:pStyle w:val="Heading2"/>
        <w:spacing w:after="150" w:before="300"/>
      </w:pPr>
      <w:r>
        <w:t xml:space="preserve">6.2 Depth and data re-upload (frozen-embedding QGNN, 6 qubits, 3 seeds each)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23"/>
        <w:gridCol w:w="1112"/>
        <w:gridCol w:w="1760"/>
        <w:gridCol w:w="1945"/>
        <w:gridCol w:w="1760"/>
      </w:tblGrid>
      <w:tr>
        <w:trPr>
          <w:tblHeader/>
        </w:trPr>
        <w:tc>
          <w:tcPr>
            <w:tcW w:type="dxa" w:w="2223"/>
            <w:shd w:fill="E6F1FB" w:val="clear"/>
            <w:tcMar>
              <w:top w:type="dxa" w:w="60"/>
              <w:left w:type="dxa" w:w="100"/>
              <w:bottom w:type="dxa" w:w="60"/>
              <w:right w:type="dxa" w:w="100"/>
            </w:tcMar>
          </w:tcPr>
          <w:p>
            <w:pPr>
              <w:jc w:val="left"/>
            </w:pPr>
            <w:r>
              <w:rPr>
                <w:b/>
                <w:bCs/>
              </w:rPr>
              <w:t xml:space="preserve">Variant</w:t>
            </w:r>
          </w:p>
        </w:tc>
        <w:tc>
          <w:tcPr>
            <w:tcW w:type="dxa" w:w="1112"/>
            <w:shd w:fill="E6F1FB" w:val="clear"/>
            <w:tcMar>
              <w:top w:type="dxa" w:w="60"/>
              <w:left w:type="dxa" w:w="100"/>
              <w:bottom w:type="dxa" w:w="60"/>
              <w:right w:type="dxa" w:w="100"/>
            </w:tcMar>
          </w:tcPr>
          <w:p>
            <w:pPr>
              <w:jc w:val="left"/>
            </w:pPr>
            <w:r>
              <w:rPr>
                <w:b/>
                <w:bCs/>
              </w:rPr>
              <w:t xml:space="preserve">Layers</w:t>
            </w:r>
          </w:p>
        </w:tc>
        <w:tc>
          <w:tcPr>
            <w:tcW w:type="dxa" w:w="1760"/>
            <w:shd w:fill="E6F1FB" w:val="clear"/>
            <w:tcMar>
              <w:top w:type="dxa" w:w="60"/>
              <w:left w:type="dxa" w:w="100"/>
              <w:bottom w:type="dxa" w:w="60"/>
              <w:right w:type="dxa" w:w="100"/>
            </w:tcMar>
          </w:tcPr>
          <w:p>
            <w:pPr>
              <w:jc w:val="left"/>
            </w:pPr>
            <w:r>
              <w:rPr>
                <w:b/>
                <w:bCs/>
              </w:rPr>
              <w:t xml:space="preserve">F1 (mean)</w:t>
            </w:r>
          </w:p>
        </w:tc>
        <w:tc>
          <w:tcPr>
            <w:tcW w:type="dxa" w:w="1945"/>
            <w:shd w:fill="E6F1FB" w:val="clear"/>
            <w:tcMar>
              <w:top w:type="dxa" w:w="60"/>
              <w:left w:type="dxa" w:w="100"/>
              <w:bottom w:type="dxa" w:w="60"/>
              <w:right w:type="dxa" w:w="100"/>
            </w:tcMar>
          </w:tcPr>
          <w:p>
            <w:pPr>
              <w:jc w:val="left"/>
            </w:pPr>
            <w:r>
              <w:rPr>
                <w:b/>
                <w:bCs/>
              </w:rPr>
              <w:t xml:space="preserve">ROC-AUC (mean)</w:t>
            </w:r>
          </w:p>
        </w:tc>
        <w:tc>
          <w:tcPr>
            <w:tcW w:type="dxa" w:w="1760"/>
            <w:shd w:fill="E6F1FB" w:val="clear"/>
            <w:tcMar>
              <w:top w:type="dxa" w:w="60"/>
              <w:left w:type="dxa" w:w="100"/>
              <w:bottom w:type="dxa" w:w="60"/>
              <w:right w:type="dxa" w:w="100"/>
            </w:tcMar>
          </w:tcPr>
          <w:p>
            <w:pPr>
              <w:jc w:val="left"/>
            </w:pPr>
            <w:r>
              <w:rPr>
                <w:b/>
                <w:bCs/>
              </w:rPr>
              <w:t xml:space="preserve">PR-AUC (mean)</w:t>
            </w:r>
          </w:p>
        </w:tc>
      </w:tr>
      <w:tr>
        <w:tc>
          <w:tcPr>
            <w:tcW w:type="dxa" w:w="2223"/>
            <w:tcMar>
              <w:top w:type="dxa" w:w="60"/>
              <w:left w:type="dxa" w:w="100"/>
              <w:bottom w:type="dxa" w:w="60"/>
              <w:right w:type="dxa" w:w="100"/>
            </w:tcMar>
          </w:tcPr>
          <w:p>
            <w:pPr>
              <w:jc w:val="left"/>
            </w:pPr>
            <w:r>
              <w:rPr>
                <w:b w:val="false"/>
                <w:bCs w:val="false"/>
              </w:rPr>
              <w:t xml:space="preserve">Standard</w:t>
            </w:r>
          </w:p>
        </w:tc>
        <w:tc>
          <w:tcPr>
            <w:tcW w:type="dxa" w:w="1112"/>
            <w:tcMar>
              <w:top w:type="dxa" w:w="60"/>
              <w:left w:type="dxa" w:w="100"/>
              <w:bottom w:type="dxa" w:w="60"/>
              <w:right w:type="dxa" w:w="100"/>
            </w:tcMar>
          </w:tcPr>
          <w:p>
            <w:pPr>
              <w:jc w:val="left"/>
            </w:pPr>
            <w:r>
              <w:rPr>
                <w:b w:val="false"/>
                <w:bCs w:val="false"/>
              </w:rPr>
              <w:t xml:space="preserve">3</w:t>
            </w:r>
          </w:p>
        </w:tc>
        <w:tc>
          <w:tcPr>
            <w:tcW w:type="dxa" w:w="1760"/>
            <w:tcMar>
              <w:top w:type="dxa" w:w="60"/>
              <w:left w:type="dxa" w:w="100"/>
              <w:bottom w:type="dxa" w:w="60"/>
              <w:right w:type="dxa" w:w="100"/>
            </w:tcMar>
          </w:tcPr>
          <w:p>
            <w:pPr>
              <w:jc w:val="left"/>
            </w:pPr>
            <w:r>
              <w:rPr>
                <w:b w:val="false"/>
                <w:bCs w:val="false"/>
              </w:rPr>
              <w:t xml:space="preserve">0.657±.008</w:t>
            </w:r>
          </w:p>
        </w:tc>
        <w:tc>
          <w:tcPr>
            <w:tcW w:type="dxa" w:w="1945"/>
            <w:tcMar>
              <w:top w:type="dxa" w:w="60"/>
              <w:left w:type="dxa" w:w="100"/>
              <w:bottom w:type="dxa" w:w="60"/>
              <w:right w:type="dxa" w:w="100"/>
            </w:tcMar>
          </w:tcPr>
          <w:p>
            <w:pPr>
              <w:jc w:val="left"/>
            </w:pPr>
            <w:r>
              <w:rPr>
                <w:b w:val="false"/>
                <w:bCs w:val="false"/>
              </w:rPr>
              <w:t xml:space="preserve">0.685±.011</w:t>
            </w:r>
          </w:p>
        </w:tc>
        <w:tc>
          <w:tcPr>
            <w:tcW w:type="dxa" w:w="1760"/>
            <w:tcMar>
              <w:top w:type="dxa" w:w="60"/>
              <w:left w:type="dxa" w:w="100"/>
              <w:bottom w:type="dxa" w:w="60"/>
              <w:right w:type="dxa" w:w="100"/>
            </w:tcMar>
          </w:tcPr>
          <w:p>
            <w:pPr>
              <w:jc w:val="left"/>
            </w:pPr>
            <w:r>
              <w:rPr>
                <w:b w:val="false"/>
                <w:bCs w:val="false"/>
              </w:rPr>
              <w:t xml:space="preserve">0.724±.007</w:t>
            </w:r>
          </w:p>
        </w:tc>
      </w:tr>
      <w:tr>
        <w:tc>
          <w:tcPr>
            <w:tcW w:type="dxa" w:w="2223"/>
            <w:tcMar>
              <w:top w:type="dxa" w:w="60"/>
              <w:left w:type="dxa" w:w="100"/>
              <w:bottom w:type="dxa" w:w="60"/>
              <w:right w:type="dxa" w:w="100"/>
            </w:tcMar>
          </w:tcPr>
          <w:p>
            <w:pPr>
              <w:jc w:val="left"/>
            </w:pPr>
            <w:r>
              <w:rPr>
                <w:b w:val="false"/>
                <w:bCs w:val="false"/>
              </w:rPr>
              <w:t xml:space="preserve">Standard</w:t>
            </w:r>
          </w:p>
        </w:tc>
        <w:tc>
          <w:tcPr>
            <w:tcW w:type="dxa" w:w="1112"/>
            <w:tcMar>
              <w:top w:type="dxa" w:w="60"/>
              <w:left w:type="dxa" w:w="100"/>
              <w:bottom w:type="dxa" w:w="60"/>
              <w:right w:type="dxa" w:w="100"/>
            </w:tcMar>
          </w:tcPr>
          <w:p>
            <w:pPr>
              <w:jc w:val="left"/>
            </w:pPr>
            <w:r>
              <w:rPr>
                <w:b w:val="false"/>
                <w:bCs w:val="false"/>
              </w:rPr>
              <w:t xml:space="preserve">4</w:t>
            </w:r>
          </w:p>
        </w:tc>
        <w:tc>
          <w:tcPr>
            <w:tcW w:type="dxa" w:w="1760"/>
            <w:tcMar>
              <w:top w:type="dxa" w:w="60"/>
              <w:left w:type="dxa" w:w="100"/>
              <w:bottom w:type="dxa" w:w="60"/>
              <w:right w:type="dxa" w:w="100"/>
            </w:tcMar>
          </w:tcPr>
          <w:p>
            <w:pPr>
              <w:jc w:val="left"/>
            </w:pPr>
            <w:r>
              <w:rPr>
                <w:b w:val="false"/>
                <w:bCs w:val="false"/>
              </w:rPr>
              <w:t xml:space="preserve">0.670±.011</w:t>
            </w:r>
          </w:p>
        </w:tc>
        <w:tc>
          <w:tcPr>
            <w:tcW w:type="dxa" w:w="1945"/>
            <w:tcMar>
              <w:top w:type="dxa" w:w="60"/>
              <w:left w:type="dxa" w:w="100"/>
              <w:bottom w:type="dxa" w:w="60"/>
              <w:right w:type="dxa" w:w="100"/>
            </w:tcMar>
          </w:tcPr>
          <w:p>
            <w:pPr>
              <w:jc w:val="left"/>
            </w:pPr>
            <w:r>
              <w:rPr>
                <w:b w:val="false"/>
                <w:bCs w:val="false"/>
              </w:rPr>
              <w:t xml:space="preserve">0.676±.010</w:t>
            </w:r>
          </w:p>
        </w:tc>
        <w:tc>
          <w:tcPr>
            <w:tcW w:type="dxa" w:w="1760"/>
            <w:tcMar>
              <w:top w:type="dxa" w:w="60"/>
              <w:left w:type="dxa" w:w="100"/>
              <w:bottom w:type="dxa" w:w="60"/>
              <w:right w:type="dxa" w:w="100"/>
            </w:tcMar>
          </w:tcPr>
          <w:p>
            <w:pPr>
              <w:jc w:val="left"/>
            </w:pPr>
            <w:r>
              <w:rPr>
                <w:b w:val="false"/>
                <w:bCs w:val="false"/>
              </w:rPr>
              <w:t xml:space="preserve">0.703±.011</w:t>
            </w:r>
          </w:p>
        </w:tc>
      </w:tr>
      <w:tr>
        <w:tc>
          <w:tcPr>
            <w:tcW w:type="dxa" w:w="2223"/>
            <w:tcMar>
              <w:top w:type="dxa" w:w="60"/>
              <w:left w:type="dxa" w:w="100"/>
              <w:bottom w:type="dxa" w:w="60"/>
              <w:right w:type="dxa" w:w="100"/>
            </w:tcMar>
          </w:tcPr>
          <w:p>
            <w:pPr>
              <w:jc w:val="left"/>
            </w:pPr>
            <w:r>
              <w:rPr>
                <w:b w:val="false"/>
                <w:bCs w:val="false"/>
              </w:rPr>
              <w:t xml:space="preserve">Standard</w:t>
            </w:r>
          </w:p>
        </w:tc>
        <w:tc>
          <w:tcPr>
            <w:tcW w:type="dxa" w:w="1112"/>
            <w:tcMar>
              <w:top w:type="dxa" w:w="60"/>
              <w:left w:type="dxa" w:w="100"/>
              <w:bottom w:type="dxa" w:w="60"/>
              <w:right w:type="dxa" w:w="100"/>
            </w:tcMar>
          </w:tcPr>
          <w:p>
            <w:pPr>
              <w:jc w:val="left"/>
            </w:pPr>
            <w:r>
              <w:rPr>
                <w:b w:val="false"/>
                <w:bCs w:val="false"/>
              </w:rPr>
              <w:t xml:space="preserve">5</w:t>
            </w:r>
          </w:p>
        </w:tc>
        <w:tc>
          <w:tcPr>
            <w:tcW w:type="dxa" w:w="1760"/>
            <w:tcMar>
              <w:top w:type="dxa" w:w="60"/>
              <w:left w:type="dxa" w:w="100"/>
              <w:bottom w:type="dxa" w:w="60"/>
              <w:right w:type="dxa" w:w="100"/>
            </w:tcMar>
          </w:tcPr>
          <w:p>
            <w:pPr>
              <w:jc w:val="left"/>
            </w:pPr>
            <w:r>
              <w:rPr>
                <w:b w:val="false"/>
                <w:bCs w:val="false"/>
              </w:rPr>
              <w:t xml:space="preserve">0.646±.004</w:t>
            </w:r>
          </w:p>
        </w:tc>
        <w:tc>
          <w:tcPr>
            <w:tcW w:type="dxa" w:w="1945"/>
            <w:tcMar>
              <w:top w:type="dxa" w:w="60"/>
              <w:left w:type="dxa" w:w="100"/>
              <w:bottom w:type="dxa" w:w="60"/>
              <w:right w:type="dxa" w:w="100"/>
            </w:tcMar>
          </w:tcPr>
          <w:p>
            <w:pPr>
              <w:jc w:val="left"/>
            </w:pPr>
            <w:r>
              <w:rPr>
                <w:b w:val="false"/>
                <w:bCs w:val="false"/>
              </w:rPr>
              <w:t xml:space="preserve">0.662±.003</w:t>
            </w:r>
          </w:p>
        </w:tc>
        <w:tc>
          <w:tcPr>
            <w:tcW w:type="dxa" w:w="1760"/>
            <w:tcMar>
              <w:top w:type="dxa" w:w="60"/>
              <w:left w:type="dxa" w:w="100"/>
              <w:bottom w:type="dxa" w:w="60"/>
              <w:right w:type="dxa" w:w="100"/>
            </w:tcMar>
          </w:tcPr>
          <w:p>
            <w:pPr>
              <w:jc w:val="left"/>
            </w:pPr>
            <w:r>
              <w:rPr>
                <w:b w:val="false"/>
                <w:bCs w:val="false"/>
              </w:rPr>
              <w:t xml:space="preserve">0.707±.007</w:t>
            </w:r>
          </w:p>
        </w:tc>
      </w:tr>
      <w:tr>
        <w:tc>
          <w:tcPr>
            <w:tcW w:type="dxa" w:w="2223"/>
            <w:tcMar>
              <w:top w:type="dxa" w:w="60"/>
              <w:left w:type="dxa" w:w="100"/>
              <w:bottom w:type="dxa" w:w="60"/>
              <w:right w:type="dxa" w:w="100"/>
            </w:tcMar>
          </w:tcPr>
          <w:p>
            <w:pPr>
              <w:jc w:val="left"/>
            </w:pPr>
            <w:r>
              <w:rPr>
                <w:b w:val="false"/>
                <w:bCs w:val="false"/>
              </w:rPr>
              <w:t xml:space="preserve">Data re-upload</w:t>
            </w:r>
          </w:p>
        </w:tc>
        <w:tc>
          <w:tcPr>
            <w:tcW w:type="dxa" w:w="1112"/>
            <w:tcMar>
              <w:top w:type="dxa" w:w="60"/>
              <w:left w:type="dxa" w:w="100"/>
              <w:bottom w:type="dxa" w:w="60"/>
              <w:right w:type="dxa" w:w="100"/>
            </w:tcMar>
          </w:tcPr>
          <w:p>
            <w:pPr>
              <w:jc w:val="left"/>
            </w:pPr>
            <w:r>
              <w:rPr>
                <w:b w:val="false"/>
                <w:bCs w:val="false"/>
              </w:rPr>
              <w:t xml:space="preserve">3</w:t>
            </w:r>
          </w:p>
        </w:tc>
        <w:tc>
          <w:tcPr>
            <w:tcW w:type="dxa" w:w="1760"/>
            <w:tcMar>
              <w:top w:type="dxa" w:w="60"/>
              <w:left w:type="dxa" w:w="100"/>
              <w:bottom w:type="dxa" w:w="60"/>
              <w:right w:type="dxa" w:w="100"/>
            </w:tcMar>
          </w:tcPr>
          <w:p>
            <w:pPr>
              <w:jc w:val="left"/>
            </w:pPr>
            <w:r>
              <w:rPr>
                <w:b w:val="false"/>
                <w:bCs w:val="false"/>
              </w:rPr>
              <w:t xml:space="preserve">0.647±.031</w:t>
            </w:r>
          </w:p>
        </w:tc>
        <w:tc>
          <w:tcPr>
            <w:tcW w:type="dxa" w:w="1945"/>
            <w:tcMar>
              <w:top w:type="dxa" w:w="60"/>
              <w:left w:type="dxa" w:w="100"/>
              <w:bottom w:type="dxa" w:w="60"/>
              <w:right w:type="dxa" w:w="100"/>
            </w:tcMar>
          </w:tcPr>
          <w:p>
            <w:pPr>
              <w:jc w:val="left"/>
            </w:pPr>
            <w:r>
              <w:rPr>
                <w:b w:val="false"/>
                <w:bCs w:val="false"/>
              </w:rPr>
              <w:t xml:space="preserve">0.664±.040</w:t>
            </w:r>
          </w:p>
        </w:tc>
        <w:tc>
          <w:tcPr>
            <w:tcW w:type="dxa" w:w="1760"/>
            <w:tcMar>
              <w:top w:type="dxa" w:w="60"/>
              <w:left w:type="dxa" w:w="100"/>
              <w:bottom w:type="dxa" w:w="60"/>
              <w:right w:type="dxa" w:w="100"/>
            </w:tcMar>
          </w:tcPr>
          <w:p>
            <w:pPr>
              <w:jc w:val="left"/>
            </w:pPr>
            <w:r>
              <w:rPr>
                <w:b w:val="false"/>
                <w:bCs w:val="false"/>
              </w:rPr>
              <w:t xml:space="preserve">0.692±.057</w:t>
            </w:r>
          </w:p>
        </w:tc>
      </w:tr>
      <w:tr>
        <w:tc>
          <w:tcPr>
            <w:tcW w:type="dxa" w:w="2223"/>
            <w:tcMar>
              <w:top w:type="dxa" w:w="60"/>
              <w:left w:type="dxa" w:w="100"/>
              <w:bottom w:type="dxa" w:w="60"/>
              <w:right w:type="dxa" w:w="100"/>
            </w:tcMar>
          </w:tcPr>
          <w:p>
            <w:pPr>
              <w:jc w:val="left"/>
            </w:pPr>
            <w:r>
              <w:rPr>
                <w:b w:val="false"/>
                <w:bCs w:val="false"/>
              </w:rPr>
              <w:t xml:space="preserve">Data re-upload</w:t>
            </w:r>
          </w:p>
        </w:tc>
        <w:tc>
          <w:tcPr>
            <w:tcW w:type="dxa" w:w="1112"/>
            <w:tcMar>
              <w:top w:type="dxa" w:w="60"/>
              <w:left w:type="dxa" w:w="100"/>
              <w:bottom w:type="dxa" w:w="60"/>
              <w:right w:type="dxa" w:w="100"/>
            </w:tcMar>
          </w:tcPr>
          <w:p>
            <w:pPr>
              <w:jc w:val="left"/>
            </w:pPr>
            <w:r>
              <w:rPr>
                <w:b w:val="false"/>
                <w:bCs w:val="false"/>
              </w:rPr>
              <w:t xml:space="preserve">4</w:t>
            </w:r>
          </w:p>
        </w:tc>
        <w:tc>
          <w:tcPr>
            <w:tcW w:type="dxa" w:w="1760"/>
            <w:tcMar>
              <w:top w:type="dxa" w:w="60"/>
              <w:left w:type="dxa" w:w="100"/>
              <w:bottom w:type="dxa" w:w="60"/>
              <w:right w:type="dxa" w:w="100"/>
            </w:tcMar>
          </w:tcPr>
          <w:p>
            <w:pPr>
              <w:jc w:val="left"/>
            </w:pPr>
            <w:r>
              <w:rPr>
                <w:b w:val="false"/>
                <w:bCs w:val="false"/>
              </w:rPr>
              <w:t xml:space="preserve">0.653±.023</w:t>
            </w:r>
          </w:p>
        </w:tc>
        <w:tc>
          <w:tcPr>
            <w:tcW w:type="dxa" w:w="1945"/>
            <w:tcMar>
              <w:top w:type="dxa" w:w="60"/>
              <w:left w:type="dxa" w:w="100"/>
              <w:bottom w:type="dxa" w:w="60"/>
              <w:right w:type="dxa" w:w="100"/>
            </w:tcMar>
          </w:tcPr>
          <w:p>
            <w:pPr>
              <w:jc w:val="left"/>
            </w:pPr>
            <w:r>
              <w:rPr>
                <w:b w:val="false"/>
                <w:bCs w:val="false"/>
              </w:rPr>
              <w:t xml:space="preserve">0.670±.010</w:t>
            </w:r>
          </w:p>
        </w:tc>
        <w:tc>
          <w:tcPr>
            <w:tcW w:type="dxa" w:w="1760"/>
            <w:tcMar>
              <w:top w:type="dxa" w:w="60"/>
              <w:left w:type="dxa" w:w="100"/>
              <w:bottom w:type="dxa" w:w="60"/>
              <w:right w:type="dxa" w:w="100"/>
            </w:tcMar>
          </w:tcPr>
          <w:p>
            <w:pPr>
              <w:jc w:val="left"/>
            </w:pPr>
            <w:r>
              <w:rPr>
                <w:b w:val="false"/>
                <w:bCs w:val="false"/>
              </w:rPr>
              <w:t xml:space="preserve">0.701±.005</w:t>
            </w:r>
          </w:p>
        </w:tc>
      </w:tr>
      <w:tr>
        <w:tc>
          <w:tcPr>
            <w:tcW w:type="dxa" w:w="2223"/>
            <w:tcMar>
              <w:top w:type="dxa" w:w="60"/>
              <w:left w:type="dxa" w:w="100"/>
              <w:bottom w:type="dxa" w:w="60"/>
              <w:right w:type="dxa" w:w="100"/>
            </w:tcMar>
          </w:tcPr>
          <w:p>
            <w:pPr>
              <w:jc w:val="left"/>
            </w:pPr>
            <w:r>
              <w:rPr>
                <w:b w:val="false"/>
                <w:bCs w:val="false"/>
              </w:rPr>
              <w:t xml:space="preserve">Data re-upload</w:t>
            </w:r>
          </w:p>
        </w:tc>
        <w:tc>
          <w:tcPr>
            <w:tcW w:type="dxa" w:w="1112"/>
            <w:tcMar>
              <w:top w:type="dxa" w:w="60"/>
              <w:left w:type="dxa" w:w="100"/>
              <w:bottom w:type="dxa" w:w="60"/>
              <w:right w:type="dxa" w:w="100"/>
            </w:tcMar>
          </w:tcPr>
          <w:p>
            <w:pPr>
              <w:jc w:val="left"/>
            </w:pPr>
            <w:r>
              <w:rPr>
                <w:b w:val="false"/>
                <w:bCs w:val="false"/>
              </w:rPr>
              <w:t xml:space="preserve">5</w:t>
            </w:r>
          </w:p>
        </w:tc>
        <w:tc>
          <w:tcPr>
            <w:tcW w:type="dxa" w:w="1760"/>
            <w:tcMar>
              <w:top w:type="dxa" w:w="60"/>
              <w:left w:type="dxa" w:w="100"/>
              <w:bottom w:type="dxa" w:w="60"/>
              <w:right w:type="dxa" w:w="100"/>
            </w:tcMar>
          </w:tcPr>
          <w:p>
            <w:pPr>
              <w:jc w:val="left"/>
            </w:pPr>
            <w:r>
              <w:rPr>
                <w:b w:val="false"/>
                <w:bCs w:val="false"/>
              </w:rPr>
              <w:t xml:space="preserve">0.636±.011</w:t>
            </w:r>
          </w:p>
        </w:tc>
        <w:tc>
          <w:tcPr>
            <w:tcW w:type="dxa" w:w="1945"/>
            <w:tcMar>
              <w:top w:type="dxa" w:w="60"/>
              <w:left w:type="dxa" w:w="100"/>
              <w:bottom w:type="dxa" w:w="60"/>
              <w:right w:type="dxa" w:w="100"/>
            </w:tcMar>
          </w:tcPr>
          <w:p>
            <w:pPr>
              <w:jc w:val="left"/>
            </w:pPr>
            <w:r>
              <w:rPr>
                <w:b w:val="false"/>
                <w:bCs w:val="false"/>
              </w:rPr>
              <w:t xml:space="preserve">0.661±.016</w:t>
            </w:r>
          </w:p>
        </w:tc>
        <w:tc>
          <w:tcPr>
            <w:tcW w:type="dxa" w:w="1760"/>
            <w:tcMar>
              <w:top w:type="dxa" w:w="60"/>
              <w:left w:type="dxa" w:w="100"/>
              <w:bottom w:type="dxa" w:w="60"/>
              <w:right w:type="dxa" w:w="100"/>
            </w:tcMar>
          </w:tcPr>
          <w:p>
            <w:pPr>
              <w:jc w:val="left"/>
            </w:pPr>
            <w:r>
              <w:rPr>
                <w:b w:val="false"/>
                <w:bCs w:val="false"/>
              </w:rPr>
              <w:t xml:space="preserve">0.697±.024</w:t>
            </w:r>
          </w:p>
        </w:tc>
      </w:tr>
    </w:tbl>
    <w:p>
      <w:pPr>
        <w:spacing w:after="200"/>
      </w:pPr>
    </w:p>
    <w:p>
      <w:pPr>
        <w:spacing w:after="160"/>
      </w:pPr>
      <w:r>
        <w:t xml:space="preserve">Neither greater circuit depth nor data re-upload improved on the original 1–2-layer result — 5 layers is in fact the worst standard configuration, and re-upload increases run-to-run instability (PR-AUC standard deviation up to 0.057) without a compensating gain.</w:t>
      </w:r>
    </w:p>
    <w:p>
      <w:pPr>
        <w:pStyle w:val="Heading2"/>
        <w:spacing w:after="150" w:before="300"/>
      </w:pPr>
      <w:r>
        <w:t xml:space="preserve">6.3 Threshold tuning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1760"/>
        <w:gridCol w:w="1360"/>
        <w:gridCol w:w="1520"/>
        <w:gridCol w:w="1840"/>
        <w:gridCol w:w="1520"/>
      </w:tblGrid>
      <w:tr>
        <w:trPr>
          <w:tblHeader/>
        </w:trPr>
        <w:tc>
          <w:tcPr>
            <w:tcW w:type="dxa" w:w="800"/>
            <w:shd w:fill="E6F1FB" w:val="clear"/>
            <w:tcMar>
              <w:top w:type="dxa" w:w="60"/>
              <w:left w:type="dxa" w:w="100"/>
              <w:bottom w:type="dxa" w:w="60"/>
              <w:right w:type="dxa" w:w="100"/>
            </w:tcMar>
          </w:tcPr>
          <w:p>
            <w:pPr>
              <w:jc w:val="left"/>
            </w:pPr>
            <w:r>
              <w:rPr>
                <w:b/>
                <w:bCs/>
              </w:rPr>
              <w:t xml:space="preserve">Seed</w:t>
            </w:r>
          </w:p>
        </w:tc>
        <w:tc>
          <w:tcPr>
            <w:tcW w:type="dxa" w:w="1760"/>
            <w:shd w:fill="E6F1FB" w:val="clear"/>
            <w:tcMar>
              <w:top w:type="dxa" w:w="60"/>
              <w:left w:type="dxa" w:w="100"/>
              <w:bottom w:type="dxa" w:w="60"/>
              <w:right w:type="dxa" w:w="100"/>
            </w:tcMar>
          </w:tcPr>
          <w:p>
            <w:pPr>
              <w:jc w:val="left"/>
            </w:pPr>
            <w:r>
              <w:rPr>
                <w:b/>
                <w:bCs/>
              </w:rPr>
              <w:t xml:space="preserve">Optimal threshold</w:t>
            </w:r>
          </w:p>
        </w:tc>
        <w:tc>
          <w:tcPr>
            <w:tcW w:type="dxa" w:w="1360"/>
            <w:shd w:fill="E6F1FB" w:val="clear"/>
            <w:tcMar>
              <w:top w:type="dxa" w:w="60"/>
              <w:left w:type="dxa" w:w="100"/>
              <w:bottom w:type="dxa" w:w="60"/>
              <w:right w:type="dxa" w:w="100"/>
            </w:tcMar>
          </w:tcPr>
          <w:p>
            <w:pPr>
              <w:jc w:val="left"/>
            </w:pPr>
            <w:r>
              <w:rPr>
                <w:b/>
                <w:bCs/>
              </w:rPr>
              <w:t xml:space="preserve">F1 @ 0.5</w:t>
            </w:r>
          </w:p>
        </w:tc>
        <w:tc>
          <w:tcPr>
            <w:tcW w:type="dxa" w:w="1520"/>
            <w:shd w:fill="E6F1FB" w:val="clear"/>
            <w:tcMar>
              <w:top w:type="dxa" w:w="60"/>
              <w:left w:type="dxa" w:w="100"/>
              <w:bottom w:type="dxa" w:w="60"/>
              <w:right w:type="dxa" w:w="100"/>
            </w:tcMar>
          </w:tcPr>
          <w:p>
            <w:pPr>
              <w:jc w:val="left"/>
            </w:pPr>
            <w:r>
              <w:rPr>
                <w:b/>
                <w:bCs/>
              </w:rPr>
              <w:t xml:space="preserve">F1 @ optimal</w:t>
            </w:r>
          </w:p>
        </w:tc>
        <w:tc>
          <w:tcPr>
            <w:tcW w:type="dxa" w:w="1840"/>
            <w:shd w:fill="E6F1FB" w:val="clear"/>
            <w:tcMar>
              <w:top w:type="dxa" w:w="60"/>
              <w:left w:type="dxa" w:w="100"/>
              <w:bottom w:type="dxa" w:w="60"/>
              <w:right w:type="dxa" w:w="100"/>
            </w:tcMar>
          </w:tcPr>
          <w:p>
            <w:pPr>
              <w:jc w:val="left"/>
            </w:pPr>
            <w:r>
              <w:rPr>
                <w:b/>
                <w:bCs/>
              </w:rPr>
              <w:t xml:space="preserve">Precision @ optimal</w:t>
            </w:r>
          </w:p>
        </w:tc>
        <w:tc>
          <w:tcPr>
            <w:tcW w:type="dxa" w:w="1520"/>
            <w:shd w:fill="E6F1FB" w:val="clear"/>
            <w:tcMar>
              <w:top w:type="dxa" w:w="60"/>
              <w:left w:type="dxa" w:w="100"/>
              <w:bottom w:type="dxa" w:w="60"/>
              <w:right w:type="dxa" w:w="100"/>
            </w:tcMar>
          </w:tcPr>
          <w:p>
            <w:pPr>
              <w:jc w:val="left"/>
            </w:pPr>
            <w:r>
              <w:rPr>
                <w:b/>
                <w:bCs/>
              </w:rPr>
              <w:t xml:space="preserve">Recall @ optimal</w:t>
            </w:r>
          </w:p>
        </w:tc>
      </w:tr>
      <w:tr>
        <w:tc>
          <w:tcPr>
            <w:tcW w:type="dxa" w:w="800"/>
            <w:tcMar>
              <w:top w:type="dxa" w:w="60"/>
              <w:left w:type="dxa" w:w="100"/>
              <w:bottom w:type="dxa" w:w="60"/>
              <w:right w:type="dxa" w:w="100"/>
            </w:tcMar>
          </w:tcPr>
          <w:p>
            <w:pPr>
              <w:jc w:val="left"/>
            </w:pPr>
            <w:r>
              <w:rPr>
                <w:b w:val="false"/>
                <w:bCs w:val="false"/>
              </w:rPr>
              <w:t xml:space="preserve">0</w:t>
            </w:r>
          </w:p>
        </w:tc>
        <w:tc>
          <w:tcPr>
            <w:tcW w:type="dxa" w:w="1760"/>
            <w:tcMar>
              <w:top w:type="dxa" w:w="60"/>
              <w:left w:type="dxa" w:w="100"/>
              <w:bottom w:type="dxa" w:w="60"/>
              <w:right w:type="dxa" w:w="100"/>
            </w:tcMar>
          </w:tcPr>
          <w:p>
            <w:pPr>
              <w:jc w:val="left"/>
            </w:pPr>
            <w:r>
              <w:rPr>
                <w:b w:val="false"/>
                <w:bCs w:val="false"/>
              </w:rPr>
              <w:t xml:space="preserve">0.070</w:t>
            </w:r>
          </w:p>
        </w:tc>
        <w:tc>
          <w:tcPr>
            <w:tcW w:type="dxa" w:w="1360"/>
            <w:tcMar>
              <w:top w:type="dxa" w:w="60"/>
              <w:left w:type="dxa" w:w="100"/>
              <w:bottom w:type="dxa" w:w="60"/>
              <w:right w:type="dxa" w:w="100"/>
            </w:tcMar>
          </w:tcPr>
          <w:p>
            <w:pPr>
              <w:jc w:val="left"/>
            </w:pPr>
            <w:r>
              <w:rPr>
                <w:b w:val="false"/>
                <w:bCs w:val="false"/>
              </w:rPr>
              <w:t xml:space="preserve">0.690</w:t>
            </w:r>
          </w:p>
        </w:tc>
        <w:tc>
          <w:tcPr>
            <w:tcW w:type="dxa" w:w="1520"/>
            <w:tcMar>
              <w:top w:type="dxa" w:w="60"/>
              <w:left w:type="dxa" w:w="100"/>
              <w:bottom w:type="dxa" w:w="60"/>
              <w:right w:type="dxa" w:w="100"/>
            </w:tcMar>
          </w:tcPr>
          <w:p>
            <w:pPr>
              <w:jc w:val="left"/>
            </w:pPr>
            <w:r>
              <w:rPr>
                <w:b w:val="false"/>
                <w:bCs w:val="false"/>
              </w:rPr>
              <w:t xml:space="preserve">0.710</w:t>
            </w:r>
          </w:p>
        </w:tc>
        <w:tc>
          <w:tcPr>
            <w:tcW w:type="dxa" w:w="1840"/>
            <w:tcMar>
              <w:top w:type="dxa" w:w="60"/>
              <w:left w:type="dxa" w:w="100"/>
              <w:bottom w:type="dxa" w:w="60"/>
              <w:right w:type="dxa" w:w="100"/>
            </w:tcMar>
          </w:tcPr>
          <w:p>
            <w:pPr>
              <w:jc w:val="left"/>
            </w:pPr>
            <w:r>
              <w:rPr>
                <w:b w:val="false"/>
                <w:bCs w:val="false"/>
              </w:rPr>
              <w:t xml:space="preserve">0.550</w:t>
            </w:r>
          </w:p>
        </w:tc>
        <w:tc>
          <w:tcPr>
            <w:tcW w:type="dxa" w:w="1520"/>
            <w:tcMar>
              <w:top w:type="dxa" w:w="60"/>
              <w:left w:type="dxa" w:w="100"/>
              <w:bottom w:type="dxa" w:w="60"/>
              <w:right w:type="dxa" w:w="100"/>
            </w:tcMar>
          </w:tcPr>
          <w:p>
            <w:pPr>
              <w:jc w:val="left"/>
            </w:pPr>
            <w:r>
              <w:rPr>
                <w:b w:val="false"/>
                <w:bCs w:val="false"/>
              </w:rPr>
              <w:t xml:space="preserve">0.9999</w:t>
            </w:r>
          </w:p>
        </w:tc>
      </w:tr>
      <w:tr>
        <w:tc>
          <w:tcPr>
            <w:tcW w:type="dxa" w:w="800"/>
            <w:tcMar>
              <w:top w:type="dxa" w:w="60"/>
              <w:left w:type="dxa" w:w="100"/>
              <w:bottom w:type="dxa" w:w="60"/>
              <w:right w:type="dxa" w:w="100"/>
            </w:tcMar>
          </w:tcPr>
          <w:p>
            <w:pPr>
              <w:jc w:val="left"/>
            </w:pPr>
            <w:r>
              <w:rPr>
                <w:b w:val="false"/>
                <w:bCs w:val="false"/>
              </w:rPr>
              <w:t xml:space="preserve">1</w:t>
            </w:r>
          </w:p>
        </w:tc>
        <w:tc>
          <w:tcPr>
            <w:tcW w:type="dxa" w:w="1760"/>
            <w:tcMar>
              <w:top w:type="dxa" w:w="60"/>
              <w:left w:type="dxa" w:w="100"/>
              <w:bottom w:type="dxa" w:w="60"/>
              <w:right w:type="dxa" w:w="100"/>
            </w:tcMar>
          </w:tcPr>
          <w:p>
            <w:pPr>
              <w:jc w:val="left"/>
            </w:pPr>
            <w:r>
              <w:rPr>
                <w:b w:val="false"/>
                <w:bCs w:val="false"/>
              </w:rPr>
              <w:t xml:space="preserve">0.465</w:t>
            </w:r>
          </w:p>
        </w:tc>
        <w:tc>
          <w:tcPr>
            <w:tcW w:type="dxa" w:w="1360"/>
            <w:tcMar>
              <w:top w:type="dxa" w:w="60"/>
              <w:left w:type="dxa" w:w="100"/>
              <w:bottom w:type="dxa" w:w="60"/>
              <w:right w:type="dxa" w:w="100"/>
            </w:tcMar>
          </w:tcPr>
          <w:p>
            <w:pPr>
              <w:jc w:val="left"/>
            </w:pPr>
            <w:r>
              <w:rPr>
                <w:b w:val="false"/>
                <w:bCs w:val="false"/>
              </w:rPr>
              <w:t xml:space="preserve">0.701</w:t>
            </w:r>
          </w:p>
        </w:tc>
        <w:tc>
          <w:tcPr>
            <w:tcW w:type="dxa" w:w="1520"/>
            <w:tcMar>
              <w:top w:type="dxa" w:w="60"/>
              <w:left w:type="dxa" w:w="100"/>
              <w:bottom w:type="dxa" w:w="60"/>
              <w:right w:type="dxa" w:w="100"/>
            </w:tcMar>
          </w:tcPr>
          <w:p>
            <w:pPr>
              <w:jc w:val="left"/>
            </w:pPr>
            <w:r>
              <w:rPr>
                <w:b w:val="false"/>
                <w:bCs w:val="false"/>
              </w:rPr>
              <w:t xml:space="preserve">0.709</w:t>
            </w:r>
          </w:p>
        </w:tc>
        <w:tc>
          <w:tcPr>
            <w:tcW w:type="dxa" w:w="1840"/>
            <w:tcMar>
              <w:top w:type="dxa" w:w="60"/>
              <w:left w:type="dxa" w:w="100"/>
              <w:bottom w:type="dxa" w:w="60"/>
              <w:right w:type="dxa" w:w="100"/>
            </w:tcMar>
          </w:tcPr>
          <w:p>
            <w:pPr>
              <w:jc w:val="left"/>
            </w:pPr>
            <w:r>
              <w:rPr>
                <w:b w:val="false"/>
                <w:bCs w:val="false"/>
              </w:rPr>
              <w:t xml:space="preserve">0.551</w:t>
            </w:r>
          </w:p>
        </w:tc>
        <w:tc>
          <w:tcPr>
            <w:tcW w:type="dxa" w:w="1520"/>
            <w:tcMar>
              <w:top w:type="dxa" w:w="60"/>
              <w:left w:type="dxa" w:w="100"/>
              <w:bottom w:type="dxa" w:w="60"/>
              <w:right w:type="dxa" w:w="100"/>
            </w:tcMar>
          </w:tcPr>
          <w:p>
            <w:pPr>
              <w:jc w:val="left"/>
            </w:pPr>
            <w:r>
              <w:rPr>
                <w:b w:val="false"/>
                <w:bCs w:val="false"/>
              </w:rPr>
              <w:t xml:space="preserve">0.9950</w:t>
            </w:r>
          </w:p>
        </w:tc>
      </w:tr>
      <w:tr>
        <w:tc>
          <w:tcPr>
            <w:tcW w:type="dxa" w:w="800"/>
            <w:tcMar>
              <w:top w:type="dxa" w:w="60"/>
              <w:left w:type="dxa" w:w="100"/>
              <w:bottom w:type="dxa" w:w="60"/>
              <w:right w:type="dxa" w:w="100"/>
            </w:tcMar>
          </w:tcPr>
          <w:p>
            <w:pPr>
              <w:jc w:val="left"/>
            </w:pPr>
            <w:r>
              <w:rPr>
                <w:b w:val="false"/>
                <w:bCs w:val="false"/>
              </w:rPr>
              <w:t xml:space="preserve">2</w:t>
            </w:r>
          </w:p>
        </w:tc>
        <w:tc>
          <w:tcPr>
            <w:tcW w:type="dxa" w:w="1760"/>
            <w:tcMar>
              <w:top w:type="dxa" w:w="60"/>
              <w:left w:type="dxa" w:w="100"/>
              <w:bottom w:type="dxa" w:w="60"/>
              <w:right w:type="dxa" w:w="100"/>
            </w:tcMar>
          </w:tcPr>
          <w:p>
            <w:pPr>
              <w:jc w:val="left"/>
            </w:pPr>
            <w:r>
              <w:rPr>
                <w:b w:val="false"/>
                <w:bCs w:val="false"/>
              </w:rPr>
              <w:t xml:space="preserve">0.247</w:t>
            </w:r>
          </w:p>
        </w:tc>
        <w:tc>
          <w:tcPr>
            <w:tcW w:type="dxa" w:w="1360"/>
            <w:tcMar>
              <w:top w:type="dxa" w:w="60"/>
              <w:left w:type="dxa" w:w="100"/>
              <w:bottom w:type="dxa" w:w="60"/>
              <w:right w:type="dxa" w:w="100"/>
            </w:tcMar>
          </w:tcPr>
          <w:p>
            <w:pPr>
              <w:jc w:val="left"/>
            </w:pPr>
            <w:r>
              <w:rPr>
                <w:b w:val="false"/>
                <w:bCs w:val="false"/>
              </w:rPr>
              <w:t xml:space="preserve">0.707</w:t>
            </w:r>
          </w:p>
        </w:tc>
        <w:tc>
          <w:tcPr>
            <w:tcW w:type="dxa" w:w="1520"/>
            <w:tcMar>
              <w:top w:type="dxa" w:w="60"/>
              <w:left w:type="dxa" w:w="100"/>
              <w:bottom w:type="dxa" w:w="60"/>
              <w:right w:type="dxa" w:w="100"/>
            </w:tcMar>
          </w:tcPr>
          <w:p>
            <w:pPr>
              <w:jc w:val="left"/>
            </w:pPr>
            <w:r>
              <w:rPr>
                <w:b w:val="false"/>
                <w:bCs w:val="false"/>
              </w:rPr>
              <w:t xml:space="preserve">0.707</w:t>
            </w:r>
          </w:p>
        </w:tc>
        <w:tc>
          <w:tcPr>
            <w:tcW w:type="dxa" w:w="1840"/>
            <w:tcMar>
              <w:top w:type="dxa" w:w="60"/>
              <w:left w:type="dxa" w:w="100"/>
              <w:bottom w:type="dxa" w:w="60"/>
              <w:right w:type="dxa" w:w="100"/>
            </w:tcMar>
          </w:tcPr>
          <w:p>
            <w:pPr>
              <w:jc w:val="left"/>
            </w:pPr>
            <w:r>
              <w:rPr>
                <w:b w:val="false"/>
                <w:bCs w:val="false"/>
              </w:rPr>
              <w:t xml:space="preserve">0.559</w:t>
            </w:r>
          </w:p>
        </w:tc>
        <w:tc>
          <w:tcPr>
            <w:tcW w:type="dxa" w:w="1520"/>
            <w:tcMar>
              <w:top w:type="dxa" w:w="60"/>
              <w:left w:type="dxa" w:w="100"/>
              <w:bottom w:type="dxa" w:w="60"/>
              <w:right w:type="dxa" w:w="100"/>
            </w:tcMar>
          </w:tcPr>
          <w:p>
            <w:pPr>
              <w:jc w:val="left"/>
            </w:pPr>
            <w:r>
              <w:rPr>
                <w:b w:val="false"/>
                <w:bCs w:val="false"/>
              </w:rPr>
              <w:t xml:space="preserve">0.9617</w:t>
            </w:r>
          </w:p>
        </w:tc>
      </w:tr>
    </w:tbl>
    <w:p>
      <w:pPr>
        <w:spacing w:after="200"/>
      </w:pPr>
    </w:p>
    <w:p>
      <w:pPr>
        <w:spacing w:after="160"/>
      </w:pPr>
      <w:r>
        <w:t xml:space="preserve">F1-optimal threshold selection (validation-based) does not rescue the frozen-embedding QGNN — it re-discovers the trivial near-constant classifier (recall approaching 1.0, precision near the base rate) rather than revealing a better operating point, consistent with this model having the worst calibration (Brier score) of any model tested.</w:t>
      </w:r>
    </w:p>
    <w:p>
      <w:pPr>
        <w:pStyle w:val="Heading1"/>
        <w:spacing w:after="200" w:before="400"/>
      </w:pPr>
      <w:r>
        <w:t xml:space="preserve">7. Conclusion</w:t>
      </w:r>
    </w:p>
    <w:p>
      <w:pPr>
        <w:spacing w:after="160"/>
      </w:pPr>
      <w:r>
        <w:t xml:space="preserve">The central finding of this investigation is not simply “QGNN wins” or “QGNN loses” — it is that what is fed into the quantum circuit matters more than the circuit's own depth or encoding scheme. Varying the circuit (qubit count 4–8, depth 1–5, with and without data re-upload) produced no meaningful improvement. Varying the input — replacing a PCA-compressed, frozen classical graph embedding with the same raw leakage-audited tabular features the classical baselines use — raised QGNN's ROC-AUC from 0.675 to 0.732, made it competitive with or better than Random Forest on four of seven metrics, and dramatically improved run-to-run stability. This result, together with the documented mode-collapse failure mode and its fix, is offered as a methodologically transparent contribution independent of whether QGNN ultimately surpasses classical baselines on this dataset.</w:t>
      </w:r>
    </w:p>
    <w:p>
      <w:pPr>
        <w:pStyle w:val="Heading2"/>
        <w:spacing w:after="150" w:before="300"/>
      </w:pPr>
      <w:r>
        <w:t xml:space="preserve">Reproducibility</w:t>
      </w:r>
    </w:p>
    <w:p>
      <w:pPr>
        <w:spacing w:after="160"/>
      </w:pPr>
      <w:r>
        <w:rPr>
          <w:i/>
          <w:iCs/>
        </w:rPr>
        <w:t xml:space="preserve">Full code, notebooks, and raw per-seed results referenced throughout this document: notebooks/dataco_exploration.ipynb, scripts/qgnn_ablation.py, scripts/test_mode_collapse_fix.py, scripts/final_comparison.py, scripts/qgnn_deeper_hybrid_sweep.py, scripts/test_qgnn_threshold.py, and the companion documents QGNN_DATACO_ABLATION_BENCHMARK.md, DATACO_QGNN_FINAL_REPORT.md, DATACO_REFERENCES.md.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cda826cf62cc36b9e881c5df7ff31274d817a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2026-09-27T14:35:02.376Z</dcterms:created>
  <dcterms:modified xsi:type="dcterms:W3CDTF">2026-09-27T14:35:02.377Z</dcterms:modified>
</cp:coreProperties>
</file>

<file path=docProps/custom.xml><?xml version="1.0" encoding="utf-8"?>
<Properties xmlns="http://schemas.openxmlformats.org/officeDocument/2006/custom-properties" xmlns:vt="http://schemas.openxmlformats.org/officeDocument/2006/docPropsVTypes"/>
</file>