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P50, P95, P99 — and Why the Mean Can Be Misleading</w:t>
      </w:r>
    </w:p>
    <w:p>
      <w:pPr>
        <w:jc w:val="center"/>
      </w:pPr>
      <w:r>
        <w:rPr>
          <w:i/>
          <w:sz w:val="24"/>
        </w:rPr>
        <w:t>Grounded Case Studies and Student Exercises for FDE Trainees</w:t>
      </w:r>
    </w:p>
    <w:p>
      <w:r>
        <w:t>Purpose: help students understand why percentile latency is often more useful than the mean when designing production SLOs/NFRs, alerts, and customer-facing commitments.</w:t>
      </w:r>
    </w:p>
    <w:p>
      <w:pPr>
        <w:pStyle w:val="Heading1"/>
      </w:pPr>
      <w:r>
        <w:t>1. Core Concept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35107A"/>
          </w:tcPr>
          <w:p>
            <w:r/>
            <w:r>
              <w:rPr>
                <w:b/>
                <w:sz w:val="19"/>
              </w:rPr>
              <w:t>Measure</w:t>
            </w:r>
          </w:p>
        </w:tc>
        <w:tc>
          <w:tcPr>
            <w:tcW w:type="dxa" w:w="3408"/>
            <w:vAlign w:val="center"/>
            <w:shd w:fill="35107A"/>
          </w:tcPr>
          <w:p>
            <w:r/>
            <w:r>
              <w:rPr>
                <w:b/>
                <w:sz w:val="19"/>
              </w:rPr>
              <w:t>What it tells you</w:t>
            </w:r>
          </w:p>
        </w:tc>
        <w:tc>
          <w:tcPr>
            <w:tcW w:type="dxa" w:w="3408"/>
            <w:vAlign w:val="center"/>
            <w:shd w:fill="35107A"/>
          </w:tcPr>
          <w:p>
            <w:r/>
            <w:r>
              <w:rPr>
                <w:b/>
                <w:sz w:val="19"/>
              </w:rPr>
              <w:t>Why it matters</w:t>
            </w:r>
          </w:p>
        </w:tc>
      </w:tr>
      <w:tr>
        <w:tc>
          <w:tcPr>
            <w:tcW w:type="dxa" w:w="3408"/>
            <w:vAlign w:val="center"/>
          </w:tcPr>
          <w:p>
            <w:r/>
            <w:r>
              <w:rPr>
                <w:b w:val="0"/>
                <w:sz w:val="19"/>
              </w:rPr>
              <w:t>Mean</w:t>
            </w:r>
          </w:p>
        </w:tc>
        <w:tc>
          <w:tcPr>
            <w:tcW w:type="dxa" w:w="3408"/>
            <w:vAlign w:val="center"/>
          </w:tcPr>
          <w:p>
            <w:r/>
            <w:r>
              <w:rPr>
                <w:b w:val="0"/>
                <w:sz w:val="19"/>
              </w:rPr>
              <w:t>The average case</w:t>
            </w:r>
          </w:p>
        </w:tc>
        <w:tc>
          <w:tcPr>
            <w:tcW w:type="dxa" w:w="3408"/>
            <w:vAlign w:val="center"/>
          </w:tcPr>
          <w:p>
            <w:r/>
            <w:r>
              <w:rPr>
                <w:b w:val="0"/>
                <w:sz w:val="19"/>
              </w:rPr>
              <w:t>Can hide a degraded tail because a relatively small number of very slow requests may move the average only slightly.</w:t>
            </w:r>
          </w:p>
        </w:tc>
      </w:tr>
      <w:tr>
        <w:tc>
          <w:tcPr>
            <w:tcW w:type="dxa" w:w="3408"/>
            <w:vAlign w:val="center"/>
          </w:tcPr>
          <w:p>
            <w:r/>
            <w:r>
              <w:rPr>
                <w:b w:val="0"/>
                <w:sz w:val="19"/>
              </w:rPr>
              <w:t>P50</w:t>
            </w:r>
          </w:p>
        </w:tc>
        <w:tc>
          <w:tcPr>
            <w:tcW w:type="dxa" w:w="3408"/>
            <w:vAlign w:val="center"/>
          </w:tcPr>
          <w:p>
            <w:r/>
            <w:r>
              <w:rPr>
                <w:b w:val="0"/>
                <w:sz w:val="19"/>
              </w:rPr>
              <w:t>Half of cases finish at or below this value</w:t>
            </w:r>
          </w:p>
        </w:tc>
        <w:tc>
          <w:tcPr>
            <w:tcW w:type="dxa" w:w="3408"/>
            <w:vAlign w:val="center"/>
          </w:tcPr>
          <w:p>
            <w:r/>
            <w:r>
              <w:rPr>
                <w:b w:val="0"/>
                <w:sz w:val="19"/>
              </w:rPr>
              <w:t>Useful for understanding the typical experience, but says little about users who encounter the slow tail.</w:t>
            </w:r>
          </w:p>
        </w:tc>
      </w:tr>
      <w:tr>
        <w:tc>
          <w:tcPr>
            <w:tcW w:type="dxa" w:w="3408"/>
            <w:vAlign w:val="center"/>
          </w:tcPr>
          <w:p>
            <w:r/>
            <w:r>
              <w:rPr>
                <w:b w:val="0"/>
                <w:sz w:val="19"/>
              </w:rPr>
              <w:t>P95</w:t>
            </w:r>
          </w:p>
        </w:tc>
        <w:tc>
          <w:tcPr>
            <w:tcW w:type="dxa" w:w="3408"/>
            <w:vAlign w:val="center"/>
          </w:tcPr>
          <w:p>
            <w:r/>
            <w:r>
              <w:rPr>
                <w:b w:val="0"/>
                <w:sz w:val="19"/>
              </w:rPr>
              <w:t>95% of cases finish at or below this value; about 1 in 20 are slower</w:t>
            </w:r>
          </w:p>
        </w:tc>
        <w:tc>
          <w:tcPr>
            <w:tcW w:type="dxa" w:w="3408"/>
            <w:vAlign w:val="center"/>
          </w:tcPr>
          <w:p>
            <w:r/>
            <w:r>
              <w:rPr>
                <w:b w:val="0"/>
                <w:sz w:val="19"/>
              </w:rPr>
              <w:t>Often a useful customer-experience and alerting metric because it captures a meaningful slow population.</w:t>
            </w:r>
          </w:p>
        </w:tc>
      </w:tr>
      <w:tr>
        <w:tc>
          <w:tcPr>
            <w:tcW w:type="dxa" w:w="3408"/>
            <w:vAlign w:val="center"/>
          </w:tcPr>
          <w:p>
            <w:r/>
            <w:r>
              <w:rPr>
                <w:b w:val="0"/>
                <w:sz w:val="19"/>
              </w:rPr>
              <w:t>P99</w:t>
            </w:r>
          </w:p>
        </w:tc>
        <w:tc>
          <w:tcPr>
            <w:tcW w:type="dxa" w:w="3408"/>
            <w:vAlign w:val="center"/>
          </w:tcPr>
          <w:p>
            <w:r/>
            <w:r>
              <w:rPr>
                <w:b w:val="0"/>
                <w:sz w:val="19"/>
              </w:rPr>
              <w:t>99% of cases finish at or below this value; about 1 in 100 are slower</w:t>
            </w:r>
          </w:p>
        </w:tc>
        <w:tc>
          <w:tcPr>
            <w:tcW w:type="dxa" w:w="3408"/>
            <w:vAlign w:val="center"/>
          </w:tcPr>
          <w:p>
            <w:r/>
            <w:r>
              <w:rPr>
                <w:b w:val="0"/>
                <w:sz w:val="19"/>
              </w:rPr>
              <w:t>Useful when even a small tail has significant business or reliability consequences.</w:t>
            </w:r>
          </w:p>
        </w:tc>
      </w:tr>
    </w:tbl>
    <w:p>
      <w:pPr>
        <w:pStyle w:val="Heading1"/>
      </w:pPr>
      <w:r>
        <w:t>2. Why the Mean Can Miss a Real Degradation</w:t>
      </w:r>
    </w:p>
    <w:p>
      <w:r>
        <w:t>Suppose a document pipeline processes 4,000 documents per month and approximately one in twenty (5%) takes 90 seconds. That means about 200 documents experience the slow behavior. The mean can move only modestly because 95% of the requests are still relatively fast.</w:t>
      </w:r>
    </w:p>
    <w:p>
      <w:r>
        <w:rPr>
          <w:b/>
        </w:rPr>
        <w:t xml:space="preserve">Teaching point: </w:t>
      </w:r>
      <w:r>
        <w:t>A mean-based alert can remain quiet while a meaningful group of customers is experiencing a genuine degradation.</w:t>
      </w:r>
    </w:p>
    <w:p>
      <w:pPr>
        <w:pStyle w:val="Heading1"/>
      </w:pPr>
      <w:r>
        <w:t>3. Grounded Case Study 1 — AWS ElastiCache</w:t>
      </w:r>
    </w:p>
    <w:p>
      <w:r>
        <w:t>AWS performance guidance uses percentile latency measurements because averages do not adequately describe the distribution of response times. Percentiles make it possible to see the typical response as well as the slower tail.</w:t>
      </w:r>
    </w:p>
    <w:p>
      <w:r>
        <w:t>Student scenario:</w:t>
      </w:r>
    </w:p>
    <w:p>
      <w:pPr>
        <w:pStyle w:val="ListBullet"/>
        <w:spacing w:after="60"/>
      </w:pPr>
      <w:r>
        <w:t>P50 = 1.0 sec</w:t>
      </w:r>
    </w:p>
    <w:p>
      <w:pPr>
        <w:pStyle w:val="ListBullet"/>
        <w:spacing w:after="60"/>
      </w:pPr>
      <w:r>
        <w:t>P95 = 2.0 sec</w:t>
      </w:r>
    </w:p>
    <w:p>
      <w:pPr>
        <w:pStyle w:val="ListBullet"/>
        <w:spacing w:after="60"/>
      </w:pPr>
      <w:r>
        <w:t>Mean = 1.2 sec</w:t>
      </w:r>
    </w:p>
    <w:p>
      <w:r>
        <w:t>After a change:</w:t>
      </w:r>
    </w:p>
    <w:p>
      <w:pPr>
        <w:pStyle w:val="ListBullet"/>
        <w:spacing w:after="60"/>
      </w:pPr>
      <w:r>
        <w:t>P50 = 1.0 sec</w:t>
      </w:r>
    </w:p>
    <w:p>
      <w:pPr>
        <w:pStyle w:val="ListBullet"/>
        <w:spacing w:after="60"/>
      </w:pPr>
      <w:r>
        <w:t>P95 = 5.0 sec</w:t>
      </w:r>
    </w:p>
    <w:p>
      <w:pPr>
        <w:pStyle w:val="ListBullet"/>
        <w:spacing w:after="60"/>
      </w:pPr>
      <w:r>
        <w:t>Mean = 1.4 sec</w:t>
      </w:r>
    </w:p>
    <w:p>
      <w:r>
        <w:t>Discussion: The typical request has not changed, but the slow tail has become substantially worse. Students should identify P95 as the stronger signal of customer-facing degradation.</w:t>
      </w:r>
    </w:p>
    <w:p>
      <w:r>
        <w:t>Reference: AWS, “Work with cluster mode on Amazon ElastiCache for Redis.”</w:t>
      </w:r>
    </w:p>
    <w:p>
      <w:pPr>
        <w:pStyle w:val="Heading1"/>
      </w:pPr>
      <w:r>
        <w:t>4. Grounded Case Study 2 — Meta Audience Insights</w:t>
      </w:r>
    </w:p>
    <w:p>
      <w:r>
        <w:t>Meta described an Audience Insights query engine where distributed query work could create tail latency. Published measurements showed a large gap between the median and the high percentiles.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35107A"/>
          </w:tcPr>
          <w:p>
            <w:r/>
            <w:r>
              <w:rPr>
                <w:b/>
                <w:sz w:val="19"/>
              </w:rPr>
              <w:t>Metric</w:t>
            </w:r>
          </w:p>
        </w:tc>
        <w:tc>
          <w:tcPr>
            <w:tcW w:type="dxa" w:w="3408"/>
            <w:vAlign w:val="center"/>
            <w:shd w:fill="35107A"/>
          </w:tcPr>
          <w:p>
            <w:r/>
            <w:r>
              <w:rPr>
                <w:b/>
                <w:sz w:val="19"/>
              </w:rPr>
              <w:t>Reported example</w:t>
            </w:r>
          </w:p>
        </w:tc>
        <w:tc>
          <w:tcPr>
            <w:tcW w:type="dxa" w:w="3408"/>
            <w:vAlign w:val="center"/>
            <w:shd w:fill="35107A"/>
          </w:tcPr>
          <w:p>
            <w:r/>
            <w:r>
              <w:rPr>
                <w:b/>
                <w:sz w:val="19"/>
              </w:rPr>
              <w:t>Interpretation</w:t>
            </w:r>
          </w:p>
        </w:tc>
      </w:tr>
      <w:tr>
        <w:tc>
          <w:tcPr>
            <w:tcW w:type="dxa" w:w="3408"/>
            <w:vAlign w:val="center"/>
          </w:tcPr>
          <w:p>
            <w:r/>
            <w:r>
              <w:rPr>
                <w:b w:val="0"/>
                <w:sz w:val="19"/>
              </w:rPr>
              <w:t>P50</w:t>
            </w:r>
          </w:p>
        </w:tc>
        <w:tc>
          <w:tcPr>
            <w:tcW w:type="dxa" w:w="3408"/>
            <w:vAlign w:val="center"/>
          </w:tcPr>
          <w:p>
            <w:r/>
            <w:r>
              <w:rPr>
                <w:b w:val="0"/>
                <w:sz w:val="19"/>
              </w:rPr>
              <w:t>36 ms</w:t>
            </w:r>
          </w:p>
        </w:tc>
        <w:tc>
          <w:tcPr>
            <w:tcW w:type="dxa" w:w="3408"/>
            <w:vAlign w:val="center"/>
          </w:tcPr>
          <w:p>
            <w:r/>
            <w:r>
              <w:rPr>
                <w:b w:val="0"/>
                <w:sz w:val="19"/>
              </w:rPr>
              <w:t>Typical request is very fast</w:t>
            </w:r>
          </w:p>
        </w:tc>
      </w:tr>
      <w:tr>
        <w:tc>
          <w:tcPr>
            <w:tcW w:type="dxa" w:w="3408"/>
            <w:vAlign w:val="center"/>
          </w:tcPr>
          <w:p>
            <w:r/>
            <w:r>
              <w:rPr>
                <w:b w:val="0"/>
                <w:sz w:val="19"/>
              </w:rPr>
              <w:t>P75</w:t>
            </w:r>
          </w:p>
        </w:tc>
        <w:tc>
          <w:tcPr>
            <w:tcW w:type="dxa" w:w="3408"/>
            <w:vAlign w:val="center"/>
          </w:tcPr>
          <w:p>
            <w:r/>
            <w:r>
              <w:rPr>
                <w:b w:val="0"/>
                <w:sz w:val="19"/>
              </w:rPr>
              <w:t>101 ms</w:t>
            </w:r>
          </w:p>
        </w:tc>
        <w:tc>
          <w:tcPr>
            <w:tcW w:type="dxa" w:w="3408"/>
            <w:vAlign w:val="center"/>
          </w:tcPr>
          <w:p>
            <w:r/>
            <w:r>
              <w:rPr>
                <w:b w:val="0"/>
                <w:sz w:val="19"/>
              </w:rPr>
              <w:t>A broader portion of users sees more latency</w:t>
            </w:r>
          </w:p>
        </w:tc>
      </w:tr>
      <w:tr>
        <w:tc>
          <w:tcPr>
            <w:tcW w:type="dxa" w:w="3408"/>
            <w:vAlign w:val="center"/>
          </w:tcPr>
          <w:p>
            <w:r/>
            <w:r>
              <w:rPr>
                <w:b w:val="0"/>
                <w:sz w:val="19"/>
              </w:rPr>
              <w:t>P95</w:t>
            </w:r>
          </w:p>
        </w:tc>
        <w:tc>
          <w:tcPr>
            <w:tcW w:type="dxa" w:w="3408"/>
            <w:vAlign w:val="center"/>
          </w:tcPr>
          <w:p>
            <w:r/>
            <w:r>
              <w:rPr>
                <w:b w:val="0"/>
                <w:sz w:val="19"/>
              </w:rPr>
              <w:t>282 ms</w:t>
            </w:r>
          </w:p>
        </w:tc>
        <w:tc>
          <w:tcPr>
            <w:tcW w:type="dxa" w:w="3408"/>
            <w:vAlign w:val="center"/>
          </w:tcPr>
          <w:p>
            <w:r/>
            <w:r>
              <w:rPr>
                <w:b w:val="0"/>
                <w:sz w:val="19"/>
              </w:rPr>
              <w:t>Meaningful slow tail</w:t>
            </w:r>
          </w:p>
        </w:tc>
      </w:tr>
      <w:tr>
        <w:tc>
          <w:tcPr>
            <w:tcW w:type="dxa" w:w="3408"/>
            <w:vAlign w:val="center"/>
          </w:tcPr>
          <w:p>
            <w:r/>
            <w:r>
              <w:rPr>
                <w:b w:val="0"/>
                <w:sz w:val="19"/>
              </w:rPr>
              <w:t>P99</w:t>
            </w:r>
          </w:p>
        </w:tc>
        <w:tc>
          <w:tcPr>
            <w:tcW w:type="dxa" w:w="3408"/>
            <w:vAlign w:val="center"/>
          </w:tcPr>
          <w:p>
            <w:r/>
            <w:r>
              <w:rPr>
                <w:b w:val="0"/>
                <w:sz w:val="19"/>
              </w:rPr>
              <w:t>769 ms</w:t>
            </w:r>
          </w:p>
        </w:tc>
        <w:tc>
          <w:tcPr>
            <w:tcW w:type="dxa" w:w="3408"/>
            <w:vAlign w:val="center"/>
          </w:tcPr>
          <w:p>
            <w:r/>
            <w:r>
              <w:rPr>
                <w:b w:val="0"/>
                <w:sz w:val="19"/>
              </w:rPr>
              <w:t>Extreme tail is more than 20× P50</w:t>
            </w:r>
          </w:p>
        </w:tc>
      </w:tr>
    </w:tbl>
    <w:p>
      <w:r>
        <w:t>Student question: If the dashboard showed only P50 = 36 ms, would you discover the problem represented by P99 = 769 ms?</w:t>
      </w:r>
    </w:p>
    <w:p>
      <w:r>
        <w:t>Reference: Meta Engineering, “Audience Insights Query Engine: In-Memory Integer Store for Social Analytics.”</w:t>
      </w:r>
    </w:p>
    <w:p>
      <w:pPr>
        <w:pStyle w:val="Heading1"/>
      </w:pPr>
      <w:r>
        <w:t>5. Grounded Case Study 3 — Global Payments + Amazon DynamoDB</w:t>
      </w:r>
    </w:p>
    <w:p>
      <w:r>
        <w:t>AWS documented how Global Payments addressed tail latency in a DynamoDB-based platform using request hedging. The system operated at roughly 5,000 transactions per second in the described scenario.</w:t>
      </w:r>
    </w:p>
    <w:p>
      <w:r>
        <w:t>At 5,000 transactions/second, even a 1% tail represents approximately 50 requests per second, or about 4.32 million requests per day.</w:t>
      </w:r>
    </w:p>
    <w:p>
      <w:r>
        <w:rPr>
          <w:b/>
        </w:rPr>
        <w:t xml:space="preserve">Why this matters: </w:t>
      </w:r>
      <w:r>
        <w:t>“Only 1%” can still represent millions of transactions. A P99 problem can therefore be operationally and commercially significant.</w:t>
      </w:r>
    </w:p>
    <w:p>
      <w:r>
        <w:t>Reported outcome: request hedging produced approximately a 30% reduction in P99 latency in the described testing.</w:t>
      </w:r>
    </w:p>
    <w:p>
      <w:r>
        <w:t>Reference: AWS Database Blog, “How Global Payments improved their tail latency using request hedging with Amazon DynamoDB.”</w:t>
      </w:r>
    </w:p>
    <w:p>
      <w:pPr>
        <w:pStyle w:val="Heading1"/>
      </w:pPr>
      <w:r>
        <w:t>6. Grounded Case Study 4 — Slack CI/CD</w:t>
      </w:r>
    </w:p>
    <w:p>
      <w:r>
        <w:t>Slack applied percentile thinking to developer productivity rather than customer API latency. Slack reported that P95 test turnaround time had been consistently above 30 minutes.</w:t>
      </w:r>
    </w:p>
    <w:p>
      <w:pPr>
        <w:pStyle w:val="ListBullet"/>
        <w:spacing w:after="60"/>
      </w:pPr>
      <w:r>
        <w:t>P95 test turnaround was brought below 18 minutes.</w:t>
      </w:r>
    </w:p>
    <w:p>
      <w:pPr>
        <w:pStyle w:val="ListBullet"/>
        <w:spacing w:after="60"/>
      </w:pPr>
      <w:r>
        <w:t>Slack reported a reduction of more than 40% in P95 turnaround time.</w:t>
      </w:r>
    </w:p>
    <w:p>
      <w:pPr>
        <w:pStyle w:val="ListBullet"/>
        <w:spacing w:after="60"/>
      </w:pPr>
      <w:r>
        <w:t>Test flakiness decreased by more than 90%.</w:t>
      </w:r>
    </w:p>
    <w:p>
      <w:r>
        <w:t>Teaching point: percentiles are useful for any workload where users repeatedly experience completion times — including CI/CD, data pipelines, queue processing, batch jobs, and document processing.</w:t>
      </w:r>
    </w:p>
    <w:p>
      <w:r>
        <w:t>Reference: Slack Engineering, “Balancing Safety and Velocity in CI/CD at Slack.”</w:t>
      </w:r>
    </w:p>
    <w:p>
      <w:pPr>
        <w:pStyle w:val="Heading1"/>
      </w:pPr>
      <w:r>
        <w:t>7. Grounded Case Study 5 — Meta Ads, 2026</w:t>
      </w:r>
    </w:p>
    <w:p>
      <w:r>
        <w:t>Meta Engineering reported a workload-specific scheduler improvement for Ads serving. The Ads serving infrastructure processes more than 5 million requests per second on average.</w:t>
      </w:r>
    </w:p>
    <w:p>
      <w:pPr>
        <w:pStyle w:val="ListBullet"/>
        <w:spacing w:after="60"/>
      </w:pPr>
      <w:r>
        <w:t>Reported reduction: 28% in 99th-percentile latency for the ads retrieval stage.</w:t>
      </w:r>
    </w:p>
    <w:p>
      <w:pPr>
        <w:pStyle w:val="ListBullet"/>
        <w:spacing w:after="60"/>
      </w:pPr>
      <w:r>
        <w:t>Reported business/system impact: 1.1% increase in ads ranked.</w:t>
      </w:r>
    </w:p>
    <w:p>
      <w:pPr>
        <w:pStyle w:val="ListBullet"/>
        <w:spacing w:after="60"/>
      </w:pPr>
      <w:r>
        <w:t>Reported infrastructure impact: 3.28 MW power savings.</w:t>
      </w:r>
    </w:p>
    <w:p>
      <w:r>
        <w:t>Teaching point: tail-latency improvement can be more than an infrastructure metric. It can affect capacity, ranking throughput, energy use, and ultimately business outcomes.</w:t>
      </w:r>
    </w:p>
    <w:p>
      <w:r>
        <w:t>Reference: Meta Engineering, “Modernizing the Meta Ads Service with an Open Source Kernel Scheduler.”</w:t>
      </w:r>
    </w:p>
    <w:p>
      <w:pPr>
        <w:pStyle w:val="Heading1"/>
      </w:pPr>
      <w:r>
        <w:t>8. Bonus AI Case — Salesforce + Amazon Bedrock</w:t>
      </w:r>
    </w:p>
    <w:p>
      <w:r>
        <w:t>AWS published performance measurements for Salesforce using Amazon Bedrock Custom Model Import. The example demonstrates that AI latency must be understood together with concurrency.</w:t>
      </w:r>
    </w:p>
    <w:tbl>
      <w:tblPr>
        <w:tblStyle w:val="TableGrid"/>
        <w:tblW w:type="auto" w:w="0"/>
        <w:tblLook w:firstColumn="1" w:firstRow="1" w:lastColumn="0" w:lastRow="0" w:noHBand="0" w:noVBand="1" w:val="04A0"/>
      </w:tblPr>
      <w:tblGrid>
        <w:gridCol w:w="5112"/>
        <w:gridCol w:w="5112"/>
      </w:tblGrid>
      <w:tr>
        <w:tc>
          <w:tcPr>
            <w:tcW w:type="dxa" w:w="5112"/>
            <w:vAlign w:val="center"/>
            <w:shd w:fill="35107A"/>
          </w:tcPr>
          <w:p>
            <w:r/>
            <w:r>
              <w:rPr>
                <w:b/>
                <w:sz w:val="19"/>
              </w:rPr>
              <w:t>Concurrency</w:t>
            </w:r>
          </w:p>
        </w:tc>
        <w:tc>
          <w:tcPr>
            <w:tcW w:type="dxa" w:w="5112"/>
            <w:vAlign w:val="center"/>
            <w:shd w:fill="35107A"/>
          </w:tcPr>
          <w:p>
            <w:r/>
            <w:r>
              <w:rPr>
                <w:b/>
                <w:sz w:val="19"/>
              </w:rPr>
              <w:t>P95 latency</w:t>
            </w:r>
          </w:p>
        </w:tc>
      </w:tr>
      <w:tr>
        <w:tc>
          <w:tcPr>
            <w:tcW w:type="dxa" w:w="5112"/>
            <w:vAlign w:val="center"/>
          </w:tcPr>
          <w:p>
            <w:r/>
            <w:r>
              <w:rPr>
                <w:b w:val="0"/>
                <w:sz w:val="19"/>
              </w:rPr>
              <w:t>1</w:t>
            </w:r>
          </w:p>
        </w:tc>
        <w:tc>
          <w:tcPr>
            <w:tcW w:type="dxa" w:w="5112"/>
            <w:vAlign w:val="center"/>
          </w:tcPr>
          <w:p>
            <w:r/>
            <w:r>
              <w:rPr>
                <w:b w:val="0"/>
                <w:sz w:val="19"/>
              </w:rPr>
              <w:t>7.2 sec</w:t>
            </w:r>
          </w:p>
        </w:tc>
      </w:tr>
      <w:tr>
        <w:tc>
          <w:tcPr>
            <w:tcW w:type="dxa" w:w="5112"/>
            <w:vAlign w:val="center"/>
          </w:tcPr>
          <w:p>
            <w:r/>
            <w:r>
              <w:rPr>
                <w:b w:val="0"/>
                <w:sz w:val="19"/>
              </w:rPr>
              <w:t>4</w:t>
            </w:r>
          </w:p>
        </w:tc>
        <w:tc>
          <w:tcPr>
            <w:tcW w:type="dxa" w:w="5112"/>
            <w:vAlign w:val="center"/>
          </w:tcPr>
          <w:p>
            <w:r/>
            <w:r>
              <w:rPr>
                <w:b w:val="0"/>
                <w:sz w:val="19"/>
              </w:rPr>
              <w:t>7.96 sec</w:t>
            </w:r>
          </w:p>
        </w:tc>
      </w:tr>
      <w:tr>
        <w:tc>
          <w:tcPr>
            <w:tcW w:type="dxa" w:w="5112"/>
            <w:vAlign w:val="center"/>
          </w:tcPr>
          <w:p>
            <w:r/>
            <w:r>
              <w:rPr>
                <w:b w:val="0"/>
                <w:sz w:val="19"/>
              </w:rPr>
              <w:t>16</w:t>
            </w:r>
          </w:p>
        </w:tc>
        <w:tc>
          <w:tcPr>
            <w:tcW w:type="dxa" w:w="5112"/>
            <w:vAlign w:val="center"/>
          </w:tcPr>
          <w:p>
            <w:r/>
            <w:r>
              <w:rPr>
                <w:b w:val="0"/>
                <w:sz w:val="19"/>
              </w:rPr>
              <w:t>9.35 sec</w:t>
            </w:r>
          </w:p>
        </w:tc>
      </w:tr>
      <w:tr>
        <w:tc>
          <w:tcPr>
            <w:tcW w:type="dxa" w:w="5112"/>
            <w:vAlign w:val="center"/>
          </w:tcPr>
          <w:p>
            <w:r/>
            <w:r>
              <w:rPr>
                <w:b w:val="0"/>
                <w:sz w:val="19"/>
              </w:rPr>
              <w:t>32</w:t>
            </w:r>
          </w:p>
        </w:tc>
        <w:tc>
          <w:tcPr>
            <w:tcW w:type="dxa" w:w="5112"/>
            <w:vAlign w:val="center"/>
          </w:tcPr>
          <w:p>
            <w:r/>
            <w:r>
              <w:rPr>
                <w:b w:val="0"/>
                <w:sz w:val="19"/>
              </w:rPr>
              <w:t>10.44 sec</w:t>
            </w:r>
          </w:p>
        </w:tc>
      </w:tr>
    </w:tbl>
    <w:p>
      <w:r>
        <w:t>Student question: Why is “our model responds in 8 seconds” an incomplete production NFR? Students should identify concurrency, workload, model, token distribution, and measurement window as missing context.</w:t>
      </w:r>
    </w:p>
    <w:p>
      <w:r>
        <w:t>Reference: AWS Machine Learning Blog, “How Amazon Bedrock Custom Model Import streamlined LLM deployment for Salesforce.”</w:t>
      </w:r>
    </w:p>
    <w:p>
      <w:pPr>
        <w:pStyle w:val="Heading1"/>
      </w:pPr>
      <w:r>
        <w:t>9. Student Exercise — Your Document Intelligence Pipeline</w:t>
      </w:r>
    </w:p>
    <w:p>
      <w:r>
        <w:t>You process 4,000 documents per month. Your observed latency distribution is:</w:t>
      </w:r>
    </w:p>
    <w:tbl>
      <w:tblPr>
        <w:tblStyle w:val="TableGrid"/>
        <w:tblW w:type="auto" w:w="0"/>
        <w:tblLook w:firstColumn="1" w:firstRow="1" w:lastColumn="0" w:lastRow="0" w:noHBand="0" w:noVBand="1" w:val="04A0"/>
      </w:tblPr>
      <w:tblGrid>
        <w:gridCol w:w="5112"/>
        <w:gridCol w:w="5112"/>
      </w:tblGrid>
      <w:tr>
        <w:tc>
          <w:tcPr>
            <w:tcW w:type="dxa" w:w="5112"/>
            <w:vAlign w:val="center"/>
            <w:shd w:fill="35107A"/>
          </w:tcPr>
          <w:p>
            <w:r/>
            <w:r>
              <w:rPr>
                <w:b/>
                <w:sz w:val="19"/>
              </w:rPr>
              <w:t>Metric</w:t>
            </w:r>
          </w:p>
        </w:tc>
        <w:tc>
          <w:tcPr>
            <w:tcW w:type="dxa" w:w="5112"/>
            <w:vAlign w:val="center"/>
            <w:shd w:fill="35107A"/>
          </w:tcPr>
          <w:p>
            <w:r/>
            <w:r>
              <w:rPr>
                <w:b/>
                <w:sz w:val="19"/>
              </w:rPr>
              <w:t>Current value</w:t>
            </w:r>
          </w:p>
        </w:tc>
      </w:tr>
      <w:tr>
        <w:tc>
          <w:tcPr>
            <w:tcW w:type="dxa" w:w="5112"/>
            <w:vAlign w:val="center"/>
          </w:tcPr>
          <w:p>
            <w:r/>
            <w:r>
              <w:rPr>
                <w:b w:val="0"/>
                <w:sz w:val="19"/>
              </w:rPr>
              <w:t>P50</w:t>
            </w:r>
          </w:p>
        </w:tc>
        <w:tc>
          <w:tcPr>
            <w:tcW w:type="dxa" w:w="5112"/>
            <w:vAlign w:val="center"/>
          </w:tcPr>
          <w:p>
            <w:r/>
            <w:r>
              <w:rPr>
                <w:b w:val="0"/>
                <w:sz w:val="19"/>
              </w:rPr>
              <w:t>2.1 sec</w:t>
            </w:r>
          </w:p>
        </w:tc>
      </w:tr>
      <w:tr>
        <w:tc>
          <w:tcPr>
            <w:tcW w:type="dxa" w:w="5112"/>
            <w:vAlign w:val="center"/>
          </w:tcPr>
          <w:p>
            <w:r/>
            <w:r>
              <w:rPr>
                <w:b w:val="0"/>
                <w:sz w:val="19"/>
              </w:rPr>
              <w:t>P95</w:t>
            </w:r>
          </w:p>
        </w:tc>
        <w:tc>
          <w:tcPr>
            <w:tcW w:type="dxa" w:w="5112"/>
            <w:vAlign w:val="center"/>
          </w:tcPr>
          <w:p>
            <w:r/>
            <w:r>
              <w:rPr>
                <w:b w:val="0"/>
                <w:sz w:val="19"/>
              </w:rPr>
              <w:t>4.8 sec</w:t>
            </w:r>
          </w:p>
        </w:tc>
      </w:tr>
      <w:tr>
        <w:tc>
          <w:tcPr>
            <w:tcW w:type="dxa" w:w="5112"/>
            <w:vAlign w:val="center"/>
          </w:tcPr>
          <w:p>
            <w:r/>
            <w:r>
              <w:rPr>
                <w:b w:val="0"/>
                <w:sz w:val="19"/>
              </w:rPr>
              <w:t>P99</w:t>
            </w:r>
          </w:p>
        </w:tc>
        <w:tc>
          <w:tcPr>
            <w:tcW w:type="dxa" w:w="5112"/>
            <w:vAlign w:val="center"/>
          </w:tcPr>
          <w:p>
            <w:r/>
            <w:r>
              <w:rPr>
                <w:b w:val="0"/>
                <w:sz w:val="19"/>
              </w:rPr>
              <w:t>91 sec</w:t>
            </w:r>
          </w:p>
        </w:tc>
      </w:tr>
      <w:tr>
        <w:tc>
          <w:tcPr>
            <w:tcW w:type="dxa" w:w="5112"/>
            <w:vAlign w:val="center"/>
          </w:tcPr>
          <w:p>
            <w:r/>
            <w:r>
              <w:rPr>
                <w:b w:val="0"/>
                <w:sz w:val="19"/>
              </w:rPr>
              <w:t>Mean</w:t>
            </w:r>
          </w:p>
        </w:tc>
        <w:tc>
          <w:tcPr>
            <w:tcW w:type="dxa" w:w="5112"/>
            <w:vAlign w:val="center"/>
          </w:tcPr>
          <w:p>
            <w:r/>
            <w:r>
              <w:rPr>
                <w:b w:val="0"/>
                <w:sz w:val="19"/>
              </w:rPr>
              <w:t>3.0 sec</w:t>
            </w:r>
          </w:p>
        </w:tc>
      </w:tr>
    </w:tbl>
    <w:p>
      <w:r>
        <w:t>The product owner says: “The average is only 3 seconds. Why are we worried?”</w:t>
      </w:r>
    </w:p>
    <w:p>
      <w:r>
        <w:t>Students should answer:</w:t>
      </w:r>
    </w:p>
    <w:p>
      <w:pPr>
        <w:pStyle w:val="ListNumber"/>
      </w:pPr>
      <w:r>
        <w:t>What does P50 tell you?</w:t>
      </w:r>
    </w:p>
    <w:p>
      <w:pPr>
        <w:pStyle w:val="ListNumber"/>
      </w:pPr>
      <w:r>
        <w:t>What does P95 tell you?</w:t>
      </w:r>
    </w:p>
    <w:p>
      <w:pPr>
        <w:pStyle w:val="ListNumber"/>
      </w:pPr>
      <w:r>
        <w:t>What does P99 tell you?</w:t>
      </w:r>
    </w:p>
    <w:p>
      <w:pPr>
        <w:pStyle w:val="ListNumber"/>
      </w:pPr>
      <w:r>
        <w:t>Approximately how many documents per month are slower than the P95 boundary?</w:t>
      </w:r>
    </w:p>
    <w:p>
      <w:pPr>
        <w:pStyle w:val="ListNumber"/>
      </w:pPr>
      <w:r>
        <w:t>Approximately how many documents per month are in the slowest 1%?</w:t>
      </w:r>
    </w:p>
    <w:p>
      <w:pPr>
        <w:pStyle w:val="ListNumber"/>
      </w:pPr>
      <w:r>
        <w:t>Why can the mean be misleading here?</w:t>
      </w:r>
    </w:p>
    <w:p>
      <w:pPr>
        <w:pStyle w:val="ListNumber"/>
      </w:pPr>
      <w:r>
        <w:t>Which metric would you use for an alert, and why?</w:t>
      </w:r>
    </w:p>
    <w:p>
      <w:pPr>
        <w:pStyle w:val="ListNumber"/>
      </w:pPr>
      <w:r>
        <w:t>What would you put in the customer-facing NFR?</w:t>
      </w:r>
    </w:p>
    <w:p>
      <w:pPr>
        <w:pStyle w:val="ListNumber"/>
      </w:pPr>
      <w:r>
        <w:t>What measurement window would you specify?</w:t>
      </w:r>
    </w:p>
    <w:p>
      <w:pPr>
        <w:pStyle w:val="ListNumber"/>
      </w:pPr>
      <w:r>
        <w:t>What would you investigate before simply adding more infrastructure?</w:t>
      </w:r>
    </w:p>
    <w:p>
      <w:pPr>
        <w:pStyle w:val="Heading1"/>
      </w:pPr>
      <w:r>
        <w:t>10. Answer Guide</w:t>
      </w:r>
    </w:p>
    <w:p>
      <w:pPr>
        <w:pStyle w:val="ListBullet"/>
        <w:spacing w:after="60"/>
      </w:pPr>
      <w:r>
        <w:t>P95: 5% of 4,000 = approximately 200 documents are slower than the P95 boundary.</w:t>
      </w:r>
    </w:p>
    <w:p>
      <w:pPr>
        <w:pStyle w:val="ListBullet"/>
        <w:spacing w:after="60"/>
      </w:pPr>
      <w:r>
        <w:t>P99: 1% of 4,000 = approximately 40 documents are in the slowest 1%.</w:t>
      </w:r>
    </w:p>
    <w:p>
      <w:pPr>
        <w:pStyle w:val="ListBullet"/>
        <w:spacing w:after="60"/>
      </w:pPr>
      <w:r>
        <w:t>The mean can remain relatively healthy while a meaningful tail of customers experiences severe latency.</w:t>
      </w:r>
    </w:p>
    <w:p>
      <w:pPr>
        <w:pStyle w:val="ListBullet"/>
        <w:spacing w:after="60"/>
      </w:pPr>
      <w:r>
        <w:t>P95 is often a practical operational/customer-experience alert threshold; P99 can be valuable where rare slow requests have high business impact.</w:t>
      </w:r>
    </w:p>
    <w:p>
      <w:pPr>
        <w:pStyle w:val="ListBullet"/>
        <w:spacing w:after="60"/>
      </w:pPr>
      <w:r>
        <w:t>The alert should specify the percentile, path/workload, threshold, and measurement window rather than simply saying “latency is high.”</w:t>
      </w:r>
    </w:p>
    <w:p>
      <w:pPr>
        <w:pStyle w:val="ListBullet"/>
        <w:spacing w:after="60"/>
      </w:pPr>
      <w:r>
        <w:t>Students should investigate document size, page count, OCR complexity, downstream calls, queueing, retries, cold starts, model/token load, storage latency, and concurrency before assuming infrastructure is the only cause.</w:t>
      </w:r>
    </w:p>
    <w:p>
      <w:pPr>
        <w:pStyle w:val="Heading1"/>
      </w:pPr>
      <w:r>
        <w:t>11. From a Vague NFR to a Defensible NFR</w:t>
      </w:r>
    </w:p>
    <w:tbl>
      <w:tblPr>
        <w:tblStyle w:val="TableGrid"/>
        <w:tblW w:type="auto" w:w="0"/>
        <w:tblLook w:firstColumn="1" w:firstRow="1" w:lastColumn="0" w:lastRow="0" w:noHBand="0" w:noVBand="1" w:val="04A0"/>
      </w:tblPr>
      <w:tblGrid>
        <w:gridCol w:w="5112"/>
        <w:gridCol w:w="5112"/>
      </w:tblGrid>
      <w:tr>
        <w:tc>
          <w:tcPr>
            <w:tcW w:type="dxa" w:w="5112"/>
            <w:vAlign w:val="center"/>
            <w:shd w:fill="35107A"/>
          </w:tcPr>
          <w:p>
            <w:r/>
            <w:r>
              <w:rPr>
                <w:b/>
                <w:sz w:val="19"/>
              </w:rPr>
              <w:t>Weak</w:t>
            </w:r>
          </w:p>
        </w:tc>
        <w:tc>
          <w:tcPr>
            <w:tcW w:type="dxa" w:w="5112"/>
            <w:vAlign w:val="center"/>
            <w:shd w:fill="35107A"/>
          </w:tcPr>
          <w:p>
            <w:r/>
            <w:r>
              <w:rPr>
                <w:b/>
                <w:sz w:val="19"/>
              </w:rPr>
              <w:t>Defensible</w:t>
            </w:r>
          </w:p>
        </w:tc>
      </w:tr>
      <w:tr>
        <w:tc>
          <w:tcPr>
            <w:tcW w:type="dxa" w:w="5112"/>
            <w:vAlign w:val="center"/>
          </w:tcPr>
          <w:p>
            <w:r/>
            <w:r>
              <w:rPr>
                <w:b w:val="0"/>
                <w:sz w:val="19"/>
              </w:rPr>
              <w:t>Document processing should be fast.</w:t>
            </w:r>
          </w:p>
        </w:tc>
        <w:tc>
          <w:tcPr>
            <w:tcW w:type="dxa" w:w="5112"/>
            <w:vAlign w:val="center"/>
          </w:tcPr>
          <w:p>
            <w:r/>
            <w:r>
              <w:rPr>
                <w:b w:val="0"/>
                <w:sz w:val="19"/>
              </w:rPr>
              <w:t>P95 end-to-end document processing latency &lt; 5 seconds on the handler read path, measured over a rolling 1-hour window.</w:t>
            </w:r>
          </w:p>
        </w:tc>
      </w:tr>
      <w:tr>
        <w:tc>
          <w:tcPr>
            <w:tcW w:type="dxa" w:w="5112"/>
            <w:vAlign w:val="center"/>
          </w:tcPr>
          <w:p>
            <w:r/>
            <w:r>
              <w:rPr>
                <w:b w:val="0"/>
                <w:sz w:val="19"/>
              </w:rPr>
              <w:t>Average processing time &lt; 5 seconds.</w:t>
            </w:r>
          </w:p>
        </w:tc>
        <w:tc>
          <w:tcPr>
            <w:tcW w:type="dxa" w:w="5112"/>
            <w:vAlign w:val="center"/>
          </w:tcPr>
          <w:p>
            <w:r/>
            <w:r>
              <w:rPr>
                <w:b w:val="0"/>
                <w:sz w:val="19"/>
              </w:rPr>
              <w:t>P95 end-to-end latency &lt; 5 seconds for documents ≤20 MB and ≤50 pages at sustained throughput of 10 documents/minute, measured over a rolling 1-hour window; P99 &lt;15 seconds.</w:t>
            </w:r>
          </w:p>
        </w:tc>
      </w:tr>
    </w:tbl>
    <w:p>
      <w:pPr>
        <w:pStyle w:val="Heading1"/>
      </w:pPr>
      <w:r>
        <w:t>12. Final FDE Discussion Question</w:t>
      </w:r>
    </w:p>
    <w:p>
      <w:r>
        <w:rPr>
          <w:b/>
        </w:rPr>
        <w:t>“If your P50 and mean are both excellent, but your P95 suddenly doubles, would you call the system healthy? Defend your answer as if you were the FDE presenting to the customer.”</w:t>
      </w:r>
    </w:p>
    <w:p>
      <w:pPr>
        <w:pStyle w:val="Heading1"/>
      </w:pPr>
      <w:r>
        <w:t>13. Key Takeaway</w:t>
      </w:r>
    </w:p>
    <w:p>
      <w:r>
        <w:rPr>
          <w:b/>
        </w:rPr>
        <w:t>Don't ask only: “How fast is the system?” Ask: “How slow does it get, for how many requests, under what conditions?”</w:t>
      </w:r>
    </w:p>
    <w:p>
      <w:r>
        <w:t>A strong production NFR promises a percentile, names the path/workload, states the conditions, and defines the measurement window. “Fast” is a conversation. “P95 under 5 seconds on the handler read path, measured over a rolling hour” is an engineering commitment.</w:t>
      </w:r>
    </w:p>
    <w:p>
      <w:pPr>
        <w:pStyle w:val="Heading1"/>
      </w:pPr>
      <w:r>
        <w:t>References</w:t>
      </w:r>
    </w:p>
    <w:p>
      <w:pPr>
        <w:pStyle w:val="ListBullet"/>
        <w:spacing w:after="60"/>
      </w:pPr>
      <w:r>
        <w:t>AWS — Work with cluster mode on Amazon ElastiCache for Redis.</w:t>
      </w:r>
    </w:p>
    <w:p>
      <w:pPr>
        <w:pStyle w:val="ListBullet"/>
        <w:spacing w:after="60"/>
      </w:pPr>
      <w:r>
        <w:t>Meta Engineering — Audience Insights Query Engine: In-Memory Integer Store for Social Analytics.</w:t>
      </w:r>
    </w:p>
    <w:p>
      <w:pPr>
        <w:pStyle w:val="ListBullet"/>
        <w:spacing w:after="60"/>
      </w:pPr>
      <w:r>
        <w:t>AWS Database Blog — How Global Payments improved their tail latency using request hedging with Amazon DynamoDB.</w:t>
      </w:r>
    </w:p>
    <w:p>
      <w:pPr>
        <w:pStyle w:val="ListBullet"/>
        <w:spacing w:after="60"/>
      </w:pPr>
      <w:r>
        <w:t>Slack Engineering — Balancing Safety and Velocity in CI/CD at Slack.</w:t>
      </w:r>
    </w:p>
    <w:p>
      <w:pPr>
        <w:pStyle w:val="ListBullet"/>
        <w:spacing w:after="60"/>
      </w:pPr>
      <w:r>
        <w:t>Meta Engineering — Modernizing the Meta Ads Service with an Open Source Kernel Scheduler (2026).</w:t>
      </w:r>
    </w:p>
    <w:p>
      <w:pPr>
        <w:pStyle w:val="ListBullet"/>
        <w:spacing w:after="60"/>
      </w:pPr>
      <w:r>
        <w:t>AWS Machine Learning Blog — How Amazon Bedrock Custom Model Import streamlined LLM deployment for Salesforce.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