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D3557"/>
          <w:sz w:val="52"/>
        </w:rPr>
        <w:t>Interpreting Your Results</w:t>
      </w:r>
    </w:p>
    <w:p>
      <w:pPr>
        <w:spacing w:after="40"/>
      </w:pPr>
      <w:r>
        <w:rPr>
          <w:rFonts w:ascii="Calibri" w:hAnsi="Calibri"/>
          <w:color w:val="C8102E"/>
          <w:sz w:val="26"/>
        </w:rPr>
        <w:t>Sprint 1 · Day 15 — Multi-Document Processing &amp; Query Fields</w:t>
      </w:r>
    </w:p>
    <w:p>
      <w:pPr>
        <w:spacing w:after="320"/>
      </w:pPr>
      <w:r>
        <w:rPr>
          <w:rFonts w:ascii="Calibri" w:hAnsi="Calibri"/>
          <w:i/>
          <w:color w:val="555F6B"/>
          <w:sz w:val="18"/>
        </w:rPr>
        <w:t>Birlasoft FORGE FDE Academy  ·  DecisionStream AI  ·  Confidential — for learner use only</w:t>
      </w:r>
    </w:p>
    <w:p>
      <w:pPr>
        <w:keepNext/>
        <w:spacing w:before="440" w:after="160"/>
        <w:pBdr>
          <w:bottom w:val="single" w:sz="12" w:color="1D3557"/>
        </w:pBdr>
      </w:pPr>
      <w:r>
        <w:rPr>
          <w:rFonts w:ascii="Calibri" w:hAnsi="Calibri"/>
          <w:b/>
          <w:color w:val="1D3557"/>
          <w:sz w:val="34"/>
        </w:rPr>
        <w:t>0 · What this lab is, and what it is for</w:t>
      </w:r>
    </w:p>
    <w:p>
      <w:pPr>
        <w:keepNext/>
        <w:spacing w:before="280" w:after="80"/>
      </w:pPr>
      <w:r>
        <w:rPr>
          <w:rFonts w:ascii="Calibri" w:hAnsi="Calibri"/>
          <w:b/>
          <w:color w:val="1D3557"/>
          <w:sz w:val="25"/>
        </w:rPr>
        <w:t>The situation</w:t>
      </w:r>
    </w:p>
    <w:p>
      <w:pPr>
        <w:spacing w:after="140"/>
      </w:pPr>
      <w:r>
        <w:rPr>
          <w:rFonts w:ascii="Calibri" w:hAnsi="Calibri"/>
          <w:i w:val="0"/>
          <w:sz w:val="22"/>
        </w:rPr>
        <w:t>DecisionStream AI processes motor insurance claims. A claim does not arrive as one document. It arrives as a CASE PACKAGE: an application form, a photograph of a driving licence, a payslip proving income, and a bank statement showing the account the settlement will be paid into. Four documents, sometimes five, sometimes three.</w:t>
      </w:r>
    </w:p>
    <w:p>
      <w:pPr>
        <w:spacing w:after="140"/>
      </w:pPr>
      <w:r>
        <w:rPr>
          <w:rFonts w:ascii="Calibri" w:hAnsi="Calibri"/>
          <w:i w:val="0"/>
          <w:sz w:val="21"/>
        </w:rPr>
        <w:t>Your job is to turn each package into ONE unified record that a claims handler or a downstream system can act on.</w:t>
      </w:r>
    </w:p>
    <w:p>
      <w:pPr>
        <w:keepNext/>
        <w:spacing w:before="280" w:after="80"/>
      </w:pPr>
      <w:r>
        <w:rPr>
          <w:rFonts w:ascii="Calibri" w:hAnsi="Calibri"/>
          <w:b/>
          <w:color w:val="1D3557"/>
          <w:sz w:val="25"/>
        </w:rPr>
        <w:t>Why that is harder than it sounds</w:t>
      </w:r>
    </w:p>
    <w:p>
      <w:pPr>
        <w:spacing w:after="140"/>
      </w:pPr>
      <w:r>
        <w:rPr>
          <w:rFonts w:ascii="Calibri" w:hAnsi="Calibri"/>
          <w:i w:val="0"/>
          <w:sz w:val="21"/>
        </w:rPr>
        <w:t>Yesterday, on Day 14, you extracted fields from a single document, and the hard part was whether the model read the characters correctly. Today every individual document is read perfectly and the pipeline still produces wrong records.</w:t>
      </w:r>
    </w:p>
    <w:p>
      <w:pPr>
        <w:spacing w:after="140"/>
      </w:pPr>
      <w:r>
        <w:rPr>
          <w:rFonts w:ascii="Calibri" w:hAnsi="Calibri"/>
          <w:i w:val="0"/>
          <w:sz w:val="21"/>
        </w:rPr>
        <w:t>That is because the failures in a multi-document workflow do not live inside any document. They live BETWEEN them:</w:t>
      </w:r>
    </w:p>
    <w:p>
      <w:pPr>
        <w:pStyle w:val="ListBullet"/>
        <w:spacing w:after="60"/>
      </w:pPr>
      <w:r>
        <w:rPr>
          <w:rFonts w:ascii="Calibri" w:hAnsi="Calibri"/>
          <w:sz w:val="21"/>
        </w:rPr>
        <w:t>the name on the licence is not the name on the form</w:t>
      </w:r>
    </w:p>
    <w:p>
      <w:pPr>
        <w:pStyle w:val="ListBullet"/>
        <w:spacing w:after="60"/>
      </w:pPr>
      <w:r>
        <w:rPr>
          <w:rFonts w:ascii="Calibri" w:hAnsi="Calibri"/>
          <w:sz w:val="21"/>
        </w:rPr>
        <w:t>the income declared is not the income on the payslip</w:t>
      </w:r>
    </w:p>
    <w:p>
      <w:pPr>
        <w:pStyle w:val="ListBullet"/>
        <w:spacing w:after="60"/>
      </w:pPr>
      <w:r>
        <w:rPr>
          <w:rFonts w:ascii="Calibri" w:hAnsi="Calibri"/>
          <w:sz w:val="21"/>
        </w:rPr>
        <w:t>the account number differs by one digit</w:t>
      </w:r>
    </w:p>
    <w:p>
      <w:pPr>
        <w:pStyle w:val="ListBullet"/>
        <w:spacing w:after="60"/>
      </w:pPr>
      <w:r>
        <w:rPr>
          <w:rFonts w:ascii="Calibri" w:hAnsi="Calibri"/>
          <w:sz w:val="21"/>
        </w:rPr>
        <w:t>the licence expired before the incident</w:t>
      </w:r>
    </w:p>
    <w:p>
      <w:pPr>
        <w:pStyle w:val="ListBullet"/>
        <w:spacing w:after="60"/>
      </w:pPr>
      <w:r>
        <w:rPr>
          <w:rFonts w:ascii="Calibri" w:hAnsi="Calibri"/>
          <w:sz w:val="21"/>
        </w:rPr>
        <w:t>a payslip was submitted twice, for two different months</w:t>
      </w:r>
    </w:p>
    <w:p>
      <w:pPr>
        <w:pStyle w:val="ListBullet"/>
        <w:spacing w:after="60"/>
      </w:pPr>
      <w:r>
        <w:rPr>
          <w:rFonts w:ascii="Calibri" w:hAnsi="Calibri"/>
          <w:sz w:val="21"/>
        </w:rPr>
        <w:t>a document is missing entirely</w:t>
      </w:r>
    </w:p>
    <w:p>
      <w:pPr>
        <w:pStyle w:val="ListBullet"/>
        <w:spacing w:after="60"/>
      </w:pPr>
      <w:r>
        <w:rPr>
          <w:rFonts w:ascii="Calibri" w:hAnsi="Calibri"/>
          <w:sz w:val="21"/>
        </w:rPr>
        <w:t>a document is perfectly valid and belongs to somebody else</w:t>
      </w:r>
    </w:p>
    <w:p>
      <w:pPr>
        <w:spacing w:after="140"/>
      </w:pPr>
      <w:r>
        <w:rPr>
          <w:rFonts w:ascii="Calibri" w:hAnsi="Calibri"/>
          <w:i/>
          <w:sz w:val="21"/>
        </w:rPr>
        <w:t>Each document is individually fine. Each extraction is individually confident. Nothing errors. And the record you build out of them can still be wrong in a way that reaches a customer.</w:t>
      </w:r>
    </w:p>
    <w:p>
      <w:pPr>
        <w:keepNext/>
        <w:spacing w:before="280" w:after="80"/>
      </w:pPr>
      <w:r>
        <w:rPr>
          <w:rFonts w:ascii="Calibri" w:hAnsi="Calibri"/>
          <w:b/>
          <w:color w:val="1D3557"/>
          <w:sz w:val="25"/>
        </w:rPr>
        <w:t>The four things this lab makes you build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504"/>
            <w:shd w:val="clear" w:color="auto" w:fill="1D3557"/>
          </w:tcPr>
          <w:p>
            <w:pPr>
              <w:spacing w:before="40" w:after="40"/>
            </w:pPr>
            <w:r>
              <w:rPr>
                <w:rFonts w:ascii="Calibri" w:hAnsi="Calibri"/>
                <w:b/>
                <w:color w:val="FFFFFF"/>
                <w:sz w:val="19"/>
              </w:rPr>
              <w:t>#</w:t>
            </w:r>
          </w:p>
        </w:tc>
        <w:tc>
          <w:tcPr>
            <w:tcW w:type="dxa" w:w="2448"/>
            <w:shd w:val="clear" w:color="auto" w:fill="1D3557"/>
          </w:tcPr>
          <w:p>
            <w:pPr>
              <w:spacing w:before="40" w:after="40"/>
            </w:pPr>
            <w:r>
              <w:rPr>
                <w:rFonts w:ascii="Calibri" w:hAnsi="Calibri"/>
                <w:b/>
                <w:color w:val="FFFFFF"/>
                <w:sz w:val="19"/>
              </w:rPr>
              <w:t>Capability</w:t>
            </w:r>
          </w:p>
        </w:tc>
        <w:tc>
          <w:tcPr>
            <w:tcW w:type="dxa" w:w="4608"/>
            <w:shd w:val="clear" w:color="auto" w:fill="1D3557"/>
          </w:tcPr>
          <w:p>
            <w:pPr>
              <w:spacing w:before="40" w:after="40"/>
            </w:pPr>
            <w:r>
              <w:rPr>
                <w:rFonts w:ascii="Calibri" w:hAnsi="Calibri"/>
                <w:b/>
                <w:color w:val="FFFFFF"/>
                <w:sz w:val="19"/>
              </w:rPr>
              <w:t>What it decides</w:t>
            </w:r>
          </w:p>
        </w:tc>
        <w:tc>
          <w:tcPr>
            <w:tcW w:type="dxa" w:w="1224"/>
            <w:shd w:val="clear" w:color="auto" w:fill="1D3557"/>
          </w:tcPr>
          <w:p>
            <w:pPr>
              <w:spacing w:before="40" w:after="40"/>
            </w:pPr>
            <w:r>
              <w:rPr>
                <w:rFonts w:ascii="Calibri" w:hAnsi="Calibri"/>
                <w:b/>
                <w:color w:val="FFFFFF"/>
                <w:sz w:val="19"/>
              </w:rPr>
              <w:t>Who owns it</w:t>
            </w:r>
          </w:p>
        </w:tc>
      </w:tr>
      <w:tr>
        <w:tc>
          <w:tcPr>
            <w:tcW w:type="dxa" w:w="504"/>
          </w:tcPr>
          <w:p>
            <w:pPr>
              <w:spacing w:before="40" w:after="40"/>
            </w:pPr>
            <w:r>
              <w:rPr>
                <w:rFonts w:ascii="Calibri" w:hAnsi="Calibri"/>
                <w:b w:val="0"/>
                <w:sz w:val="19"/>
              </w:rPr>
              <w:t>1</w:t>
            </w:r>
          </w:p>
        </w:tc>
        <w:tc>
          <w:tcPr>
            <w:tcW w:type="dxa" w:w="2448"/>
          </w:tcPr>
          <w:p>
            <w:pPr>
              <w:spacing w:before="40" w:after="40"/>
            </w:pPr>
            <w:r>
              <w:rPr>
                <w:rFonts w:ascii="Calibri" w:hAnsi="Calibri"/>
                <w:b w:val="0"/>
                <w:sz w:val="19"/>
              </w:rPr>
              <w:t>Asynchronous orchestration</w:t>
            </w:r>
          </w:p>
        </w:tc>
        <w:tc>
          <w:tcPr>
            <w:tcW w:type="dxa" w:w="4608"/>
          </w:tcPr>
          <w:p>
            <w:pPr>
              <w:spacing w:before="40" w:after="40"/>
            </w:pPr>
            <w:r>
              <w:rPr>
                <w:rFonts w:ascii="Calibri" w:hAnsi="Calibri"/>
                <w:b w:val="0"/>
                <w:sz w:val="19"/>
              </w:rPr>
              <w:t>How 32 documents get submitted, polled and assembled without blocking — and what happens when one never comes back</w:t>
            </w:r>
          </w:p>
        </w:tc>
        <w:tc>
          <w:tcPr>
            <w:tcW w:type="dxa" w:w="1224"/>
          </w:tcPr>
          <w:p>
            <w:pPr>
              <w:spacing w:before="40" w:after="40"/>
            </w:pPr>
            <w:r>
              <w:rPr>
                <w:rFonts w:ascii="Calibri" w:hAnsi="Calibri"/>
                <w:b w:val="0"/>
                <w:sz w:val="19"/>
              </w:rPr>
              <w:t>You</w:t>
            </w:r>
          </w:p>
        </w:tc>
      </w:tr>
      <w:tr>
        <w:tc>
          <w:tcPr>
            <w:tcW w:type="dxa" w:w="504"/>
            <w:shd w:val="clear" w:color="auto" w:fill="EDF1F7"/>
          </w:tcPr>
          <w:p>
            <w:pPr>
              <w:spacing w:before="40" w:after="40"/>
            </w:pPr>
            <w:r>
              <w:rPr>
                <w:rFonts w:ascii="Calibri" w:hAnsi="Calibri"/>
                <w:b w:val="0"/>
                <w:sz w:val="19"/>
              </w:rPr>
              <w:t>2</w:t>
            </w:r>
          </w:p>
        </w:tc>
        <w:tc>
          <w:tcPr>
            <w:tcW w:type="dxa" w:w="2448"/>
            <w:shd w:val="clear" w:color="auto" w:fill="EDF1F7"/>
          </w:tcPr>
          <w:p>
            <w:pPr>
              <w:spacing w:before="40" w:after="40"/>
            </w:pPr>
            <w:r>
              <w:rPr>
                <w:rFonts w:ascii="Calibri" w:hAnsi="Calibri"/>
                <w:b w:val="0"/>
                <w:sz w:val="19"/>
              </w:rPr>
              <w:t>Identity verification</w:t>
            </w:r>
          </w:p>
        </w:tc>
        <w:tc>
          <w:tcPr>
            <w:tcW w:type="dxa" w:w="4608"/>
            <w:shd w:val="clear" w:color="auto" w:fill="EDF1F7"/>
          </w:tcPr>
          <w:p>
            <w:pPr>
              <w:spacing w:before="40" w:after="40"/>
            </w:pPr>
            <w:r>
              <w:rPr>
                <w:rFonts w:ascii="Calibri" w:hAnsi="Calibri"/>
                <w:b w:val="0"/>
                <w:sz w:val="19"/>
              </w:rPr>
              <w:t>Whether the licence matches the applicant and was valid — while storing none of it</w:t>
            </w:r>
          </w:p>
        </w:tc>
        <w:tc>
          <w:tcPr>
            <w:tcW w:type="dxa" w:w="1224"/>
            <w:shd w:val="clear" w:color="auto" w:fill="EDF1F7"/>
          </w:tcPr>
          <w:p>
            <w:pPr>
              <w:spacing w:before="40" w:after="40"/>
            </w:pPr>
            <w:r>
              <w:rPr>
                <w:rFonts w:ascii="Calibri" w:hAnsi="Calibri"/>
                <w:b w:val="0"/>
                <w:sz w:val="19"/>
              </w:rPr>
              <w:t>You</w:t>
            </w:r>
          </w:p>
        </w:tc>
      </w:tr>
      <w:tr>
        <w:tc>
          <w:tcPr>
            <w:tcW w:type="dxa" w:w="504"/>
          </w:tcPr>
          <w:p>
            <w:pPr>
              <w:spacing w:before="40" w:after="40"/>
            </w:pPr>
            <w:r>
              <w:rPr>
                <w:rFonts w:ascii="Calibri" w:hAnsi="Calibri"/>
                <w:b w:val="0"/>
                <w:sz w:val="19"/>
              </w:rPr>
              <w:t>3</w:t>
            </w:r>
          </w:p>
        </w:tc>
        <w:tc>
          <w:tcPr>
            <w:tcW w:type="dxa" w:w="2448"/>
          </w:tcPr>
          <w:p>
            <w:pPr>
              <w:spacing w:before="40" w:after="40"/>
            </w:pPr>
            <w:r>
              <w:rPr>
                <w:rFonts w:ascii="Calibri" w:hAnsi="Calibri"/>
                <w:b w:val="0"/>
                <w:sz w:val="19"/>
              </w:rPr>
              <w:t>Stitching / reconciliation</w:t>
            </w:r>
          </w:p>
        </w:tc>
        <w:tc>
          <w:tcPr>
            <w:tcW w:type="dxa" w:w="4608"/>
          </w:tcPr>
          <w:p>
            <w:pPr>
              <w:spacing w:before="40" w:after="40"/>
            </w:pPr>
            <w:r>
              <w:rPr>
                <w:rFonts w:ascii="Calibri" w:hAnsi="Calibri"/>
                <w:b w:val="0"/>
                <w:sz w:val="19"/>
              </w:rPr>
              <w:t>Which document wins when two documents disagree</w:t>
            </w:r>
          </w:p>
        </w:tc>
        <w:tc>
          <w:tcPr>
            <w:tcW w:type="dxa" w:w="1224"/>
          </w:tcPr>
          <w:p>
            <w:pPr>
              <w:spacing w:before="40" w:after="40"/>
            </w:pPr>
            <w:r>
              <w:rPr>
                <w:rFonts w:ascii="Calibri" w:hAnsi="Calibri"/>
                <w:b w:val="0"/>
                <w:sz w:val="19"/>
              </w:rPr>
              <w:t>You</w:t>
            </w:r>
          </w:p>
        </w:tc>
      </w:tr>
      <w:tr>
        <w:tc>
          <w:tcPr>
            <w:tcW w:type="dxa" w:w="504"/>
            <w:shd w:val="clear" w:color="auto" w:fill="EDF1F7"/>
          </w:tcPr>
          <w:p>
            <w:pPr>
              <w:spacing w:before="40" w:after="40"/>
            </w:pPr>
            <w:r>
              <w:rPr>
                <w:rFonts w:ascii="Calibri" w:hAnsi="Calibri"/>
                <w:b w:val="0"/>
                <w:sz w:val="19"/>
              </w:rPr>
              <w:t>4</w:t>
            </w:r>
          </w:p>
        </w:tc>
        <w:tc>
          <w:tcPr>
            <w:tcW w:type="dxa" w:w="2448"/>
            <w:shd w:val="clear" w:color="auto" w:fill="EDF1F7"/>
          </w:tcPr>
          <w:p>
            <w:pPr>
              <w:spacing w:before="40" w:after="40"/>
            </w:pPr>
            <w:r>
              <w:rPr>
                <w:rFonts w:ascii="Calibri" w:hAnsi="Calibri"/>
                <w:b w:val="0"/>
                <w:sz w:val="19"/>
              </w:rPr>
              <w:t>Storage path design</w:t>
            </w:r>
          </w:p>
        </w:tc>
        <w:tc>
          <w:tcPr>
            <w:tcW w:type="dxa" w:w="4608"/>
            <w:shd w:val="clear" w:color="auto" w:fill="EDF1F7"/>
          </w:tcPr>
          <w:p>
            <w:pPr>
              <w:spacing w:before="40" w:after="40"/>
            </w:pPr>
            <w:r>
              <w:rPr>
                <w:rFonts w:ascii="Calibri" w:hAnsi="Calibri"/>
                <w:b w:val="0"/>
                <w:sz w:val="19"/>
              </w:rPr>
              <w:t>What retention, residency and legal hold will be possible later</w:t>
            </w:r>
          </w:p>
        </w:tc>
        <w:tc>
          <w:tcPr>
            <w:tcW w:type="dxa" w:w="1224"/>
            <w:shd w:val="clear" w:color="auto" w:fill="EDF1F7"/>
          </w:tcPr>
          <w:p>
            <w:pPr>
              <w:spacing w:before="40" w:after="40"/>
            </w:pPr>
            <w:r>
              <w:rPr>
                <w:rFonts w:ascii="Calibri" w:hAnsi="Calibri"/>
                <w:b w:val="0"/>
                <w:sz w:val="19"/>
              </w:rPr>
              <w:t>You</w:t>
            </w:r>
          </w:p>
        </w:tc>
      </w:tr>
    </w:tbl>
    <w:p>
      <w:pPr>
        <w:spacing w:after="80"/>
      </w:pP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The sentence the whole lab exists to earn.  </w:t>
            </w:r>
            <w:r>
              <w:rPr>
                <w:rFonts w:ascii="Calibri" w:hAnsi="Calibri"/>
                <w:sz w:val="21"/>
              </w:rPr>
              <w:t>Extraction is a purchased service. Verification and stitching are YOUR code — and they are where a wrong record gets built out of individually correct documents. Section 8 is the measurement that proves it.</w:t>
            </w:r>
          </w:p>
        </w:tc>
      </w:tr>
    </w:tbl>
    <w:p>
      <w:pPr>
        <w:spacing w:after="60"/>
      </w:pPr>
    </w:p>
    <w:p>
      <w:pPr>
        <w:keepNext/>
        <w:spacing w:before="280" w:after="80"/>
      </w:pPr>
      <w:r>
        <w:rPr>
          <w:rFonts w:ascii="Calibri" w:hAnsi="Calibri"/>
          <w:b/>
          <w:color w:val="1D3557"/>
          <w:sz w:val="25"/>
        </w:rPr>
        <w:t>The two ways it runs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24"/>
            <w:shd w:val="clear" w:color="auto" w:fill="1D3557"/>
          </w:tcPr>
          <w:p>
            <w:pPr>
              <w:spacing w:before="40" w:after="40"/>
            </w:pPr>
            <w:r>
              <w:rPr>
                <w:rFonts w:ascii="Calibri" w:hAnsi="Calibri"/>
                <w:b/>
                <w:color w:val="FFFFFF"/>
                <w:sz w:val="19"/>
              </w:rPr>
              <w:t>Provider</w:t>
            </w:r>
          </w:p>
        </w:tc>
        <w:tc>
          <w:tcPr>
            <w:tcW w:type="dxa" w:w="3744"/>
            <w:shd w:val="clear" w:color="auto" w:fill="1D3557"/>
          </w:tcPr>
          <w:p>
            <w:pPr>
              <w:spacing w:before="40" w:after="40"/>
            </w:pPr>
            <w:r>
              <w:rPr>
                <w:rFonts w:ascii="Calibri" w:hAnsi="Calibri"/>
                <w:b/>
                <w:color w:val="FFFFFF"/>
                <w:sz w:val="19"/>
              </w:rPr>
              <w:t>What it is</w:t>
            </w:r>
          </w:p>
        </w:tc>
        <w:tc>
          <w:tcPr>
            <w:tcW w:type="dxa" w:w="2160"/>
            <w:shd w:val="clear" w:color="auto" w:fill="1D3557"/>
          </w:tcPr>
          <w:p>
            <w:pPr>
              <w:spacing w:before="40" w:after="40"/>
            </w:pPr>
            <w:r>
              <w:rPr>
                <w:rFonts w:ascii="Calibri" w:hAnsi="Calibri"/>
                <w:b/>
                <w:color w:val="FFFFFF"/>
                <w:sz w:val="19"/>
              </w:rPr>
              <w:t>Cost</w:t>
            </w:r>
          </w:p>
        </w:tc>
        <w:tc>
          <w:tcPr>
            <w:tcW w:type="dxa" w:w="2736"/>
            <w:shd w:val="clear" w:color="auto" w:fill="1D3557"/>
          </w:tcPr>
          <w:p>
            <w:pPr>
              <w:spacing w:before="40" w:after="40"/>
            </w:pPr>
            <w:r>
              <w:rPr>
                <w:rFonts w:ascii="Calibri" w:hAnsi="Calibri"/>
                <w:b/>
                <w:color w:val="FFFFFF"/>
                <w:sz w:val="19"/>
              </w:rPr>
              <w:t>When to use it</w:t>
            </w:r>
          </w:p>
        </w:tc>
      </w:tr>
      <w:tr>
        <w:tc>
          <w:tcPr>
            <w:tcW w:type="dxa" w:w="1224"/>
          </w:tcPr>
          <w:p>
            <w:pPr>
              <w:spacing w:before="40" w:after="40"/>
            </w:pPr>
            <w:r>
              <w:rPr>
                <w:rFonts w:ascii="Consolas" w:hAnsi="Consolas"/>
                <w:b w:val="0"/>
                <w:sz w:val="18"/>
              </w:rPr>
              <w:t>mock</w:t>
            </w:r>
          </w:p>
        </w:tc>
        <w:tc>
          <w:tcPr>
            <w:tcW w:type="dxa" w:w="3744"/>
          </w:tcPr>
          <w:p>
            <w:pPr>
              <w:spacing w:before="40" w:after="40"/>
            </w:pPr>
            <w:r>
              <w:rPr>
                <w:rFonts w:ascii="Calibri" w:hAnsi="Calibri"/>
                <w:b w:val="0"/>
                <w:sz w:val="19"/>
              </w:rPr>
              <w:t>Synthetic Query Fields responses, served straight from packages.py</w:t>
            </w:r>
          </w:p>
        </w:tc>
        <w:tc>
          <w:tcPr>
            <w:tcW w:type="dxa" w:w="2160"/>
          </w:tcPr>
          <w:p>
            <w:pPr>
              <w:spacing w:before="40" w:after="40"/>
            </w:pPr>
            <w:r>
              <w:rPr>
                <w:rFonts w:ascii="Calibri" w:hAnsi="Calibri"/>
                <w:b w:val="0"/>
                <w:sz w:val="19"/>
              </w:rPr>
              <w:t>Free, instant, deterministic</w:t>
            </w:r>
          </w:p>
        </w:tc>
        <w:tc>
          <w:tcPr>
            <w:tcW w:type="dxa" w:w="2736"/>
          </w:tcPr>
          <w:p>
            <w:pPr>
              <w:spacing w:before="40" w:after="40"/>
            </w:pPr>
            <w:r>
              <w:rPr>
                <w:rFonts w:ascii="Calibri" w:hAnsi="Calibri"/>
                <w:b w:val="0"/>
                <w:sz w:val="19"/>
              </w:rPr>
              <w:t>Always first. This is the lab.</w:t>
            </w:r>
          </w:p>
        </w:tc>
      </w:tr>
      <w:tr>
        <w:tc>
          <w:tcPr>
            <w:tcW w:type="dxa" w:w="1224"/>
            <w:shd w:val="clear" w:color="auto" w:fill="EDF1F7"/>
          </w:tcPr>
          <w:p>
            <w:pPr>
              <w:spacing w:before="40" w:after="40"/>
            </w:pPr>
            <w:r>
              <w:rPr>
                <w:rFonts w:ascii="Consolas" w:hAnsi="Consolas"/>
                <w:b w:val="0"/>
                <w:sz w:val="18"/>
              </w:rPr>
              <w:t>azure</w:t>
            </w:r>
          </w:p>
        </w:tc>
        <w:tc>
          <w:tcPr>
            <w:tcW w:type="dxa" w:w="3744"/>
            <w:shd w:val="clear" w:color="auto" w:fill="EDF1F7"/>
          </w:tcPr>
          <w:p>
            <w:pPr>
              <w:spacing w:before="40" w:after="40"/>
            </w:pPr>
            <w:r>
              <w:rPr>
                <w:rFonts w:ascii="Calibri" w:hAnsi="Calibri"/>
                <w:b w:val="0"/>
                <w:sz w:val="19"/>
              </w:rPr>
              <w:t>The same 32 documents, rendered as PDFs and sent to a real Azure AI Document Intelligence resource</w:t>
            </w:r>
          </w:p>
        </w:tc>
        <w:tc>
          <w:tcPr>
            <w:tcW w:type="dxa" w:w="2160"/>
            <w:shd w:val="clear" w:color="auto" w:fill="EDF1F7"/>
          </w:tcPr>
          <w:p>
            <w:pPr>
              <w:spacing w:before="40" w:after="40"/>
            </w:pPr>
            <w:r>
              <w:rPr>
                <w:rFonts w:ascii="Calibri" w:hAnsi="Calibri"/>
                <w:b w:val="0"/>
                <w:sz w:val="19"/>
              </w:rPr>
              <w:t>Billed, ~3 min first run</w:t>
            </w:r>
          </w:p>
        </w:tc>
        <w:tc>
          <w:tcPr>
            <w:tcW w:type="dxa" w:w="2736"/>
            <w:shd w:val="clear" w:color="auto" w:fill="EDF1F7"/>
          </w:tcPr>
          <w:p>
            <w:pPr>
              <w:spacing w:before="40" w:after="40"/>
            </w:pPr>
            <w:r>
              <w:rPr>
                <w:rFonts w:ascii="Calibri" w:hAnsi="Calibri"/>
                <w:b w:val="0"/>
                <w:sz w:val="19"/>
              </w:rPr>
              <w:t>Afterwards — to find out how much of what you concluded survives contact with the service.</w:t>
            </w:r>
          </w:p>
        </w:tc>
      </w:tr>
    </w:tbl>
    <w:p>
      <w:pPr>
        <w:spacing w:after="80"/>
      </w:pPr>
    </w:p>
    <w:p>
      <w:pPr>
        <w:spacing w:after="140"/>
      </w:pPr>
      <w:r>
        <w:rPr>
          <w:rFonts w:ascii="Calibri" w:hAnsi="Calibri"/>
          <w:b w:val="0"/>
          <w:i w:val="0"/>
          <w:sz w:val="21"/>
        </w:rPr>
        <w:t xml:space="preserve">Both go through the same pipeline. </w:t>
      </w:r>
      <w:r>
        <w:rPr>
          <w:rFonts w:ascii="Consolas" w:hAnsi="Consolas"/>
          <w:b w:val="0"/>
          <w:i w:val="0"/>
          <w:sz w:val="20"/>
        </w:rPr>
        <w:t>pipeline.py</w:t>
      </w:r>
      <w:r>
        <w:rPr>
          <w:rFonts w:ascii="Calibri" w:hAnsi="Calibri"/>
          <w:b w:val="0"/>
          <w:i w:val="0"/>
          <w:sz w:val="21"/>
        </w:rPr>
        <w:t xml:space="preserve"> never learns which one ran — it receives the same list of field dictionaries either way. That is the adapter pattern from Day 11, and if pointing your pipeline at a real service means editing your business logic, your vendor boundary is in the wrong place.</w:t>
      </w:r>
    </w:p>
    <w:p>
      <w:pPr>
        <w:keepNext/>
        <w:spacing w:before="440" w:after="160"/>
        <w:pBdr>
          <w:bottom w:val="single" w:sz="12" w:color="1D3557"/>
        </w:pBdr>
      </w:pPr>
      <w:r>
        <w:rPr>
          <w:rFonts w:ascii="Calibri" w:hAnsi="Calibri"/>
          <w:b/>
          <w:color w:val="1D3557"/>
          <w:sz w:val="34"/>
        </w:rPr>
        <w:t>1 · Before you run anything</w:t>
      </w:r>
    </w:p>
    <w:p>
      <w:pPr>
        <w:keepNext/>
        <w:spacing w:before="280" w:after="80"/>
      </w:pPr>
      <w:r>
        <w:rPr>
          <w:rFonts w:ascii="Calibri" w:hAnsi="Calibri"/>
          <w:b/>
          <w:color w:val="1D3557"/>
          <w:sz w:val="25"/>
        </w:rPr>
        <w:t>What you need</w:t>
      </w:r>
    </w:p>
    <w:p>
      <w:pPr>
        <w:spacing w:after="140"/>
      </w:pPr>
      <w:r>
        <w:rPr>
          <w:rFonts w:ascii="Calibri" w:hAnsi="Calibri"/>
          <w:i w:val="0"/>
          <w:sz w:val="21"/>
        </w:rPr>
        <w:t>For the mock provider: Python. That is the entire list — standard library only, no pip install, no network, no key.</w:t>
      </w:r>
    </w:p>
    <w:p>
      <w:pPr>
        <w:spacing w:after="140"/>
      </w:pPr>
      <w:r>
        <w:rPr>
          <w:rFonts w:ascii="Calibri" w:hAnsi="Calibri"/>
          <w:b w:val="0"/>
          <w:i w:val="0"/>
          <w:sz w:val="21"/>
        </w:rPr>
        <w:t xml:space="preserve">Python 3.9 or newer is recommended. The lab is written to run on 3.7+ and is tested on both 3.7.2 and 3.12. On the Techademy Azure VM, </w:t>
      </w:r>
      <w:r>
        <w:rPr>
          <w:rFonts w:ascii="Consolas" w:hAnsi="Consolas"/>
          <w:b w:val="0"/>
          <w:i w:val="0"/>
          <w:sz w:val="20"/>
        </w:rPr>
        <w:t>python3</w:t>
      </w:r>
      <w:r>
        <w:rPr>
          <w:rFonts w:ascii="Calibri" w:hAnsi="Calibri"/>
          <w:b w:val="0"/>
          <w:i w:val="0"/>
          <w:sz w:val="21"/>
        </w:rPr>
        <w:t xml:space="preserve"> is 3.12 and you need nothing else.</w:t>
      </w:r>
    </w:p>
    <w:p>
      <w:pPr>
        <w:spacing w:after="140"/>
      </w:pPr>
      <w:r>
        <w:rPr>
          <w:rFonts w:ascii="Calibri" w:hAnsi="Calibri"/>
          <w:i w:val="0"/>
          <w:sz w:val="21"/>
        </w:rPr>
        <w:t>For the azure provider you also need an Azure AI Document Intelligence resource, its endpoint and one of its keys. Section 7 covers that.</w:t>
      </w:r>
    </w:p>
    <w:p>
      <w:pPr>
        <w:keepNext/>
        <w:spacing w:before="280" w:after="80"/>
      </w:pPr>
      <w:r>
        <w:rPr>
          <w:rFonts w:ascii="Calibri" w:hAnsi="Calibri"/>
          <w:b/>
          <w:color w:val="1D3557"/>
          <w:sz w:val="25"/>
        </w:rPr>
        <w:t>The first thing to run</w:t>
      </w:r>
    </w:p>
    <w:p>
      <w:pPr>
        <w:spacing w:before="100" w:after="180"/>
        <w:ind w:left="259"/>
        <w:shd w:val="clear" w:color="auto" w:fill="F4F6F8"/>
      </w:pPr>
      <w:r>
        <w:rPr>
          <w:rFonts w:ascii="Consolas" w:hAnsi="Consolas"/>
          <w:sz w:val="18"/>
        </w:rPr>
        <w:t>python3 run_lab.py --selftest</w:t>
      </w:r>
    </w:p>
    <w:p>
      <w:pPr>
        <w:spacing w:after="140"/>
      </w:pPr>
      <w:r>
        <w:rPr>
          <w:rFonts w:ascii="Calibri" w:hAnsi="Calibri"/>
          <w:i w:val="0"/>
          <w:sz w:val="21"/>
        </w:rPr>
        <w:t>108 checks, no network, no cost, about a second. It builds a synthetic service response for each of the 32 documents, pushes it through the REAL Azure adapter, and asserts the result matches what the mock produces.</w:t>
      </w:r>
    </w:p>
    <w:p>
      <w:pPr>
        <w:spacing w:after="140"/>
      </w:pPr>
      <w:r>
        <w:rPr>
          <w:rFonts w:ascii="Calibri" w:hAnsi="Calibri"/>
          <w:i w:val="0"/>
          <w:sz w:val="21"/>
        </w:rPr>
        <w:t>Run it before you spend anything, and again after you change anything at the vendor boundary. If the mock and the service later disagree, this is what tells you the disagreement is real rather than a bug in your adapter.</w:t>
      </w:r>
    </w:p>
    <w:p>
      <w:pPr>
        <w:spacing w:before="100" w:after="180"/>
        <w:ind w:left="259"/>
        <w:shd w:val="clear" w:color="auto" w:fill="F4F6F8"/>
      </w:pPr>
      <w:r>
        <w:rPr>
          <w:rFonts w:ascii="Consolas" w:hAnsi="Consolas"/>
          <w:sz w:val="18"/>
        </w:rPr>
        <w:t xml:space="preserve">  108/108 checks passed.</w:t>
        <w:br/>
        <w:t xml:space="preserve">  The azure adapter reproduces the mock pipeline exactly. Safe to spend.</w:t>
      </w:r>
    </w:p>
    <w:p>
      <w:pPr>
        <w:keepNext/>
        <w:spacing w:before="440" w:after="160"/>
        <w:pBdr>
          <w:bottom w:val="single" w:sz="12" w:color="1D3557"/>
        </w:pBdr>
      </w:pPr>
      <w:r>
        <w:rPr>
          <w:rFonts w:ascii="Calibri" w:hAnsi="Calibri"/>
          <w:b/>
          <w:color w:val="1D3557"/>
          <w:sz w:val="34"/>
        </w:rPr>
        <w:t>2 · Every command, every parameter</w:t>
      </w:r>
    </w:p>
    <w:p>
      <w:pPr>
        <w:spacing w:after="140"/>
      </w:pPr>
      <w:r>
        <w:rPr>
          <w:rFonts w:ascii="Calibri" w:hAnsi="Calibri"/>
          <w:i w:val="0"/>
          <w:sz w:val="21"/>
        </w:rPr>
        <w:t>There is one script. Everything is a flag on it.</w:t>
      </w:r>
    </w:p>
    <w:p>
      <w:pPr>
        <w:keepNext/>
        <w:spacing w:before="280" w:after="80"/>
      </w:pPr>
      <w:r>
        <w:rPr>
          <w:rFonts w:ascii="Calibri" w:hAnsi="Calibri"/>
          <w:b/>
          <w:color w:val="1D3557"/>
          <w:sz w:val="25"/>
        </w:rPr>
        <w:t>The commands</w:t>
      </w:r>
    </w:p>
    <w:tbl>
      <w:tblPr>
        <w:tblStyle w:val="TableGrid"/>
        <w:tblW w:type="auto" w:w="0"/>
        <w:jc w:val="center"/>
        <w:tblLook w:firstColumn="1" w:firstRow="1" w:lastColumn="0" w:lastRow="0" w:noHBand="0" w:noVBand="1" w:val="04A0"/>
      </w:tblPr>
      <w:tblGrid>
        <w:gridCol w:w="3264"/>
        <w:gridCol w:w="3264"/>
        <w:gridCol w:w="3264"/>
      </w:tblGrid>
      <w:tr>
        <w:tc>
          <w:tcPr>
            <w:tcW w:type="dxa" w:w="3312"/>
            <w:shd w:val="clear" w:color="auto" w:fill="1D3557"/>
          </w:tcPr>
          <w:p>
            <w:pPr>
              <w:spacing w:before="40" w:after="40"/>
            </w:pPr>
            <w:r>
              <w:rPr>
                <w:rFonts w:ascii="Calibri" w:hAnsi="Calibri"/>
                <w:b/>
                <w:color w:val="FFFFFF"/>
                <w:sz w:val="19"/>
              </w:rPr>
              <w:t>Command</w:t>
            </w:r>
          </w:p>
        </w:tc>
        <w:tc>
          <w:tcPr>
            <w:tcW w:type="dxa" w:w="5184"/>
            <w:shd w:val="clear" w:color="auto" w:fill="1D3557"/>
          </w:tcPr>
          <w:p>
            <w:pPr>
              <w:spacing w:before="40" w:after="40"/>
            </w:pPr>
            <w:r>
              <w:rPr>
                <w:rFonts w:ascii="Calibri" w:hAnsi="Calibri"/>
                <w:b/>
                <w:color w:val="FFFFFF"/>
                <w:sz w:val="19"/>
              </w:rPr>
              <w:t>What it does</w:t>
            </w:r>
          </w:p>
        </w:tc>
        <w:tc>
          <w:tcPr>
            <w:tcW w:type="dxa" w:w="1080"/>
            <w:shd w:val="clear" w:color="auto" w:fill="1D3557"/>
          </w:tcPr>
          <w:p>
            <w:pPr>
              <w:spacing w:before="40" w:after="40"/>
            </w:pPr>
            <w:r>
              <w:rPr>
                <w:rFonts w:ascii="Calibri" w:hAnsi="Calibri"/>
                <w:b/>
                <w:color w:val="FFFFFF"/>
                <w:sz w:val="19"/>
              </w:rPr>
              <w:t>Cost</w:t>
            </w:r>
          </w:p>
        </w:tc>
      </w:tr>
      <w:tr>
        <w:tc>
          <w:tcPr>
            <w:tcW w:type="dxa" w:w="3312"/>
          </w:tcPr>
          <w:p>
            <w:pPr>
              <w:spacing w:before="40" w:after="40"/>
            </w:pPr>
            <w:r>
              <w:rPr>
                <w:rFonts w:ascii="Consolas" w:hAnsi="Consolas"/>
                <w:b w:val="0"/>
                <w:sz w:val="18"/>
              </w:rPr>
              <w:t>python3 run_lab.py</w:t>
            </w:r>
          </w:p>
        </w:tc>
        <w:tc>
          <w:tcPr>
            <w:tcW w:type="dxa" w:w="5184"/>
          </w:tcPr>
          <w:p>
            <w:pPr>
              <w:spacing w:before="40" w:after="40"/>
            </w:pPr>
            <w:r>
              <w:rPr>
                <w:rFonts w:ascii="Calibri" w:hAnsi="Calibri"/>
                <w:b w:val="0"/>
                <w:sz w:val="19"/>
              </w:rPr>
              <w:t>All three stitching strategies over all eight packages. START HERE.</w:t>
            </w:r>
          </w:p>
        </w:tc>
        <w:tc>
          <w:tcPr>
            <w:tcW w:type="dxa" w:w="1080"/>
          </w:tcPr>
          <w:p>
            <w:pPr>
              <w:spacing w:before="40" w:after="40"/>
            </w:pPr>
            <w:r>
              <w:rPr>
                <w:rFonts w:ascii="Calibri" w:hAnsi="Calibri"/>
                <w:b w:val="0"/>
                <w:sz w:val="19"/>
              </w:rPr>
              <w:t>Free</w:t>
            </w:r>
          </w:p>
        </w:tc>
      </w:tr>
      <w:tr>
        <w:tc>
          <w:tcPr>
            <w:tcW w:type="dxa" w:w="3312"/>
            <w:shd w:val="clear" w:color="auto" w:fill="EDF1F7"/>
          </w:tcPr>
          <w:p>
            <w:pPr>
              <w:spacing w:before="40" w:after="40"/>
            </w:pPr>
            <w:r>
              <w:rPr>
                <w:rFonts w:ascii="Consolas" w:hAnsi="Consolas"/>
                <w:b w:val="0"/>
                <w:sz w:val="18"/>
              </w:rPr>
              <w:t>python3 run_lab.py --selftest</w:t>
            </w:r>
          </w:p>
        </w:tc>
        <w:tc>
          <w:tcPr>
            <w:tcW w:type="dxa" w:w="5184"/>
            <w:shd w:val="clear" w:color="auto" w:fill="EDF1F7"/>
          </w:tcPr>
          <w:p>
            <w:pPr>
              <w:spacing w:before="40" w:after="40"/>
            </w:pPr>
            <w:r>
              <w:rPr>
                <w:rFonts w:ascii="Calibri" w:hAnsi="Calibri"/>
                <w:b w:val="0"/>
                <w:sz w:val="19"/>
              </w:rPr>
              <w:t>108 offline checks on the adapter, the identity boundary and the pinned totals.</w:t>
            </w:r>
          </w:p>
        </w:tc>
        <w:tc>
          <w:tcPr>
            <w:tcW w:type="dxa" w:w="1080"/>
            <w:shd w:val="clear" w:color="auto" w:fill="EDF1F7"/>
          </w:tcPr>
          <w:p>
            <w:pPr>
              <w:spacing w:before="40" w:after="40"/>
            </w:pPr>
            <w:r>
              <w:rPr>
                <w:rFonts w:ascii="Calibri" w:hAnsi="Calibri"/>
                <w:b w:val="0"/>
                <w:sz w:val="19"/>
              </w:rPr>
              <w:t>Free</w:t>
            </w:r>
          </w:p>
        </w:tc>
      </w:tr>
      <w:tr>
        <w:tc>
          <w:tcPr>
            <w:tcW w:type="dxa" w:w="3312"/>
          </w:tcPr>
          <w:p>
            <w:pPr>
              <w:spacing w:before="40" w:after="40"/>
            </w:pPr>
            <w:r>
              <w:rPr>
                <w:rFonts w:ascii="Consolas" w:hAnsi="Consolas"/>
                <w:b w:val="0"/>
                <w:sz w:val="18"/>
              </w:rPr>
              <w:t>python3 run_lab.py --paths</w:t>
            </w:r>
          </w:p>
        </w:tc>
        <w:tc>
          <w:tcPr>
            <w:tcW w:type="dxa" w:w="5184"/>
          </w:tcPr>
          <w:p>
            <w:pPr>
              <w:spacing w:before="40" w:after="40"/>
            </w:pPr>
            <w:r>
              <w:rPr>
                <w:rFonts w:ascii="Calibri" w:hAnsi="Calibri"/>
                <w:b w:val="0"/>
                <w:sz w:val="19"/>
              </w:rPr>
              <w:t>The Blob path design demonstration.</w:t>
            </w:r>
          </w:p>
        </w:tc>
        <w:tc>
          <w:tcPr>
            <w:tcW w:type="dxa" w:w="1080"/>
          </w:tcPr>
          <w:p>
            <w:pPr>
              <w:spacing w:before="40" w:after="40"/>
            </w:pPr>
            <w:r>
              <w:rPr>
                <w:rFonts w:ascii="Calibri" w:hAnsi="Calibri"/>
                <w:b w:val="0"/>
                <w:sz w:val="19"/>
              </w:rPr>
              <w:t>Free</w:t>
            </w:r>
          </w:p>
        </w:tc>
      </w:tr>
      <w:tr>
        <w:tc>
          <w:tcPr>
            <w:tcW w:type="dxa" w:w="3312"/>
            <w:shd w:val="clear" w:color="auto" w:fill="EDF1F7"/>
          </w:tcPr>
          <w:p>
            <w:pPr>
              <w:spacing w:before="40" w:after="40"/>
            </w:pPr>
            <w:r>
              <w:rPr>
                <w:rFonts w:ascii="Consolas" w:hAnsi="Consolas"/>
                <w:b w:val="0"/>
                <w:sz w:val="18"/>
              </w:rPr>
              <w:t>python3 run_lab.py --make-pdfs</w:t>
            </w:r>
          </w:p>
        </w:tc>
        <w:tc>
          <w:tcPr>
            <w:tcW w:type="dxa" w:w="5184"/>
            <w:shd w:val="clear" w:color="auto" w:fill="EDF1F7"/>
          </w:tcPr>
          <w:p>
            <w:pPr>
              <w:spacing w:before="40" w:after="40"/>
            </w:pPr>
            <w:r>
              <w:rPr>
                <w:rFonts w:ascii="Calibri" w:hAnsi="Calibri"/>
                <w:b w:val="0"/>
                <w:sz w:val="19"/>
              </w:rPr>
              <w:t>Renders the 32 documents to docs/. Required once before any azure run.</w:t>
            </w:r>
          </w:p>
        </w:tc>
        <w:tc>
          <w:tcPr>
            <w:tcW w:type="dxa" w:w="1080"/>
            <w:shd w:val="clear" w:color="auto" w:fill="EDF1F7"/>
          </w:tcPr>
          <w:p>
            <w:pPr>
              <w:spacing w:before="40" w:after="40"/>
            </w:pPr>
            <w:r>
              <w:rPr>
                <w:rFonts w:ascii="Calibri" w:hAnsi="Calibri"/>
                <w:b w:val="0"/>
                <w:sz w:val="19"/>
              </w:rPr>
              <w:t>Free</w:t>
            </w:r>
          </w:p>
        </w:tc>
      </w:tr>
    </w:tbl>
    <w:p>
      <w:pPr>
        <w:spacing w:after="80"/>
      </w:pPr>
    </w:p>
    <w:p>
      <w:pPr>
        <w:keepNext/>
        <w:spacing w:before="280" w:after="80"/>
      </w:pPr>
      <w:r>
        <w:rPr>
          <w:rFonts w:ascii="Calibri" w:hAnsi="Calibri"/>
          <w:b/>
          <w:color w:val="1D3557"/>
          <w:sz w:val="25"/>
        </w:rPr>
        <w:t>The parameters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shd w:val="clear" w:color="auto" w:fill="1D3557"/>
          </w:tcPr>
          <w:p>
            <w:pPr>
              <w:spacing w:before="40" w:after="40"/>
            </w:pPr>
            <w:r>
              <w:rPr>
                <w:rFonts w:ascii="Calibri" w:hAnsi="Calibri"/>
                <w:b/>
                <w:color w:val="FFFFFF"/>
                <w:sz w:val="18"/>
              </w:rPr>
              <w:t>Flag</w:t>
            </w:r>
          </w:p>
        </w:tc>
        <w:tc>
          <w:tcPr>
            <w:tcW w:type="dxa" w:w="2736"/>
            <w:shd w:val="clear" w:color="auto" w:fill="1D3557"/>
          </w:tcPr>
          <w:p>
            <w:pPr>
              <w:spacing w:before="40" w:after="40"/>
            </w:pPr>
            <w:r>
              <w:rPr>
                <w:rFonts w:ascii="Calibri" w:hAnsi="Calibri"/>
                <w:b/>
                <w:color w:val="FFFFFF"/>
                <w:sz w:val="18"/>
              </w:rPr>
              <w:t>Accepts</w:t>
            </w:r>
          </w:p>
        </w:tc>
        <w:tc>
          <w:tcPr>
            <w:tcW w:type="dxa" w:w="1224"/>
            <w:shd w:val="clear" w:color="auto" w:fill="1D3557"/>
          </w:tcPr>
          <w:p>
            <w:pPr>
              <w:spacing w:before="40" w:after="40"/>
            </w:pPr>
            <w:r>
              <w:rPr>
                <w:rFonts w:ascii="Calibri" w:hAnsi="Calibri"/>
                <w:b/>
                <w:color w:val="FFFFFF"/>
                <w:sz w:val="18"/>
              </w:rPr>
              <w:t>Default</w:t>
            </w:r>
          </w:p>
        </w:tc>
        <w:tc>
          <w:tcPr>
            <w:tcW w:type="dxa" w:w="3888"/>
            <w:shd w:val="clear" w:color="auto" w:fill="1D3557"/>
          </w:tcPr>
          <w:p>
            <w:pPr>
              <w:spacing w:before="40" w:after="40"/>
            </w:pPr>
            <w:r>
              <w:rPr>
                <w:rFonts w:ascii="Calibri" w:hAnsi="Calibri"/>
                <w:b/>
                <w:color w:val="FFFFFF"/>
                <w:sz w:val="18"/>
              </w:rPr>
              <w:t>What it does</w:t>
            </w:r>
          </w:p>
        </w:tc>
      </w:tr>
      <w:tr>
        <w:tc>
          <w:tcPr>
            <w:tcW w:type="dxa" w:w="1656"/>
          </w:tcPr>
          <w:p>
            <w:pPr>
              <w:spacing w:before="40" w:after="40"/>
            </w:pPr>
            <w:r>
              <w:rPr>
                <w:rFonts w:ascii="Consolas" w:hAnsi="Consolas"/>
                <w:b w:val="0"/>
                <w:sz w:val="17"/>
              </w:rPr>
              <w:t>--strategy</w:t>
            </w:r>
          </w:p>
        </w:tc>
        <w:tc>
          <w:tcPr>
            <w:tcW w:type="dxa" w:w="2736"/>
          </w:tcPr>
          <w:p>
            <w:pPr>
              <w:spacing w:before="40" w:after="40"/>
            </w:pPr>
            <w:r>
              <w:rPr>
                <w:rFonts w:ascii="Consolas" w:hAnsi="Consolas"/>
                <w:b w:val="0"/>
                <w:sz w:val="17"/>
              </w:rPr>
              <w:t>trust_form | trust_evidence | reconcile</w:t>
            </w:r>
          </w:p>
        </w:tc>
        <w:tc>
          <w:tcPr>
            <w:tcW w:type="dxa" w:w="1224"/>
          </w:tcPr>
          <w:p>
            <w:pPr>
              <w:spacing w:before="40" w:after="40"/>
            </w:pPr>
            <w:r>
              <w:rPr>
                <w:rFonts w:ascii="Calibri" w:hAnsi="Calibri"/>
                <w:b w:val="0"/>
                <w:sz w:val="18"/>
              </w:rPr>
              <w:t>all three</w:t>
            </w:r>
          </w:p>
        </w:tc>
        <w:tc>
          <w:tcPr>
            <w:tcW w:type="dxa" w:w="3888"/>
          </w:tcPr>
          <w:p>
            <w:pPr>
              <w:spacing w:before="40" w:after="40"/>
            </w:pPr>
            <w:r>
              <w:rPr>
                <w:rFonts w:ascii="Calibri" w:hAnsi="Calibri"/>
                <w:b w:val="0"/>
                <w:sz w:val="18"/>
              </w:rPr>
              <w:t>Run one stitching strategy instead of all three.</w:t>
            </w:r>
          </w:p>
        </w:tc>
      </w:tr>
      <w:tr>
        <w:tc>
          <w:tcPr>
            <w:tcW w:type="dxa" w:w="1656"/>
            <w:shd w:val="clear" w:color="auto" w:fill="EDF1F7"/>
          </w:tcPr>
          <w:p>
            <w:pPr>
              <w:spacing w:before="40" w:after="40"/>
            </w:pPr>
            <w:r>
              <w:rPr>
                <w:rFonts w:ascii="Consolas" w:hAnsi="Consolas"/>
                <w:b w:val="0"/>
                <w:sz w:val="17"/>
              </w:rPr>
              <w:t>--show</w:t>
            </w:r>
          </w:p>
        </w:tc>
        <w:tc>
          <w:tcPr>
            <w:tcW w:type="dxa" w:w="2736"/>
            <w:shd w:val="clear" w:color="auto" w:fill="EDF1F7"/>
          </w:tcPr>
          <w:p>
            <w:pPr>
              <w:spacing w:before="40" w:after="40"/>
            </w:pPr>
            <w:r>
              <w:rPr>
                <w:rFonts w:ascii="Consolas" w:hAnsi="Consolas"/>
                <w:b w:val="0"/>
                <w:sz w:val="17"/>
              </w:rPr>
              <w:t>a package id, e.g. PKG-008</w:t>
            </w:r>
          </w:p>
        </w:tc>
        <w:tc>
          <w:tcPr>
            <w:tcW w:type="dxa" w:w="1224"/>
            <w:shd w:val="clear" w:color="auto" w:fill="EDF1F7"/>
          </w:tcPr>
          <w:p>
            <w:pPr>
              <w:spacing w:before="40" w:after="40"/>
            </w:pPr>
            <w:r>
              <w:rPr>
                <w:rFonts w:ascii="Calibri" w:hAnsi="Calibri"/>
                <w:b w:val="0"/>
                <w:sz w:val="18"/>
              </w:rPr>
              <w:t>—</w:t>
            </w:r>
          </w:p>
        </w:tc>
        <w:tc>
          <w:tcPr>
            <w:tcW w:type="dxa" w:w="3888"/>
            <w:shd w:val="clear" w:color="auto" w:fill="EDF1F7"/>
          </w:tcPr>
          <w:p>
            <w:pPr>
              <w:spacing w:before="40" w:after="40"/>
            </w:pPr>
            <w:r>
              <w:rPr>
                <w:rFonts w:ascii="Calibri" w:hAnsi="Calibri"/>
                <w:b w:val="0"/>
                <w:sz w:val="18"/>
              </w:rPr>
              <w:t>One package under all three strategies, in full detail — every conflict, the identity verdict, the checks that ran.</w:t>
            </w:r>
          </w:p>
        </w:tc>
      </w:tr>
      <w:tr>
        <w:tc>
          <w:tcPr>
            <w:tcW w:type="dxa" w:w="1656"/>
          </w:tcPr>
          <w:p>
            <w:pPr>
              <w:spacing w:before="40" w:after="40"/>
            </w:pPr>
            <w:r>
              <w:rPr>
                <w:rFonts w:ascii="Consolas" w:hAnsi="Consolas"/>
                <w:b w:val="0"/>
                <w:sz w:val="17"/>
              </w:rPr>
              <w:t>--failures</w:t>
            </w:r>
          </w:p>
        </w:tc>
        <w:tc>
          <w:tcPr>
            <w:tcW w:type="dxa" w:w="2736"/>
          </w:tcPr>
          <w:p>
            <w:pPr>
              <w:spacing w:before="40" w:after="40"/>
            </w:pPr>
            <w:r>
              <w:rPr>
                <w:rFonts w:ascii="Consolas" w:hAnsi="Consolas"/>
                <w:b w:val="0"/>
                <w:sz w:val="17"/>
              </w:rPr>
              <w:t>a rate, 0.0 to 1.0</w:t>
            </w:r>
          </w:p>
        </w:tc>
        <w:tc>
          <w:tcPr>
            <w:tcW w:type="dxa" w:w="1224"/>
          </w:tcPr>
          <w:p>
            <w:pPr>
              <w:spacing w:before="40" w:after="40"/>
            </w:pPr>
            <w:r>
              <w:rPr>
                <w:rFonts w:ascii="Calibri" w:hAnsi="Calibri"/>
                <w:b w:val="0"/>
                <w:sz w:val="18"/>
              </w:rPr>
              <w:t>0.0</w:t>
            </w:r>
          </w:p>
        </w:tc>
        <w:tc>
          <w:tcPr>
            <w:tcW w:type="dxa" w:w="3888"/>
          </w:tcPr>
          <w:p>
            <w:pPr>
              <w:spacing w:before="40" w:after="40"/>
            </w:pPr>
            <w:r>
              <w:rPr>
                <w:rFonts w:ascii="Calibri" w:hAnsi="Calibri"/>
                <w:b w:val="0"/>
                <w:sz w:val="18"/>
              </w:rPr>
              <w:t>Fail that proportion of documents during processing. Seeded, so it is reproducible.</w:t>
            </w:r>
          </w:p>
        </w:tc>
      </w:tr>
      <w:tr>
        <w:tc>
          <w:tcPr>
            <w:tcW w:type="dxa" w:w="1656"/>
            <w:shd w:val="clear" w:color="auto" w:fill="EDF1F7"/>
          </w:tcPr>
          <w:p>
            <w:pPr>
              <w:spacing w:before="40" w:after="40"/>
            </w:pPr>
            <w:r>
              <w:rPr>
                <w:rFonts w:ascii="Consolas" w:hAnsi="Consolas"/>
                <w:b w:val="0"/>
                <w:sz w:val="17"/>
              </w:rPr>
              <w:t>--provider</w:t>
            </w:r>
          </w:p>
        </w:tc>
        <w:tc>
          <w:tcPr>
            <w:tcW w:type="dxa" w:w="2736"/>
            <w:shd w:val="clear" w:color="auto" w:fill="EDF1F7"/>
          </w:tcPr>
          <w:p>
            <w:pPr>
              <w:spacing w:before="40" w:after="40"/>
            </w:pPr>
            <w:r>
              <w:rPr>
                <w:rFonts w:ascii="Consolas" w:hAnsi="Consolas"/>
                <w:b w:val="0"/>
                <w:sz w:val="17"/>
              </w:rPr>
              <w:t>mock | azure</w:t>
            </w:r>
          </w:p>
        </w:tc>
        <w:tc>
          <w:tcPr>
            <w:tcW w:type="dxa" w:w="1224"/>
            <w:shd w:val="clear" w:color="auto" w:fill="EDF1F7"/>
          </w:tcPr>
          <w:p>
            <w:pPr>
              <w:spacing w:before="40" w:after="40"/>
            </w:pPr>
            <w:r>
              <w:rPr>
                <w:rFonts w:ascii="Calibri" w:hAnsi="Calibri"/>
                <w:b w:val="0"/>
                <w:sz w:val="18"/>
              </w:rPr>
              <w:t>from .env</w:t>
            </w:r>
          </w:p>
        </w:tc>
        <w:tc>
          <w:tcPr>
            <w:tcW w:type="dxa" w:w="3888"/>
            <w:shd w:val="clear" w:color="auto" w:fill="EDF1F7"/>
          </w:tcPr>
          <w:p>
            <w:pPr>
              <w:spacing w:before="40" w:after="40"/>
            </w:pPr>
            <w:r>
              <w:rPr>
                <w:rFonts w:ascii="Calibri" w:hAnsi="Calibri"/>
                <w:b w:val="0"/>
                <w:sz w:val="18"/>
              </w:rPr>
              <w:t>Override the provider for this run only. The safest way to work — leave .env on mock so offline is what happens by accident.</w:t>
            </w:r>
          </w:p>
        </w:tc>
      </w:tr>
      <w:tr>
        <w:tc>
          <w:tcPr>
            <w:tcW w:type="dxa" w:w="1656"/>
          </w:tcPr>
          <w:p>
            <w:pPr>
              <w:spacing w:before="40" w:after="40"/>
            </w:pPr>
            <w:r>
              <w:rPr>
                <w:rFonts w:ascii="Consolas" w:hAnsi="Consolas"/>
                <w:b w:val="0"/>
                <w:sz w:val="17"/>
              </w:rPr>
              <w:t>--overask</w:t>
            </w:r>
          </w:p>
        </w:tc>
        <w:tc>
          <w:tcPr>
            <w:tcW w:type="dxa" w:w="2736"/>
          </w:tcPr>
          <w:p>
            <w:pPr>
              <w:spacing w:before="40" w:after="40"/>
            </w:pPr>
            <w:r>
              <w:rPr>
                <w:rFonts w:ascii="Consolas" w:hAnsi="Consolas"/>
                <w:b w:val="0"/>
                <w:sz w:val="17"/>
              </w:rPr>
              <w:t>—</w:t>
            </w:r>
          </w:p>
        </w:tc>
        <w:tc>
          <w:tcPr>
            <w:tcW w:type="dxa" w:w="1224"/>
          </w:tcPr>
          <w:p>
            <w:pPr>
              <w:spacing w:before="40" w:after="40"/>
            </w:pPr>
            <w:r>
              <w:rPr>
                <w:rFonts w:ascii="Calibri" w:hAnsi="Calibri"/>
                <w:b w:val="0"/>
                <w:sz w:val="18"/>
              </w:rPr>
              <w:t>off</w:t>
            </w:r>
          </w:p>
        </w:tc>
        <w:tc>
          <w:tcPr>
            <w:tcW w:type="dxa" w:w="3888"/>
          </w:tcPr>
          <w:p>
            <w:pPr>
              <w:spacing w:before="40" w:after="40"/>
            </w:pPr>
            <w:r>
              <w:rPr>
                <w:rFonts w:ascii="Calibri" w:hAnsi="Calibri"/>
                <w:b w:val="0"/>
                <w:sz w:val="18"/>
              </w:rPr>
              <w:t>AZURE ONLY. Also ask each document for fields it does not contain, and record what comes back. See section 8.3.</w:t>
            </w:r>
          </w:p>
        </w:tc>
      </w:tr>
      <w:tr>
        <w:tc>
          <w:tcPr>
            <w:tcW w:type="dxa" w:w="1656"/>
            <w:shd w:val="clear" w:color="auto" w:fill="EDF1F7"/>
          </w:tcPr>
          <w:p>
            <w:pPr>
              <w:spacing w:before="40" w:after="40"/>
            </w:pPr>
            <w:r>
              <w:rPr>
                <w:rFonts w:ascii="Consolas" w:hAnsi="Consolas"/>
                <w:b w:val="0"/>
                <w:sz w:val="17"/>
              </w:rPr>
              <w:t>-v, --verbose</w:t>
            </w:r>
          </w:p>
        </w:tc>
        <w:tc>
          <w:tcPr>
            <w:tcW w:type="dxa" w:w="2736"/>
            <w:shd w:val="clear" w:color="auto" w:fill="EDF1F7"/>
          </w:tcPr>
          <w:p>
            <w:pPr>
              <w:spacing w:before="40" w:after="40"/>
            </w:pPr>
            <w:r>
              <w:rPr>
                <w:rFonts w:ascii="Consolas" w:hAnsi="Consolas"/>
                <w:b w:val="0"/>
                <w:sz w:val="17"/>
              </w:rPr>
              <w:t>—</w:t>
            </w:r>
          </w:p>
        </w:tc>
        <w:tc>
          <w:tcPr>
            <w:tcW w:type="dxa" w:w="1224"/>
            <w:shd w:val="clear" w:color="auto" w:fill="EDF1F7"/>
          </w:tcPr>
          <w:p>
            <w:pPr>
              <w:spacing w:before="40" w:after="40"/>
            </w:pPr>
            <w:r>
              <w:rPr>
                <w:rFonts w:ascii="Calibri" w:hAnsi="Calibri"/>
                <w:b w:val="0"/>
                <w:sz w:val="18"/>
              </w:rPr>
              <w:t>off</w:t>
            </w:r>
          </w:p>
        </w:tc>
        <w:tc>
          <w:tcPr>
            <w:tcW w:type="dxa" w:w="3888"/>
            <w:shd w:val="clear" w:color="auto" w:fill="EDF1F7"/>
          </w:tcPr>
          <w:p>
            <w:pPr>
              <w:spacing w:before="40" w:after="40"/>
            </w:pPr>
            <w:r>
              <w:rPr>
                <w:rFonts w:ascii="Calibri" w:hAnsi="Calibri"/>
                <w:b w:val="0"/>
                <w:sz w:val="18"/>
              </w:rPr>
              <w:t>With --selftest, print every passing check as well as the failures.</w:t>
            </w:r>
          </w:p>
        </w:tc>
      </w:tr>
    </w:tbl>
    <w:p>
      <w:pPr>
        <w:spacing w:after="80"/>
      </w:pPr>
    </w:p>
    <w:p>
      <w:pPr>
        <w:spacing w:after="140"/>
      </w:pPr>
      <w:r>
        <w:rPr>
          <w:rFonts w:ascii="Calibri" w:hAnsi="Calibri"/>
          <w:i/>
          <w:sz w:val="21"/>
        </w:rPr>
        <w:t>Flags combine. --provider azure --strategy reconcile --failures 0.2 is a valid and interesting run.</w:t>
      </w:r>
    </w:p>
    <w:p>
      <w:pPr>
        <w:keepNext/>
        <w:spacing w:before="280" w:after="80"/>
      </w:pPr>
      <w:r>
        <w:rPr>
          <w:rFonts w:ascii="Calibri" w:hAnsi="Calibri"/>
          <w:b/>
          <w:color w:val="1D3557"/>
          <w:sz w:val="25"/>
        </w:rPr>
        <w:t>The environment variables</w:t>
      </w:r>
    </w:p>
    <w:p>
      <w:pPr>
        <w:spacing w:after="140"/>
      </w:pPr>
      <w:r>
        <w:rPr>
          <w:rFonts w:ascii="Calibri" w:hAnsi="Calibri"/>
          <w:b w:val="0"/>
          <w:i w:val="0"/>
          <w:sz w:val="21"/>
        </w:rPr>
        <w:t xml:space="preserve">Set these in </w:t>
      </w:r>
      <w:r>
        <w:rPr>
          <w:rFonts w:ascii="Consolas" w:hAnsi="Consolas"/>
          <w:b w:val="0"/>
          <w:i w:val="0"/>
          <w:sz w:val="20"/>
        </w:rPr>
        <w:t>.env</w:t>
      </w:r>
      <w:r>
        <w:rPr>
          <w:rFonts w:ascii="Calibri" w:hAnsi="Calibri"/>
          <w:b w:val="0"/>
          <w:i w:val="0"/>
          <w:sz w:val="21"/>
        </w:rPr>
        <w:t xml:space="preserve">, or as real environment variables — </w:t>
      </w:r>
      <w:r>
        <w:rPr>
          <w:rFonts w:ascii="Calibri" w:hAnsi="Calibri"/>
          <w:b/>
          <w:i w:val="0"/>
          <w:sz w:val="21"/>
        </w:rPr>
        <w:t>a real environment variable always wins</w:t>
      </w:r>
      <w:r>
        <w:rPr>
          <w:rFonts w:ascii="Calibri" w:hAnsi="Calibri"/>
          <w:b w:val="0"/>
          <w:i w:val="0"/>
          <w:sz w:val="21"/>
        </w:rPr>
        <w:t>, so CI and the Azure VM can override without editing a file.</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color="auto" w:fill="1D3557"/>
          </w:tcPr>
          <w:p>
            <w:pPr>
              <w:spacing w:before="40" w:after="40"/>
            </w:pPr>
            <w:r>
              <w:rPr>
                <w:rFonts w:ascii="Calibri" w:hAnsi="Calibri"/>
                <w:b/>
                <w:color w:val="FFFFFF"/>
                <w:sz w:val="18"/>
              </w:rPr>
              <w:t>Variable</w:t>
            </w:r>
          </w:p>
        </w:tc>
        <w:tc>
          <w:tcPr>
            <w:tcW w:type="dxa" w:w="1584"/>
            <w:shd w:val="clear" w:color="auto" w:fill="1D3557"/>
          </w:tcPr>
          <w:p>
            <w:pPr>
              <w:spacing w:before="40" w:after="40"/>
            </w:pPr>
            <w:r>
              <w:rPr>
                <w:rFonts w:ascii="Calibri" w:hAnsi="Calibri"/>
                <w:b/>
                <w:color w:val="FFFFFF"/>
                <w:sz w:val="18"/>
              </w:rPr>
              <w:t>Default</w:t>
            </w:r>
          </w:p>
        </w:tc>
        <w:tc>
          <w:tcPr>
            <w:tcW w:type="dxa" w:w="5184"/>
            <w:shd w:val="clear" w:color="auto" w:fill="1D3557"/>
          </w:tcPr>
          <w:p>
            <w:pPr>
              <w:spacing w:before="40" w:after="40"/>
            </w:pPr>
            <w:r>
              <w:rPr>
                <w:rFonts w:ascii="Calibri" w:hAnsi="Calibri"/>
                <w:b/>
                <w:color w:val="FFFFFF"/>
                <w:sz w:val="18"/>
              </w:rPr>
              <w:t>What it does</w:t>
            </w:r>
          </w:p>
        </w:tc>
      </w:tr>
      <w:tr>
        <w:tc>
          <w:tcPr>
            <w:tcW w:type="dxa" w:w="2736"/>
          </w:tcPr>
          <w:p>
            <w:pPr>
              <w:spacing w:before="40" w:after="40"/>
            </w:pPr>
            <w:r>
              <w:rPr>
                <w:rFonts w:ascii="Consolas" w:hAnsi="Consolas"/>
                <w:b w:val="0"/>
                <w:sz w:val="17"/>
              </w:rPr>
              <w:t>DOCINT_PROVIDER</w:t>
            </w:r>
          </w:p>
        </w:tc>
        <w:tc>
          <w:tcPr>
            <w:tcW w:type="dxa" w:w="1584"/>
          </w:tcPr>
          <w:p>
            <w:pPr>
              <w:spacing w:before="40" w:after="40"/>
            </w:pPr>
            <w:r>
              <w:rPr>
                <w:rFonts w:ascii="Consolas" w:hAnsi="Consolas"/>
                <w:b w:val="0"/>
                <w:sz w:val="17"/>
              </w:rPr>
              <w:t>mock</w:t>
            </w:r>
          </w:p>
        </w:tc>
        <w:tc>
          <w:tcPr>
            <w:tcW w:type="dxa" w:w="5184"/>
          </w:tcPr>
          <w:p>
            <w:pPr>
              <w:spacing w:before="40" w:after="40"/>
            </w:pPr>
            <w:r>
              <w:rPr>
                <w:rFonts w:ascii="Calibri" w:hAnsi="Calibri"/>
                <w:b w:val="0"/>
                <w:sz w:val="18"/>
              </w:rPr>
              <w:t>mock or azure. Same variable name as Day 14 — one .env works for both days.</w:t>
            </w:r>
          </w:p>
        </w:tc>
      </w:tr>
      <w:tr>
        <w:tc>
          <w:tcPr>
            <w:tcW w:type="dxa" w:w="2736"/>
            <w:shd w:val="clear" w:color="auto" w:fill="EDF1F7"/>
          </w:tcPr>
          <w:p>
            <w:pPr>
              <w:spacing w:before="40" w:after="40"/>
            </w:pPr>
            <w:r>
              <w:rPr>
                <w:rFonts w:ascii="Consolas" w:hAnsi="Consolas"/>
                <w:b w:val="0"/>
                <w:sz w:val="17"/>
              </w:rPr>
              <w:t>AZURE_DOCINT_ENDPOINT</w:t>
            </w:r>
          </w:p>
        </w:tc>
        <w:tc>
          <w:tcPr>
            <w:tcW w:type="dxa" w:w="1584"/>
            <w:shd w:val="clear" w:color="auto" w:fill="EDF1F7"/>
          </w:tcPr>
          <w:p>
            <w:pPr>
              <w:spacing w:before="40" w:after="40"/>
            </w:pPr>
            <w:r>
              <w:rPr>
                <w:rFonts w:ascii="Consolas" w:hAnsi="Consolas"/>
                <w:b w:val="0"/>
                <w:sz w:val="17"/>
              </w:rPr>
              <w:t>—</w:t>
            </w:r>
          </w:p>
        </w:tc>
        <w:tc>
          <w:tcPr>
            <w:tcW w:type="dxa" w:w="5184"/>
            <w:shd w:val="clear" w:color="auto" w:fill="EDF1F7"/>
          </w:tcPr>
          <w:p>
            <w:pPr>
              <w:spacing w:before="40" w:after="40"/>
            </w:pPr>
            <w:r>
              <w:rPr>
                <w:rFonts w:ascii="Calibri" w:hAnsi="Calibri"/>
                <w:b w:val="0"/>
                <w:sz w:val="18"/>
              </w:rPr>
              <w:t>Resource endpoint. REQUIRED for azure.</w:t>
            </w:r>
          </w:p>
        </w:tc>
      </w:tr>
      <w:tr>
        <w:tc>
          <w:tcPr>
            <w:tcW w:type="dxa" w:w="2736"/>
          </w:tcPr>
          <w:p>
            <w:pPr>
              <w:spacing w:before="40" w:after="40"/>
            </w:pPr>
            <w:r>
              <w:rPr>
                <w:rFonts w:ascii="Consolas" w:hAnsi="Consolas"/>
                <w:b w:val="0"/>
                <w:sz w:val="17"/>
              </w:rPr>
              <w:t>AZURE_DOCINT_KEY</w:t>
            </w:r>
          </w:p>
        </w:tc>
        <w:tc>
          <w:tcPr>
            <w:tcW w:type="dxa" w:w="1584"/>
          </w:tcPr>
          <w:p>
            <w:pPr>
              <w:spacing w:before="40" w:after="40"/>
            </w:pPr>
            <w:r>
              <w:rPr>
                <w:rFonts w:ascii="Consolas" w:hAnsi="Consolas"/>
                <w:b w:val="0"/>
                <w:sz w:val="17"/>
              </w:rPr>
              <w:t>—</w:t>
            </w:r>
          </w:p>
        </w:tc>
        <w:tc>
          <w:tcPr>
            <w:tcW w:type="dxa" w:w="5184"/>
          </w:tcPr>
          <w:p>
            <w:pPr>
              <w:spacing w:before="40" w:after="40"/>
            </w:pPr>
            <w:r>
              <w:rPr>
                <w:rFonts w:ascii="Calibri" w:hAnsi="Calibri"/>
                <w:b w:val="0"/>
                <w:sz w:val="18"/>
              </w:rPr>
              <w:t>Resource key. REQUIRED for azure. Never commit it.</w:t>
            </w:r>
          </w:p>
        </w:tc>
      </w:tr>
      <w:tr>
        <w:tc>
          <w:tcPr>
            <w:tcW w:type="dxa" w:w="2736"/>
            <w:shd w:val="clear" w:color="auto" w:fill="EDF1F7"/>
          </w:tcPr>
          <w:p>
            <w:pPr>
              <w:spacing w:before="40" w:after="40"/>
            </w:pPr>
            <w:r>
              <w:rPr>
                <w:rFonts w:ascii="Consolas" w:hAnsi="Consolas"/>
                <w:b w:val="0"/>
                <w:sz w:val="17"/>
              </w:rPr>
              <w:t>AZURE_DOCINT_MODEL</w:t>
            </w:r>
          </w:p>
        </w:tc>
        <w:tc>
          <w:tcPr>
            <w:tcW w:type="dxa" w:w="1584"/>
            <w:shd w:val="clear" w:color="auto" w:fill="EDF1F7"/>
          </w:tcPr>
          <w:p>
            <w:pPr>
              <w:spacing w:before="40" w:after="40"/>
            </w:pPr>
            <w:r>
              <w:rPr>
                <w:rFonts w:ascii="Consolas" w:hAnsi="Consolas"/>
                <w:b w:val="0"/>
                <w:sz w:val="17"/>
              </w:rPr>
              <w:t>prebuilt-layout</w:t>
            </w:r>
          </w:p>
        </w:tc>
        <w:tc>
          <w:tcPr>
            <w:tcW w:type="dxa" w:w="5184"/>
            <w:shd w:val="clear" w:color="auto" w:fill="EDF1F7"/>
          </w:tcPr>
          <w:p>
            <w:pPr>
              <w:spacing w:before="40" w:after="40"/>
            </w:pPr>
            <w:r>
              <w:rPr>
                <w:rFonts w:ascii="Calibri" w:hAnsi="Calibri"/>
                <w:b w:val="0"/>
                <w:sz w:val="18"/>
              </w:rPr>
              <w:t>The model the Query Fields add-on attaches to.</w:t>
            </w:r>
          </w:p>
        </w:tc>
      </w:tr>
      <w:tr>
        <w:tc>
          <w:tcPr>
            <w:tcW w:type="dxa" w:w="2736"/>
          </w:tcPr>
          <w:p>
            <w:pPr>
              <w:spacing w:before="40" w:after="40"/>
            </w:pPr>
            <w:r>
              <w:rPr>
                <w:rFonts w:ascii="Consolas" w:hAnsi="Consolas"/>
                <w:b w:val="0"/>
                <w:sz w:val="17"/>
              </w:rPr>
              <w:t>AZURE_DOCINT_API_VERSION</w:t>
            </w:r>
          </w:p>
        </w:tc>
        <w:tc>
          <w:tcPr>
            <w:tcW w:type="dxa" w:w="1584"/>
          </w:tcPr>
          <w:p>
            <w:pPr>
              <w:spacing w:before="40" w:after="40"/>
            </w:pPr>
            <w:r>
              <w:rPr>
                <w:rFonts w:ascii="Consolas" w:hAnsi="Consolas"/>
                <w:b w:val="0"/>
                <w:sz w:val="17"/>
              </w:rPr>
              <w:t>2024-11-30</w:t>
            </w:r>
          </w:p>
        </w:tc>
        <w:tc>
          <w:tcPr>
            <w:tcW w:type="dxa" w:w="5184"/>
          </w:tcPr>
          <w:p>
            <w:pPr>
              <w:spacing w:before="40" w:after="40"/>
            </w:pPr>
            <w:r>
              <w:rPr>
                <w:rFonts w:ascii="Calibri" w:hAnsi="Calibri"/>
                <w:b w:val="0"/>
                <w:sz w:val="18"/>
              </w:rPr>
              <w:t>API version. This also determines the URL route.</w:t>
            </w:r>
          </w:p>
        </w:tc>
      </w:tr>
      <w:tr>
        <w:tc>
          <w:tcPr>
            <w:tcW w:type="dxa" w:w="2736"/>
            <w:shd w:val="clear" w:color="auto" w:fill="EDF1F7"/>
          </w:tcPr>
          <w:p>
            <w:pPr>
              <w:spacing w:before="40" w:after="40"/>
            </w:pPr>
            <w:r>
              <w:rPr>
                <w:rFonts w:ascii="Consolas" w:hAnsi="Consolas"/>
                <w:b w:val="0"/>
                <w:sz w:val="17"/>
              </w:rPr>
              <w:t>AZURE_DOCINT_ROUTE</w:t>
            </w:r>
          </w:p>
        </w:tc>
        <w:tc>
          <w:tcPr>
            <w:tcW w:type="dxa" w:w="1584"/>
            <w:shd w:val="clear" w:color="auto" w:fill="EDF1F7"/>
          </w:tcPr>
          <w:p>
            <w:pPr>
              <w:spacing w:before="40" w:after="40"/>
            </w:pPr>
            <w:r>
              <w:rPr>
                <w:rFonts w:ascii="Consolas" w:hAnsi="Consolas"/>
                <w:b w:val="0"/>
                <w:sz w:val="17"/>
              </w:rPr>
              <w:t>auto</w:t>
            </w:r>
          </w:p>
        </w:tc>
        <w:tc>
          <w:tcPr>
            <w:tcW w:type="dxa" w:w="5184"/>
            <w:shd w:val="clear" w:color="auto" w:fill="EDF1F7"/>
          </w:tcPr>
          <w:p>
            <w:pPr>
              <w:spacing w:before="40" w:after="40"/>
            </w:pPr>
            <w:r>
              <w:rPr>
                <w:rFonts w:ascii="Calibri" w:hAnsi="Calibri"/>
                <w:b w:val="0"/>
                <w:sz w:val="18"/>
              </w:rPr>
              <w:t>auto, documentintelligence, or formrecognizer. Force it only when debugging a 404.</w:t>
            </w:r>
          </w:p>
        </w:tc>
      </w:tr>
      <w:tr>
        <w:tc>
          <w:tcPr>
            <w:tcW w:type="dxa" w:w="2736"/>
          </w:tcPr>
          <w:p>
            <w:pPr>
              <w:spacing w:before="40" w:after="40"/>
            </w:pPr>
            <w:r>
              <w:rPr>
                <w:rFonts w:ascii="Consolas" w:hAnsi="Consolas"/>
                <w:b w:val="0"/>
                <w:sz w:val="17"/>
              </w:rPr>
              <w:t>AZURE_DOCINT_TIMEOUT</w:t>
            </w:r>
          </w:p>
        </w:tc>
        <w:tc>
          <w:tcPr>
            <w:tcW w:type="dxa" w:w="1584"/>
          </w:tcPr>
          <w:p>
            <w:pPr>
              <w:spacing w:before="40" w:after="40"/>
            </w:pPr>
            <w:r>
              <w:rPr>
                <w:rFonts w:ascii="Consolas" w:hAnsi="Consolas"/>
                <w:b w:val="0"/>
                <w:sz w:val="17"/>
              </w:rPr>
              <w:t>180</w:t>
            </w:r>
          </w:p>
        </w:tc>
        <w:tc>
          <w:tcPr>
            <w:tcW w:type="dxa" w:w="5184"/>
          </w:tcPr>
          <w:p>
            <w:pPr>
              <w:spacing w:before="40" w:after="40"/>
            </w:pPr>
            <w:r>
              <w:rPr>
                <w:rFonts w:ascii="Calibri" w:hAnsi="Calibri"/>
                <w:b w:val="0"/>
                <w:sz w:val="18"/>
              </w:rPr>
              <w:t>Seconds to wait for ONE document to finish.</w:t>
            </w:r>
          </w:p>
        </w:tc>
      </w:tr>
      <w:tr>
        <w:tc>
          <w:tcPr>
            <w:tcW w:type="dxa" w:w="2736"/>
            <w:shd w:val="clear" w:color="auto" w:fill="EDF1F7"/>
          </w:tcPr>
          <w:p>
            <w:pPr>
              <w:spacing w:before="40" w:after="40"/>
            </w:pPr>
            <w:r>
              <w:rPr>
                <w:rFonts w:ascii="Consolas" w:hAnsi="Consolas"/>
                <w:b w:val="0"/>
                <w:sz w:val="17"/>
              </w:rPr>
              <w:t>AZURE_DOCINT_POLL_GAP</w:t>
            </w:r>
          </w:p>
        </w:tc>
        <w:tc>
          <w:tcPr>
            <w:tcW w:type="dxa" w:w="1584"/>
            <w:shd w:val="clear" w:color="auto" w:fill="EDF1F7"/>
          </w:tcPr>
          <w:p>
            <w:pPr>
              <w:spacing w:before="40" w:after="40"/>
            </w:pPr>
            <w:r>
              <w:rPr>
                <w:rFonts w:ascii="Consolas" w:hAnsi="Consolas"/>
                <w:b w:val="0"/>
                <w:sz w:val="17"/>
              </w:rPr>
              <w:t>1.5</w:t>
            </w:r>
          </w:p>
        </w:tc>
        <w:tc>
          <w:tcPr>
            <w:tcW w:type="dxa" w:w="5184"/>
            <w:shd w:val="clear" w:color="auto" w:fill="EDF1F7"/>
          </w:tcPr>
          <w:p>
            <w:pPr>
              <w:spacing w:before="40" w:after="40"/>
            </w:pPr>
            <w:r>
              <w:rPr>
                <w:rFonts w:ascii="Calibri" w:hAnsi="Calibri"/>
                <w:b w:val="0"/>
                <w:sz w:val="18"/>
              </w:rPr>
              <w:t>Seconds between polls of the whole batch.</w:t>
            </w:r>
          </w:p>
        </w:tc>
      </w:tr>
      <w:tr>
        <w:tc>
          <w:tcPr>
            <w:tcW w:type="dxa" w:w="2736"/>
          </w:tcPr>
          <w:p>
            <w:pPr>
              <w:spacing w:before="40" w:after="40"/>
            </w:pPr>
            <w:r>
              <w:rPr>
                <w:rFonts w:ascii="Consolas" w:hAnsi="Consolas"/>
                <w:b w:val="0"/>
                <w:sz w:val="17"/>
              </w:rPr>
              <w:t>AZURE_DOCINT_SUBMIT_GAP</w:t>
            </w:r>
          </w:p>
        </w:tc>
        <w:tc>
          <w:tcPr>
            <w:tcW w:type="dxa" w:w="1584"/>
          </w:tcPr>
          <w:p>
            <w:pPr>
              <w:spacing w:before="40" w:after="40"/>
            </w:pPr>
            <w:r>
              <w:rPr>
                <w:rFonts w:ascii="Consolas" w:hAnsi="Consolas"/>
                <w:b w:val="0"/>
                <w:sz w:val="17"/>
              </w:rPr>
              <w:t>0</w:t>
            </w:r>
          </w:p>
        </w:tc>
        <w:tc>
          <w:tcPr>
            <w:tcW w:type="dxa" w:w="5184"/>
          </w:tcPr>
          <w:p>
            <w:pPr>
              <w:spacing w:before="40" w:after="40"/>
            </w:pPr>
            <w:r>
              <w:rPr>
                <w:rFonts w:ascii="Calibri" w:hAnsi="Calibri"/>
                <w:b w:val="0"/>
                <w:sz w:val="18"/>
              </w:rPr>
              <w:t>Seconds between submissions. Raise if a free-tier resource 429s faster than the backoff recovers.</w:t>
            </w:r>
          </w:p>
        </w:tc>
      </w:tr>
      <w:tr>
        <w:tc>
          <w:tcPr>
            <w:tcW w:type="dxa" w:w="2736"/>
            <w:shd w:val="clear" w:color="auto" w:fill="EDF1F7"/>
          </w:tcPr>
          <w:p>
            <w:pPr>
              <w:spacing w:before="40" w:after="40"/>
            </w:pPr>
            <w:r>
              <w:rPr>
                <w:rFonts w:ascii="Consolas" w:hAnsi="Consolas"/>
                <w:b w:val="0"/>
                <w:sz w:val="17"/>
              </w:rPr>
              <w:t>DOCINT_USE_CACHE</w:t>
            </w:r>
          </w:p>
        </w:tc>
        <w:tc>
          <w:tcPr>
            <w:tcW w:type="dxa" w:w="1584"/>
            <w:shd w:val="clear" w:color="auto" w:fill="EDF1F7"/>
          </w:tcPr>
          <w:p>
            <w:pPr>
              <w:spacing w:before="40" w:after="40"/>
            </w:pPr>
            <w:r>
              <w:rPr>
                <w:rFonts w:ascii="Consolas" w:hAnsi="Consolas"/>
                <w:b w:val="0"/>
                <w:sz w:val="17"/>
              </w:rPr>
              <w:t>true</w:t>
            </w:r>
          </w:p>
        </w:tc>
        <w:tc>
          <w:tcPr>
            <w:tcW w:type="dxa" w:w="5184"/>
            <w:shd w:val="clear" w:color="auto" w:fill="EDF1F7"/>
          </w:tcPr>
          <w:p>
            <w:pPr>
              <w:spacing w:before="40" w:after="40"/>
            </w:pPr>
            <w:r>
              <w:rPr>
                <w:rFonts w:ascii="Calibri" w:hAnsi="Calibri"/>
                <w:b w:val="0"/>
                <w:sz w:val="18"/>
              </w:rPr>
              <w:t>Reuse out/azure/di_raw/. Set false to re-bill every document on every run.</w:t>
            </w:r>
          </w:p>
        </w:tc>
      </w:tr>
      <w:tr>
        <w:tc>
          <w:tcPr>
            <w:tcW w:type="dxa" w:w="2736"/>
          </w:tcPr>
          <w:p>
            <w:pPr>
              <w:spacing w:before="40" w:after="40"/>
            </w:pPr>
            <w:r>
              <w:rPr>
                <w:rFonts w:ascii="Consolas" w:hAnsi="Consolas"/>
                <w:b w:val="0"/>
                <w:sz w:val="17"/>
              </w:rPr>
              <w:t>DOCINT_MAX_DOCUMENTS</w:t>
            </w:r>
          </w:p>
        </w:tc>
        <w:tc>
          <w:tcPr>
            <w:tcW w:type="dxa" w:w="1584"/>
          </w:tcPr>
          <w:p>
            <w:pPr>
              <w:spacing w:before="40" w:after="40"/>
            </w:pPr>
            <w:r>
              <w:rPr>
                <w:rFonts w:ascii="Consolas" w:hAnsi="Consolas"/>
                <w:b w:val="0"/>
                <w:sz w:val="17"/>
              </w:rPr>
              <w:t>60</w:t>
            </w:r>
          </w:p>
        </w:tc>
        <w:tc>
          <w:tcPr>
            <w:tcW w:type="dxa" w:w="5184"/>
          </w:tcPr>
          <w:p>
            <w:pPr>
              <w:spacing w:before="40" w:after="40"/>
            </w:pPr>
            <w:r>
              <w:rPr>
                <w:rFonts w:ascii="Calibri" w:hAnsi="Calibri"/>
                <w:b w:val="0"/>
                <w:sz w:val="18"/>
              </w:rPr>
              <w:t>A guard against pointing this at 4,000 documents by accident. This lab needs 32.</w:t>
            </w:r>
          </w:p>
        </w:tc>
      </w:tr>
    </w:tbl>
    <w:p>
      <w:pPr>
        <w:spacing w:after="80"/>
      </w:pPr>
    </w:p>
    <w:p>
      <w:pPr>
        <w:keepNext/>
        <w:spacing w:before="440" w:after="160"/>
        <w:pBdr>
          <w:bottom w:val="single" w:sz="12" w:color="1D3557"/>
        </w:pBdr>
      </w:pPr>
      <w:r>
        <w:rPr>
          <w:rFonts w:ascii="Calibri" w:hAnsi="Calibri"/>
          <w:b/>
          <w:color w:val="1D3557"/>
          <w:sz w:val="34"/>
        </w:rPr>
        <w:t>3 · python3 run_lab.py — the main run</w:t>
      </w:r>
    </w:p>
    <w:p>
      <w:pPr>
        <w:keepNext/>
        <w:spacing w:before="280" w:after="80"/>
      </w:pPr>
      <w:r>
        <w:rPr>
          <w:rFonts w:ascii="Calibri" w:hAnsi="Calibri"/>
          <w:b/>
          <w:color w:val="1D3557"/>
          <w:sz w:val="25"/>
        </w:rPr>
        <w:t>What it does</w:t>
      </w:r>
    </w:p>
    <w:p>
      <w:pPr>
        <w:spacing w:after="140"/>
      </w:pPr>
      <w:r>
        <w:rPr>
          <w:rFonts w:ascii="Calibri" w:hAnsi="Calibri"/>
          <w:i w:val="0"/>
          <w:sz w:val="21"/>
        </w:rPr>
        <w:t>For each of the eight packages, under each of the three strategies: submits every document asynchronously, waits for them all, verifies identity, stitches the survivors into one record, and scores it against ground truth.</w:t>
      </w:r>
    </w:p>
    <w:p>
      <w:pPr>
        <w:keepNext/>
        <w:spacing w:before="280" w:after="80"/>
      </w:pPr>
      <w:r>
        <w:rPr>
          <w:rFonts w:ascii="Calibri" w:hAnsi="Calibri"/>
          <w:b/>
          <w:color w:val="1D3557"/>
          <w:sz w:val="25"/>
        </w:rPr>
        <w:t>What it prints</w:t>
      </w:r>
    </w:p>
    <w:p>
      <w:pPr>
        <w:spacing w:before="100" w:after="180"/>
        <w:ind w:left="259"/>
        <w:shd w:val="clear" w:color="auto" w:fill="F4F6F8"/>
      </w:pPr>
      <w:r>
        <w:rPr>
          <w:rFonts w:ascii="Consolas" w:hAnsi="Consolas"/>
          <w:sz w:val="16"/>
        </w:rPr>
        <w:t>Strategy: trust_form</w:t>
        <w:br/>
        <w:t>package     WRONG  refused  conflicts  verdict  note</w:t>
        <w:br/>
        <w:t>-------------------------------------------------------------------</w:t>
        <w:br/>
        <w:t>PKG-001         0        0    0/0           ok  clean package, ever</w:t>
        <w:br/>
        <w:t>PKG-004         1        0    1/1           ok  declared income doe  &lt;-- annual_income=62000.00</w:t>
        <w:br/>
        <w:t>PKG-006         0        0    0/0           ok  payslip missing fro  &lt;-- declared, not evidenced: annual_income</w:t>
        <w:br/>
        <w:t>-------------------------------------------------------------------</w:t>
        <w:br/>
        <w:t>TOTAL           4        0          6      8/8</w:t>
      </w:r>
    </w:p>
    <w:p>
      <w:pPr>
        <w:keepNext/>
        <w:spacing w:before="280" w:after="80"/>
      </w:pPr>
      <w:r>
        <w:rPr>
          <w:rFonts w:ascii="Calibri" w:hAnsi="Calibri"/>
          <w:b/>
          <w:color w:val="1D3557"/>
          <w:sz w:val="25"/>
        </w:rPr>
        <w:t>The five columns</w:t>
      </w:r>
    </w:p>
    <w:tbl>
      <w:tblPr>
        <w:tblStyle w:val="TableGrid"/>
        <w:tblW w:type="auto" w:w="0"/>
        <w:jc w:val="center"/>
        <w:tblLook w:firstColumn="1" w:firstRow="1" w:lastColumn="0" w:lastRow="0" w:noHBand="0" w:noVBand="1" w:val="04A0"/>
      </w:tblPr>
      <w:tblGrid>
        <w:gridCol w:w="3264"/>
        <w:gridCol w:w="3264"/>
        <w:gridCol w:w="3264"/>
      </w:tblGrid>
      <w:tr>
        <w:tc>
          <w:tcPr>
            <w:tcW w:type="dxa" w:w="1224"/>
            <w:shd w:val="clear" w:color="auto" w:fill="1D3557"/>
          </w:tcPr>
          <w:p>
            <w:pPr>
              <w:spacing w:before="40" w:after="40"/>
            </w:pPr>
            <w:r>
              <w:rPr>
                <w:rFonts w:ascii="Calibri" w:hAnsi="Calibri"/>
                <w:b/>
                <w:color w:val="FFFFFF"/>
                <w:sz w:val="18"/>
              </w:rPr>
              <w:t>Column</w:t>
            </w:r>
          </w:p>
        </w:tc>
        <w:tc>
          <w:tcPr>
            <w:tcW w:type="dxa" w:w="3744"/>
            <w:shd w:val="clear" w:color="auto" w:fill="1D3557"/>
          </w:tcPr>
          <w:p>
            <w:pPr>
              <w:spacing w:before="40" w:after="40"/>
            </w:pPr>
            <w:r>
              <w:rPr>
                <w:rFonts w:ascii="Calibri" w:hAnsi="Calibri"/>
                <w:b/>
                <w:color w:val="FFFFFF"/>
                <w:sz w:val="18"/>
              </w:rPr>
              <w:t>What it counts</w:t>
            </w:r>
          </w:p>
        </w:tc>
        <w:tc>
          <w:tcPr>
            <w:tcW w:type="dxa" w:w="4464"/>
            <w:shd w:val="clear" w:color="auto" w:fill="1D3557"/>
          </w:tcPr>
          <w:p>
            <w:pPr>
              <w:spacing w:before="40" w:after="40"/>
            </w:pPr>
            <w:r>
              <w:rPr>
                <w:rFonts w:ascii="Calibri" w:hAnsi="Calibri"/>
                <w:b/>
                <w:color w:val="FFFFFF"/>
                <w:sz w:val="18"/>
              </w:rPr>
              <w:t>How to treat it</w:t>
            </w:r>
          </w:p>
        </w:tc>
      </w:tr>
      <w:tr>
        <w:tc>
          <w:tcPr>
            <w:tcW w:type="dxa" w:w="1224"/>
          </w:tcPr>
          <w:p>
            <w:pPr>
              <w:spacing w:before="40" w:after="40"/>
            </w:pPr>
            <w:r>
              <w:rPr>
                <w:rFonts w:ascii="Consolas" w:hAnsi="Consolas"/>
                <w:b w:val="0"/>
                <w:sz w:val="17"/>
              </w:rPr>
              <w:t>WRONG</w:t>
            </w:r>
          </w:p>
        </w:tc>
        <w:tc>
          <w:tcPr>
            <w:tcW w:type="dxa" w:w="3744"/>
          </w:tcPr>
          <w:p>
            <w:pPr>
              <w:spacing w:before="40" w:after="40"/>
            </w:pPr>
            <w:r>
              <w:rPr>
                <w:rFonts w:ascii="Calibri" w:hAnsi="Calibri"/>
                <w:b w:val="0"/>
                <w:sz w:val="18"/>
              </w:rPr>
              <w:t>Values stitched into the unified record that are not correct, with no flag attached</w:t>
            </w:r>
          </w:p>
        </w:tc>
        <w:tc>
          <w:tcPr>
            <w:tcW w:type="dxa" w:w="4464"/>
          </w:tcPr>
          <w:p>
            <w:pPr>
              <w:spacing w:before="40" w:after="40"/>
            </w:pPr>
            <w:r>
              <w:rPr>
                <w:rFonts w:ascii="Calibri" w:hAnsi="Calibri"/>
                <w:b w:val="0"/>
                <w:sz w:val="18"/>
              </w:rPr>
              <w:t>THE ONLY COLUMN THAT CAN HURT A CUSTOMER. Judge every strategy on this first and everything else second.</w:t>
            </w:r>
          </w:p>
        </w:tc>
      </w:tr>
      <w:tr>
        <w:tc>
          <w:tcPr>
            <w:tcW w:type="dxa" w:w="1224"/>
            <w:shd w:val="clear" w:color="auto" w:fill="EDF1F7"/>
          </w:tcPr>
          <w:p>
            <w:pPr>
              <w:spacing w:before="40" w:after="40"/>
            </w:pPr>
            <w:r>
              <w:rPr>
                <w:rFonts w:ascii="Consolas" w:hAnsi="Consolas"/>
                <w:b w:val="0"/>
                <w:sz w:val="17"/>
              </w:rPr>
              <w:t>refused</w:t>
            </w:r>
          </w:p>
        </w:tc>
        <w:tc>
          <w:tcPr>
            <w:tcW w:type="dxa" w:w="3744"/>
            <w:shd w:val="clear" w:color="auto" w:fill="EDF1F7"/>
          </w:tcPr>
          <w:p>
            <w:pPr>
              <w:spacing w:before="40" w:after="40"/>
            </w:pPr>
            <w:r>
              <w:rPr>
                <w:rFonts w:ascii="Calibri" w:hAnsi="Calibri"/>
                <w:b w:val="0"/>
                <w:sz w:val="18"/>
              </w:rPr>
              <w:t>Values the strategy declined to pick, because the sources disagreed</w:t>
            </w:r>
          </w:p>
        </w:tc>
        <w:tc>
          <w:tcPr>
            <w:tcW w:type="dxa" w:w="4464"/>
            <w:shd w:val="clear" w:color="auto" w:fill="EDF1F7"/>
          </w:tcPr>
          <w:p>
            <w:pPr>
              <w:spacing w:before="40" w:after="40"/>
            </w:pPr>
            <w:r>
              <w:rPr>
                <w:rFonts w:ascii="Calibri" w:hAnsi="Calibri"/>
                <w:b w:val="0"/>
                <w:sz w:val="18"/>
              </w:rPr>
              <w:t>A cost, not a failure. It buys a handler decision. Roughly thirty seconds each.</w:t>
            </w:r>
          </w:p>
        </w:tc>
      </w:tr>
      <w:tr>
        <w:tc>
          <w:tcPr>
            <w:tcW w:type="dxa" w:w="1224"/>
          </w:tcPr>
          <w:p>
            <w:pPr>
              <w:spacing w:before="40" w:after="40"/>
            </w:pPr>
            <w:r>
              <w:rPr>
                <w:rFonts w:ascii="Consolas" w:hAnsi="Consolas"/>
                <w:b w:val="0"/>
                <w:sz w:val="17"/>
              </w:rPr>
              <w:t>conflicts</w:t>
            </w:r>
          </w:p>
        </w:tc>
        <w:tc>
          <w:tcPr>
            <w:tcW w:type="dxa" w:w="3744"/>
          </w:tcPr>
          <w:p>
            <w:pPr>
              <w:spacing w:before="40" w:after="40"/>
            </w:pPr>
            <w:r>
              <w:rPr>
                <w:rFonts w:ascii="Calibri" w:hAnsi="Calibri"/>
                <w:b w:val="0"/>
                <w:sz w:val="18"/>
              </w:rPr>
              <w:t>Disagreements found / disagreements expected</w:t>
            </w:r>
          </w:p>
        </w:tc>
        <w:tc>
          <w:tcPr>
            <w:tcW w:type="dxa" w:w="4464"/>
          </w:tcPr>
          <w:p>
            <w:pPr>
              <w:spacing w:before="40" w:after="40"/>
            </w:pPr>
            <w:r>
              <w:rPr>
                <w:rFonts w:ascii="Calibri" w:hAnsi="Calibri"/>
                <w:b w:val="0"/>
                <w:sz w:val="18"/>
              </w:rPr>
              <w:t>All three strategies find the SAME conflicts. Finding them is not the differentiator — what you do about them is.</w:t>
            </w:r>
          </w:p>
        </w:tc>
      </w:tr>
      <w:tr>
        <w:tc>
          <w:tcPr>
            <w:tcW w:type="dxa" w:w="1224"/>
            <w:shd w:val="clear" w:color="auto" w:fill="EDF1F7"/>
          </w:tcPr>
          <w:p>
            <w:pPr>
              <w:spacing w:before="40" w:after="40"/>
            </w:pPr>
            <w:r>
              <w:rPr>
                <w:rFonts w:ascii="Consolas" w:hAnsi="Consolas"/>
                <w:b w:val="0"/>
                <w:sz w:val="17"/>
              </w:rPr>
              <w:t>verdict</w:t>
            </w:r>
          </w:p>
        </w:tc>
        <w:tc>
          <w:tcPr>
            <w:tcW w:type="dxa" w:w="3744"/>
            <w:shd w:val="clear" w:color="auto" w:fill="EDF1F7"/>
          </w:tcPr>
          <w:p>
            <w:pPr>
              <w:spacing w:before="40" w:after="40"/>
            </w:pPr>
            <w:r>
              <w:rPr>
                <w:rFonts w:ascii="Calibri" w:hAnsi="Calibri"/>
                <w:b w:val="0"/>
                <w:sz w:val="18"/>
              </w:rPr>
              <w:t>ok / WRONG / n/a for the identity check</w:t>
            </w:r>
          </w:p>
        </w:tc>
        <w:tc>
          <w:tcPr>
            <w:tcW w:type="dxa" w:w="4464"/>
            <w:shd w:val="clear" w:color="auto" w:fill="EDF1F7"/>
          </w:tcPr>
          <w:p>
            <w:pPr>
              <w:spacing w:before="40" w:after="40"/>
            </w:pPr>
            <w:r>
              <w:rPr>
                <w:rFonts w:ascii="Calibri" w:hAnsi="Calibri"/>
                <w:b w:val="0"/>
                <w:sz w:val="18"/>
              </w:rPr>
              <w:t>Three states, not two. n/a means the check could not run at all, which is different from running and being wrong.</w:t>
            </w:r>
          </w:p>
        </w:tc>
      </w:tr>
      <w:tr>
        <w:tc>
          <w:tcPr>
            <w:tcW w:type="dxa" w:w="1224"/>
          </w:tcPr>
          <w:p>
            <w:pPr>
              <w:spacing w:before="40" w:after="40"/>
            </w:pPr>
            <w:r>
              <w:rPr>
                <w:rFonts w:ascii="Consolas" w:hAnsi="Consolas"/>
                <w:b w:val="0"/>
                <w:sz w:val="17"/>
              </w:rPr>
              <w:t>note</w:t>
            </w:r>
          </w:p>
        </w:tc>
        <w:tc>
          <w:tcPr>
            <w:tcW w:type="dxa" w:w="3744"/>
          </w:tcPr>
          <w:p>
            <w:pPr>
              <w:spacing w:before="40" w:after="40"/>
            </w:pPr>
            <w:r>
              <w:rPr>
                <w:rFonts w:ascii="Calibri" w:hAnsi="Calibri"/>
                <w:b w:val="0"/>
                <w:sz w:val="18"/>
              </w:rPr>
              <w:t>What makes this package hard, plus an arrow naming the first wrong value</w:t>
            </w:r>
          </w:p>
        </w:tc>
        <w:tc>
          <w:tcPr>
            <w:tcW w:type="dxa" w:w="4464"/>
          </w:tcPr>
          <w:p>
            <w:pPr>
              <w:spacing w:before="40" w:after="40"/>
            </w:pPr>
            <w:r>
              <w:rPr>
                <w:rFonts w:ascii="Calibri" w:hAnsi="Calibri"/>
                <w:b w:val="0"/>
                <w:sz w:val="18"/>
              </w:rPr>
              <w:t>The arrow means you never have to hunt for which field broke.</w:t>
            </w:r>
          </w:p>
        </w:tc>
      </w:tr>
    </w:tbl>
    <w:p>
      <w:pPr>
        <w:spacing w:after="80"/>
      </w:pPr>
    </w:p>
    <w:p>
      <w:pPr>
        <w:keepNext/>
        <w:spacing w:before="200" w:after="60"/>
      </w:pPr>
      <w:r>
        <w:rPr>
          <w:rFonts w:ascii="Calibri" w:hAnsi="Calibri"/>
          <w:b/>
          <w:color w:val="1B6C6F"/>
          <w:sz w:val="22"/>
        </w:rPr>
        <w:t>A worked line</w:t>
      </w:r>
    </w:p>
    <w:p>
      <w:pPr>
        <w:spacing w:before="100" w:after="180"/>
        <w:ind w:left="259"/>
        <w:shd w:val="clear" w:color="auto" w:fill="F4F6F8"/>
      </w:pPr>
      <w:r>
        <w:rPr>
          <w:rFonts w:ascii="Consolas" w:hAnsi="Consolas"/>
          <w:sz w:val="18"/>
        </w:rPr>
        <w:t>PKG-004         1        0    1/1           ok  declared income doe  &lt;-- annual_income=62000.00</w:t>
      </w:r>
    </w:p>
    <w:p>
      <w:pPr>
        <w:spacing w:after="140"/>
      </w:pPr>
      <w:r>
        <w:rPr>
          <w:rFonts w:ascii="Calibri" w:hAnsi="Calibri"/>
          <w:i w:val="0"/>
          <w:sz w:val="21"/>
        </w:rPr>
        <w:t>One wrong value was accepted. Nothing was refused. One conflict was expected and one was found. The identity verdict was correct. And the arrow tells you exactly which field went wrong and what was written: annual_income, stitched as 62,000.</w:t>
      </w:r>
    </w:p>
    <w:p>
      <w:pPr>
        <w:spacing w:after="140"/>
      </w:pPr>
      <w:r>
        <w:rPr>
          <w:rFonts w:ascii="Calibri" w:hAnsi="Calibri"/>
          <w:i w:val="0"/>
          <w:sz w:val="21"/>
        </w:rPr>
        <w:t>The form declared £62,000. The payslip says £3,625 a month, which is £43,500 a year — a 42% difference. trust_form believed the applicant, wrote 62,000 into the record, attached no flag, and produced a complete-looking record that is wrong by eighteen and a half thousand pounds.</w:t>
      </w:r>
    </w:p>
    <w:p>
      <w:pPr>
        <w:keepNext/>
        <w:spacing w:before="200" w:after="60"/>
      </w:pPr>
      <w:r>
        <w:rPr>
          <w:rFonts w:ascii="Calibri" w:hAnsi="Calibri"/>
          <w:b/>
          <w:color w:val="1B6C6F"/>
          <w:sz w:val="22"/>
        </w:rPr>
        <w:t>The second kind of arrow</w:t>
      </w:r>
    </w:p>
    <w:p>
      <w:pPr>
        <w:spacing w:before="100" w:after="180"/>
        <w:ind w:left="259"/>
        <w:shd w:val="clear" w:color="auto" w:fill="F4F6F8"/>
      </w:pPr>
      <w:r>
        <w:rPr>
          <w:rFonts w:ascii="Consolas" w:hAnsi="Consolas"/>
          <w:sz w:val="18"/>
        </w:rPr>
        <w:t>PKG-006         0        0    0/0           ok  payslip missing fro  &lt;-- declared, not evidenced: annual_income</w:t>
      </w:r>
    </w:p>
    <w:p>
      <w:pPr>
        <w:spacing w:after="140"/>
      </w:pPr>
      <w:r>
        <w:rPr>
          <w:rFonts w:ascii="Calibri" w:hAnsi="Calibri"/>
          <w:i w:val="0"/>
          <w:sz w:val="21"/>
        </w:rPr>
        <w:t>Zero wrong. Zero conflicts. And still flagged — because PKG-006's payslip never arrived, so the £47,000 income figure came only from the form. The value is CORRECT. It is just not EVIDENCED.</w:t>
      </w:r>
    </w:p>
    <w:tbl>
      <w:tblPr>
        <w:tblW w:type="auto" w:w="0"/>
        <w:jc w:val="center"/>
        <w:tblLook w:firstColumn="1" w:firstRow="1" w:lastColumn="0" w:lastRow="0" w:noHBand="0" w:noVBand="1" w:val="04A0"/>
      </w:tblPr>
      <w:tblGrid>
        <w:gridCol w:w="9792"/>
      </w:tblGrid>
      <w:tr>
        <w:tc>
          <w:tcPr>
            <w:tcW w:type="dxa" w:w="9792"/>
            <w:shd w:val="clear" w:color="auto" w:fill="EAF2F5"/>
          </w:tcPr>
          <w:p>
            <w:pPr>
              <w:spacing w:before="120" w:after="120"/>
            </w:pPr>
            <w:r>
              <w:rPr>
                <w:rFonts w:ascii="Calibri" w:hAnsi="Calibri"/>
                <w:b/>
                <w:color w:val="1B6C6F"/>
                <w:sz w:val="21"/>
              </w:rPr>
              <w:t xml:space="preserve">PKG-006 is the subtle one.  </w:t>
            </w:r>
            <w:r>
              <w:rPr>
                <w:rFonts w:ascii="Calibri" w:hAnsi="Calibri"/>
                <w:sz w:val="21"/>
              </w:rPr>
              <w:t>A record that cannot tell 'the applicant told us' apart from 'a document proved it' is defective even when every value in it is right. That distinction is what the provenance block exists for, and it is the one most pipelines never build.</w:t>
            </w:r>
          </w:p>
        </w:tc>
      </w:tr>
    </w:tbl>
    <w:p>
      <w:pPr>
        <w:spacing w:after="60"/>
      </w:pPr>
    </w:p>
    <w:p>
      <w:pPr>
        <w:keepNext/>
        <w:spacing w:before="280" w:after="80"/>
      </w:pPr>
      <w:r>
        <w:rPr>
          <w:rFonts w:ascii="Calibri" w:hAnsi="Calibri"/>
          <w:b/>
          <w:color w:val="1D3557"/>
          <w:sz w:val="25"/>
        </w:rPr>
        <w:t>The summary you should see</w:t>
      </w:r>
    </w:p>
    <w:p>
      <w:pPr>
        <w:spacing w:before="100" w:after="180"/>
        <w:ind w:left="259"/>
        <w:shd w:val="clear" w:color="auto" w:fill="F4F6F8"/>
      </w:pPr>
      <w:r>
        <w:rPr>
          <w:rFonts w:ascii="Consolas" w:hAnsi="Consolas"/>
          <w:sz w:val="16"/>
        </w:rPr>
        <w:t xml:space="preserve">  trust_form        4 wrong accepted,  0 refused,  6 conflicts surfaced, 8/8 verdicts correct</w:t>
        <w:br/>
        <w:t xml:space="preserve">  trust_evidence    2 wrong accepted,  0 refused,  6 conflicts surfaced, 8/8 verdicts correct</w:t>
        <w:br/>
        <w:t xml:space="preserve">  reconcile         0 wrong accepted,  4 refused,  6 conflicts surfaced, 8/8 verdicts correct</w:t>
      </w:r>
    </w:p>
    <w:p>
      <w:pPr>
        <w:spacing w:after="140"/>
      </w:pPr>
      <w:r>
        <w:rPr>
          <w:rFonts w:ascii="Calibri" w:hAnsi="Calibri"/>
          <w:i w:val="0"/>
          <w:sz w:val="21"/>
        </w:rPr>
        <w:t>The mock provider is deterministic. If your numbers are not exactly 4 / 2 / 0, something is wrong with your setup rather than your reasoning — run --selftest and it will name the check that broke.</w:t>
      </w:r>
    </w:p>
    <w:p>
      <w:pPr>
        <w:keepNext/>
        <w:spacing w:before="280" w:after="80"/>
      </w:pPr>
      <w:r>
        <w:rPr>
          <w:rFonts w:ascii="Calibri" w:hAnsi="Calibri"/>
          <w:b/>
          <w:color w:val="1D3557"/>
          <w:sz w:val="25"/>
        </w:rPr>
        <w:t>How to read the three strategies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val="clear" w:color="auto" w:fill="1D3557"/>
          </w:tcPr>
          <w:p>
            <w:pPr>
              <w:spacing w:before="40" w:after="40"/>
            </w:pPr>
            <w:r>
              <w:rPr>
                <w:rFonts w:ascii="Calibri" w:hAnsi="Calibri"/>
                <w:b/>
                <w:color w:val="FFFFFF"/>
                <w:sz w:val="17"/>
              </w:rPr>
              <w:t>Strategy</w:t>
            </w:r>
          </w:p>
        </w:tc>
        <w:tc>
          <w:tcPr>
            <w:tcW w:type="dxa" w:w="2664"/>
            <w:shd w:val="clear" w:color="auto" w:fill="1D3557"/>
          </w:tcPr>
          <w:p>
            <w:pPr>
              <w:spacing w:before="40" w:after="40"/>
            </w:pPr>
            <w:r>
              <w:rPr>
                <w:rFonts w:ascii="Calibri" w:hAnsi="Calibri"/>
                <w:b/>
                <w:color w:val="FFFFFF"/>
                <w:sz w:val="17"/>
              </w:rPr>
              <w:t>What it believes</w:t>
            </w:r>
          </w:p>
        </w:tc>
        <w:tc>
          <w:tcPr>
            <w:tcW w:type="dxa" w:w="2520"/>
            <w:shd w:val="clear" w:color="auto" w:fill="1D3557"/>
          </w:tcPr>
          <w:p>
            <w:pPr>
              <w:spacing w:before="40" w:after="40"/>
            </w:pPr>
            <w:r>
              <w:rPr>
                <w:rFonts w:ascii="Calibri" w:hAnsi="Calibri"/>
                <w:b/>
                <w:color w:val="FFFFFF"/>
                <w:sz w:val="17"/>
              </w:rPr>
              <w:t>What it produces</w:t>
            </w:r>
          </w:p>
        </w:tc>
        <w:tc>
          <w:tcPr>
            <w:tcW w:type="dxa" w:w="2880"/>
            <w:shd w:val="clear" w:color="auto" w:fill="1D3557"/>
          </w:tcPr>
          <w:p>
            <w:pPr>
              <w:spacing w:before="40" w:after="40"/>
            </w:pPr>
            <w:r>
              <w:rPr>
                <w:rFonts w:ascii="Calibri" w:hAnsi="Calibri"/>
                <w:b/>
                <w:color w:val="FFFFFF"/>
                <w:sz w:val="17"/>
              </w:rPr>
              <w:t>The problem with it</w:t>
            </w:r>
          </w:p>
        </w:tc>
      </w:tr>
      <w:tr>
        <w:tc>
          <w:tcPr>
            <w:tcW w:type="dxa" w:w="1584"/>
          </w:tcPr>
          <w:p>
            <w:pPr>
              <w:spacing w:before="40" w:after="40"/>
            </w:pPr>
            <w:r>
              <w:rPr>
                <w:rFonts w:ascii="Consolas" w:hAnsi="Consolas"/>
                <w:b w:val="0"/>
                <w:sz w:val="16"/>
              </w:rPr>
              <w:t>trust_form</w:t>
            </w:r>
          </w:p>
        </w:tc>
        <w:tc>
          <w:tcPr>
            <w:tcW w:type="dxa" w:w="2664"/>
          </w:tcPr>
          <w:p>
            <w:pPr>
              <w:spacing w:before="40" w:after="40"/>
            </w:pPr>
            <w:r>
              <w:rPr>
                <w:rFonts w:ascii="Calibri" w:hAnsi="Calibri"/>
                <w:b w:val="0"/>
                <w:sz w:val="17"/>
              </w:rPr>
              <w:t>The applicant. The application form wins every disagreement.</w:t>
            </w:r>
          </w:p>
        </w:tc>
        <w:tc>
          <w:tcPr>
            <w:tcW w:type="dxa" w:w="2520"/>
          </w:tcPr>
          <w:p>
            <w:pPr>
              <w:spacing w:before="40" w:after="40"/>
            </w:pPr>
            <w:r>
              <w:rPr>
                <w:rFonts w:ascii="Calibri" w:hAnsi="Calibri"/>
                <w:b w:val="0"/>
                <w:sz w:val="17"/>
              </w:rPr>
              <w:t>A complete record, every time. 4 wrong values.</w:t>
            </w:r>
          </w:p>
        </w:tc>
        <w:tc>
          <w:tcPr>
            <w:tcW w:type="dxa" w:w="2880"/>
          </w:tcPr>
          <w:p>
            <w:pPr>
              <w:spacing w:before="40" w:after="40"/>
            </w:pPr>
            <w:r>
              <w:rPr>
                <w:rFonts w:ascii="Calibri" w:hAnsi="Calibri"/>
                <w:b w:val="0"/>
                <w:sz w:val="17"/>
              </w:rPr>
              <w:t>It treats a claimant's own declaration as authoritative over the evidence submitted to support it.</w:t>
            </w:r>
          </w:p>
        </w:tc>
      </w:tr>
      <w:tr>
        <w:tc>
          <w:tcPr>
            <w:tcW w:type="dxa" w:w="1584"/>
            <w:shd w:val="clear" w:color="auto" w:fill="EDF1F7"/>
          </w:tcPr>
          <w:p>
            <w:pPr>
              <w:spacing w:before="40" w:after="40"/>
            </w:pPr>
            <w:r>
              <w:rPr>
                <w:rFonts w:ascii="Consolas" w:hAnsi="Consolas"/>
                <w:b w:val="0"/>
                <w:sz w:val="16"/>
              </w:rPr>
              <w:t>trust_evidence</w:t>
            </w:r>
          </w:p>
        </w:tc>
        <w:tc>
          <w:tcPr>
            <w:tcW w:type="dxa" w:w="2664"/>
            <w:shd w:val="clear" w:color="auto" w:fill="EDF1F7"/>
          </w:tcPr>
          <w:p>
            <w:pPr>
              <w:spacing w:before="40" w:after="40"/>
            </w:pPr>
            <w:r>
              <w:rPr>
                <w:rFonts w:ascii="Calibri" w:hAnsi="Calibri"/>
                <w:b w:val="0"/>
                <w:sz w:val="17"/>
              </w:rPr>
              <w:t>The paperwork. A precedence table decides which document wins.</w:t>
            </w:r>
          </w:p>
        </w:tc>
        <w:tc>
          <w:tcPr>
            <w:tcW w:type="dxa" w:w="2520"/>
            <w:shd w:val="clear" w:color="auto" w:fill="EDF1F7"/>
          </w:tcPr>
          <w:p>
            <w:pPr>
              <w:spacing w:before="40" w:after="40"/>
            </w:pPr>
            <w:r>
              <w:rPr>
                <w:rFonts w:ascii="Calibri" w:hAnsi="Calibri"/>
                <w:b w:val="0"/>
                <w:sz w:val="17"/>
              </w:rPr>
              <w:t>A complete record, every time. 2 wrong values.</w:t>
            </w:r>
          </w:p>
        </w:tc>
        <w:tc>
          <w:tcPr>
            <w:tcW w:type="dxa" w:w="2880"/>
            <w:shd w:val="clear" w:color="auto" w:fill="EDF1F7"/>
          </w:tcPr>
          <w:p>
            <w:pPr>
              <w:spacing w:before="40" w:after="40"/>
            </w:pPr>
            <w:r>
              <w:rPr>
                <w:rFonts w:ascii="Calibri" w:hAnsi="Calibri"/>
                <w:b w:val="0"/>
                <w:sz w:val="17"/>
              </w:rPr>
              <w:t>Better — but it still GUESSES. It is confidently wrong on PKG-007 and PKG-008, where precedence has no way of knowing the document is the wrong one.</w:t>
            </w:r>
          </w:p>
        </w:tc>
      </w:tr>
      <w:tr>
        <w:tc>
          <w:tcPr>
            <w:tcW w:type="dxa" w:w="1584"/>
          </w:tcPr>
          <w:p>
            <w:pPr>
              <w:spacing w:before="40" w:after="40"/>
            </w:pPr>
            <w:r>
              <w:rPr>
                <w:rFonts w:ascii="Consolas" w:hAnsi="Consolas"/>
                <w:b w:val="0"/>
                <w:sz w:val="16"/>
              </w:rPr>
              <w:t>reconcile</w:t>
            </w:r>
          </w:p>
        </w:tc>
        <w:tc>
          <w:tcPr>
            <w:tcW w:type="dxa" w:w="2664"/>
          </w:tcPr>
          <w:p>
            <w:pPr>
              <w:spacing w:before="40" w:after="40"/>
            </w:pPr>
            <w:r>
              <w:rPr>
                <w:rFonts w:ascii="Calibri" w:hAnsi="Calibri"/>
                <w:b w:val="0"/>
                <w:sz w:val="17"/>
              </w:rPr>
              <w:t>Neither. It surfaces the disagreement and refuses to pick.</w:t>
            </w:r>
          </w:p>
        </w:tc>
        <w:tc>
          <w:tcPr>
            <w:tcW w:type="dxa" w:w="2520"/>
          </w:tcPr>
          <w:p>
            <w:pPr>
              <w:spacing w:before="40" w:after="40"/>
            </w:pPr>
            <w:r>
              <w:rPr>
                <w:rFonts w:ascii="Calibri" w:hAnsi="Calibri"/>
                <w:b w:val="0"/>
                <w:sz w:val="17"/>
              </w:rPr>
              <w:t>An INCOMPLETE record on 4 packages. 0 wrong values.</w:t>
            </w:r>
          </w:p>
        </w:tc>
        <w:tc>
          <w:tcPr>
            <w:tcW w:type="dxa" w:w="2880"/>
          </w:tcPr>
          <w:p>
            <w:pPr>
              <w:spacing w:before="40" w:after="40"/>
            </w:pPr>
            <w:r>
              <w:rPr>
                <w:rFonts w:ascii="Calibri" w:hAnsi="Calibri"/>
                <w:b w:val="0"/>
                <w:sz w:val="17"/>
              </w:rPr>
              <w:t>It costs a handler time on every conflict, including the trivial ones. That is a real cost and you should quote it at the client's real volume.</w:t>
            </w:r>
          </w:p>
        </w:tc>
      </w:tr>
    </w:tbl>
    <w:p>
      <w:pPr>
        <w:spacing w:after="80"/>
      </w:pP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The uncomfortable result.  </w:t>
            </w:r>
            <w:r>
              <w:rPr>
                <w:rFonts w:ascii="Calibri" w:hAnsi="Calibri"/>
                <w:sz w:val="21"/>
              </w:rPr>
              <w:t>trust_form and trust_evidence both produce a complete record every single time. That is exactly what makes them dangerous — a record with no gaps looks finished, and several of its values are wrong with nothing attached to say so. reconcile's incompleteness is a VISIBLE cost, paid by somebody who knows they are paying it.</w:t>
            </w:r>
          </w:p>
        </w:tc>
      </w:tr>
    </w:tbl>
    <w:p>
      <w:pPr>
        <w:spacing w:after="60"/>
      </w:pPr>
    </w:p>
    <w:p>
      <w:pPr>
        <w:keepNext/>
        <w:spacing w:before="440" w:after="160"/>
        <w:pBdr>
          <w:bottom w:val="single" w:sz="12" w:color="1D3557"/>
        </w:pBdr>
      </w:pPr>
      <w:r>
        <w:rPr>
          <w:rFonts w:ascii="Calibri" w:hAnsi="Calibri"/>
          <w:b/>
          <w:color w:val="1D3557"/>
          <w:sz w:val="34"/>
        </w:rPr>
        <w:t>4 · python3 run_lab.py --show PKG-XXX</w:t>
      </w:r>
    </w:p>
    <w:p>
      <w:pPr>
        <w:spacing w:after="140"/>
      </w:pPr>
      <w:r>
        <w:rPr>
          <w:rFonts w:ascii="Calibri" w:hAnsi="Calibri"/>
          <w:i w:val="0"/>
          <w:sz w:val="21"/>
        </w:rPr>
        <w:t>One package, all three strategies, everything the pipeline knows. This is where you go when a line in the main table surprises you.</w:t>
      </w:r>
    </w:p>
    <w:p>
      <w:pPr>
        <w:spacing w:before="100" w:after="180"/>
        <w:ind w:left="259"/>
        <w:shd w:val="clear" w:color="auto" w:fill="F4F6F8"/>
      </w:pPr>
      <w:r>
        <w:rPr>
          <w:rFonts w:ascii="Consolas" w:hAnsi="Consolas"/>
          <w:sz w:val="18"/>
        </w:rPr>
        <w:t>python3 run_lab.py --show PKG-008</w:t>
      </w:r>
    </w:p>
    <w:p>
      <w:pPr>
        <w:keepNext/>
        <w:spacing w:before="280" w:after="80"/>
      </w:pPr>
      <w:r>
        <w:rPr>
          <w:rFonts w:ascii="Calibri" w:hAnsi="Calibri"/>
          <w:b/>
          <w:color w:val="1D3557"/>
          <w:sz w:val="25"/>
        </w:rPr>
        <w:t>Actual output</w:t>
      </w:r>
    </w:p>
    <w:p>
      <w:pPr>
        <w:spacing w:before="100" w:after="180"/>
        <w:ind w:left="259"/>
        <w:shd w:val="clear" w:color="auto" w:fill="F4F6F8"/>
      </w:pPr>
      <w:r>
        <w:rPr>
          <w:rFonts w:ascii="Consolas" w:hAnsi="Consolas"/>
          <w:sz w:val="16"/>
        </w:rPr>
        <w:t>PKG-008 - bank statement belongs to a different person</w:t>
        <w:br/>
        <w:t xml:space="preserve">  why it matters: bank statement is a different person entirely.</w:t>
        <w:br/>
        <w:t xml:space="preserve">                  Nothing about the document looks wrong.</w:t>
        <w:br/>
        <w:br/>
        <w:t xml:space="preserve">  STRATEGY: trust_form</w:t>
        <w:br/>
        <w:t xml:space="preserve">    wrong accepted: 1    conflicts: 2    needs_human: True</w:t>
        <w:br/>
        <w:t xml:space="preserve">      WRONG  account_number: stitched '55710284'  should be 'CONFLICT'</w:t>
        <w:br/>
        <w:t xml:space="preserve">      CONFLICT applicant_name: case_form=[PERSON_08]  vs  identity=[PERSON_08]</w:t>
        <w:br/>
        <w:t xml:space="preserve">                               vs  payslip=[PERSON_08]  vs  bank_statement=[PERSON_12]</w:t>
        <w:br/>
        <w:t xml:space="preserve">      CONFLICT account_number: case_form=55710284  vs  bank_statement=31860492</w:t>
        <w:br/>
        <w:t xml:space="preserve">      identity: passed=True  checks=['name_match', 'dob_match', 'validity']</w:t>
      </w:r>
    </w:p>
    <w:p>
      <w:pPr>
        <w:keepNext/>
        <w:spacing w:before="280" w:after="80"/>
      </w:pPr>
      <w:r>
        <w:rPr>
          <w:rFonts w:ascii="Calibri" w:hAnsi="Calibri"/>
          <w:b/>
          <w:color w:val="1D3557"/>
          <w:sz w:val="25"/>
        </w:rPr>
        <w:t>How to read it</w:t>
      </w:r>
    </w:p>
    <w:tbl>
      <w:tblPr>
        <w:tblStyle w:val="TableGrid"/>
        <w:tblW w:type="auto" w:w="0"/>
        <w:jc w:val="center"/>
        <w:tblLook w:firstColumn="1" w:firstRow="1" w:lastColumn="0" w:lastRow="0" w:noHBand="0" w:noVBand="1" w:val="04A0"/>
      </w:tblPr>
      <w:tblGrid>
        <w:gridCol w:w="4896"/>
        <w:gridCol w:w="4896"/>
      </w:tblGrid>
      <w:tr>
        <w:tc>
          <w:tcPr>
            <w:tcW w:type="dxa" w:w="2160"/>
            <w:shd w:val="clear" w:color="auto" w:fill="1D3557"/>
          </w:tcPr>
          <w:p>
            <w:pPr>
              <w:spacing w:before="40" w:after="40"/>
            </w:pPr>
            <w:r>
              <w:rPr>
                <w:rFonts w:ascii="Calibri" w:hAnsi="Calibri"/>
                <w:b/>
                <w:color w:val="FFFFFF"/>
                <w:sz w:val="18"/>
              </w:rPr>
              <w:t>Line</w:t>
            </w:r>
          </w:p>
        </w:tc>
        <w:tc>
          <w:tcPr>
            <w:tcW w:type="dxa" w:w="7200"/>
            <w:shd w:val="clear" w:color="auto" w:fill="1D3557"/>
          </w:tcPr>
          <w:p>
            <w:pPr>
              <w:spacing w:before="40" w:after="40"/>
            </w:pPr>
            <w:r>
              <w:rPr>
                <w:rFonts w:ascii="Calibri" w:hAnsi="Calibri"/>
                <w:b/>
                <w:color w:val="FFFFFF"/>
                <w:sz w:val="18"/>
              </w:rPr>
              <w:t>What it means</w:t>
            </w:r>
          </w:p>
        </w:tc>
      </w:tr>
      <w:tr>
        <w:tc>
          <w:tcPr>
            <w:tcW w:type="dxa" w:w="2160"/>
          </w:tcPr>
          <w:p>
            <w:pPr>
              <w:spacing w:before="40" w:after="40"/>
            </w:pPr>
            <w:r>
              <w:rPr>
                <w:rFonts w:ascii="Consolas" w:hAnsi="Consolas"/>
                <w:b w:val="0"/>
                <w:sz w:val="17"/>
              </w:rPr>
              <w:t>wrong accepted</w:t>
            </w:r>
          </w:p>
        </w:tc>
        <w:tc>
          <w:tcPr>
            <w:tcW w:type="dxa" w:w="7200"/>
          </w:tcPr>
          <w:p>
            <w:pPr>
              <w:spacing w:before="40" w:after="40"/>
            </w:pPr>
            <w:r>
              <w:rPr>
                <w:rFonts w:ascii="Calibri" w:hAnsi="Calibri"/>
                <w:b w:val="0"/>
                <w:sz w:val="18"/>
              </w:rPr>
              <w:t>How many values this strategy wrote into the record that are not correct.</w:t>
            </w:r>
          </w:p>
        </w:tc>
      </w:tr>
      <w:tr>
        <w:tc>
          <w:tcPr>
            <w:tcW w:type="dxa" w:w="2160"/>
            <w:shd w:val="clear" w:color="auto" w:fill="EDF1F7"/>
          </w:tcPr>
          <w:p>
            <w:pPr>
              <w:spacing w:before="40" w:after="40"/>
            </w:pPr>
            <w:r>
              <w:rPr>
                <w:rFonts w:ascii="Consolas" w:hAnsi="Consolas"/>
                <w:b w:val="0"/>
                <w:sz w:val="17"/>
              </w:rPr>
              <w:t>conflicts</w:t>
            </w:r>
          </w:p>
        </w:tc>
        <w:tc>
          <w:tcPr>
            <w:tcW w:type="dxa" w:w="7200"/>
            <w:shd w:val="clear" w:color="auto" w:fill="EDF1F7"/>
          </w:tcPr>
          <w:p>
            <w:pPr>
              <w:spacing w:before="40" w:after="40"/>
            </w:pPr>
            <w:r>
              <w:rPr>
                <w:rFonts w:ascii="Calibri" w:hAnsi="Calibri"/>
                <w:b w:val="0"/>
                <w:sz w:val="18"/>
              </w:rPr>
              <w:t>How many fields had two or more sources that disagreed.</w:t>
            </w:r>
          </w:p>
        </w:tc>
      </w:tr>
      <w:tr>
        <w:tc>
          <w:tcPr>
            <w:tcW w:type="dxa" w:w="2160"/>
          </w:tcPr>
          <w:p>
            <w:pPr>
              <w:spacing w:before="40" w:after="40"/>
            </w:pPr>
            <w:r>
              <w:rPr>
                <w:rFonts w:ascii="Consolas" w:hAnsi="Consolas"/>
                <w:b w:val="0"/>
                <w:sz w:val="17"/>
              </w:rPr>
              <w:t>needs_human</w:t>
            </w:r>
          </w:p>
        </w:tc>
        <w:tc>
          <w:tcPr>
            <w:tcW w:type="dxa" w:w="7200"/>
          </w:tcPr>
          <w:p>
            <w:pPr>
              <w:spacing w:before="40" w:after="40"/>
            </w:pPr>
            <w:r>
              <w:rPr>
                <w:rFonts w:ascii="Calibri" w:hAnsi="Calibri"/>
                <w:b w:val="0"/>
                <w:sz w:val="18"/>
              </w:rPr>
              <w:t>Whether the package would be routed for review. Note that it is True here for ALL THREE strategies — the difference is whether a wrong value was also written.</w:t>
            </w:r>
          </w:p>
        </w:tc>
      </w:tr>
      <w:tr>
        <w:tc>
          <w:tcPr>
            <w:tcW w:type="dxa" w:w="2160"/>
            <w:shd w:val="clear" w:color="auto" w:fill="EDF1F7"/>
          </w:tcPr>
          <w:p>
            <w:pPr>
              <w:spacing w:before="40" w:after="40"/>
            </w:pPr>
            <w:r>
              <w:rPr>
                <w:rFonts w:ascii="Consolas" w:hAnsi="Consolas"/>
                <w:b w:val="0"/>
                <w:sz w:val="17"/>
              </w:rPr>
              <w:t>WRONG &lt;field&gt;</w:t>
            </w:r>
          </w:p>
        </w:tc>
        <w:tc>
          <w:tcPr>
            <w:tcW w:type="dxa" w:w="7200"/>
            <w:shd w:val="clear" w:color="auto" w:fill="EDF1F7"/>
          </w:tcPr>
          <w:p>
            <w:pPr>
              <w:spacing w:before="40" w:after="40"/>
            </w:pPr>
            <w:r>
              <w:rPr>
                <w:rFonts w:ascii="Calibri" w:hAnsi="Calibri"/>
                <w:b w:val="0"/>
                <w:sz w:val="18"/>
              </w:rPr>
              <w:t>The field, what was stitched, and what it should have been. 'CONFLICT' as the truth means the correct answer was to refuse.</w:t>
            </w:r>
          </w:p>
        </w:tc>
      </w:tr>
      <w:tr>
        <w:tc>
          <w:tcPr>
            <w:tcW w:type="dxa" w:w="2160"/>
          </w:tcPr>
          <w:p>
            <w:pPr>
              <w:spacing w:before="40" w:after="40"/>
            </w:pPr>
            <w:r>
              <w:rPr>
                <w:rFonts w:ascii="Consolas" w:hAnsi="Consolas"/>
                <w:b w:val="0"/>
                <w:sz w:val="17"/>
              </w:rPr>
              <w:t>CONFLICT &lt;field&gt;</w:t>
            </w:r>
          </w:p>
        </w:tc>
        <w:tc>
          <w:tcPr>
            <w:tcW w:type="dxa" w:w="7200"/>
          </w:tcPr>
          <w:p>
            <w:pPr>
              <w:spacing w:before="40" w:after="40"/>
            </w:pPr>
            <w:r>
              <w:rPr>
                <w:rFonts w:ascii="Calibri" w:hAnsi="Calibri"/>
                <w:b w:val="0"/>
                <w:sz w:val="18"/>
              </w:rPr>
              <w:t>Every source and its value, side by side. This is the evidence a handler needs.</w:t>
            </w:r>
          </w:p>
        </w:tc>
      </w:tr>
      <w:tr>
        <w:tc>
          <w:tcPr>
            <w:tcW w:type="dxa" w:w="2160"/>
            <w:shd w:val="clear" w:color="auto" w:fill="EDF1F7"/>
          </w:tcPr>
          <w:p>
            <w:pPr>
              <w:spacing w:before="40" w:after="40"/>
            </w:pPr>
            <w:r>
              <w:rPr>
                <w:rFonts w:ascii="Consolas" w:hAnsi="Consolas"/>
                <w:b w:val="0"/>
                <w:sz w:val="17"/>
              </w:rPr>
              <w:t>identity: passed=</w:t>
            </w:r>
          </w:p>
        </w:tc>
        <w:tc>
          <w:tcPr>
            <w:tcW w:type="dxa" w:w="7200"/>
            <w:shd w:val="clear" w:color="auto" w:fill="EDF1F7"/>
          </w:tcPr>
          <w:p>
            <w:pPr>
              <w:spacing w:before="40" w:after="40"/>
            </w:pPr>
            <w:r>
              <w:rPr>
                <w:rFonts w:ascii="Calibri" w:hAnsi="Calibri"/>
                <w:b w:val="0"/>
                <w:sz w:val="18"/>
              </w:rPr>
              <w:t>The verdict, and which checks actually ran. An empty checks list means the document was never available.</w:t>
            </w:r>
          </w:p>
        </w:tc>
      </w:tr>
    </w:tbl>
    <w:p>
      <w:pPr>
        <w:spacing w:after="80"/>
      </w:pPr>
    </w:p>
    <w:p>
      <w:pPr>
        <w:keepNext/>
        <w:spacing w:before="280" w:after="80"/>
      </w:pPr>
      <w:r>
        <w:rPr>
          <w:rFonts w:ascii="Calibri" w:hAnsi="Calibri"/>
          <w:b/>
          <w:color w:val="1D3557"/>
          <w:sz w:val="25"/>
        </w:rPr>
        <w:t>What PKG-008 is actually teaching you</w:t>
      </w:r>
    </w:p>
    <w:p>
      <w:pPr>
        <w:spacing w:after="140"/>
      </w:pPr>
      <w:r>
        <w:rPr>
          <w:rFonts w:ascii="Calibri" w:hAnsi="Calibri"/>
          <w:b w:val="0"/>
          <w:i w:val="0"/>
          <w:sz w:val="21"/>
        </w:rPr>
        <w:t xml:space="preserve">Look at the identity line: </w:t>
      </w:r>
      <w:r>
        <w:rPr>
          <w:rFonts w:ascii="Consolas" w:hAnsi="Consolas"/>
          <w:b w:val="0"/>
          <w:i w:val="0"/>
          <w:sz w:val="20"/>
        </w:rPr>
        <w:t>passed=True</w:t>
      </w:r>
      <w:r>
        <w:rPr>
          <w:rFonts w:ascii="Calibri" w:hAnsi="Calibri"/>
          <w:b w:val="0"/>
          <w:i w:val="0"/>
          <w:sz w:val="21"/>
        </w:rPr>
        <w:t xml:space="preserve">. The identity check </w:t>
      </w:r>
      <w:r>
        <w:rPr>
          <w:rFonts w:ascii="Calibri" w:hAnsi="Calibri"/>
          <w:b/>
          <w:i w:val="0"/>
          <w:sz w:val="21"/>
        </w:rPr>
        <w:t>succeeded</w:t>
      </w:r>
      <w:r>
        <w:rPr>
          <w:rFonts w:ascii="Calibri" w:hAnsi="Calibri"/>
          <w:b w:val="0"/>
          <w:i w:val="0"/>
          <w:sz w:val="21"/>
        </w:rPr>
        <w:t>. The licence genuinely does match the applicant, and it was genuinely valid. Your identity verification — the thing you built to catch the wrong person — was completely useless here, because the wrong person is not on the licence. They are on the bank statement.</w:t>
      </w:r>
    </w:p>
    <w:p>
      <w:pPr>
        <w:spacing w:after="140"/>
      </w:pPr>
      <w:r>
        <w:rPr>
          <w:rFonts w:ascii="Calibri" w:hAnsi="Calibri"/>
          <w:i w:val="0"/>
          <w:sz w:val="21"/>
        </w:rPr>
        <w:t>What caught PKG-008 is the applicant_name conflict: three documents say [PERSON_08] and the fourth says [PERSON_12]. Not a confidence score, not a validator, not the identity check — a cross-document comparison of a field nobody thinks of as a security control.</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The question to take away.  </w:t>
            </w:r>
            <w:r>
              <w:rPr>
                <w:rFonts w:ascii="Calibri" w:hAnsi="Calibri"/>
                <w:sz w:val="21"/>
              </w:rPr>
              <w:t>That check worked because the two names are completely different. Would it have caught a statement belonging to the applicant's spouse, at the same address, with a similar surname? Be ready to answer that, because it is the version that actually happens.</w:t>
            </w:r>
          </w:p>
        </w:tc>
      </w:tr>
    </w:tbl>
    <w:p>
      <w:pPr>
        <w:spacing w:after="60"/>
      </w:pPr>
    </w:p>
    <w:p>
      <w:pPr>
        <w:keepNext/>
        <w:spacing w:before="440" w:after="160"/>
        <w:pBdr>
          <w:bottom w:val="single" w:sz="12" w:color="1D3557"/>
        </w:pBdr>
      </w:pPr>
      <w:r>
        <w:rPr>
          <w:rFonts w:ascii="Calibri" w:hAnsi="Calibri"/>
          <w:b/>
          <w:color w:val="1D3557"/>
          <w:sz w:val="34"/>
        </w:rPr>
        <w:t>5 · python3 run_lab.py --failures 0.2</w:t>
      </w:r>
    </w:p>
    <w:p>
      <w:pPr>
        <w:spacing w:after="140"/>
      </w:pPr>
      <w:r>
        <w:rPr>
          <w:rFonts w:ascii="Calibri" w:hAnsi="Calibri"/>
          <w:i w:val="0"/>
          <w:sz w:val="21"/>
        </w:rPr>
        <w:t>Fails one document in five during processing, so you can see what your pipeline does when a package arrives incomplete.</w:t>
      </w:r>
    </w:p>
    <w:p>
      <w:pPr>
        <w:spacing w:before="100" w:after="180"/>
        <w:ind w:left="259"/>
        <w:shd w:val="clear" w:color="auto" w:fill="F4F6F8"/>
      </w:pPr>
      <w:r>
        <w:rPr>
          <w:rFonts w:ascii="Consolas" w:hAnsi="Consolas"/>
          <w:sz w:val="18"/>
        </w:rPr>
        <w:t>python3 run_lab.py --strategy reconcile --failures 0.2</w:t>
      </w:r>
    </w:p>
    <w:p>
      <w:pPr>
        <w:keepNext/>
        <w:spacing w:before="280" w:after="80"/>
      </w:pPr>
      <w:r>
        <w:rPr>
          <w:rFonts w:ascii="Calibri" w:hAnsi="Calibri"/>
          <w:b/>
          <w:color w:val="1D3557"/>
          <w:sz w:val="25"/>
        </w:rPr>
        <w:t>Actual output</w:t>
      </w:r>
    </w:p>
    <w:p>
      <w:pPr>
        <w:spacing w:before="100" w:after="180"/>
        <w:ind w:left="259"/>
        <w:shd w:val="clear" w:color="auto" w:fill="F4F6F8"/>
      </w:pPr>
      <w:r>
        <w:rPr>
          <w:rFonts w:ascii="Consolas" w:hAnsi="Consolas"/>
          <w:sz w:val="16"/>
        </w:rPr>
        <w:t>package     WRONG  refused  conflicts  verdict  note</w:t>
        <w:br/>
        <w:t>-------------------------------------------------------------------</w:t>
        <w:br/>
        <w:t>PKG-005         1        0    0/1          n/a  account number diff  &lt;-- account_number=20558193</w:t>
        <w:br/>
        <w:t>PKG-008         1        0    0/1          n/a  bank statement belo  &lt;-- account_number=55710284</w:t>
        <w:br/>
        <w:t>-------------------------------------------------------------------</w:t>
        <w:br/>
        <w:t>TOTAL           3        1          1      0/8</w:t>
        <w:br/>
        <w:br/>
        <w:t xml:space="preserve">  8 package(s) could not be verified at all because a</w:t>
        <w:br/>
        <w:t xml:space="preserve">  document never arrived.</w:t>
      </w:r>
    </w:p>
    <w:p>
      <w:pPr>
        <w:keepNext/>
        <w:spacing w:before="280" w:after="80"/>
      </w:pPr>
      <w:r>
        <w:rPr>
          <w:rFonts w:ascii="Calibri" w:hAnsi="Calibri"/>
          <w:b/>
          <w:color w:val="1D3557"/>
          <w:sz w:val="25"/>
        </w:rPr>
        <w:t>The two things that just happened</w:t>
      </w:r>
    </w:p>
    <w:p>
      <w:pPr>
        <w:pStyle w:val="ListBullet"/>
        <w:spacing w:after="60"/>
      </w:pPr>
      <w:r>
        <w:rPr>
          <w:rFonts w:ascii="Calibri" w:hAnsi="Calibri"/>
          <w:b/>
          <w:sz w:val="21"/>
        </w:rPr>
        <w:t xml:space="preserve">0/8 verdicts. </w:t>
      </w:r>
      <w:r>
        <w:rPr>
          <w:rFonts w:ascii="Calibri" w:hAnsi="Calibri"/>
          <w:sz w:val="21"/>
        </w:rPr>
        <w:t>Every verdict became n/a — not WRONG, n/a. The identity document never arrived, so the check could not run. The verdicts did not become incorrect; they became IMPOSSIBLE.</w:t>
      </w:r>
    </w:p>
    <w:p>
      <w:pPr>
        <w:pStyle w:val="ListBullet"/>
        <w:spacing w:after="60"/>
      </w:pPr>
      <w:r>
        <w:rPr>
          <w:rFonts w:ascii="Calibri" w:hAnsi="Calibri"/>
          <w:b/>
          <w:sz w:val="21"/>
        </w:rPr>
        <w:t xml:space="preserve">reconcile went from 0 wrong to 3. </w:t>
      </w:r>
      <w:r>
        <w:rPr>
          <w:rFonts w:ascii="Calibri" w:hAnsi="Calibri"/>
          <w:sz w:val="21"/>
        </w:rPr>
        <w:t>The strategy that accepted ZERO wrong values on a healthy run now accepts three, and surfaces one conflict instead of six.</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Why reconcile broke.  </w:t>
            </w:r>
            <w:r>
              <w:rPr>
                <w:rFonts w:ascii="Calibri" w:hAnsi="Calibri"/>
                <w:sz w:val="21"/>
              </w:rPr>
              <w:t>reconcile is safe because it notices two sources disagreeing. Lose one of the two and there is nothing left to disagree with — a single value looks unanimous. The conflicts did not get resolved; they became invisible. A missing document does not just remove data, it removes the CHECK that document was there to perform.</w:t>
            </w:r>
          </w:p>
        </w:tc>
      </w:tr>
    </w:tbl>
    <w:p>
      <w:pPr>
        <w:spacing w:after="60"/>
      </w:pPr>
    </w:p>
    <w:p>
      <w:pPr>
        <w:spacing w:after="140"/>
      </w:pPr>
      <w:r>
        <w:rPr>
          <w:rFonts w:ascii="Calibri" w:hAnsi="Calibri"/>
          <w:i w:val="0"/>
          <w:sz w:val="21"/>
        </w:rPr>
        <w:t>That is why a partial package needs a POLICY — process it, hold it, or request the missing document — and why 'retry the failed job' is not that policy. The pipeline above did not error. It produced eight confident, complete-looking, less-trustworthy records and told nobody.</w:t>
      </w:r>
    </w:p>
    <w:p>
      <w:pPr>
        <w:keepNext/>
        <w:spacing w:before="200" w:after="60"/>
      </w:pPr>
      <w:r>
        <w:rPr>
          <w:rFonts w:ascii="Calibri" w:hAnsi="Calibri"/>
          <w:b/>
          <w:color w:val="1B6C6F"/>
          <w:sz w:val="22"/>
        </w:rPr>
        <w:t>Why the same documents fail every time</w:t>
      </w:r>
    </w:p>
    <w:p>
      <w:pPr>
        <w:spacing w:after="140"/>
      </w:pPr>
      <w:r>
        <w:rPr>
          <w:rFonts w:ascii="Calibri" w:hAnsi="Calibri"/>
          <w:b w:val="0"/>
          <w:i w:val="0"/>
          <w:sz w:val="21"/>
        </w:rPr>
        <w:t>The injection is seeded (</w:t>
      </w:r>
      <w:r>
        <w:rPr>
          <w:rFonts w:ascii="Consolas" w:hAnsi="Consolas"/>
          <w:b w:val="0"/>
          <w:i w:val="0"/>
          <w:sz w:val="20"/>
        </w:rPr>
        <w:t>seed=7</w:t>
      </w:r>
      <w:r>
        <w:rPr>
          <w:rFonts w:ascii="Calibri" w:hAnsi="Calibri"/>
          <w:b w:val="0"/>
          <w:i w:val="0"/>
          <w:sz w:val="21"/>
        </w:rPr>
        <w:t xml:space="preserve">, re-seeded per package), so a given </w:t>
      </w:r>
      <w:r>
        <w:rPr>
          <w:rFonts w:ascii="Consolas" w:hAnsi="Consolas"/>
          <w:b w:val="0"/>
          <w:i w:val="0"/>
          <w:sz w:val="20"/>
        </w:rPr>
        <w:t>--failures</w:t>
      </w:r>
      <w:r>
        <w:rPr>
          <w:rFonts w:ascii="Calibri" w:hAnsi="Calibri"/>
          <w:b w:val="0"/>
          <w:i w:val="0"/>
          <w:sz w:val="21"/>
        </w:rPr>
        <w:t xml:space="preserve"> rate fails the same document type in every package and every learner sees an identical table. That is deliberate — it makes the lesson legible instead of noisy. It is </w:t>
      </w:r>
      <w:r>
        <w:rPr>
          <w:rFonts w:ascii="Calibri" w:hAnsi="Calibri"/>
          <w:b w:val="0"/>
          <w:i/>
          <w:sz w:val="21"/>
        </w:rPr>
        <w:t>not</w:t>
      </w:r>
      <w:r>
        <w:rPr>
          <w:rFonts w:ascii="Calibri" w:hAnsi="Calibri"/>
          <w:b w:val="0"/>
          <w:i w:val="0"/>
          <w:sz w:val="21"/>
        </w:rPr>
        <w:t xml:space="preserve"> a model of how real failures distribute, and you should not present it as one.</w:t>
      </w:r>
    </w:p>
    <w:p>
      <w:pPr>
        <w:keepNext/>
        <w:spacing w:before="440" w:after="160"/>
        <w:pBdr>
          <w:bottom w:val="single" w:sz="12" w:color="1D3557"/>
        </w:pBdr>
      </w:pPr>
      <w:r>
        <w:rPr>
          <w:rFonts w:ascii="Calibri" w:hAnsi="Calibri"/>
          <w:b/>
          <w:color w:val="1D3557"/>
          <w:sz w:val="34"/>
        </w:rPr>
        <w:t>6 · python3 run_lab.py --paths</w:t>
      </w:r>
    </w:p>
    <w:p>
      <w:pPr>
        <w:spacing w:after="140"/>
      </w:pPr>
      <w:r>
        <w:rPr>
          <w:rFonts w:ascii="Calibri" w:hAnsi="Calibri"/>
          <w:i w:val="0"/>
          <w:sz w:val="21"/>
        </w:rPr>
        <w:t>No processing. It prints the Blob storage path design and the operations that design makes possible.</w:t>
      </w:r>
    </w:p>
    <w:p>
      <w:pPr>
        <w:spacing w:before="100" w:after="180"/>
        <w:ind w:left="259"/>
        <w:shd w:val="clear" w:color="auto" w:fill="F4F6F8"/>
      </w:pPr>
      <w:r>
        <w:rPr>
          <w:rFonts w:ascii="Consolas" w:hAnsi="Consolas"/>
          <w:sz w:val="16"/>
        </w:rPr>
        <w:t>uksouth/acme-insurance/claims-6y/CLM-2026-4471/run-20260814-0931/case_form.json</w:t>
        <w:br/>
        <w:t xml:space="preserve">  ^region  ^tenant       ^retention  ^claim      ^run          ^doc</w:t>
      </w:r>
    </w:p>
    <w:tbl>
      <w:tblPr>
        <w:tblStyle w:val="TableGrid"/>
        <w:tblW w:type="auto" w:w="0"/>
        <w:jc w:val="center"/>
        <w:tblLook w:firstColumn="1" w:firstRow="1" w:lastColumn="0" w:lastRow="0" w:noHBand="0" w:noVBand="1" w:val="04A0"/>
      </w:tblPr>
      <w:tblGrid>
        <w:gridCol w:w="4896"/>
        <w:gridCol w:w="4896"/>
      </w:tblGrid>
      <w:tr>
        <w:tc>
          <w:tcPr>
            <w:tcW w:type="dxa" w:w="2160"/>
            <w:shd w:val="clear" w:color="auto" w:fill="1D3557"/>
          </w:tcPr>
          <w:p>
            <w:pPr>
              <w:spacing w:before="40" w:after="40"/>
            </w:pPr>
            <w:r>
              <w:rPr>
                <w:rFonts w:ascii="Calibri" w:hAnsi="Calibri"/>
                <w:b/>
                <w:color w:val="FFFFFF"/>
                <w:sz w:val="19"/>
              </w:rPr>
              <w:t>Segment</w:t>
            </w:r>
          </w:p>
        </w:tc>
        <w:tc>
          <w:tcPr>
            <w:tcW w:type="dxa" w:w="7200"/>
            <w:shd w:val="clear" w:color="auto" w:fill="1D3557"/>
          </w:tcPr>
          <w:p>
            <w:pPr>
              <w:spacing w:before="40" w:after="40"/>
            </w:pPr>
            <w:r>
              <w:rPr>
                <w:rFonts w:ascii="Calibri" w:hAnsi="Calibri"/>
                <w:b/>
                <w:color w:val="FFFFFF"/>
                <w:sz w:val="19"/>
              </w:rPr>
              <w:t>Why it is in the path</w:t>
            </w:r>
          </w:p>
        </w:tc>
      </w:tr>
      <w:tr>
        <w:tc>
          <w:tcPr>
            <w:tcW w:type="dxa" w:w="2160"/>
          </w:tcPr>
          <w:p>
            <w:pPr>
              <w:spacing w:before="40" w:after="40"/>
            </w:pPr>
            <w:r>
              <w:rPr>
                <w:rFonts w:ascii="Consolas" w:hAnsi="Consolas"/>
                <w:b w:val="0"/>
                <w:sz w:val="18"/>
              </w:rPr>
              <w:t>region</w:t>
            </w:r>
          </w:p>
        </w:tc>
        <w:tc>
          <w:tcPr>
            <w:tcW w:type="dxa" w:w="7200"/>
          </w:tcPr>
          <w:p>
            <w:pPr>
              <w:spacing w:before="40" w:after="40"/>
            </w:pPr>
            <w:r>
              <w:rPr>
                <w:rFonts w:ascii="Calibri" w:hAnsi="Calibri"/>
                <w:b w:val="0"/>
                <w:sz w:val="19"/>
              </w:rPr>
              <w:t>Prove nothing left the UK. A residency audit becomes a prefix listing.</w:t>
            </w:r>
          </w:p>
        </w:tc>
      </w:tr>
      <w:tr>
        <w:tc>
          <w:tcPr>
            <w:tcW w:type="dxa" w:w="2160"/>
            <w:shd w:val="clear" w:color="auto" w:fill="EDF1F7"/>
          </w:tcPr>
          <w:p>
            <w:pPr>
              <w:spacing w:before="40" w:after="40"/>
            </w:pPr>
            <w:r>
              <w:rPr>
                <w:rFonts w:ascii="Consolas" w:hAnsi="Consolas"/>
                <w:b w:val="0"/>
                <w:sz w:val="18"/>
              </w:rPr>
              <w:t>tenant</w:t>
            </w:r>
          </w:p>
        </w:tc>
        <w:tc>
          <w:tcPr>
            <w:tcW w:type="dxa" w:w="7200"/>
            <w:shd w:val="clear" w:color="auto" w:fill="EDF1F7"/>
          </w:tcPr>
          <w:p>
            <w:pPr>
              <w:spacing w:before="40" w:after="40"/>
            </w:pPr>
            <w:r>
              <w:rPr>
                <w:rFonts w:ascii="Calibri" w:hAnsi="Calibri"/>
                <w:b w:val="0"/>
                <w:sz w:val="19"/>
              </w:rPr>
              <w:t>Whose data it is. Multi-tenant separation, and tenant offboarding.</w:t>
            </w:r>
          </w:p>
        </w:tc>
      </w:tr>
      <w:tr>
        <w:tc>
          <w:tcPr>
            <w:tcW w:type="dxa" w:w="2160"/>
          </w:tcPr>
          <w:p>
            <w:pPr>
              <w:spacing w:before="40" w:after="40"/>
            </w:pPr>
            <w:r>
              <w:rPr>
                <w:rFonts w:ascii="Consolas" w:hAnsi="Consolas"/>
                <w:b w:val="0"/>
                <w:sz w:val="18"/>
              </w:rPr>
              <w:t>retention_class</w:t>
            </w:r>
          </w:p>
        </w:tc>
        <w:tc>
          <w:tcPr>
            <w:tcW w:type="dxa" w:w="7200"/>
          </w:tcPr>
          <w:p>
            <w:pPr>
              <w:spacing w:before="40" w:after="40"/>
            </w:pPr>
            <w:r>
              <w:rPr>
                <w:rFonts w:ascii="Calibri" w:hAnsi="Calibri"/>
                <w:b w:val="0"/>
                <w:sz w:val="19"/>
              </w:rPr>
              <w:t>How long it lives. 'Delete everything older than six years for tenant X' is a lifecycle rule on a prefix.</w:t>
            </w:r>
          </w:p>
        </w:tc>
      </w:tr>
      <w:tr>
        <w:tc>
          <w:tcPr>
            <w:tcW w:type="dxa" w:w="2160"/>
            <w:shd w:val="clear" w:color="auto" w:fill="EDF1F7"/>
          </w:tcPr>
          <w:p>
            <w:pPr>
              <w:spacing w:before="40" w:after="40"/>
            </w:pPr>
            <w:r>
              <w:rPr>
                <w:rFonts w:ascii="Consolas" w:hAnsi="Consolas"/>
                <w:b w:val="0"/>
                <w:sz w:val="18"/>
              </w:rPr>
              <w:t>claim_ref</w:t>
            </w:r>
          </w:p>
        </w:tc>
        <w:tc>
          <w:tcPr>
            <w:tcW w:type="dxa" w:w="7200"/>
            <w:shd w:val="clear" w:color="auto" w:fill="EDF1F7"/>
          </w:tcPr>
          <w:p>
            <w:pPr>
              <w:spacing w:before="40" w:after="40"/>
            </w:pPr>
            <w:r>
              <w:rPr>
                <w:rFonts w:ascii="Calibri" w:hAnsi="Calibri"/>
                <w:b w:val="0"/>
                <w:sz w:val="19"/>
              </w:rPr>
              <w:t>What it belongs to. A legal hold, or a subject access request, on one claim.</w:t>
            </w:r>
          </w:p>
        </w:tc>
      </w:tr>
      <w:tr>
        <w:tc>
          <w:tcPr>
            <w:tcW w:type="dxa" w:w="2160"/>
          </w:tcPr>
          <w:p>
            <w:pPr>
              <w:spacing w:before="40" w:after="40"/>
            </w:pPr>
            <w:r>
              <w:rPr>
                <w:rFonts w:ascii="Consolas" w:hAnsi="Consolas"/>
                <w:b w:val="0"/>
                <w:sz w:val="18"/>
              </w:rPr>
              <w:t>run_id</w:t>
            </w:r>
          </w:p>
        </w:tc>
        <w:tc>
          <w:tcPr>
            <w:tcW w:type="dxa" w:w="7200"/>
          </w:tcPr>
          <w:p>
            <w:pPr>
              <w:spacing w:before="40" w:after="40"/>
            </w:pPr>
            <w:r>
              <w:rPr>
                <w:rFonts w:ascii="Calibri" w:hAnsi="Calibri"/>
                <w:b w:val="0"/>
                <w:sz w:val="19"/>
              </w:rPr>
              <w:t>Which processing run produced it. Reprocessing, and debugging one bad batch.</w:t>
            </w:r>
          </w:p>
        </w:tc>
      </w:tr>
      <w:tr>
        <w:tc>
          <w:tcPr>
            <w:tcW w:type="dxa" w:w="2160"/>
            <w:shd w:val="clear" w:color="auto" w:fill="EDF1F7"/>
          </w:tcPr>
          <w:p>
            <w:pPr>
              <w:spacing w:before="40" w:after="40"/>
            </w:pPr>
            <w:r>
              <w:rPr>
                <w:rFonts w:ascii="Consolas" w:hAnsi="Consolas"/>
                <w:b w:val="0"/>
                <w:sz w:val="18"/>
              </w:rPr>
              <w:t>doc_type</w:t>
            </w:r>
          </w:p>
        </w:tc>
        <w:tc>
          <w:tcPr>
            <w:tcW w:type="dxa" w:w="7200"/>
            <w:shd w:val="clear" w:color="auto" w:fill="EDF1F7"/>
          </w:tcPr>
          <w:p>
            <w:pPr>
              <w:spacing w:before="40" w:after="40"/>
            </w:pPr>
            <w:r>
              <w:rPr>
                <w:rFonts w:ascii="Calibri" w:hAnsi="Calibri"/>
                <w:b w:val="0"/>
                <w:sz w:val="19"/>
              </w:rPr>
              <w:t>What kind of thing it is.</w:t>
            </w:r>
          </w:p>
        </w:tc>
      </w:tr>
    </w:tbl>
    <w:p>
      <w:pPr>
        <w:spacing w:after="80"/>
      </w:pPr>
    </w:p>
    <w:p>
      <w:pPr>
        <w:spacing w:after="140"/>
      </w:pPr>
      <w:r>
        <w:rPr>
          <w:rFonts w:ascii="Calibri" w:hAnsi="Calibri"/>
          <w:i w:val="0"/>
          <w:sz w:val="21"/>
        </w:rPr>
        <w:t>Every one of those is a PREFIX operation. Leave retention out of the path and 'delete everything older than six years' becomes a full scan with a per-object decision — at which point somebody has to write, test and defend a script that deletes customer data one object at a time.</w:t>
      </w:r>
    </w:p>
    <w:tbl>
      <w:tblPr>
        <w:tblW w:type="auto" w:w="0"/>
        <w:jc w:val="center"/>
        <w:tblLook w:firstColumn="1" w:firstRow="1" w:lastColumn="0" w:lastRow="0" w:noHBand="0" w:noVBand="1" w:val="04A0"/>
      </w:tblPr>
      <w:tblGrid>
        <w:gridCol w:w="9792"/>
      </w:tblGrid>
      <w:tr>
        <w:tc>
          <w:tcPr>
            <w:tcW w:type="dxa" w:w="9792"/>
            <w:shd w:val="clear" w:color="auto" w:fill="EAF2F5"/>
          </w:tcPr>
          <w:p>
            <w:pPr>
              <w:spacing w:before="120" w:after="120"/>
            </w:pPr>
            <w:r>
              <w:rPr>
                <w:rFonts w:ascii="Calibri" w:hAnsi="Calibri"/>
                <w:b/>
                <w:color w:val="1B6C6F"/>
                <w:sz w:val="21"/>
              </w:rPr>
              <w:t xml:space="preserve">Design this before you write the first blob.  </w:t>
            </w:r>
            <w:r>
              <w:rPr>
                <w:rFonts w:ascii="Calibri" w:hAnsi="Calibri"/>
                <w:sz w:val="21"/>
              </w:rPr>
              <w:t>Moving objects later means rewriting every reference to them. This is a fifteen-minute decision now and a migration project in eighteen months.</w:t>
            </w:r>
          </w:p>
        </w:tc>
      </w:tr>
    </w:tbl>
    <w:p>
      <w:pPr>
        <w:spacing w:after="60"/>
      </w:pPr>
    </w:p>
    <w:p>
      <w:pPr>
        <w:keepNext/>
        <w:spacing w:before="440" w:after="160"/>
        <w:pBdr>
          <w:bottom w:val="single" w:sz="12" w:color="1D3557"/>
        </w:pBdr>
      </w:pPr>
      <w:r>
        <w:rPr>
          <w:rFonts w:ascii="Calibri" w:hAnsi="Calibri"/>
          <w:b/>
          <w:color w:val="1D3557"/>
          <w:sz w:val="34"/>
        </w:rPr>
        <w:t>7 · Switching to real Azure Document Intelligence</w:t>
      </w:r>
    </w:p>
    <w:p>
      <w:pPr>
        <w:keepNext/>
        <w:spacing w:before="280" w:after="80"/>
      </w:pPr>
      <w:r>
        <w:rPr>
          <w:rFonts w:ascii="Calibri" w:hAnsi="Calibri"/>
          <w:b/>
          <w:color w:val="1D3557"/>
          <w:sz w:val="25"/>
        </w:rPr>
        <w:t>Step 1 — credentials</w:t>
      </w:r>
    </w:p>
    <w:p>
      <w:pPr>
        <w:spacing w:before="100" w:after="180"/>
        <w:ind w:left="259"/>
        <w:shd w:val="clear" w:color="auto" w:fill="F4F6F8"/>
      </w:pPr>
      <w:r>
        <w:rPr>
          <w:rFonts w:ascii="Consolas" w:hAnsi="Consolas"/>
          <w:sz w:val="18"/>
        </w:rPr>
        <w:t>cp .env.example .env</w:t>
      </w:r>
    </w:p>
    <w:p>
      <w:pPr>
        <w:spacing w:after="140"/>
      </w:pPr>
      <w:r>
        <w:rPr>
          <w:rFonts w:ascii="Calibri" w:hAnsi="Calibri"/>
          <w:b w:val="0"/>
          <w:i w:val="0"/>
          <w:sz w:val="21"/>
        </w:rPr>
        <w:t xml:space="preserve">Then set </w:t>
      </w:r>
      <w:r>
        <w:rPr>
          <w:rFonts w:ascii="Consolas" w:hAnsi="Consolas"/>
          <w:b w:val="0"/>
          <w:i w:val="0"/>
          <w:sz w:val="20"/>
        </w:rPr>
        <w:t>AZURE_DOCINT_ENDPOINT</w:t>
      </w:r>
      <w:r>
        <w:rPr>
          <w:rFonts w:ascii="Calibri" w:hAnsi="Calibri"/>
          <w:b w:val="0"/>
          <w:i w:val="0"/>
          <w:sz w:val="21"/>
        </w:rPr>
        <w:t xml:space="preserve"> and </w:t>
      </w:r>
      <w:r>
        <w:rPr>
          <w:rFonts w:ascii="Consolas" w:hAnsi="Consolas"/>
          <w:b w:val="0"/>
          <w:i w:val="0"/>
          <w:sz w:val="20"/>
        </w:rPr>
        <w:t>AZURE_DOCINT_KEY</w:t>
      </w:r>
      <w:r>
        <w:rPr>
          <w:rFonts w:ascii="Calibri" w:hAnsi="Calibri"/>
          <w:b w:val="0"/>
          <w:i w:val="0"/>
          <w:sz w:val="21"/>
        </w:rPr>
        <w:t xml:space="preserve"> from Portal → your Document Intelligence resource → </w:t>
      </w:r>
      <w:r>
        <w:rPr>
          <w:rFonts w:ascii="Calibri" w:hAnsi="Calibri"/>
          <w:b w:val="0"/>
          <w:i/>
          <w:sz w:val="21"/>
        </w:rPr>
        <w:t>Keys and Endpoint</w:t>
      </w:r>
      <w:r>
        <w:rPr>
          <w:rFonts w:ascii="Calibri" w:hAnsi="Calibri"/>
          <w:b w:val="0"/>
          <w:i w:val="0"/>
          <w:sz w:val="21"/>
        </w:rPr>
        <w:t xml:space="preserve">. </w:t>
      </w:r>
      <w:r>
        <w:rPr>
          <w:rFonts w:ascii="Calibri" w:hAnsi="Calibri"/>
          <w:b/>
          <w:i w:val="0"/>
          <w:sz w:val="21"/>
        </w:rPr>
        <w:t>.env is git-ignored. Never commit it, never paste a key into chat, never put one in a screenshot.</w:t>
      </w:r>
    </w:p>
    <w:p>
      <w:pPr>
        <w:spacing w:after="140"/>
      </w:pPr>
      <w:r>
        <w:rPr>
          <w:rFonts w:ascii="Calibri" w:hAnsi="Calibri"/>
          <w:i/>
          <w:sz w:val="21"/>
        </w:rPr>
        <w:t>If you did Day 14, this is the same service, the same resource and the same variable names. Copy that .env here unchanged.</w:t>
      </w:r>
    </w:p>
    <w:p>
      <w:pPr>
        <w:keepNext/>
        <w:spacing w:before="280" w:after="80"/>
      </w:pPr>
      <w:r>
        <w:rPr>
          <w:rFonts w:ascii="Calibri" w:hAnsi="Calibri"/>
          <w:b/>
          <w:color w:val="1D3557"/>
          <w:sz w:val="25"/>
        </w:rPr>
        <w:t>Step 2 — render the documents</w:t>
      </w:r>
    </w:p>
    <w:p>
      <w:pPr>
        <w:spacing w:before="100" w:after="180"/>
        <w:ind w:left="259"/>
        <w:shd w:val="clear" w:color="auto" w:fill="F4F6F8"/>
      </w:pPr>
      <w:r>
        <w:rPr>
          <w:rFonts w:ascii="Consolas" w:hAnsi="Consolas"/>
          <w:sz w:val="18"/>
        </w:rPr>
        <w:t>python3 run_lab.py --make-pdfs</w:t>
      </w:r>
    </w:p>
    <w:p>
      <w:pPr>
        <w:spacing w:after="140"/>
      </w:pPr>
      <w:r>
        <w:rPr>
          <w:rFonts w:ascii="Calibri" w:hAnsi="Calibri"/>
          <w:i w:val="0"/>
          <w:sz w:val="21"/>
        </w:rPr>
        <w:t>Azure will not accept a Python dictionary. This renders all 32 documents as real PDFs under docs/PKG-XXX/, from exactly the same data the mock serves. One source of truth, two providers.</w:t>
      </w:r>
    </w:p>
    <w:p>
      <w:pPr>
        <w:spacing w:after="140"/>
      </w:pPr>
      <w:r>
        <w:rPr>
          <w:rFonts w:ascii="Calibri" w:hAnsi="Calibri"/>
          <w:b w:val="0"/>
          <w:i w:val="0"/>
          <w:sz w:val="21"/>
        </w:rPr>
        <w:t xml:space="preserve">Open one. The page says </w:t>
      </w:r>
      <w:r>
        <w:rPr>
          <w:rFonts w:ascii="Consolas" w:hAnsi="Consolas"/>
          <w:b w:val="0"/>
          <w:i w:val="0"/>
          <w:sz w:val="19"/>
        </w:rPr>
        <w:t>"Declared Annual Income (GBP): 62000.00"</w:t>
      </w:r>
      <w:r>
        <w:rPr>
          <w:rFonts w:ascii="Calibri" w:hAnsi="Calibri"/>
          <w:b w:val="0"/>
          <w:i w:val="0"/>
          <w:sz w:val="21"/>
        </w:rPr>
        <w:t xml:space="preserve"> — not </w:t>
      </w:r>
      <w:r>
        <w:rPr>
          <w:rFonts w:ascii="Consolas" w:hAnsi="Consolas"/>
          <w:b w:val="0"/>
          <w:i w:val="0"/>
          <w:sz w:val="20"/>
        </w:rPr>
        <w:t>annual_income</w:t>
      </w:r>
      <w:r>
        <w:rPr>
          <w:rFonts w:ascii="Calibri" w:hAnsi="Calibri"/>
          <w:b w:val="0"/>
          <w:i w:val="0"/>
          <w:sz w:val="21"/>
        </w:rPr>
        <w:t>. That gap is deliberate and it is the whole proposition of Query Fields: we ask for our field name and the service has to work out which line on the page we meant. A mock whose keys already match ours cannot test that.</w:t>
      </w:r>
    </w:p>
    <w:p>
      <w:pPr>
        <w:keepNext/>
        <w:spacing w:before="280" w:after="80"/>
      </w:pPr>
      <w:r>
        <w:rPr>
          <w:rFonts w:ascii="Calibri" w:hAnsi="Calibri"/>
          <w:b/>
          <w:color w:val="1D3557"/>
          <w:sz w:val="25"/>
        </w:rPr>
        <w:t>Step 3 — prove the adapter, then run</w:t>
      </w:r>
    </w:p>
    <w:p>
      <w:pPr>
        <w:spacing w:before="100" w:after="180"/>
        <w:ind w:left="259"/>
        <w:shd w:val="clear" w:color="auto" w:fill="F4F6F8"/>
      </w:pPr>
      <w:r>
        <w:rPr>
          <w:rFonts w:ascii="Consolas" w:hAnsi="Consolas"/>
          <w:sz w:val="18"/>
        </w:rPr>
        <w:t>python3 run_lab.py --selftest</w:t>
        <w:br/>
        <w:t>python3 run_lab.py --provider azure</w:t>
      </w:r>
    </w:p>
    <w:p>
      <w:pPr>
        <w:spacing w:after="140"/>
      </w:pPr>
      <w:r>
        <w:rPr>
          <w:rFonts w:ascii="Calibri" w:hAnsi="Calibri"/>
          <w:i w:val="0"/>
          <w:sz w:val="21"/>
        </w:rPr>
        <w:t>Expect about three minutes and 32 billed analyses on the first run. Raw responses are cached under out/azure/di_raw/, so every run after the first is free and takes seconds. Results land in out/azure/ — a different directory from out/mock/, so the two never overwrite each other.</w:t>
      </w:r>
    </w:p>
    <w:p>
      <w:pPr>
        <w:keepNext/>
        <w:spacing w:before="280" w:after="80"/>
      </w:pPr>
      <w:r>
        <w:rPr>
          <w:rFonts w:ascii="Calibri" w:hAnsi="Calibri"/>
          <w:b/>
          <w:color w:val="1D3557"/>
          <w:sz w:val="25"/>
        </w:rPr>
        <w:t>The one call that matters</w:t>
      </w:r>
    </w:p>
    <w:p>
      <w:pPr>
        <w:spacing w:before="100" w:after="180"/>
        <w:ind w:left="259"/>
        <w:shd w:val="clear" w:color="auto" w:fill="F4F6F8"/>
      </w:pPr>
      <w:r>
        <w:rPr>
          <w:rFonts w:ascii="Consolas" w:hAnsi="Consolas"/>
          <w:sz w:val="17"/>
        </w:rPr>
        <w:t>POST {endpoint}/documentintelligence/documentModels/prebuilt-layout:analyze</w:t>
        <w:br/>
        <w:t xml:space="preserve">     ?api-version=2024-11-30</w:t>
        <w:br/>
        <w:t xml:space="preserve">     &amp;features=queryFields</w:t>
        <w:br/>
        <w:t xml:space="preserve">     &amp;queryFields=applicant_name,date_of_birth,annual_income,...</w:t>
        <w:br/>
        <w:br/>
        <w:t>-&gt; 202 Accepted</w:t>
        <w:br/>
        <w:t xml:space="preserve">   Operation-Location: https://.../analyzeResults/{id}</w:t>
      </w:r>
    </w:p>
    <w:p>
      <w:pPr>
        <w:spacing w:after="140"/>
      </w:pPr>
      <w:r>
        <w:rPr>
          <w:rFonts w:ascii="Calibri" w:hAnsi="Calibri"/>
          <w:i w:val="0"/>
          <w:sz w:val="21"/>
        </w:rPr>
        <w:t>Then poll that URL until status is succeeded. Three things about this request will bite you, and all three are silent failures rather than errors:</w:t>
      </w:r>
    </w:p>
    <w:p>
      <w:pPr>
        <w:pStyle w:val="ListBullet"/>
        <w:spacing w:after="60"/>
      </w:pPr>
      <w:r>
        <w:rPr>
          <w:rFonts w:ascii="Calibri" w:hAnsi="Calibri"/>
          <w:b/>
          <w:sz w:val="21"/>
        </w:rPr>
        <w:t xml:space="preserve">The route moved. </w:t>
      </w:r>
      <w:r>
        <w:rPr>
          <w:rFonts w:ascii="Calibri" w:hAnsi="Calibri"/>
          <w:sz w:val="21"/>
        </w:rPr>
        <w:t>api-version 2024-11-30 and later live under /documentintelligence/; earlier versions under /formrecognizer/. Mismatch them and you get a 404 whose message talks about the MODEL, which sends people hunting for a deployment problem that does not exist.</w:t>
      </w:r>
    </w:p>
    <w:p>
      <w:pPr>
        <w:pStyle w:val="ListBullet"/>
        <w:spacing w:after="60"/>
      </w:pPr>
      <w:r>
        <w:rPr>
          <w:rFonts w:ascii="Calibri" w:hAnsi="Calibri"/>
          <w:b/>
          <w:sz w:val="21"/>
        </w:rPr>
        <w:t xml:space="preserve">Query Fields needs both halves. </w:t>
      </w:r>
      <w:r>
        <w:rPr>
          <w:rFonts w:ascii="Calibri" w:hAnsi="Calibri"/>
          <w:sz w:val="21"/>
        </w:rPr>
        <w:t>features=queryFields turns the add-on on; queryFields=a,b,c says which. Send the names without the feature flag and you get HTTP 200 with no documents member at all — successful, empty and entirely misleading. Nothing errors; you just get zero fields.</w:t>
      </w:r>
    </w:p>
    <w:p>
      <w:pPr>
        <w:pStyle w:val="ListBullet"/>
        <w:spacing w:after="60"/>
      </w:pPr>
      <w:r>
        <w:rPr>
          <w:rFonts w:ascii="Calibri" w:hAnsi="Calibri"/>
          <w:b/>
          <w:sz w:val="21"/>
        </w:rPr>
        <w:t xml:space="preserve">Asking for a field does not make it exist — and the service will still answer. </w:t>
      </w:r>
      <w:r>
        <w:rPr>
          <w:rFonts w:ascii="Calibri" w:hAnsi="Calibri"/>
          <w:sz w:val="21"/>
        </w:rPr>
        <w:t>See section 8.3. This is the measured headline of the whole azure run.</w:t>
      </w:r>
    </w:p>
    <w:p>
      <w:pPr>
        <w:keepNext/>
        <w:spacing w:before="440" w:after="160"/>
        <w:pBdr>
          <w:bottom w:val="single" w:sz="12" w:color="1D3557"/>
        </w:pBdr>
      </w:pPr>
      <w:r>
        <w:rPr>
          <w:rFonts w:ascii="Calibri" w:hAnsi="Calibri"/>
          <w:b/>
          <w:color w:val="1D3557"/>
          <w:sz w:val="34"/>
        </w:rPr>
        <w:t>8 · What the real run measured</w:t>
      </w:r>
    </w:p>
    <w:p>
      <w:pPr>
        <w:spacing w:after="140"/>
      </w:pPr>
      <w:r>
        <w:rPr>
          <w:rFonts w:ascii="Calibri" w:hAnsi="Calibri"/>
          <w:i/>
          <w:sz w:val="21"/>
        </w:rPr>
        <w:t>Figures below are from a live run on 2026-08-17 against a free-tier (F0) Document Intelligence resource, prebuilt-layout, api-version 2024-11-30. Your numbers will differ slightly; the conclusions should not.</w:t>
      </w:r>
    </w:p>
    <w:p>
      <w:pPr>
        <w:keepNext/>
        <w:spacing w:before="280" w:after="80"/>
      </w:pPr>
      <w:r>
        <w:rPr>
          <w:rFonts w:ascii="Calibri" w:hAnsi="Calibri"/>
          <w:b/>
          <w:color w:val="1D3557"/>
          <w:sz w:val="25"/>
        </w:rPr>
        <w:t>8.1 — The headline: nothing changed</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color="auto" w:fill="1D3557"/>
          </w:tcPr>
          <w:p>
            <w:pPr>
              <w:spacing w:before="40" w:after="40"/>
            </w:pPr>
            <w:r>
              <w:rPr>
                <w:rFonts w:ascii="Calibri" w:hAnsi="Calibri"/>
                <w:b/>
                <w:color w:val="FFFFFF"/>
                <w:sz w:val="19"/>
              </w:rPr>
              <w:t>Strategy</w:t>
            </w:r>
          </w:p>
        </w:tc>
        <w:tc>
          <w:tcPr>
            <w:tcW w:type="dxa" w:w="3528"/>
            <w:shd w:val="clear" w:color="auto" w:fill="1D3557"/>
          </w:tcPr>
          <w:p>
            <w:pPr>
              <w:spacing w:before="40" w:after="40"/>
            </w:pPr>
            <w:r>
              <w:rPr>
                <w:rFonts w:ascii="Calibri" w:hAnsi="Calibri"/>
                <w:b/>
                <w:color w:val="FFFFFF"/>
                <w:sz w:val="19"/>
              </w:rPr>
              <w:t>Mock (wrong / refused / conflicts)</w:t>
            </w:r>
          </w:p>
        </w:tc>
        <w:tc>
          <w:tcPr>
            <w:tcW w:type="dxa" w:w="3528"/>
            <w:shd w:val="clear" w:color="auto" w:fill="1D3557"/>
          </w:tcPr>
          <w:p>
            <w:pPr>
              <w:spacing w:before="40" w:after="40"/>
            </w:pPr>
            <w:r>
              <w:rPr>
                <w:rFonts w:ascii="Calibri" w:hAnsi="Calibri"/>
                <w:b/>
                <w:color w:val="FFFFFF"/>
                <w:sz w:val="19"/>
              </w:rPr>
              <w:t>Azure (wrong / refused / conflicts)</w:t>
            </w:r>
          </w:p>
        </w:tc>
      </w:tr>
      <w:tr>
        <w:tc>
          <w:tcPr>
            <w:tcW w:type="dxa" w:w="2304"/>
          </w:tcPr>
          <w:p>
            <w:pPr>
              <w:spacing w:before="40" w:after="40"/>
            </w:pPr>
            <w:r>
              <w:rPr>
                <w:rFonts w:ascii="Consolas" w:hAnsi="Consolas"/>
                <w:b w:val="0"/>
                <w:sz w:val="18"/>
              </w:rPr>
              <w:t>trust_form</w:t>
            </w:r>
          </w:p>
        </w:tc>
        <w:tc>
          <w:tcPr>
            <w:tcW w:type="dxa" w:w="3528"/>
          </w:tcPr>
          <w:p>
            <w:pPr>
              <w:spacing w:before="40" w:after="40"/>
            </w:pPr>
            <w:r>
              <w:rPr>
                <w:rFonts w:ascii="Consolas" w:hAnsi="Consolas"/>
                <w:b w:val="0"/>
                <w:sz w:val="18"/>
              </w:rPr>
              <w:t>4 / 0 / 6</w:t>
            </w:r>
          </w:p>
        </w:tc>
        <w:tc>
          <w:tcPr>
            <w:tcW w:type="dxa" w:w="3528"/>
          </w:tcPr>
          <w:p>
            <w:pPr>
              <w:spacing w:before="40" w:after="40"/>
            </w:pPr>
            <w:r>
              <w:rPr>
                <w:rFonts w:ascii="Consolas" w:hAnsi="Consolas"/>
                <w:b w:val="0"/>
                <w:sz w:val="18"/>
              </w:rPr>
              <w:t>4 / 0 / 6</w:t>
            </w:r>
          </w:p>
        </w:tc>
      </w:tr>
      <w:tr>
        <w:tc>
          <w:tcPr>
            <w:tcW w:type="dxa" w:w="2304"/>
            <w:shd w:val="clear" w:color="auto" w:fill="EDF1F7"/>
          </w:tcPr>
          <w:p>
            <w:pPr>
              <w:spacing w:before="40" w:after="40"/>
            </w:pPr>
            <w:r>
              <w:rPr>
                <w:rFonts w:ascii="Consolas" w:hAnsi="Consolas"/>
                <w:b w:val="0"/>
                <w:sz w:val="18"/>
              </w:rPr>
              <w:t>trust_evidence</w:t>
            </w:r>
          </w:p>
        </w:tc>
        <w:tc>
          <w:tcPr>
            <w:tcW w:type="dxa" w:w="3528"/>
            <w:shd w:val="clear" w:color="auto" w:fill="EDF1F7"/>
          </w:tcPr>
          <w:p>
            <w:pPr>
              <w:spacing w:before="40" w:after="40"/>
            </w:pPr>
            <w:r>
              <w:rPr>
                <w:rFonts w:ascii="Consolas" w:hAnsi="Consolas"/>
                <w:b w:val="0"/>
                <w:sz w:val="18"/>
              </w:rPr>
              <w:t>2 / 0 / 6</w:t>
            </w:r>
          </w:p>
        </w:tc>
        <w:tc>
          <w:tcPr>
            <w:tcW w:type="dxa" w:w="3528"/>
            <w:shd w:val="clear" w:color="auto" w:fill="EDF1F7"/>
          </w:tcPr>
          <w:p>
            <w:pPr>
              <w:spacing w:before="40" w:after="40"/>
            </w:pPr>
            <w:r>
              <w:rPr>
                <w:rFonts w:ascii="Consolas" w:hAnsi="Consolas"/>
                <w:b w:val="0"/>
                <w:sz w:val="18"/>
              </w:rPr>
              <w:t>2 / 0 / 6</w:t>
            </w:r>
          </w:p>
        </w:tc>
      </w:tr>
      <w:tr>
        <w:tc>
          <w:tcPr>
            <w:tcW w:type="dxa" w:w="2304"/>
          </w:tcPr>
          <w:p>
            <w:pPr>
              <w:spacing w:before="40" w:after="40"/>
            </w:pPr>
            <w:r>
              <w:rPr>
                <w:rFonts w:ascii="Consolas" w:hAnsi="Consolas"/>
                <w:b w:val="0"/>
                <w:sz w:val="18"/>
              </w:rPr>
              <w:t>reconcile</w:t>
            </w:r>
          </w:p>
        </w:tc>
        <w:tc>
          <w:tcPr>
            <w:tcW w:type="dxa" w:w="3528"/>
          </w:tcPr>
          <w:p>
            <w:pPr>
              <w:spacing w:before="40" w:after="40"/>
            </w:pPr>
            <w:r>
              <w:rPr>
                <w:rFonts w:ascii="Consolas" w:hAnsi="Consolas"/>
                <w:b w:val="0"/>
                <w:sz w:val="18"/>
              </w:rPr>
              <w:t>0 / 4 / 6</w:t>
            </w:r>
          </w:p>
        </w:tc>
        <w:tc>
          <w:tcPr>
            <w:tcW w:type="dxa" w:w="3528"/>
          </w:tcPr>
          <w:p>
            <w:pPr>
              <w:spacing w:before="40" w:after="40"/>
            </w:pPr>
            <w:r>
              <w:rPr>
                <w:rFonts w:ascii="Consolas" w:hAnsi="Consolas"/>
                <w:b w:val="0"/>
                <w:sz w:val="18"/>
              </w:rPr>
              <w:t>0 / 4 / 6</w:t>
            </w:r>
          </w:p>
        </w:tc>
      </w:tr>
    </w:tbl>
    <w:p>
      <w:pPr>
        <w:spacing w:after="80"/>
      </w:pPr>
    </w:p>
    <w:p>
      <w:pPr>
        <w:spacing w:after="140"/>
      </w:pPr>
      <w:r>
        <w:rPr>
          <w:rFonts w:ascii="Calibri" w:hAnsi="Calibri"/>
          <w:i w:val="0"/>
          <w:sz w:val="21"/>
        </w:rPr>
        <w:t>Identical. Every conflict, every refusal, every verdict — 8/8 correct on both providers.</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That is the finding, not a disappointment.  </w:t>
            </w:r>
            <w:r>
              <w:rPr>
                <w:rFonts w:ascii="Calibri" w:hAnsi="Calibri"/>
                <w:sz w:val="21"/>
              </w:rPr>
              <w:t>Day 14's azure run diverged from its mock sharply, because Day 14 was measuring EXTRACTION — whether the model read the characters correctly. This lab measures something else. Every defect here lives BETWEEN documents. The service read all 32 documents essentially perfectly and handed back a set of documents that still disagree with each other. The real service changed nothing because the failure was never in the reading.</w:t>
            </w:r>
          </w:p>
        </w:tc>
      </w:tr>
    </w:tbl>
    <w:p>
      <w:pPr>
        <w:spacing w:after="60"/>
      </w:pPr>
    </w:p>
    <w:p>
      <w:pPr>
        <w:spacing w:after="140"/>
      </w:pPr>
      <w:r>
        <w:rPr>
          <w:rFonts w:ascii="Calibri" w:hAnsi="Calibri"/>
          <w:i w:val="0"/>
          <w:sz w:val="21"/>
        </w:rPr>
        <w:t>That is the sentence to take to a client, and it is the argument for why 'verification' and 'stitching' are the two rows in the production-mapping table that say YOUR OWN CODE.</w:t>
      </w:r>
    </w:p>
    <w:p>
      <w:pPr>
        <w:keepNext/>
        <w:spacing w:before="280" w:after="80"/>
      </w:pPr>
      <w:r>
        <w:rPr>
          <w:rFonts w:ascii="Calibri" w:hAnsi="Calibri"/>
          <w:b/>
          <w:color w:val="1D3557"/>
          <w:sz w:val="25"/>
        </w:rPr>
        <w:t>8.2 — What the extraction actually cost</w:t>
      </w:r>
    </w:p>
    <w:tbl>
      <w:tblPr>
        <w:tblStyle w:val="TableGrid"/>
        <w:tblW w:type="auto" w:w="0"/>
        <w:jc w:val="center"/>
        <w:tblLook w:firstColumn="1" w:firstRow="1" w:lastColumn="0" w:lastRow="0" w:noHBand="0" w:noVBand="1" w:val="04A0"/>
      </w:tblPr>
      <w:tblGrid>
        <w:gridCol w:w="4896"/>
        <w:gridCol w:w="4896"/>
      </w:tblGrid>
      <w:tr>
        <w:tc>
          <w:tcPr>
            <w:tcW w:type="dxa" w:w="4176"/>
            <w:shd w:val="clear" w:color="auto" w:fill="1D3557"/>
          </w:tcPr>
          <w:p>
            <w:pPr>
              <w:spacing w:before="40" w:after="40"/>
            </w:pPr>
            <w:r>
              <w:rPr>
                <w:rFonts w:ascii="Calibri" w:hAnsi="Calibri"/>
                <w:b/>
                <w:color w:val="FFFFFF"/>
                <w:sz w:val="19"/>
              </w:rPr>
              <w:t>Measure</w:t>
            </w:r>
          </w:p>
        </w:tc>
        <w:tc>
          <w:tcPr>
            <w:tcW w:type="dxa" w:w="5184"/>
            <w:shd w:val="clear" w:color="auto" w:fill="1D3557"/>
          </w:tcPr>
          <w:p>
            <w:pPr>
              <w:spacing w:before="40" w:after="40"/>
            </w:pPr>
            <w:r>
              <w:rPr>
                <w:rFonts w:ascii="Calibri" w:hAnsi="Calibri"/>
                <w:b/>
                <w:color w:val="FFFFFF"/>
                <w:sz w:val="19"/>
              </w:rPr>
              <w:t>Value</w:t>
            </w:r>
          </w:p>
        </w:tc>
      </w:tr>
      <w:tr>
        <w:tc>
          <w:tcPr>
            <w:tcW w:type="dxa" w:w="4176"/>
          </w:tcPr>
          <w:p>
            <w:pPr>
              <w:spacing w:before="40" w:after="40"/>
            </w:pPr>
            <w:r>
              <w:rPr>
                <w:rFonts w:ascii="Calibri" w:hAnsi="Calibri"/>
                <w:b w:val="0"/>
                <w:sz w:val="19"/>
              </w:rPr>
              <w:t>Documents analysed</w:t>
            </w:r>
          </w:p>
        </w:tc>
        <w:tc>
          <w:tcPr>
            <w:tcW w:type="dxa" w:w="5184"/>
          </w:tcPr>
          <w:p>
            <w:pPr>
              <w:spacing w:before="40" w:after="40"/>
            </w:pPr>
            <w:r>
              <w:rPr>
                <w:rFonts w:ascii="Consolas" w:hAnsi="Consolas"/>
                <w:b w:val="0"/>
                <w:sz w:val="18"/>
              </w:rPr>
              <w:t>32</w:t>
            </w:r>
          </w:p>
        </w:tc>
      </w:tr>
      <w:tr>
        <w:tc>
          <w:tcPr>
            <w:tcW w:type="dxa" w:w="4176"/>
            <w:shd w:val="clear" w:color="auto" w:fill="EDF1F7"/>
          </w:tcPr>
          <w:p>
            <w:pPr>
              <w:spacing w:before="40" w:after="40"/>
            </w:pPr>
            <w:r>
              <w:rPr>
                <w:rFonts w:ascii="Calibri" w:hAnsi="Calibri"/>
                <w:b w:val="0"/>
                <w:sz w:val="19"/>
              </w:rPr>
              <w:t>Query-field requests sent</w:t>
            </w:r>
          </w:p>
        </w:tc>
        <w:tc>
          <w:tcPr>
            <w:tcW w:type="dxa" w:w="5184"/>
            <w:shd w:val="clear" w:color="auto" w:fill="EDF1F7"/>
          </w:tcPr>
          <w:p>
            <w:pPr>
              <w:spacing w:before="40" w:after="40"/>
            </w:pPr>
            <w:r>
              <w:rPr>
                <w:rFonts w:ascii="Consolas" w:hAnsi="Consolas"/>
                <w:b w:val="0"/>
                <w:sz w:val="18"/>
              </w:rPr>
              <w:t>152</w:t>
            </w:r>
          </w:p>
        </w:tc>
      </w:tr>
      <w:tr>
        <w:tc>
          <w:tcPr>
            <w:tcW w:type="dxa" w:w="4176"/>
          </w:tcPr>
          <w:p>
            <w:pPr>
              <w:spacing w:before="40" w:after="40"/>
            </w:pPr>
            <w:r>
              <w:rPr>
                <w:rFonts w:ascii="Calibri" w:hAnsi="Calibri"/>
                <w:b w:val="0"/>
                <w:sz w:val="19"/>
              </w:rPr>
              <w:t>Answered</w:t>
            </w:r>
          </w:p>
        </w:tc>
        <w:tc>
          <w:tcPr>
            <w:tcW w:type="dxa" w:w="5184"/>
          </w:tcPr>
          <w:p>
            <w:pPr>
              <w:spacing w:before="40" w:after="40"/>
            </w:pPr>
            <w:r>
              <w:rPr>
                <w:rFonts w:ascii="Consolas" w:hAnsi="Consolas"/>
                <w:b w:val="0"/>
                <w:sz w:val="18"/>
              </w:rPr>
              <w:t>152 (100%)</w:t>
            </w:r>
          </w:p>
        </w:tc>
      </w:tr>
      <w:tr>
        <w:tc>
          <w:tcPr>
            <w:tcW w:type="dxa" w:w="4176"/>
            <w:shd w:val="clear" w:color="auto" w:fill="EDF1F7"/>
          </w:tcPr>
          <w:p>
            <w:pPr>
              <w:spacing w:before="40" w:after="40"/>
            </w:pPr>
            <w:r>
              <w:rPr>
                <w:rFonts w:ascii="Calibri" w:hAnsi="Calibri"/>
                <w:b w:val="0"/>
                <w:sz w:val="19"/>
              </w:rPr>
              <w:t>Returned empty</w:t>
            </w:r>
          </w:p>
        </w:tc>
        <w:tc>
          <w:tcPr>
            <w:tcW w:type="dxa" w:w="5184"/>
            <w:shd w:val="clear" w:color="auto" w:fill="EDF1F7"/>
          </w:tcPr>
          <w:p>
            <w:pPr>
              <w:spacing w:before="40" w:after="40"/>
            </w:pPr>
            <w:r>
              <w:rPr>
                <w:rFonts w:ascii="Consolas" w:hAnsi="Consolas"/>
                <w:b w:val="0"/>
                <w:sz w:val="18"/>
              </w:rPr>
              <w:t>0</w:t>
            </w:r>
          </w:p>
        </w:tc>
      </w:tr>
      <w:tr>
        <w:tc>
          <w:tcPr>
            <w:tcW w:type="dxa" w:w="4176"/>
          </w:tcPr>
          <w:p>
            <w:pPr>
              <w:spacing w:before="40" w:after="40"/>
            </w:pPr>
            <w:r>
              <w:rPr>
                <w:rFonts w:ascii="Calibri" w:hAnsi="Calibri"/>
                <w:b w:val="0"/>
                <w:sz w:val="19"/>
              </w:rPr>
              <w:t>Mean confidence, per document</w:t>
            </w:r>
          </w:p>
        </w:tc>
        <w:tc>
          <w:tcPr>
            <w:tcW w:type="dxa" w:w="5184"/>
          </w:tcPr>
          <w:p>
            <w:pPr>
              <w:spacing w:before="40" w:after="40"/>
            </w:pPr>
            <w:r>
              <w:rPr>
                <w:rFonts w:ascii="Consolas" w:hAnsi="Consolas"/>
                <w:b w:val="0"/>
                <w:sz w:val="18"/>
              </w:rPr>
              <w:t>0.903 – 0.995</w:t>
            </w:r>
          </w:p>
        </w:tc>
      </w:tr>
      <w:tr>
        <w:tc>
          <w:tcPr>
            <w:tcW w:type="dxa" w:w="4176"/>
            <w:shd w:val="clear" w:color="auto" w:fill="EDF1F7"/>
          </w:tcPr>
          <w:p>
            <w:pPr>
              <w:spacing w:before="40" w:after="40"/>
            </w:pPr>
            <w:r>
              <w:rPr>
                <w:rFonts w:ascii="Calibri" w:hAnsi="Calibri"/>
                <w:b w:val="0"/>
                <w:sz w:val="19"/>
              </w:rPr>
              <w:t>Wall-clock, first (billed) run</w:t>
            </w:r>
          </w:p>
        </w:tc>
        <w:tc>
          <w:tcPr>
            <w:tcW w:type="dxa" w:w="5184"/>
            <w:shd w:val="clear" w:color="auto" w:fill="EDF1F7"/>
          </w:tcPr>
          <w:p>
            <w:pPr>
              <w:spacing w:before="40" w:after="40"/>
            </w:pPr>
            <w:r>
              <w:rPr>
                <w:rFonts w:ascii="Consolas" w:hAnsi="Consolas"/>
                <w:b w:val="0"/>
                <w:sz w:val="18"/>
              </w:rPr>
              <w:t>about 2 min 54 s</w:t>
            </w:r>
          </w:p>
        </w:tc>
      </w:tr>
      <w:tr>
        <w:tc>
          <w:tcPr>
            <w:tcW w:type="dxa" w:w="4176"/>
          </w:tcPr>
          <w:p>
            <w:pPr>
              <w:spacing w:before="40" w:after="40"/>
            </w:pPr>
            <w:r>
              <w:rPr>
                <w:rFonts w:ascii="Calibri" w:hAnsi="Calibri"/>
                <w:b w:val="0"/>
                <w:sz w:val="19"/>
              </w:rPr>
              <w:t>Rate-limited (HTTP 429)</w:t>
            </w:r>
          </w:p>
        </w:tc>
        <w:tc>
          <w:tcPr>
            <w:tcW w:type="dxa" w:w="5184"/>
          </w:tcPr>
          <w:p>
            <w:pPr>
              <w:spacing w:before="40" w:after="40"/>
            </w:pPr>
            <w:r>
              <w:rPr>
                <w:rFonts w:ascii="Consolas" w:hAnsi="Consolas"/>
                <w:b w:val="0"/>
                <w:sz w:val="18"/>
              </w:rPr>
              <w:t>5 times, 94 s waiting on Retry-After</w:t>
            </w:r>
          </w:p>
        </w:tc>
      </w:tr>
    </w:tbl>
    <w:p>
      <w:pPr>
        <w:spacing w:after="80"/>
      </w:pPr>
    </w:p>
    <w:p>
      <w:pPr>
        <w:spacing w:after="140"/>
      </w:pPr>
      <w:r>
        <w:rPr>
          <w:rFonts w:ascii="Calibri" w:hAnsi="Calibri"/>
          <w:i w:val="0"/>
          <w:sz w:val="21"/>
        </w:rPr>
        <w:t>The rate-limit line is a THROUGHPUT number, not an error. Quote it when somebody asks what 4,000 documents a month looks like on this tier.</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What you are NOT entitled to quote.  </w:t>
            </w:r>
            <w:r>
              <w:rPr>
                <w:rFonts w:ascii="Calibri" w:hAnsi="Calibri"/>
                <w:sz w:val="21"/>
              </w:rPr>
              <w:t>These PDFs are digitally generated — the text is embedded, not scanned. The service reads them far more confidently than it would read the forms this lab models. That 0.903–0.995 range is a CEILING, not an estimate. To get a real number, run the client's own scans through the same pipeline; asking for them is the first thing to do.</w:t>
            </w:r>
          </w:p>
        </w:tc>
      </w:tr>
    </w:tbl>
    <w:p>
      <w:pPr>
        <w:spacing w:after="60"/>
      </w:pPr>
    </w:p>
    <w:p>
      <w:pPr>
        <w:keepNext/>
        <w:spacing w:before="280" w:after="80"/>
      </w:pPr>
      <w:r>
        <w:rPr>
          <w:rFonts w:ascii="Calibri" w:hAnsi="Calibri"/>
          <w:b/>
          <w:color w:val="1D3557"/>
          <w:sz w:val="25"/>
        </w:rPr>
        <w:t>8.3 — The measured headline: over-asking</w:t>
      </w:r>
    </w:p>
    <w:p>
      <w:pPr>
        <w:spacing w:before="100" w:after="180"/>
        <w:ind w:left="259"/>
        <w:shd w:val="clear" w:color="auto" w:fill="F4F6F8"/>
      </w:pPr>
      <w:r>
        <w:rPr>
          <w:rFonts w:ascii="Consolas" w:hAnsi="Consolas"/>
          <w:sz w:val="18"/>
        </w:rPr>
        <w:t>python3 run_lab.py --provider azure --overask</w:t>
      </w:r>
    </w:p>
    <w:p>
      <w:pPr>
        <w:spacing w:after="140"/>
      </w:pPr>
      <w:r>
        <w:rPr>
          <w:rFonts w:ascii="Calibri" w:hAnsi="Calibri"/>
          <w:i w:val="0"/>
          <w:sz w:val="21"/>
        </w:rPr>
        <w:t>This adds field names to each request that the document genuinely does not contain — a sort code on a payslip, an employer on a driving licence. It is what happens when a team writes one query list and reuses it across document types 'to keep things simple'.</w:t>
      </w:r>
    </w:p>
    <w:p>
      <w:pPr>
        <w:spacing w:after="140"/>
      </w:pPr>
      <w:r>
        <w:rPr>
          <w:rFonts w:ascii="Calibri" w:hAnsi="Calibri"/>
          <w:i w:val="0"/>
          <w:sz w:val="21"/>
        </w:rPr>
        <w:t>The service does not push back. It answers.</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1D3557"/>
          </w:tcPr>
          <w:p>
            <w:pPr>
              <w:spacing w:before="40" w:after="40"/>
            </w:pPr>
            <w:r>
              <w:rPr>
                <w:rFonts w:ascii="Calibri" w:hAnsi="Calibri"/>
                <w:b/>
                <w:color w:val="FFFFFF"/>
                <w:sz w:val="19"/>
              </w:rPr>
              <w:t>Measure</w:t>
            </w:r>
          </w:p>
        </w:tc>
        <w:tc>
          <w:tcPr>
            <w:tcW w:type="dxa" w:w="4464"/>
            <w:shd w:val="clear" w:color="auto" w:fill="1D3557"/>
          </w:tcPr>
          <w:p>
            <w:pPr>
              <w:spacing w:before="40" w:after="40"/>
            </w:pPr>
            <w:r>
              <w:rPr>
                <w:rFonts w:ascii="Calibri" w:hAnsi="Calibri"/>
                <w:b/>
                <w:color w:val="FFFFFF"/>
                <w:sz w:val="19"/>
              </w:rPr>
              <w:t>Value</w:t>
            </w:r>
          </w:p>
        </w:tc>
      </w:tr>
      <w:tr>
        <w:tc>
          <w:tcPr>
            <w:tcW w:type="dxa" w:w="4896"/>
          </w:tcPr>
          <w:p>
            <w:pPr>
              <w:spacing w:before="40" w:after="40"/>
            </w:pPr>
            <w:r>
              <w:rPr>
                <w:rFonts w:ascii="Calibri" w:hAnsi="Calibri"/>
                <w:b w:val="0"/>
                <w:sz w:val="19"/>
              </w:rPr>
              <w:t>Extra requests sent</w:t>
            </w:r>
          </w:p>
        </w:tc>
        <w:tc>
          <w:tcPr>
            <w:tcW w:type="dxa" w:w="4464"/>
          </w:tcPr>
          <w:p>
            <w:pPr>
              <w:spacing w:before="40" w:after="40"/>
            </w:pPr>
            <w:r>
              <w:rPr>
                <w:rFonts w:ascii="Consolas" w:hAnsi="Consolas"/>
                <w:b w:val="0"/>
                <w:sz w:val="18"/>
              </w:rPr>
              <w:t>72</w:t>
            </w:r>
          </w:p>
        </w:tc>
      </w:tr>
      <w:tr>
        <w:tc>
          <w:tcPr>
            <w:tcW w:type="dxa" w:w="4896"/>
            <w:shd w:val="clear" w:color="auto" w:fill="EDF1F7"/>
          </w:tcPr>
          <w:p>
            <w:pPr>
              <w:spacing w:before="40" w:after="40"/>
            </w:pPr>
            <w:r>
              <w:rPr>
                <w:rFonts w:ascii="Calibri" w:hAnsi="Calibri"/>
                <w:b w:val="0"/>
                <w:sz w:val="19"/>
              </w:rPr>
              <w:t>Came back EMPTY — the honest answer</w:t>
            </w:r>
          </w:p>
        </w:tc>
        <w:tc>
          <w:tcPr>
            <w:tcW w:type="dxa" w:w="4464"/>
            <w:shd w:val="clear" w:color="auto" w:fill="EDF1F7"/>
          </w:tcPr>
          <w:p>
            <w:pPr>
              <w:spacing w:before="40" w:after="40"/>
            </w:pPr>
            <w:r>
              <w:rPr>
                <w:rFonts w:ascii="Consolas" w:hAnsi="Consolas"/>
                <w:b w:val="0"/>
                <w:sz w:val="18"/>
              </w:rPr>
              <w:t>64</w:t>
            </w:r>
          </w:p>
        </w:tc>
      </w:tr>
      <w:tr>
        <w:tc>
          <w:tcPr>
            <w:tcW w:type="dxa" w:w="4896"/>
          </w:tcPr>
          <w:p>
            <w:pPr>
              <w:spacing w:before="40" w:after="40"/>
            </w:pPr>
            <w:r>
              <w:rPr>
                <w:rFonts w:ascii="Calibri" w:hAnsi="Calibri"/>
                <w:b w:val="0"/>
                <w:sz w:val="19"/>
              </w:rPr>
              <w:t>Came back WITH A VALUE IN THEM</w:t>
            </w:r>
          </w:p>
        </w:tc>
        <w:tc>
          <w:tcPr>
            <w:tcW w:type="dxa" w:w="4464"/>
          </w:tcPr>
          <w:p>
            <w:pPr>
              <w:spacing w:before="40" w:after="40"/>
            </w:pPr>
            <w:r>
              <w:rPr>
                <w:rFonts w:ascii="Consolas" w:hAnsi="Consolas"/>
                <w:b w:val="0"/>
                <w:sz w:val="18"/>
              </w:rPr>
              <w:t>8</w:t>
            </w:r>
          </w:p>
        </w:tc>
      </w:tr>
    </w:tbl>
    <w:p>
      <w:pPr>
        <w:spacing w:after="80"/>
      </w:pPr>
    </w:p>
    <w:p>
      <w:pPr>
        <w:spacing w:after="140"/>
      </w:pPr>
      <w:r>
        <w:rPr>
          <w:rFonts w:ascii="Calibri" w:hAnsi="Calibri"/>
          <w:i w:val="0"/>
          <w:sz w:val="21"/>
        </w:rPr>
        <w:t>All eight are the same failure, and it is systematic rather than random: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val="clear" w:color="auto" w:fill="1D3557"/>
          </w:tcPr>
          <w:p>
            <w:pPr>
              <w:spacing w:before="40" w:after="40"/>
            </w:pPr>
            <w:r>
              <w:rPr>
                <w:rFonts w:ascii="Calibri" w:hAnsi="Calibri"/>
                <w:b/>
                <w:color w:val="FFFFFF"/>
                <w:sz w:val="19"/>
              </w:rPr>
              <w:t>Asked for</w:t>
            </w:r>
          </w:p>
        </w:tc>
        <w:tc>
          <w:tcPr>
            <w:tcW w:type="dxa" w:w="2736"/>
            <w:shd w:val="clear" w:color="auto" w:fill="1D3557"/>
          </w:tcPr>
          <w:p>
            <w:pPr>
              <w:spacing w:before="40" w:after="40"/>
            </w:pPr>
            <w:r>
              <w:rPr>
                <w:rFonts w:ascii="Calibri" w:hAnsi="Calibri"/>
                <w:b/>
                <w:color w:val="FFFFFF"/>
                <w:sz w:val="19"/>
              </w:rPr>
              <w:t>On</w:t>
            </w:r>
          </w:p>
        </w:tc>
        <w:tc>
          <w:tcPr>
            <w:tcW w:type="dxa" w:w="2304"/>
            <w:shd w:val="clear" w:color="auto" w:fill="1D3557"/>
          </w:tcPr>
          <w:p>
            <w:pPr>
              <w:spacing w:before="40" w:after="40"/>
            </w:pPr>
            <w:r>
              <w:rPr>
                <w:rFonts w:ascii="Calibri" w:hAnsi="Calibri"/>
                <w:b/>
                <w:color w:val="FFFFFF"/>
                <w:sz w:val="19"/>
              </w:rPr>
              <w:t>What came back</w:t>
            </w:r>
          </w:p>
        </w:tc>
        <w:tc>
          <w:tcPr>
            <w:tcW w:type="dxa" w:w="2016"/>
            <w:shd w:val="clear" w:color="auto" w:fill="1D3557"/>
          </w:tcPr>
          <w:p>
            <w:pPr>
              <w:spacing w:before="40" w:after="40"/>
            </w:pPr>
            <w:r>
              <w:rPr>
                <w:rFonts w:ascii="Calibri" w:hAnsi="Calibri"/>
                <w:b/>
                <w:color w:val="FFFFFF"/>
                <w:sz w:val="19"/>
              </w:rPr>
              <w:t>Confidence</w:t>
            </w:r>
          </w:p>
        </w:tc>
      </w:tr>
      <w:tr>
        <w:tc>
          <w:tcPr>
            <w:tcW w:type="dxa" w:w="2304"/>
          </w:tcPr>
          <w:p>
            <w:pPr>
              <w:spacing w:before="40" w:after="40"/>
            </w:pPr>
            <w:r>
              <w:rPr>
                <w:rFonts w:ascii="Consolas" w:hAnsi="Consolas"/>
                <w:b w:val="0"/>
                <w:sz w:val="18"/>
              </w:rPr>
              <w:t>annual_income</w:t>
            </w:r>
          </w:p>
        </w:tc>
        <w:tc>
          <w:tcPr>
            <w:tcW w:type="dxa" w:w="2736"/>
          </w:tcPr>
          <w:p>
            <w:pPr>
              <w:spacing w:before="40" w:after="40"/>
            </w:pPr>
            <w:r>
              <w:rPr>
                <w:rFonts w:ascii="Calibri" w:hAnsi="Calibri"/>
                <w:b w:val="0"/>
                <w:sz w:val="19"/>
              </w:rPr>
              <w:t>each bank statement</w:t>
            </w:r>
          </w:p>
        </w:tc>
        <w:tc>
          <w:tcPr>
            <w:tcW w:type="dxa" w:w="2304"/>
          </w:tcPr>
          <w:p>
            <w:pPr>
              <w:spacing w:before="40" w:after="40"/>
            </w:pPr>
            <w:r>
              <w:rPr>
                <w:rFonts w:ascii="Consolas" w:hAnsi="Consolas"/>
                <w:b w:val="0"/>
                <w:sz w:val="18"/>
              </w:rPr>
              <w:t>-58.10</w:t>
            </w:r>
          </w:p>
        </w:tc>
        <w:tc>
          <w:tcPr>
            <w:tcW w:type="dxa" w:w="2016"/>
          </w:tcPr>
          <w:p>
            <w:pPr>
              <w:spacing w:before="40" w:after="40"/>
            </w:pPr>
            <w:r>
              <w:rPr>
                <w:rFonts w:ascii="Consolas" w:hAnsi="Consolas"/>
                <w:b w:val="0"/>
                <w:sz w:val="18"/>
              </w:rPr>
              <w:t>0.584 – 0.657</w:t>
            </w:r>
          </w:p>
        </w:tc>
      </w:tr>
    </w:tbl>
    <w:p>
      <w:pPr>
        <w:spacing w:after="80"/>
      </w:pPr>
    </w:p>
    <w:p>
      <w:pPr>
        <w:spacing w:after="140"/>
      </w:pPr>
      <w:r>
        <w:rPr>
          <w:rFonts w:ascii="Calibri" w:hAnsi="Calibri"/>
          <w:i w:val="0"/>
          <w:sz w:val="21"/>
        </w:rPr>
        <w:t>-58.10 is a grocery card payment in the transaction list. Asked a bank statement for annual income, the service found the closest number on the page and returned it, at a confidence high enough to look like an answer rather than a shrug.</w:t>
      </w:r>
    </w:p>
    <w:tbl>
      <w:tblPr>
        <w:tblW w:type="auto" w:w="0"/>
        <w:jc w:val="center"/>
        <w:tblLook w:firstColumn="1" w:firstRow="1" w:lastColumn="0" w:lastRow="0" w:noHBand="0" w:noVBand="1" w:val="04A0"/>
      </w:tblPr>
      <w:tblGrid>
        <w:gridCol w:w="9792"/>
      </w:tblGrid>
      <w:tr>
        <w:tc>
          <w:tcPr>
            <w:tcW w:type="dxa" w:w="9792"/>
            <w:shd w:val="clear" w:color="auto" w:fill="FDF3E3"/>
          </w:tcPr>
          <w:p>
            <w:pPr>
              <w:spacing w:before="120" w:after="120"/>
            </w:pPr>
            <w:r>
              <w:rPr>
                <w:rFonts w:ascii="Calibri" w:hAnsi="Calibri"/>
                <w:b/>
                <w:color w:val="C8102E"/>
                <w:sz w:val="21"/>
              </w:rPr>
              <w:t xml:space="preserve">Empty is safe. Populated and wrong is not.  </w:t>
            </w:r>
            <w:r>
              <w:rPr>
                <w:rFonts w:ascii="Calibri" w:hAnsi="Calibri"/>
                <w:sz w:val="21"/>
              </w:rPr>
              <w:t>A field that comes back empty lands in 'missing' and somebody sees a gap. A field that comes back populated and wrong is the exact failure mode this entire lab is about — arriving from the vendor rather than from your stitching.</w:t>
            </w:r>
          </w:p>
        </w:tc>
      </w:tr>
    </w:tbl>
    <w:p>
      <w:pPr>
        <w:spacing w:after="60"/>
      </w:pPr>
    </w:p>
    <w:p>
      <w:pPr>
        <w:keepNext/>
        <w:spacing w:before="200" w:after="60"/>
      </w:pPr>
      <w:r>
        <w:rPr>
          <w:rFonts w:ascii="Calibri" w:hAnsi="Calibri"/>
          <w:b/>
          <w:color w:val="1B6C6F"/>
          <w:sz w:val="22"/>
        </w:rPr>
        <w:t>Why it did no damage here, and what that teaches</w:t>
      </w:r>
    </w:p>
    <w:p>
      <w:pPr>
        <w:spacing w:after="140"/>
      </w:pPr>
      <w:r>
        <w:rPr>
          <w:rFonts w:ascii="Calibri" w:hAnsi="Calibri"/>
          <w:b w:val="0"/>
          <w:i w:val="0"/>
          <w:sz w:val="21"/>
        </w:rPr>
        <w:t xml:space="preserve">None of those eight values reached the unified record, and the totals were unchanged. The reason is </w:t>
      </w:r>
      <w:r>
        <w:rPr>
          <w:rFonts w:ascii="Consolas" w:hAnsi="Consolas"/>
          <w:b w:val="0"/>
          <w:i w:val="0"/>
          <w:sz w:val="20"/>
        </w:rPr>
        <w:t>FIELD_SOURCES</w:t>
      </w:r>
      <w:r>
        <w:rPr>
          <w:rFonts w:ascii="Calibri" w:hAnsi="Calibri"/>
          <w:b w:val="0"/>
          <w:i w:val="0"/>
          <w:sz w:val="21"/>
        </w:rPr>
        <w:t xml:space="preserve"> in </w:t>
      </w:r>
      <w:r>
        <w:rPr>
          <w:rFonts w:ascii="Consolas" w:hAnsi="Consolas"/>
          <w:b w:val="0"/>
          <w:i w:val="0"/>
          <w:sz w:val="20"/>
        </w:rPr>
        <w:t>pipeline.py</w:t>
      </w:r>
      <w:r>
        <w:rPr>
          <w:rFonts w:ascii="Calibri" w:hAnsi="Calibri"/>
          <w:b w:val="0"/>
          <w:i w:val="0"/>
          <w:sz w:val="21"/>
        </w:rPr>
        <w:t xml:space="preserve">: it declares that </w:t>
      </w:r>
      <w:r>
        <w:rPr>
          <w:rFonts w:ascii="Consolas" w:hAnsi="Consolas"/>
          <w:b w:val="0"/>
          <w:i w:val="0"/>
          <w:sz w:val="20"/>
        </w:rPr>
        <w:t>annual_income</w:t>
      </w:r>
      <w:r>
        <w:rPr>
          <w:rFonts w:ascii="Calibri" w:hAnsi="Calibri"/>
          <w:b w:val="0"/>
          <w:i w:val="0"/>
          <w:sz w:val="21"/>
        </w:rPr>
        <w:t xml:space="preserve"> may be sourced from a case form or a payslip, and from nowhere else. A bank statement is not an allowed source, so the invented value had no route in.</w:t>
      </w:r>
    </w:p>
    <w:p>
      <w:pPr>
        <w:spacing w:after="140"/>
      </w:pPr>
      <w:r>
        <w:rPr>
          <w:rFonts w:ascii="Calibri" w:hAnsi="Calibri"/>
          <w:i w:val="0"/>
          <w:sz w:val="21"/>
        </w:rPr>
        <w:t>That is a whitelist doing exactly the job a whitelist is for. If your stitching merges 'whatever fields came back' instead of 'the fields this document type is allowed to supply', the vendor's guess becomes your record's income figure and nothing anywhere reports an error.</w:t>
      </w:r>
    </w:p>
    <w:p>
      <w:pPr>
        <w:spacing w:after="140"/>
      </w:pPr>
      <w:r>
        <w:rPr>
          <w:rFonts w:ascii="Calibri" w:hAnsi="Calibri"/>
          <w:i/>
          <w:sz w:val="21"/>
        </w:rPr>
        <w:t>A second data point, from Day 14's motor claim form: asked for gross_monthly_pay, which no motor claim form has, it returned 9000.00 at confidence 0.75. Same behaviour, higher confidence, on a different form.</w:t>
      </w:r>
    </w:p>
    <w:p>
      <w:pPr>
        <w:keepNext/>
        <w:spacing w:before="280" w:after="80"/>
      </w:pPr>
      <w:r>
        <w:rPr>
          <w:rFonts w:ascii="Calibri" w:hAnsi="Calibri"/>
          <w:b/>
          <w:color w:val="1D3557"/>
          <w:sz w:val="25"/>
        </w:rPr>
        <w:t>8.4 — What did not happen</w:t>
      </w:r>
    </w:p>
    <w:p>
      <w:pPr>
        <w:spacing w:after="140"/>
      </w:pPr>
      <w:r>
        <w:rPr>
          <w:rFonts w:ascii="Calibri" w:hAnsi="Calibri"/>
          <w:i w:val="0"/>
          <w:sz w:val="21"/>
        </w:rPr>
        <w:t>The PAGES THE SERVICE DID NOT READ warning never fired. A free-tier resource analyses the first two pages of a document and stops — silently — and Day 14 lost three teaching points to it. Here, every query field is rendered on page 1 BY DESIGN, so the limit cannot be mistaken for an extraction failure. The check is still in the code; add a third page to a document and it will tell you.</w:t>
      </w:r>
    </w:p>
    <w:p>
      <w:pPr>
        <w:keepNext/>
        <w:spacing w:before="440" w:after="160"/>
        <w:pBdr>
          <w:bottom w:val="single" w:sz="12" w:color="1D3557"/>
        </w:pBdr>
      </w:pPr>
      <w:r>
        <w:rPr>
          <w:rFonts w:ascii="Calibri" w:hAnsi="Calibri"/>
          <w:b/>
          <w:color w:val="1D3557"/>
          <w:sz w:val="34"/>
        </w:rPr>
        <w:t>9 · The output files, and what to look for in each</w:t>
      </w:r>
    </w:p>
    <w:p>
      <w:pPr>
        <w:spacing w:after="140"/>
      </w:pPr>
      <w:r>
        <w:rPr>
          <w:rFonts w:ascii="Calibri" w:hAnsi="Calibri"/>
          <w:i w:val="0"/>
          <w:sz w:val="21"/>
        </w:rPr>
        <w:t>Everything lands under out/&lt;provider&gt;/, so a mock run and an azure run never overwrite each other and you can diff them.</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color="auto" w:fill="1D3557"/>
          </w:tcPr>
          <w:p>
            <w:pPr>
              <w:spacing w:before="40" w:after="40"/>
            </w:pPr>
            <w:r>
              <w:rPr>
                <w:rFonts w:ascii="Calibri" w:hAnsi="Calibri"/>
                <w:b/>
                <w:color w:val="FFFFFF"/>
                <w:sz w:val="17"/>
              </w:rPr>
              <w:t>File</w:t>
            </w:r>
          </w:p>
        </w:tc>
        <w:tc>
          <w:tcPr>
            <w:tcW w:type="dxa" w:w="3744"/>
            <w:shd w:val="clear" w:color="auto" w:fill="1D3557"/>
          </w:tcPr>
          <w:p>
            <w:pPr>
              <w:spacing w:before="40" w:after="40"/>
            </w:pPr>
            <w:r>
              <w:rPr>
                <w:rFonts w:ascii="Calibri" w:hAnsi="Calibri"/>
                <w:b/>
                <w:color w:val="FFFFFF"/>
                <w:sz w:val="17"/>
              </w:rPr>
              <w:t>What is in it</w:t>
            </w:r>
          </w:p>
        </w:tc>
        <w:tc>
          <w:tcPr>
            <w:tcW w:type="dxa" w:w="3312"/>
            <w:shd w:val="clear" w:color="auto" w:fill="1D3557"/>
          </w:tcPr>
          <w:p>
            <w:pPr>
              <w:spacing w:before="40" w:after="40"/>
            </w:pPr>
            <w:r>
              <w:rPr>
                <w:rFonts w:ascii="Calibri" w:hAnsi="Calibri"/>
                <w:b/>
                <w:color w:val="FFFFFF"/>
                <w:sz w:val="17"/>
              </w:rPr>
              <w:t>What to look for</w:t>
            </w:r>
          </w:p>
        </w:tc>
      </w:tr>
      <w:tr>
        <w:tc>
          <w:tcPr>
            <w:tcW w:type="dxa" w:w="2304"/>
          </w:tcPr>
          <w:p>
            <w:pPr>
              <w:spacing w:before="40" w:after="40"/>
            </w:pPr>
            <w:r>
              <w:rPr>
                <w:rFonts w:ascii="Consolas" w:hAnsi="Consolas"/>
                <w:b w:val="0"/>
                <w:sz w:val="16"/>
              </w:rPr>
              <w:t>multidoc_report.md</w:t>
            </w:r>
          </w:p>
        </w:tc>
        <w:tc>
          <w:tcPr>
            <w:tcW w:type="dxa" w:w="3744"/>
          </w:tcPr>
          <w:p>
            <w:pPr>
              <w:spacing w:before="40" w:after="40"/>
            </w:pPr>
            <w:r>
              <w:rPr>
                <w:rFonts w:ascii="Calibri" w:hAnsi="Calibri"/>
                <w:b w:val="0"/>
                <w:sz w:val="17"/>
              </w:rPr>
              <w:t>Strategy comparison, the package list, and the six questions.</w:t>
            </w:r>
          </w:p>
        </w:tc>
        <w:tc>
          <w:tcPr>
            <w:tcW w:type="dxa" w:w="3312"/>
          </w:tcPr>
          <w:p>
            <w:pPr>
              <w:spacing w:before="40" w:after="40"/>
            </w:pPr>
            <w:r>
              <w:rPr>
                <w:rFonts w:ascii="Calibri" w:hAnsi="Calibri"/>
                <w:b w:val="0"/>
                <w:sz w:val="17"/>
              </w:rPr>
              <w:t>THE SIX QUESTIONS. They are the deliverable; the tables are just evidence.</w:t>
            </w:r>
          </w:p>
        </w:tc>
      </w:tr>
      <w:tr>
        <w:tc>
          <w:tcPr>
            <w:tcW w:type="dxa" w:w="2304"/>
            <w:shd w:val="clear" w:color="auto" w:fill="EDF1F7"/>
          </w:tcPr>
          <w:p>
            <w:pPr>
              <w:spacing w:before="40" w:after="40"/>
            </w:pPr>
            <w:r>
              <w:rPr>
                <w:rFonts w:ascii="Consolas" w:hAnsi="Consolas"/>
                <w:b w:val="0"/>
                <w:sz w:val="16"/>
              </w:rPr>
              <w:t>stitch_results.csv</w:t>
            </w:r>
          </w:p>
        </w:tc>
        <w:tc>
          <w:tcPr>
            <w:tcW w:type="dxa" w:w="3744"/>
            <w:shd w:val="clear" w:color="auto" w:fill="EDF1F7"/>
          </w:tcPr>
          <w:p>
            <w:pPr>
              <w:spacing w:before="40" w:after="40"/>
            </w:pPr>
            <w:r>
              <w:rPr>
                <w:rFonts w:ascii="Calibri" w:hAnsi="Calibri"/>
                <w:b w:val="0"/>
                <w:sz w:val="17"/>
              </w:rPr>
              <w:t>Every field, every package, every strategy: strategy, package, field, value, source, agreement.</w:t>
            </w:r>
          </w:p>
        </w:tc>
        <w:tc>
          <w:tcPr>
            <w:tcW w:type="dxa" w:w="3312"/>
            <w:shd w:val="clear" w:color="auto" w:fill="EDF1F7"/>
          </w:tcPr>
          <w:p>
            <w:pPr>
              <w:spacing w:before="40" w:after="40"/>
            </w:pPr>
            <w:r>
              <w:rPr>
                <w:rFonts w:ascii="Calibri" w:hAnsi="Calibri"/>
                <w:b w:val="0"/>
                <w:sz w:val="17"/>
              </w:rPr>
              <w:t>Sort by 'agreement' to see every conflict in the corpus at once.</w:t>
            </w:r>
          </w:p>
        </w:tc>
      </w:tr>
      <w:tr>
        <w:tc>
          <w:tcPr>
            <w:tcW w:type="dxa" w:w="2304"/>
          </w:tcPr>
          <w:p>
            <w:pPr>
              <w:spacing w:before="40" w:after="40"/>
            </w:pPr>
            <w:r>
              <w:rPr>
                <w:rFonts w:ascii="Consolas" w:hAnsi="Consolas"/>
                <w:b w:val="0"/>
                <w:sz w:val="16"/>
              </w:rPr>
              <w:t>unified/PKG-XXX.json</w:t>
            </w:r>
          </w:p>
        </w:tc>
        <w:tc>
          <w:tcPr>
            <w:tcW w:type="dxa" w:w="3744"/>
          </w:tcPr>
          <w:p>
            <w:pPr>
              <w:spacing w:before="40" w:after="40"/>
            </w:pPr>
            <w:r>
              <w:rPr>
                <w:rFonts w:ascii="Calibri" w:hAnsi="Calibri"/>
                <w:b w:val="0"/>
                <w:sz w:val="17"/>
              </w:rPr>
              <w:t>What your pipeline would actually return for one package.</w:t>
            </w:r>
          </w:p>
        </w:tc>
        <w:tc>
          <w:tcPr>
            <w:tcW w:type="dxa" w:w="3312"/>
          </w:tcPr>
          <w:p>
            <w:pPr>
              <w:spacing w:before="40" w:after="40"/>
            </w:pPr>
            <w:r>
              <w:rPr>
                <w:rFonts w:ascii="Calibri" w:hAnsi="Calibri"/>
                <w:b w:val="0"/>
                <w:sz w:val="17"/>
              </w:rPr>
              <w:t>The provenance block — see below.</w:t>
            </w:r>
          </w:p>
        </w:tc>
      </w:tr>
      <w:tr>
        <w:tc>
          <w:tcPr>
            <w:tcW w:type="dxa" w:w="2304"/>
            <w:shd w:val="clear" w:color="auto" w:fill="EDF1F7"/>
          </w:tcPr>
          <w:p>
            <w:pPr>
              <w:spacing w:before="40" w:after="40"/>
            </w:pPr>
            <w:r>
              <w:rPr>
                <w:rFonts w:ascii="Consolas" w:hAnsi="Consolas"/>
                <w:b w:val="0"/>
                <w:sz w:val="16"/>
              </w:rPr>
              <w:t>query_field_report.md</w:t>
            </w:r>
          </w:p>
        </w:tc>
        <w:tc>
          <w:tcPr>
            <w:tcW w:type="dxa" w:w="3744"/>
            <w:shd w:val="clear" w:color="auto" w:fill="EDF1F7"/>
          </w:tcPr>
          <w:p>
            <w:pPr>
              <w:spacing w:before="40" w:after="40"/>
            </w:pPr>
            <w:r>
              <w:rPr>
                <w:rFonts w:ascii="Calibri" w:hAnsi="Calibri"/>
                <w:b w:val="0"/>
                <w:sz w:val="17"/>
              </w:rPr>
              <w:t>AZURE ONLY. What asking cost, per document, with measured confidences and the over-ask table.</w:t>
            </w:r>
          </w:p>
        </w:tc>
        <w:tc>
          <w:tcPr>
            <w:tcW w:type="dxa" w:w="3312"/>
            <w:shd w:val="clear" w:color="auto" w:fill="EDF1F7"/>
          </w:tcPr>
          <w:p>
            <w:pPr>
              <w:spacing w:before="40" w:after="40"/>
            </w:pPr>
            <w:r>
              <w:rPr>
                <w:rFonts w:ascii="Calibri" w:hAnsi="Calibri"/>
                <w:b w:val="0"/>
                <w:sz w:val="17"/>
              </w:rPr>
              <w:t>The over-ask section, if you ran --overask.</w:t>
            </w:r>
          </w:p>
        </w:tc>
      </w:tr>
      <w:tr>
        <w:tc>
          <w:tcPr>
            <w:tcW w:type="dxa" w:w="2304"/>
          </w:tcPr>
          <w:p>
            <w:pPr>
              <w:spacing w:before="40" w:after="40"/>
            </w:pPr>
            <w:r>
              <w:rPr>
                <w:rFonts w:ascii="Consolas" w:hAnsi="Consolas"/>
                <w:b w:val="0"/>
                <w:sz w:val="16"/>
              </w:rPr>
              <w:t>di_raw/PKG-XXX/*.json</w:t>
            </w:r>
          </w:p>
        </w:tc>
        <w:tc>
          <w:tcPr>
            <w:tcW w:type="dxa" w:w="3744"/>
          </w:tcPr>
          <w:p>
            <w:pPr>
              <w:spacing w:before="40" w:after="40"/>
            </w:pPr>
            <w:r>
              <w:rPr>
                <w:rFonts w:ascii="Calibri" w:hAnsi="Calibri"/>
                <w:b w:val="0"/>
                <w:sz w:val="17"/>
              </w:rPr>
              <w:t>AZURE ONLY. The untouched service responses.</w:t>
            </w:r>
          </w:p>
        </w:tc>
        <w:tc>
          <w:tcPr>
            <w:tcW w:type="dxa" w:w="3312"/>
          </w:tcPr>
          <w:p>
            <w:pPr>
              <w:spacing w:before="40" w:after="40"/>
            </w:pPr>
            <w:r>
              <w:rPr>
                <w:rFonts w:ascii="Calibri" w:hAnsi="Calibri"/>
                <w:b w:val="0"/>
                <w:sz w:val="17"/>
              </w:rPr>
              <w:t>This is the cache; it is also your evidence when somebody disputes a number.</w:t>
            </w:r>
          </w:p>
        </w:tc>
      </w:tr>
      <w:tr>
        <w:tc>
          <w:tcPr>
            <w:tcW w:type="dxa" w:w="2304"/>
            <w:shd w:val="clear" w:color="auto" w:fill="EDF1F7"/>
          </w:tcPr>
          <w:p>
            <w:pPr>
              <w:spacing w:before="40" w:after="40"/>
            </w:pPr>
            <w:r>
              <w:rPr>
                <w:rFonts w:ascii="Consolas" w:hAnsi="Consolas"/>
                <w:b w:val="0"/>
                <w:sz w:val="16"/>
              </w:rPr>
              <w:t>di_raw_overask/</w:t>
            </w:r>
          </w:p>
        </w:tc>
        <w:tc>
          <w:tcPr>
            <w:tcW w:type="dxa" w:w="3744"/>
            <w:shd w:val="clear" w:color="auto" w:fill="EDF1F7"/>
          </w:tcPr>
          <w:p>
            <w:pPr>
              <w:spacing w:before="40" w:after="40"/>
            </w:pPr>
            <w:r>
              <w:rPr>
                <w:rFonts w:ascii="Calibri" w:hAnsi="Calibri"/>
                <w:b w:val="0"/>
                <w:sz w:val="17"/>
              </w:rPr>
              <w:t>AZURE ONLY. The same, for --overask runs.</w:t>
            </w:r>
          </w:p>
        </w:tc>
        <w:tc>
          <w:tcPr>
            <w:tcW w:type="dxa" w:w="3312"/>
            <w:shd w:val="clear" w:color="auto" w:fill="EDF1F7"/>
          </w:tcPr>
          <w:p>
            <w:pPr>
              <w:spacing w:before="40" w:after="40"/>
            </w:pPr>
            <w:r>
              <w:rPr>
                <w:rFonts w:ascii="Calibri" w:hAnsi="Calibri"/>
                <w:b w:val="0"/>
                <w:sz w:val="17"/>
              </w:rPr>
              <w:t>Kept separate so one run cannot pollute the other.</w:t>
            </w:r>
          </w:p>
        </w:tc>
      </w:tr>
    </w:tbl>
    <w:p>
      <w:pPr>
        <w:spacing w:after="80"/>
      </w:pPr>
    </w:p>
    <w:p>
      <w:pPr>
        <w:keepNext/>
        <w:spacing w:before="280" w:after="80"/>
      </w:pPr>
      <w:r>
        <w:rPr>
          <w:rFonts w:ascii="Calibri" w:hAnsi="Calibri"/>
          <w:b/>
          <w:color w:val="1D3557"/>
          <w:sz w:val="25"/>
        </w:rPr>
        <w:t>The field to read first in a unified record</w:t>
      </w:r>
    </w:p>
    <w:p>
      <w:pPr>
        <w:spacing w:before="100" w:after="180"/>
        <w:ind w:left="259"/>
        <w:shd w:val="clear" w:color="auto" w:fill="F4F6F8"/>
      </w:pPr>
      <w:r>
        <w:rPr>
          <w:rFonts w:ascii="Consolas" w:hAnsi="Consolas"/>
          <w:sz w:val="17"/>
        </w:rPr>
        <w:t>"provenance": {</w:t>
        <w:br/>
        <w:t xml:space="preserve">  "account_number": {</w:t>
        <w:br/>
        <w:t xml:space="preserve">    "source": null,</w:t>
        <w:br/>
        <w:t xml:space="preserve">    "confidence": null,</w:t>
        <w:br/>
        <w:t xml:space="preserve">    "agreement": "CONFLICT_unresolved"</w:t>
        <w:br/>
        <w:t xml:space="preserve">  }</w:t>
        <w:br/>
        <w:t>}</w:t>
      </w:r>
    </w:p>
    <w:tbl>
      <w:tblPr>
        <w:tblStyle w:val="TableGrid"/>
        <w:tblW w:type="auto" w:w="0"/>
        <w:jc w:val="center"/>
        <w:tblLook w:firstColumn="1" w:firstRow="1" w:lastColumn="0" w:lastRow="0" w:noHBand="0" w:noVBand="1" w:val="04A0"/>
      </w:tblPr>
      <w:tblGrid>
        <w:gridCol w:w="4896"/>
        <w:gridCol w:w="4896"/>
      </w:tblGrid>
      <w:tr>
        <w:tc>
          <w:tcPr>
            <w:tcW w:type="dxa" w:w="3456"/>
            <w:shd w:val="clear" w:color="auto" w:fill="1D3557"/>
          </w:tcPr>
          <w:p>
            <w:pPr>
              <w:spacing w:before="40" w:after="40"/>
            </w:pPr>
            <w:r>
              <w:rPr>
                <w:rFonts w:ascii="Calibri" w:hAnsi="Calibri"/>
                <w:b/>
                <w:color w:val="FFFFFF"/>
                <w:sz w:val="18"/>
              </w:rPr>
              <w:t>agreement value</w:t>
            </w:r>
          </w:p>
        </w:tc>
        <w:tc>
          <w:tcPr>
            <w:tcW w:type="dxa" w:w="5904"/>
            <w:shd w:val="clear" w:color="auto" w:fill="1D3557"/>
          </w:tcPr>
          <w:p>
            <w:pPr>
              <w:spacing w:before="40" w:after="40"/>
            </w:pPr>
            <w:r>
              <w:rPr>
                <w:rFonts w:ascii="Calibri" w:hAnsi="Calibri"/>
                <w:b/>
                <w:color w:val="FFFFFF"/>
                <w:sz w:val="18"/>
              </w:rPr>
              <w:t>What it means</w:t>
            </w:r>
          </w:p>
        </w:tc>
      </w:tr>
      <w:tr>
        <w:tc>
          <w:tcPr>
            <w:tcW w:type="dxa" w:w="3456"/>
          </w:tcPr>
          <w:p>
            <w:pPr>
              <w:spacing w:before="40" w:after="40"/>
            </w:pPr>
            <w:r>
              <w:rPr>
                <w:rFonts w:ascii="Consolas" w:hAnsi="Consolas"/>
                <w:b w:val="0"/>
                <w:sz w:val="17"/>
              </w:rPr>
              <w:t>all_agree</w:t>
            </w:r>
          </w:p>
        </w:tc>
        <w:tc>
          <w:tcPr>
            <w:tcW w:type="dxa" w:w="5904"/>
          </w:tcPr>
          <w:p>
            <w:pPr>
              <w:spacing w:before="40" w:after="40"/>
            </w:pPr>
            <w:r>
              <w:rPr>
                <w:rFonts w:ascii="Calibri" w:hAnsi="Calibri"/>
                <w:b w:val="0"/>
                <w:sz w:val="18"/>
              </w:rPr>
              <w:t>Every document that carried this field said the same thing. The safest kind of value.</w:t>
            </w:r>
          </w:p>
        </w:tc>
      </w:tr>
      <w:tr>
        <w:tc>
          <w:tcPr>
            <w:tcW w:type="dxa" w:w="3456"/>
            <w:shd w:val="clear" w:color="auto" w:fill="EDF1F7"/>
          </w:tcPr>
          <w:p>
            <w:pPr>
              <w:spacing w:before="40" w:after="40"/>
            </w:pPr>
            <w:r>
              <w:rPr>
                <w:rFonts w:ascii="Consolas" w:hAnsi="Consolas"/>
                <w:b w:val="0"/>
                <w:sz w:val="17"/>
              </w:rPr>
              <w:t>CONFLICT_resolved_to_form</w:t>
            </w:r>
          </w:p>
        </w:tc>
        <w:tc>
          <w:tcPr>
            <w:tcW w:type="dxa" w:w="5904"/>
            <w:shd w:val="clear" w:color="auto" w:fill="EDF1F7"/>
          </w:tcPr>
          <w:p>
            <w:pPr>
              <w:spacing w:before="40" w:after="40"/>
            </w:pPr>
            <w:r>
              <w:rPr>
                <w:rFonts w:ascii="Calibri" w:hAnsi="Calibri"/>
                <w:b w:val="0"/>
                <w:sz w:val="18"/>
              </w:rPr>
              <w:t>Sources disagreed; trust_form picked the application form.</w:t>
            </w:r>
          </w:p>
        </w:tc>
      </w:tr>
      <w:tr>
        <w:tc>
          <w:tcPr>
            <w:tcW w:type="dxa" w:w="3456"/>
          </w:tcPr>
          <w:p>
            <w:pPr>
              <w:spacing w:before="40" w:after="40"/>
            </w:pPr>
            <w:r>
              <w:rPr>
                <w:rFonts w:ascii="Consolas" w:hAnsi="Consolas"/>
                <w:b w:val="0"/>
                <w:sz w:val="17"/>
              </w:rPr>
              <w:t>CONFLICT_resolved_by_precedence</w:t>
            </w:r>
          </w:p>
        </w:tc>
        <w:tc>
          <w:tcPr>
            <w:tcW w:type="dxa" w:w="5904"/>
          </w:tcPr>
          <w:p>
            <w:pPr>
              <w:spacing w:before="40" w:after="40"/>
            </w:pPr>
            <w:r>
              <w:rPr>
                <w:rFonts w:ascii="Calibri" w:hAnsi="Calibri"/>
                <w:b w:val="0"/>
                <w:sz w:val="18"/>
              </w:rPr>
              <w:t>Sources disagreed; trust_evidence picked by the precedence table.</w:t>
            </w:r>
          </w:p>
        </w:tc>
      </w:tr>
      <w:tr>
        <w:tc>
          <w:tcPr>
            <w:tcW w:type="dxa" w:w="3456"/>
            <w:shd w:val="clear" w:color="auto" w:fill="EDF1F7"/>
          </w:tcPr>
          <w:p>
            <w:pPr>
              <w:spacing w:before="40" w:after="40"/>
            </w:pPr>
            <w:r>
              <w:rPr>
                <w:rFonts w:ascii="Consolas" w:hAnsi="Consolas"/>
                <w:b w:val="0"/>
                <w:sz w:val="17"/>
              </w:rPr>
              <w:t>CONFLICT_unresolved</w:t>
            </w:r>
          </w:p>
        </w:tc>
        <w:tc>
          <w:tcPr>
            <w:tcW w:type="dxa" w:w="5904"/>
            <w:shd w:val="clear" w:color="auto" w:fill="EDF1F7"/>
          </w:tcPr>
          <w:p>
            <w:pPr>
              <w:spacing w:before="40" w:after="40"/>
            </w:pPr>
            <w:r>
              <w:rPr>
                <w:rFonts w:ascii="Calibri" w:hAnsi="Calibri"/>
                <w:b w:val="0"/>
                <w:sz w:val="18"/>
              </w:rPr>
              <w:t>Sources disagreed and reconcile refused to pick. The value is null and a human has to decide.</w:t>
            </w:r>
          </w:p>
        </w:tc>
      </w:tr>
    </w:tbl>
    <w:p>
      <w:pPr>
        <w:spacing w:after="80"/>
      </w:pPr>
    </w:p>
    <w:p>
      <w:pPr>
        <w:spacing w:after="140"/>
      </w:pPr>
      <w:r>
        <w:rPr>
          <w:rFonts w:ascii="Calibri" w:hAnsi="Calibri"/>
          <w:i w:val="0"/>
          <w:sz w:val="21"/>
        </w:rPr>
        <w:t>A value with no provenance is a value nobody can defend. When a reviewer asks 'where did this income figure come from and did anything corroborate it', this block is the answer — not a paragraph in a design document.</w:t>
      </w:r>
    </w:p>
    <w:p>
      <w:pPr>
        <w:keepNext/>
        <w:spacing w:before="440" w:after="160"/>
        <w:pBdr>
          <w:bottom w:val="single" w:sz="12" w:color="1D3557"/>
        </w:pBdr>
      </w:pPr>
      <w:r>
        <w:rPr>
          <w:rFonts w:ascii="Calibri" w:hAnsi="Calibri"/>
          <w:b/>
          <w:color w:val="1D3557"/>
          <w:sz w:val="34"/>
        </w:rPr>
        <w:t>10 · Troubleshooting</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val="clear" w:color="auto" w:fill="1D3557"/>
          </w:tcPr>
          <w:p>
            <w:pPr>
              <w:spacing w:before="40" w:after="40"/>
            </w:pPr>
            <w:r>
              <w:rPr>
                <w:rFonts w:ascii="Calibri" w:hAnsi="Calibri"/>
                <w:b/>
                <w:color w:val="FFFFFF"/>
                <w:sz w:val="17"/>
              </w:rPr>
              <w:t>Symptom</w:t>
            </w:r>
          </w:p>
        </w:tc>
        <w:tc>
          <w:tcPr>
            <w:tcW w:type="dxa" w:w="2736"/>
            <w:shd w:val="clear" w:color="auto" w:fill="1D3557"/>
          </w:tcPr>
          <w:p>
            <w:pPr>
              <w:spacing w:before="40" w:after="40"/>
            </w:pPr>
            <w:r>
              <w:rPr>
                <w:rFonts w:ascii="Calibri" w:hAnsi="Calibri"/>
                <w:b/>
                <w:color w:val="FFFFFF"/>
                <w:sz w:val="17"/>
              </w:rPr>
              <w:t>Cause</w:t>
            </w:r>
          </w:p>
        </w:tc>
        <w:tc>
          <w:tcPr>
            <w:tcW w:type="dxa" w:w="3744"/>
            <w:shd w:val="clear" w:color="auto" w:fill="1D3557"/>
          </w:tcPr>
          <w:p>
            <w:pPr>
              <w:spacing w:before="40" w:after="40"/>
            </w:pPr>
            <w:r>
              <w:rPr>
                <w:rFonts w:ascii="Calibri" w:hAnsi="Calibri"/>
                <w:b/>
                <w:color w:val="FFFFFF"/>
                <w:sz w:val="17"/>
              </w:rPr>
              <w:t>Fix</w:t>
            </w:r>
          </w:p>
        </w:tc>
      </w:tr>
      <w:tr>
        <w:tc>
          <w:tcPr>
            <w:tcW w:type="dxa" w:w="2880"/>
          </w:tcPr>
          <w:p>
            <w:pPr>
              <w:spacing w:before="40" w:after="40"/>
            </w:pPr>
            <w:r>
              <w:rPr>
                <w:rFonts w:ascii="Calibri" w:hAnsi="Calibri"/>
                <w:b w:val="0"/>
                <w:sz w:val="17"/>
              </w:rPr>
              <w:t>Numbers are not 4 / 2 / 0 on mock</w:t>
            </w:r>
          </w:p>
        </w:tc>
        <w:tc>
          <w:tcPr>
            <w:tcW w:type="dxa" w:w="2736"/>
          </w:tcPr>
          <w:p>
            <w:pPr>
              <w:spacing w:before="40" w:after="40"/>
            </w:pPr>
            <w:r>
              <w:rPr>
                <w:rFonts w:ascii="Calibri" w:hAnsi="Calibri"/>
                <w:b w:val="0"/>
                <w:sz w:val="17"/>
              </w:rPr>
              <w:t>Something changed in the pipeline</w:t>
            </w:r>
          </w:p>
        </w:tc>
        <w:tc>
          <w:tcPr>
            <w:tcW w:type="dxa" w:w="3744"/>
          </w:tcPr>
          <w:p>
            <w:pPr>
              <w:spacing w:before="40" w:after="40"/>
            </w:pPr>
            <w:r>
              <w:rPr>
                <w:rFonts w:ascii="Calibri" w:hAnsi="Calibri"/>
                <w:b w:val="0"/>
                <w:sz w:val="17"/>
              </w:rPr>
              <w:t>python3 run_lab.py --selftest — it names the check that broke</w:t>
            </w:r>
          </w:p>
        </w:tc>
      </w:tr>
      <w:tr>
        <w:tc>
          <w:tcPr>
            <w:tcW w:type="dxa" w:w="2880"/>
            <w:shd w:val="clear" w:color="auto" w:fill="EDF1F7"/>
          </w:tcPr>
          <w:p>
            <w:pPr>
              <w:spacing w:before="40" w:after="40"/>
            </w:pPr>
            <w:r>
              <w:rPr>
                <w:rFonts w:ascii="Calibri" w:hAnsi="Calibri"/>
                <w:b w:val="0"/>
                <w:sz w:val="17"/>
              </w:rPr>
              <w:t>DOCINT_PROVIDER=azure needs AZURE_DOCINT_ENDPOINT</w:t>
            </w:r>
          </w:p>
        </w:tc>
        <w:tc>
          <w:tcPr>
            <w:tcW w:type="dxa" w:w="2736"/>
            <w:shd w:val="clear" w:color="auto" w:fill="EDF1F7"/>
          </w:tcPr>
          <w:p>
            <w:pPr>
              <w:spacing w:before="40" w:after="40"/>
            </w:pPr>
            <w:r>
              <w:rPr>
                <w:rFonts w:ascii="Calibri" w:hAnsi="Calibri"/>
                <w:b w:val="0"/>
                <w:sz w:val="17"/>
              </w:rPr>
              <w:t>No .env, or the values are still placeholders</w:t>
            </w:r>
          </w:p>
        </w:tc>
        <w:tc>
          <w:tcPr>
            <w:tcW w:type="dxa" w:w="3744"/>
            <w:shd w:val="clear" w:color="auto" w:fill="EDF1F7"/>
          </w:tcPr>
          <w:p>
            <w:pPr>
              <w:spacing w:before="40" w:after="40"/>
            </w:pPr>
            <w:r>
              <w:rPr>
                <w:rFonts w:ascii="Calibri" w:hAnsi="Calibri"/>
                <w:b w:val="0"/>
                <w:sz w:val="17"/>
              </w:rPr>
              <w:t>cp .env.example .env and fill in both values</w:t>
            </w:r>
          </w:p>
        </w:tc>
      </w:tr>
      <w:tr>
        <w:tc>
          <w:tcPr>
            <w:tcW w:type="dxa" w:w="2880"/>
          </w:tcPr>
          <w:p>
            <w:pPr>
              <w:spacing w:before="40" w:after="40"/>
            </w:pPr>
            <w:r>
              <w:rPr>
                <w:rFonts w:ascii="Calibri" w:hAnsi="Calibri"/>
                <w:b w:val="0"/>
                <w:sz w:val="17"/>
              </w:rPr>
              <w:t>'... does not exist. Render the documents first'</w:t>
            </w:r>
          </w:p>
        </w:tc>
        <w:tc>
          <w:tcPr>
            <w:tcW w:type="dxa" w:w="2736"/>
          </w:tcPr>
          <w:p>
            <w:pPr>
              <w:spacing w:before="40" w:after="40"/>
            </w:pPr>
            <w:r>
              <w:rPr>
                <w:rFonts w:ascii="Calibri" w:hAnsi="Calibri"/>
                <w:b w:val="0"/>
                <w:sz w:val="17"/>
              </w:rPr>
              <w:t>The PDFs have not been made</w:t>
            </w:r>
          </w:p>
        </w:tc>
        <w:tc>
          <w:tcPr>
            <w:tcW w:type="dxa" w:w="3744"/>
          </w:tcPr>
          <w:p>
            <w:pPr>
              <w:spacing w:before="40" w:after="40"/>
            </w:pPr>
            <w:r>
              <w:rPr>
                <w:rFonts w:ascii="Calibri" w:hAnsi="Calibri"/>
                <w:b w:val="0"/>
                <w:sz w:val="17"/>
              </w:rPr>
              <w:t>python3 run_lab.py --make-pdfs</w:t>
            </w:r>
          </w:p>
        </w:tc>
      </w:tr>
      <w:tr>
        <w:tc>
          <w:tcPr>
            <w:tcW w:type="dxa" w:w="2880"/>
            <w:shd w:val="clear" w:color="auto" w:fill="EDF1F7"/>
          </w:tcPr>
          <w:p>
            <w:pPr>
              <w:spacing w:before="40" w:after="40"/>
            </w:pPr>
            <w:r>
              <w:rPr>
                <w:rFonts w:ascii="Calibri" w:hAnsi="Calibri"/>
                <w:b w:val="0"/>
                <w:sz w:val="17"/>
              </w:rPr>
              <w:t>HTTP 404 talking about the model</w:t>
            </w:r>
          </w:p>
        </w:tc>
        <w:tc>
          <w:tcPr>
            <w:tcW w:type="dxa" w:w="2736"/>
            <w:shd w:val="clear" w:color="auto" w:fill="EDF1F7"/>
          </w:tcPr>
          <w:p>
            <w:pPr>
              <w:spacing w:before="40" w:after="40"/>
            </w:pPr>
            <w:r>
              <w:rPr>
                <w:rFonts w:ascii="Calibri" w:hAnsi="Calibri"/>
                <w:b w:val="0"/>
                <w:sz w:val="17"/>
              </w:rPr>
              <w:t>The ROUTE, not the model</w:t>
            </w:r>
          </w:p>
        </w:tc>
        <w:tc>
          <w:tcPr>
            <w:tcW w:type="dxa" w:w="3744"/>
            <w:shd w:val="clear" w:color="auto" w:fill="EDF1F7"/>
          </w:tcPr>
          <w:p>
            <w:pPr>
              <w:spacing w:before="40" w:after="40"/>
            </w:pPr>
            <w:r>
              <w:rPr>
                <w:rFonts w:ascii="Calibri" w:hAnsi="Calibri"/>
                <w:b w:val="0"/>
                <w:sz w:val="17"/>
              </w:rPr>
              <w:t>api-version 2024-11-30+ needs /documentintelligence/. Set AZURE_DOCINT_ROUTE to force it</w:t>
            </w:r>
          </w:p>
        </w:tc>
      </w:tr>
      <w:tr>
        <w:tc>
          <w:tcPr>
            <w:tcW w:type="dxa" w:w="2880"/>
          </w:tcPr>
          <w:p>
            <w:pPr>
              <w:spacing w:before="40" w:after="40"/>
            </w:pPr>
            <w:r>
              <w:rPr>
                <w:rFonts w:ascii="Calibri" w:hAnsi="Calibri"/>
                <w:b w:val="0"/>
                <w:sz w:val="17"/>
              </w:rPr>
              <w:t>HTTP 401 / 403</w:t>
            </w:r>
          </w:p>
        </w:tc>
        <w:tc>
          <w:tcPr>
            <w:tcW w:type="dxa" w:w="2736"/>
          </w:tcPr>
          <w:p>
            <w:pPr>
              <w:spacing w:before="40" w:after="40"/>
            </w:pPr>
            <w:r>
              <w:rPr>
                <w:rFonts w:ascii="Calibri" w:hAnsi="Calibri"/>
                <w:b w:val="0"/>
                <w:sz w:val="17"/>
              </w:rPr>
              <w:t>The key does not belong to that endpoint</w:t>
            </w:r>
          </w:p>
        </w:tc>
        <w:tc>
          <w:tcPr>
            <w:tcW w:type="dxa" w:w="3744"/>
          </w:tcPr>
          <w:p>
            <w:pPr>
              <w:spacing w:before="40" w:after="40"/>
            </w:pPr>
            <w:r>
              <w:rPr>
                <w:rFonts w:ascii="Calibri" w:hAnsi="Calibri"/>
                <w:b w:val="0"/>
                <w:sz w:val="17"/>
              </w:rPr>
              <w:t>A key from a different Azure AI resource returns exactly this. Re-copy both from the same blade</w:t>
            </w:r>
          </w:p>
        </w:tc>
      </w:tr>
      <w:tr>
        <w:tc>
          <w:tcPr>
            <w:tcW w:type="dxa" w:w="2880"/>
            <w:shd w:val="clear" w:color="auto" w:fill="EDF1F7"/>
          </w:tcPr>
          <w:p>
            <w:pPr>
              <w:spacing w:before="40" w:after="40"/>
            </w:pPr>
            <w:r>
              <w:rPr>
                <w:rFonts w:ascii="Calibri" w:hAnsi="Calibri"/>
                <w:b w:val="0"/>
                <w:sz w:val="17"/>
              </w:rPr>
              <w:t>HTTP 429, run eventually fails</w:t>
            </w:r>
          </w:p>
        </w:tc>
        <w:tc>
          <w:tcPr>
            <w:tcW w:type="dxa" w:w="2736"/>
            <w:shd w:val="clear" w:color="auto" w:fill="EDF1F7"/>
          </w:tcPr>
          <w:p>
            <w:pPr>
              <w:spacing w:before="40" w:after="40"/>
            </w:pPr>
            <w:r>
              <w:rPr>
                <w:rFonts w:ascii="Calibri" w:hAnsi="Calibri"/>
                <w:b w:val="0"/>
                <w:sz w:val="17"/>
              </w:rPr>
              <w:t>Rate limit harder than the backoff</w:t>
            </w:r>
          </w:p>
        </w:tc>
        <w:tc>
          <w:tcPr>
            <w:tcW w:type="dxa" w:w="3744"/>
            <w:shd w:val="clear" w:color="auto" w:fill="EDF1F7"/>
          </w:tcPr>
          <w:p>
            <w:pPr>
              <w:spacing w:before="40" w:after="40"/>
            </w:pPr>
            <w:r>
              <w:rPr>
                <w:rFonts w:ascii="Calibri" w:hAnsi="Calibri"/>
                <w:b w:val="0"/>
                <w:sz w:val="17"/>
              </w:rPr>
              <w:t>Raise AZURE_DOCINT_SUBMIT_GAP to 2–5, or move off F0. Occasional 429s are normal and handled</w:t>
            </w:r>
          </w:p>
        </w:tc>
      </w:tr>
      <w:tr>
        <w:tc>
          <w:tcPr>
            <w:tcW w:type="dxa" w:w="2880"/>
          </w:tcPr>
          <w:p>
            <w:pPr>
              <w:spacing w:before="40" w:after="40"/>
            </w:pPr>
            <w:r>
              <w:rPr>
                <w:rFonts w:ascii="Calibri" w:hAnsi="Calibri"/>
                <w:b w:val="0"/>
                <w:sz w:val="17"/>
              </w:rPr>
              <w:t>HTTP 400 mentioning queryFields</w:t>
            </w:r>
          </w:p>
        </w:tc>
        <w:tc>
          <w:tcPr>
            <w:tcW w:type="dxa" w:w="2736"/>
          </w:tcPr>
          <w:p>
            <w:pPr>
              <w:spacing w:before="40" w:after="40"/>
            </w:pPr>
            <w:r>
              <w:rPr>
                <w:rFonts w:ascii="Calibri" w:hAnsi="Calibri"/>
                <w:b w:val="0"/>
                <w:sz w:val="17"/>
              </w:rPr>
              <w:t>Add-on unavailable on that tier or region, or more than 20 field names</w:t>
            </w:r>
          </w:p>
        </w:tc>
        <w:tc>
          <w:tcPr>
            <w:tcW w:type="dxa" w:w="3744"/>
          </w:tcPr>
          <w:p>
            <w:pPr>
              <w:spacing w:before="40" w:after="40"/>
            </w:pPr>
            <w:r>
              <w:rPr>
                <w:rFonts w:ascii="Calibri" w:hAnsi="Calibri"/>
                <w:b w:val="0"/>
                <w:sz w:val="17"/>
              </w:rPr>
              <w:t>Check the resource tier; keep query lists short</w:t>
            </w:r>
          </w:p>
        </w:tc>
      </w:tr>
      <w:tr>
        <w:tc>
          <w:tcPr>
            <w:tcW w:type="dxa" w:w="2880"/>
            <w:shd w:val="clear" w:color="auto" w:fill="EDF1F7"/>
          </w:tcPr>
          <w:p>
            <w:pPr>
              <w:spacing w:before="40" w:after="40"/>
            </w:pPr>
            <w:r>
              <w:rPr>
                <w:rFonts w:ascii="Calibri" w:hAnsi="Calibri"/>
                <w:b w:val="0"/>
                <w:sz w:val="17"/>
              </w:rPr>
              <w:t>HTTP 200 but zero fields</w:t>
            </w:r>
          </w:p>
        </w:tc>
        <w:tc>
          <w:tcPr>
            <w:tcW w:type="dxa" w:w="2736"/>
            <w:shd w:val="clear" w:color="auto" w:fill="EDF1F7"/>
          </w:tcPr>
          <w:p>
            <w:pPr>
              <w:spacing w:before="40" w:after="40"/>
            </w:pPr>
            <w:r>
              <w:rPr>
                <w:rFonts w:ascii="Calibri" w:hAnsi="Calibri"/>
                <w:b w:val="0"/>
                <w:sz w:val="17"/>
              </w:rPr>
              <w:t>features=queryFields missing</w:t>
            </w:r>
          </w:p>
        </w:tc>
        <w:tc>
          <w:tcPr>
            <w:tcW w:type="dxa" w:w="3744"/>
            <w:shd w:val="clear" w:color="auto" w:fill="EDF1F7"/>
          </w:tcPr>
          <w:p>
            <w:pPr>
              <w:spacing w:before="40" w:after="40"/>
            </w:pPr>
            <w:r>
              <w:rPr>
                <w:rFonts w:ascii="Calibri" w:hAnsi="Calibri"/>
                <w:b w:val="0"/>
                <w:sz w:val="17"/>
              </w:rPr>
              <w:t>The lab adds it for you — this is why, if you hand-roll the call</w:t>
            </w:r>
          </w:p>
        </w:tc>
      </w:tr>
      <w:tr>
        <w:tc>
          <w:tcPr>
            <w:tcW w:type="dxa" w:w="2880"/>
          </w:tcPr>
          <w:p>
            <w:pPr>
              <w:spacing w:before="40" w:after="40"/>
            </w:pPr>
            <w:r>
              <w:rPr>
                <w:rFonts w:ascii="Calibri" w:hAnsi="Calibri"/>
                <w:b w:val="0"/>
                <w:sz w:val="17"/>
              </w:rPr>
              <w:t>First azure run is slow</w:t>
            </w:r>
          </w:p>
        </w:tc>
        <w:tc>
          <w:tcPr>
            <w:tcW w:type="dxa" w:w="2736"/>
          </w:tcPr>
          <w:p>
            <w:pPr>
              <w:spacing w:before="40" w:after="40"/>
            </w:pPr>
            <w:r>
              <w:rPr>
                <w:rFonts w:ascii="Calibri" w:hAnsi="Calibri"/>
                <w:b w:val="0"/>
                <w:sz w:val="17"/>
              </w:rPr>
              <w:t>Expected — 32 billed analyses</w:t>
            </w:r>
          </w:p>
        </w:tc>
        <w:tc>
          <w:tcPr>
            <w:tcW w:type="dxa" w:w="3744"/>
          </w:tcPr>
          <w:p>
            <w:pPr>
              <w:spacing w:before="40" w:after="40"/>
            </w:pPr>
            <w:r>
              <w:rPr>
                <w:rFonts w:ascii="Calibri" w:hAnsi="Calibri"/>
                <w:b w:val="0"/>
                <w:sz w:val="17"/>
              </w:rPr>
              <w:t>Every later run reads out/azure/di_raw/ and is instant</w:t>
            </w:r>
          </w:p>
        </w:tc>
      </w:tr>
      <w:tr>
        <w:tc>
          <w:tcPr>
            <w:tcW w:type="dxa" w:w="2880"/>
            <w:shd w:val="clear" w:color="auto" w:fill="EDF1F7"/>
          </w:tcPr>
          <w:p>
            <w:pPr>
              <w:spacing w:before="40" w:after="40"/>
            </w:pPr>
            <w:r>
              <w:rPr>
                <w:rFonts w:ascii="Calibri" w:hAnsi="Calibri"/>
                <w:b w:val="0"/>
                <w:sz w:val="17"/>
              </w:rPr>
              <w:t>Want to re-bill deliberately</w:t>
            </w:r>
          </w:p>
        </w:tc>
        <w:tc>
          <w:tcPr>
            <w:tcW w:type="dxa" w:w="2736"/>
            <w:shd w:val="clear" w:color="auto" w:fill="EDF1F7"/>
          </w:tcPr>
          <w:p>
            <w:pPr>
              <w:spacing w:before="40" w:after="40"/>
            </w:pPr>
            <w:r>
              <w:rPr>
                <w:rFonts w:ascii="Calibri" w:hAnsi="Calibri"/>
                <w:b w:val="0"/>
                <w:sz w:val="17"/>
              </w:rPr>
              <w:t>The cache is on</w:t>
            </w:r>
          </w:p>
        </w:tc>
        <w:tc>
          <w:tcPr>
            <w:tcW w:type="dxa" w:w="3744"/>
            <w:shd w:val="clear" w:color="auto" w:fill="EDF1F7"/>
          </w:tcPr>
          <w:p>
            <w:pPr>
              <w:spacing w:before="40" w:after="40"/>
            </w:pPr>
            <w:r>
              <w:rPr>
                <w:rFonts w:ascii="Calibri" w:hAnsi="Calibri"/>
                <w:b w:val="0"/>
                <w:sz w:val="17"/>
              </w:rPr>
              <w:t>rm -rf out/azure/di_raw/, or set DOCINT_USE_CACHE=false</w:t>
            </w:r>
          </w:p>
        </w:tc>
      </w:tr>
    </w:tbl>
    <w:p>
      <w:pPr>
        <w:spacing w:after="80"/>
      </w:pPr>
    </w:p>
    <w:p>
      <w:pPr>
        <w:keepNext/>
        <w:spacing w:before="440" w:after="160"/>
        <w:pBdr>
          <w:bottom w:val="single" w:sz="12" w:color="1D3557"/>
        </w:pBdr>
      </w:pPr>
      <w:r>
        <w:rPr>
          <w:rFonts w:ascii="Calibri" w:hAnsi="Calibri"/>
          <w:b/>
          <w:color w:val="1D3557"/>
          <w:sz w:val="34"/>
        </w:rPr>
        <w:t>11 · Five conclusions people draw that are wrong</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color="auto" w:fill="1D3557"/>
          </w:tcPr>
          <w:p>
            <w:pPr>
              <w:spacing w:before="40" w:after="40"/>
            </w:pPr>
            <w:r>
              <w:rPr>
                <w:rFonts w:ascii="Calibri" w:hAnsi="Calibri"/>
                <w:b/>
                <w:color w:val="FFFFFF"/>
                <w:sz w:val="17"/>
              </w:rPr>
              <w:t>The tempting reading</w:t>
            </w:r>
          </w:p>
        </w:tc>
        <w:tc>
          <w:tcPr>
            <w:tcW w:type="dxa" w:w="3384"/>
            <w:shd w:val="clear" w:color="auto" w:fill="1D3557"/>
          </w:tcPr>
          <w:p>
            <w:pPr>
              <w:spacing w:before="40" w:after="40"/>
            </w:pPr>
            <w:r>
              <w:rPr>
                <w:rFonts w:ascii="Calibri" w:hAnsi="Calibri"/>
                <w:b/>
                <w:color w:val="FFFFFF"/>
                <w:sz w:val="17"/>
              </w:rPr>
              <w:t>Why it is wrong</w:t>
            </w:r>
          </w:p>
        </w:tc>
        <w:tc>
          <w:tcPr>
            <w:tcW w:type="dxa" w:w="3240"/>
            <w:shd w:val="clear" w:color="auto" w:fill="1D3557"/>
          </w:tcPr>
          <w:p>
            <w:pPr>
              <w:spacing w:before="40" w:after="40"/>
            </w:pPr>
            <w:r>
              <w:rPr>
                <w:rFonts w:ascii="Calibri" w:hAnsi="Calibri"/>
                <w:b/>
                <w:color w:val="FFFFFF"/>
                <w:sz w:val="17"/>
              </w:rPr>
              <w:t>What to say instead</w:t>
            </w:r>
          </w:p>
        </w:tc>
      </w:tr>
      <w:tr>
        <w:tc>
          <w:tcPr>
            <w:tcW w:type="dxa" w:w="2736"/>
          </w:tcPr>
          <w:p>
            <w:pPr>
              <w:spacing w:before="40" w:after="40"/>
            </w:pPr>
            <w:r>
              <w:rPr>
                <w:rFonts w:ascii="Calibri" w:hAnsi="Calibri"/>
                <w:b w:val="0"/>
                <w:sz w:val="17"/>
              </w:rPr>
              <w:t>"Azure gave the same answers as the mock, so running it was a waste."</w:t>
            </w:r>
          </w:p>
        </w:tc>
        <w:tc>
          <w:tcPr>
            <w:tcW w:type="dxa" w:w="3384"/>
          </w:tcPr>
          <w:p>
            <w:pPr>
              <w:spacing w:before="40" w:after="40"/>
            </w:pPr>
            <w:r>
              <w:rPr>
                <w:rFonts w:ascii="Calibri" w:hAnsi="Calibri"/>
                <w:b w:val="0"/>
                <w:sz w:val="17"/>
              </w:rPr>
              <w:t>The identical result IS the finding. It demonstrates that the defects are relational, not extractive — which is the whole thesis of the session.</w:t>
            </w:r>
          </w:p>
        </w:tc>
        <w:tc>
          <w:tcPr>
            <w:tcW w:type="dxa" w:w="3240"/>
          </w:tcPr>
          <w:p>
            <w:pPr>
              <w:spacing w:before="40" w:after="40"/>
            </w:pPr>
            <w:r>
              <w:rPr>
                <w:rFonts w:ascii="Calibri" w:hAnsi="Calibri"/>
                <w:b w:val="0"/>
                <w:sz w:val="17"/>
              </w:rPr>
              <w:t>"The service read all 32 documents perfectly and the records were still wrong. That is why stitching is our problem, not the vendor's."</w:t>
            </w:r>
          </w:p>
        </w:tc>
      </w:tr>
      <w:tr>
        <w:tc>
          <w:tcPr>
            <w:tcW w:type="dxa" w:w="2736"/>
            <w:shd w:val="clear" w:color="auto" w:fill="EDF1F7"/>
          </w:tcPr>
          <w:p>
            <w:pPr>
              <w:spacing w:before="40" w:after="40"/>
            </w:pPr>
            <w:r>
              <w:rPr>
                <w:rFonts w:ascii="Calibri" w:hAnsi="Calibri"/>
                <w:b w:val="0"/>
                <w:sz w:val="17"/>
              </w:rPr>
              <w:t>"reconcile is obviously right, so we recommend reconcile."</w:t>
            </w:r>
          </w:p>
        </w:tc>
        <w:tc>
          <w:tcPr>
            <w:tcW w:type="dxa" w:w="3384"/>
            <w:shd w:val="clear" w:color="auto" w:fill="EDF1F7"/>
          </w:tcPr>
          <w:p>
            <w:pPr>
              <w:spacing w:before="40" w:after="40"/>
            </w:pPr>
            <w:r>
              <w:rPr>
                <w:rFonts w:ascii="Calibri" w:hAnsi="Calibri"/>
                <w:b w:val="0"/>
                <w:sz w:val="17"/>
              </w:rPr>
              <w:t>reconcile refuses on 4 of 8 packages. At real volume that is a queue somebody has to staff, and nobody has costed it.</w:t>
            </w:r>
          </w:p>
        </w:tc>
        <w:tc>
          <w:tcPr>
            <w:tcW w:type="dxa" w:w="3240"/>
            <w:shd w:val="clear" w:color="auto" w:fill="EDF1F7"/>
          </w:tcPr>
          <w:p>
            <w:pPr>
              <w:spacing w:before="40" w:after="40"/>
            </w:pPr>
            <w:r>
              <w:rPr>
                <w:rFonts w:ascii="Calibri" w:hAnsi="Calibri"/>
                <w:b w:val="0"/>
                <w:sz w:val="17"/>
              </w:rPr>
              <w:t>Recommend it WITH the flag rate and its cost at the client's actual monthly volume.</w:t>
            </w:r>
          </w:p>
        </w:tc>
      </w:tr>
      <w:tr>
        <w:tc>
          <w:tcPr>
            <w:tcW w:type="dxa" w:w="2736"/>
          </w:tcPr>
          <w:p>
            <w:pPr>
              <w:spacing w:before="40" w:after="40"/>
            </w:pPr>
            <w:r>
              <w:rPr>
                <w:rFonts w:ascii="Calibri" w:hAnsi="Calibri"/>
                <w:b w:val="0"/>
                <w:sz w:val="17"/>
              </w:rPr>
              <w:t>"The identity check protects us against the wrong person."</w:t>
            </w:r>
          </w:p>
        </w:tc>
        <w:tc>
          <w:tcPr>
            <w:tcW w:type="dxa" w:w="3384"/>
          </w:tcPr>
          <w:p>
            <w:pPr>
              <w:spacing w:before="40" w:after="40"/>
            </w:pPr>
            <w:r>
              <w:rPr>
                <w:rFonts w:ascii="Calibri" w:hAnsi="Calibri"/>
                <w:b w:val="0"/>
                <w:sz w:val="17"/>
              </w:rPr>
              <w:t>PKG-008 passed identity verification. The wrong person was on the bank statement, which identity verification never looks at.</w:t>
            </w:r>
          </w:p>
        </w:tc>
        <w:tc>
          <w:tcPr>
            <w:tcW w:type="dxa" w:w="3240"/>
          </w:tcPr>
          <w:p>
            <w:pPr>
              <w:spacing w:before="40" w:after="40"/>
            </w:pPr>
            <w:r>
              <w:rPr>
                <w:rFonts w:ascii="Calibri" w:hAnsi="Calibri"/>
                <w:b w:val="0"/>
                <w:sz w:val="17"/>
              </w:rPr>
              <w:t>"Identity verification checks one document. Cross-document name agreement is what caught the impostor."</w:t>
            </w:r>
          </w:p>
        </w:tc>
      </w:tr>
      <w:tr>
        <w:tc>
          <w:tcPr>
            <w:tcW w:type="dxa" w:w="2736"/>
            <w:shd w:val="clear" w:color="auto" w:fill="EDF1F7"/>
          </w:tcPr>
          <w:p>
            <w:pPr>
              <w:spacing w:before="40" w:after="40"/>
            </w:pPr>
            <w:r>
              <w:rPr>
                <w:rFonts w:ascii="Calibri" w:hAnsi="Calibri"/>
                <w:b w:val="0"/>
                <w:sz w:val="17"/>
              </w:rPr>
              <w:t>"Confidence was 0.99, so extraction is 99% reliable."</w:t>
            </w:r>
          </w:p>
        </w:tc>
        <w:tc>
          <w:tcPr>
            <w:tcW w:type="dxa" w:w="3384"/>
            <w:shd w:val="clear" w:color="auto" w:fill="EDF1F7"/>
          </w:tcPr>
          <w:p>
            <w:pPr>
              <w:spacing w:before="40" w:after="40"/>
            </w:pPr>
            <w:r>
              <w:rPr>
                <w:rFonts w:ascii="Calibri" w:hAnsi="Calibri"/>
                <w:b w:val="0"/>
                <w:sz w:val="17"/>
              </w:rPr>
              <w:t>The PDFs are digitally generated. That number measures embedded text, not scans.</w:t>
            </w:r>
          </w:p>
        </w:tc>
        <w:tc>
          <w:tcPr>
            <w:tcW w:type="dxa" w:w="3240"/>
            <w:shd w:val="clear" w:color="auto" w:fill="EDF1F7"/>
          </w:tcPr>
          <w:p>
            <w:pPr>
              <w:spacing w:before="40" w:after="40"/>
            </w:pPr>
            <w:r>
              <w:rPr>
                <w:rFonts w:ascii="Calibri" w:hAnsi="Calibri"/>
                <w:b w:val="0"/>
                <w:sz w:val="17"/>
              </w:rPr>
              <w:t>"That is a ceiling measured on clean digital text. I need your real scans before I quote an accuracy figure."</w:t>
            </w:r>
          </w:p>
        </w:tc>
      </w:tr>
      <w:tr>
        <w:tc>
          <w:tcPr>
            <w:tcW w:type="dxa" w:w="2736"/>
          </w:tcPr>
          <w:p>
            <w:pPr>
              <w:spacing w:before="40" w:after="40"/>
            </w:pPr>
            <w:r>
              <w:rPr>
                <w:rFonts w:ascii="Calibri" w:hAnsi="Calibri"/>
                <w:b w:val="0"/>
                <w:sz w:val="17"/>
              </w:rPr>
              <w:t>"--failures shows the pipeline degrades gracefully."</w:t>
            </w:r>
          </w:p>
        </w:tc>
        <w:tc>
          <w:tcPr>
            <w:tcW w:type="dxa" w:w="3384"/>
          </w:tcPr>
          <w:p>
            <w:pPr>
              <w:spacing w:before="40" w:after="40"/>
            </w:pPr>
            <w:r>
              <w:rPr>
                <w:rFonts w:ascii="Calibri" w:hAnsi="Calibri"/>
                <w:b w:val="0"/>
                <w:sz w:val="17"/>
              </w:rPr>
              <w:t>It does not degrade gracefully. reconcile went from 0 wrong to 3 and every identity verdict became impossible — silently, with no error anywhere.</w:t>
            </w:r>
          </w:p>
        </w:tc>
        <w:tc>
          <w:tcPr>
            <w:tcW w:type="dxa" w:w="3240"/>
          </w:tcPr>
          <w:p>
            <w:pPr>
              <w:spacing w:before="40" w:after="40"/>
            </w:pPr>
            <w:r>
              <w:rPr>
                <w:rFonts w:ascii="Calibri" w:hAnsi="Calibri"/>
                <w:b w:val="0"/>
                <w:sz w:val="17"/>
              </w:rPr>
              <w:t>"A missing document removes the check that document performed. Partial packages need a policy, not a retry."</w:t>
            </w:r>
          </w:p>
        </w:tc>
      </w:tr>
    </w:tbl>
    <w:p>
      <w:pPr>
        <w:spacing w:after="80"/>
      </w:pPr>
    </w:p>
    <w:p>
      <w:pPr>
        <w:keepNext/>
        <w:spacing w:before="440" w:after="160"/>
        <w:pBdr>
          <w:bottom w:val="single" w:sz="12" w:color="1D3557"/>
        </w:pBdr>
      </w:pPr>
      <w:r>
        <w:rPr>
          <w:rFonts w:ascii="Calibri" w:hAnsi="Calibri"/>
          <w:b/>
          <w:color w:val="1D3557"/>
          <w:sz w:val="34"/>
        </w:rPr>
        <w:t>12 · Before you present</w:t>
      </w:r>
    </w:p>
    <w:p>
      <w:pPr>
        <w:pStyle w:val="ListBullet"/>
        <w:spacing w:after="60"/>
      </w:pPr>
      <w:r>
        <w:rPr>
          <w:rFonts w:ascii="Calibri" w:hAnsi="Calibri"/>
          <w:b/>
          <w:sz w:val="21"/>
        </w:rPr>
        <w:t xml:space="preserve">☐  </w:t>
      </w:r>
      <w:r>
        <w:rPr>
          <w:rFonts w:ascii="Calibri" w:hAnsi="Calibri"/>
          <w:sz w:val="21"/>
        </w:rPr>
        <w:t>You can explain the identity verdict boundary and point at the code.</w:t>
      </w:r>
    </w:p>
    <w:p>
      <w:pPr>
        <w:pStyle w:val="ListBullet"/>
        <w:spacing w:after="60"/>
      </w:pPr>
      <w:r>
        <w:rPr>
          <w:rFonts w:ascii="Calibri" w:hAnsi="Calibri"/>
          <w:b/>
          <w:sz w:val="21"/>
        </w:rPr>
        <w:t xml:space="preserve">☐  </w:t>
      </w:r>
      <w:r>
        <w:rPr>
          <w:rFonts w:ascii="Calibri" w:hAnsi="Calibri"/>
          <w:sz w:val="21"/>
        </w:rPr>
        <w:t>You can say why PKG-005 nearly passed, in one sentence about tolerance.</w:t>
      </w:r>
    </w:p>
    <w:p>
      <w:pPr>
        <w:pStyle w:val="ListBullet"/>
        <w:spacing w:after="60"/>
      </w:pPr>
      <w:r>
        <w:rPr>
          <w:rFonts w:ascii="Calibri" w:hAnsi="Calibri"/>
          <w:b/>
          <w:sz w:val="21"/>
        </w:rPr>
        <w:t xml:space="preserve">☐  </w:t>
      </w:r>
      <w:r>
        <w:rPr>
          <w:rFonts w:ascii="Calibri" w:hAnsi="Calibri"/>
          <w:sz w:val="21"/>
        </w:rPr>
        <w:t>You know what caught PKG-008 — and it is not the identity check.</w:t>
      </w:r>
    </w:p>
    <w:p>
      <w:pPr>
        <w:pStyle w:val="ListBullet"/>
        <w:spacing w:after="60"/>
      </w:pPr>
      <w:r>
        <w:rPr>
          <w:rFonts w:ascii="Calibri" w:hAnsi="Calibri"/>
          <w:b/>
          <w:sz w:val="21"/>
        </w:rPr>
        <w:t xml:space="preserve">☐  </w:t>
      </w:r>
      <w:r>
        <w:rPr>
          <w:rFonts w:ascii="Calibri" w:hAnsi="Calibri"/>
          <w:sz w:val="21"/>
        </w:rPr>
        <w:t>You ran --failures and can describe what happened to the verdicts, and why reconcile got worse.</w:t>
      </w:r>
    </w:p>
    <w:p>
      <w:pPr>
        <w:pStyle w:val="ListBullet"/>
        <w:spacing w:after="60"/>
      </w:pPr>
      <w:r>
        <w:rPr>
          <w:rFonts w:ascii="Calibri" w:hAnsi="Calibri"/>
          <w:b/>
          <w:sz w:val="21"/>
        </w:rPr>
        <w:t xml:space="preserve">☐  </w:t>
      </w:r>
      <w:r>
        <w:rPr>
          <w:rFonts w:ascii="Calibri" w:hAnsi="Calibri"/>
          <w:sz w:val="21"/>
        </w:rPr>
        <w:t>You have a policy for a package that arrives incomplete.</w:t>
      </w:r>
    </w:p>
    <w:p>
      <w:pPr>
        <w:pStyle w:val="ListBullet"/>
        <w:spacing w:after="60"/>
      </w:pPr>
      <w:r>
        <w:rPr>
          <w:rFonts w:ascii="Calibri" w:hAnsi="Calibri"/>
          <w:b/>
          <w:sz w:val="21"/>
        </w:rPr>
        <w:t xml:space="preserve">☐  </w:t>
      </w:r>
      <w:r>
        <w:rPr>
          <w:rFonts w:ascii="Calibri" w:hAnsi="Calibri"/>
          <w:sz w:val="21"/>
        </w:rPr>
        <w:t>You can name what is in your Blob path and what it makes possible.</w:t>
      </w:r>
    </w:p>
    <w:p>
      <w:pPr>
        <w:pStyle w:val="ListBullet"/>
        <w:spacing w:after="60"/>
      </w:pPr>
      <w:r>
        <w:rPr>
          <w:rFonts w:ascii="Calibri" w:hAnsi="Calibri"/>
          <w:b/>
          <w:sz w:val="21"/>
        </w:rPr>
        <w:t xml:space="preserve">☐  </w:t>
      </w:r>
      <w:r>
        <w:rPr>
          <w:rFonts w:ascii="Calibri" w:hAnsi="Calibri"/>
          <w:sz w:val="21"/>
        </w:rPr>
        <w:t>You can say which strategy you are recommending, and what it costs at the client's real monthly volume.</w:t>
      </w:r>
    </w:p>
    <w:p>
      <w:pPr>
        <w:pStyle w:val="ListBullet"/>
        <w:spacing w:after="60"/>
      </w:pPr>
      <w:r>
        <w:rPr>
          <w:rFonts w:ascii="Calibri" w:hAnsi="Calibri"/>
          <w:b/>
          <w:sz w:val="21"/>
        </w:rPr>
        <w:t xml:space="preserve">☐  </w:t>
      </w:r>
      <w:r>
        <w:rPr>
          <w:rFonts w:ascii="Calibri" w:hAnsi="Calibri"/>
          <w:sz w:val="21"/>
        </w:rPr>
        <w:t>If you ran azure: you can explain why the results were IDENTICAL to the mock, and why that is the finding rather than an anticlimax.</w:t>
      </w:r>
    </w:p>
    <w:p>
      <w:pPr>
        <w:pStyle w:val="ListBullet"/>
        <w:spacing w:after="60"/>
      </w:pPr>
      <w:r>
        <w:rPr>
          <w:rFonts w:ascii="Calibri" w:hAnsi="Calibri"/>
          <w:b/>
          <w:sz w:val="21"/>
        </w:rPr>
        <w:t xml:space="preserve">☐  </w:t>
      </w:r>
      <w:r>
        <w:rPr>
          <w:rFonts w:ascii="Calibri" w:hAnsi="Calibri"/>
          <w:sz w:val="21"/>
        </w:rPr>
        <w:t>If you ran --overask: you can say what came back for a field the document did not have, and which line of your own code stopped it.</w:t>
      </w:r>
    </w:p>
    <w:p>
      <w:pPr>
        <w:pStyle w:val="ListBullet"/>
        <w:spacing w:after="60"/>
      </w:pPr>
      <w:r>
        <w:rPr>
          <w:rFonts w:ascii="Calibri" w:hAnsi="Calibri"/>
          <w:b/>
          <w:sz w:val="21"/>
        </w:rPr>
        <w:t xml:space="preserve">☐  </w:t>
      </w:r>
      <w:r>
        <w:rPr>
          <w:rFonts w:ascii="Calibri" w:hAnsi="Calibri"/>
          <w:sz w:val="21"/>
        </w:rPr>
        <w:t>You know which numbers from the azure run you are NOT entitled to quote, and why.</w:t>
      </w:r>
    </w:p>
    <w:p>
      <w:pPr>
        <w:spacing w:after="140"/>
      </w:pPr>
      <w:r>
        <w:rPr>
          <w:rFonts w:ascii="Calibri" w:hAnsi="Calibri"/>
          <w:i w:val="0"/>
          <w:sz w:val="21"/>
        </w:rPr>
      </w:r>
    </w:p>
    <w:tbl>
      <w:tblPr>
        <w:tblW w:type="auto" w:w="0"/>
        <w:jc w:val="center"/>
        <w:tblLook w:firstColumn="1" w:firstRow="1" w:lastColumn="0" w:lastRow="0" w:noHBand="0" w:noVBand="1" w:val="04A0"/>
      </w:tblPr>
      <w:tblGrid>
        <w:gridCol w:w="9792"/>
      </w:tblGrid>
      <w:tr>
        <w:tc>
          <w:tcPr>
            <w:tcW w:type="dxa" w:w="9792"/>
            <w:shd w:val="clear" w:color="auto" w:fill="EAF2F5"/>
          </w:tcPr>
          <w:p>
            <w:pPr>
              <w:spacing w:before="120" w:after="120"/>
            </w:pPr>
            <w:r>
              <w:rPr>
                <w:rFonts w:ascii="Calibri" w:hAnsi="Calibri"/>
                <w:b/>
                <w:color w:val="1B6C6F"/>
                <w:sz w:val="21"/>
              </w:rPr>
              <w:t xml:space="preserve">The sentence your client needs to hear.  </w:t>
            </w:r>
            <w:r>
              <w:rPr>
                <w:rFonts w:ascii="Calibri" w:hAnsi="Calibri"/>
                <w:sz w:val="21"/>
              </w:rPr>
              <w:t>Every one of these documents was read correctly. The record built from them was still wrong. Buying a better extraction service would not have changed a single number in this report — because the failure was never in the reading, it was in what we did with what we read.</w:t>
            </w:r>
          </w:p>
        </w:tc>
      </w:tr>
    </w:tbl>
    <w:p>
      <w:pPr>
        <w:spacing w:after="60"/>
      </w:pPr>
    </w:p>
    <w:p>
      <w:pPr>
        <w:keepNext/>
        <w:spacing w:before="440" w:after="160"/>
        <w:pBdr>
          <w:bottom w:val="single" w:sz="12" w:color="1D3557"/>
        </w:pBdr>
      </w:pPr>
      <w:r>
        <w:rPr>
          <w:rFonts w:ascii="Calibri" w:hAnsi="Calibri"/>
          <w:b/>
          <w:color w:val="1D3557"/>
          <w:sz w:val="34"/>
        </w:rPr>
        <w:t>Glossary</w:t>
      </w:r>
    </w:p>
    <w:tbl>
      <w:tblPr>
        <w:tblStyle w:val="TableGrid"/>
        <w:tblW w:type="auto" w:w="0"/>
        <w:jc w:val="center"/>
        <w:tblLook w:firstColumn="1" w:firstRow="1" w:lastColumn="0" w:lastRow="0" w:noHBand="0" w:noVBand="1" w:val="04A0"/>
      </w:tblPr>
      <w:tblGrid>
        <w:gridCol w:w="4896"/>
        <w:gridCol w:w="4896"/>
      </w:tblGrid>
      <w:tr>
        <w:tc>
          <w:tcPr>
            <w:tcW w:type="dxa" w:w="2304"/>
            <w:shd w:val="clear" w:color="auto" w:fill="1D3557"/>
          </w:tcPr>
          <w:p>
            <w:pPr>
              <w:spacing w:before="40" w:after="40"/>
            </w:pPr>
            <w:r>
              <w:rPr>
                <w:rFonts w:ascii="Calibri" w:hAnsi="Calibri"/>
                <w:b/>
                <w:color w:val="FFFFFF"/>
                <w:sz w:val="18"/>
              </w:rPr>
              <w:t>Term</w:t>
            </w:r>
          </w:p>
        </w:tc>
        <w:tc>
          <w:tcPr>
            <w:tcW w:type="dxa" w:w="7056"/>
            <w:shd w:val="clear" w:color="auto" w:fill="1D3557"/>
          </w:tcPr>
          <w:p>
            <w:pPr>
              <w:spacing w:before="40" w:after="40"/>
            </w:pPr>
            <w:r>
              <w:rPr>
                <w:rFonts w:ascii="Calibri" w:hAnsi="Calibri"/>
                <w:b/>
                <w:color w:val="FFFFFF"/>
                <w:sz w:val="18"/>
              </w:rPr>
              <w:t>Meaning here</w:t>
            </w:r>
          </w:p>
        </w:tc>
      </w:tr>
      <w:tr>
        <w:tc>
          <w:tcPr>
            <w:tcW w:type="dxa" w:w="2304"/>
          </w:tcPr>
          <w:p>
            <w:pPr>
              <w:spacing w:before="40" w:after="40"/>
            </w:pPr>
            <w:r>
              <w:rPr>
                <w:rFonts w:ascii="Calibri" w:hAnsi="Calibri"/>
                <w:b w:val="0"/>
                <w:sz w:val="18"/>
              </w:rPr>
              <w:t>Case package</w:t>
            </w:r>
          </w:p>
        </w:tc>
        <w:tc>
          <w:tcPr>
            <w:tcW w:type="dxa" w:w="7056"/>
          </w:tcPr>
          <w:p>
            <w:pPr>
              <w:spacing w:before="40" w:after="40"/>
            </w:pPr>
            <w:r>
              <w:rPr>
                <w:rFonts w:ascii="Calibri" w:hAnsi="Calibri"/>
                <w:b w:val="0"/>
                <w:sz w:val="18"/>
              </w:rPr>
              <w:t>The set of documents that arrive together for one claim — form, identity, payslip, bank statement.</w:t>
            </w:r>
          </w:p>
        </w:tc>
      </w:tr>
      <w:tr>
        <w:tc>
          <w:tcPr>
            <w:tcW w:type="dxa" w:w="2304"/>
            <w:shd w:val="clear" w:color="auto" w:fill="EDF1F7"/>
          </w:tcPr>
          <w:p>
            <w:pPr>
              <w:spacing w:before="40" w:after="40"/>
            </w:pPr>
            <w:r>
              <w:rPr>
                <w:rFonts w:ascii="Calibri" w:hAnsi="Calibri"/>
                <w:b w:val="0"/>
                <w:sz w:val="18"/>
              </w:rPr>
              <w:t>Wrong accepted</w:t>
            </w:r>
          </w:p>
        </w:tc>
        <w:tc>
          <w:tcPr>
            <w:tcW w:type="dxa" w:w="7056"/>
            <w:shd w:val="clear" w:color="auto" w:fill="EDF1F7"/>
          </w:tcPr>
          <w:p>
            <w:pPr>
              <w:spacing w:before="40" w:after="40"/>
            </w:pPr>
            <w:r>
              <w:rPr>
                <w:rFonts w:ascii="Calibri" w:hAnsi="Calibri"/>
                <w:b w:val="0"/>
                <w:sz w:val="18"/>
              </w:rPr>
              <w:t>A value stitched into the unified record that is not correct, with no flag attached. The only outcome that can reach a customer unnoticed.</w:t>
            </w:r>
          </w:p>
        </w:tc>
      </w:tr>
      <w:tr>
        <w:tc>
          <w:tcPr>
            <w:tcW w:type="dxa" w:w="2304"/>
          </w:tcPr>
          <w:p>
            <w:pPr>
              <w:spacing w:before="40" w:after="40"/>
            </w:pPr>
            <w:r>
              <w:rPr>
                <w:rFonts w:ascii="Calibri" w:hAnsi="Calibri"/>
                <w:b w:val="0"/>
                <w:sz w:val="18"/>
              </w:rPr>
              <w:t>Refused</w:t>
            </w:r>
          </w:p>
        </w:tc>
        <w:tc>
          <w:tcPr>
            <w:tcW w:type="dxa" w:w="7056"/>
          </w:tcPr>
          <w:p>
            <w:pPr>
              <w:spacing w:before="40" w:after="40"/>
            </w:pPr>
            <w:r>
              <w:rPr>
                <w:rFonts w:ascii="Calibri" w:hAnsi="Calibri"/>
                <w:b w:val="0"/>
                <w:sz w:val="18"/>
              </w:rPr>
              <w:t>A value the strategy declined to pick because sources disagreed. A visible cost, roughly 30 seconds of handler time.</w:t>
            </w:r>
          </w:p>
        </w:tc>
      </w:tr>
      <w:tr>
        <w:tc>
          <w:tcPr>
            <w:tcW w:type="dxa" w:w="2304"/>
            <w:shd w:val="clear" w:color="auto" w:fill="EDF1F7"/>
          </w:tcPr>
          <w:p>
            <w:pPr>
              <w:spacing w:before="40" w:after="40"/>
            </w:pPr>
            <w:r>
              <w:rPr>
                <w:rFonts w:ascii="Calibri" w:hAnsi="Calibri"/>
                <w:b w:val="0"/>
                <w:sz w:val="18"/>
              </w:rPr>
              <w:t>Conflict</w:t>
            </w:r>
          </w:p>
        </w:tc>
        <w:tc>
          <w:tcPr>
            <w:tcW w:type="dxa" w:w="7056"/>
            <w:shd w:val="clear" w:color="auto" w:fill="EDF1F7"/>
          </w:tcPr>
          <w:p>
            <w:pPr>
              <w:spacing w:before="40" w:after="40"/>
            </w:pPr>
            <w:r>
              <w:rPr>
                <w:rFonts w:ascii="Calibri" w:hAnsi="Calibri"/>
                <w:b w:val="0"/>
                <w:sz w:val="18"/>
              </w:rPr>
              <w:t>Two or more documents supplying different values for the same field.</w:t>
            </w:r>
          </w:p>
        </w:tc>
      </w:tr>
      <w:tr>
        <w:tc>
          <w:tcPr>
            <w:tcW w:type="dxa" w:w="2304"/>
          </w:tcPr>
          <w:p>
            <w:pPr>
              <w:spacing w:before="40" w:after="40"/>
            </w:pPr>
            <w:r>
              <w:rPr>
                <w:rFonts w:ascii="Calibri" w:hAnsi="Calibri"/>
                <w:b w:val="0"/>
                <w:sz w:val="18"/>
              </w:rPr>
              <w:t>Stitching</w:t>
            </w:r>
          </w:p>
        </w:tc>
        <w:tc>
          <w:tcPr>
            <w:tcW w:type="dxa" w:w="7056"/>
          </w:tcPr>
          <w:p>
            <w:pPr>
              <w:spacing w:before="40" w:after="40"/>
            </w:pPr>
            <w:r>
              <w:rPr>
                <w:rFonts w:ascii="Calibri" w:hAnsi="Calibri"/>
                <w:b w:val="0"/>
                <w:sz w:val="18"/>
              </w:rPr>
              <w:t>Merging several documents into one record, including deciding what to do when they disagree. Your code — nobody sells this.</w:t>
            </w:r>
          </w:p>
        </w:tc>
      </w:tr>
      <w:tr>
        <w:tc>
          <w:tcPr>
            <w:tcW w:type="dxa" w:w="2304"/>
            <w:shd w:val="clear" w:color="auto" w:fill="EDF1F7"/>
          </w:tcPr>
          <w:p>
            <w:pPr>
              <w:spacing w:before="40" w:after="40"/>
            </w:pPr>
            <w:r>
              <w:rPr>
                <w:rFonts w:ascii="Calibri" w:hAnsi="Calibri"/>
                <w:b w:val="0"/>
                <w:sz w:val="18"/>
              </w:rPr>
              <w:t>Precedence</w:t>
            </w:r>
          </w:p>
        </w:tc>
        <w:tc>
          <w:tcPr>
            <w:tcW w:type="dxa" w:w="7056"/>
            <w:shd w:val="clear" w:color="auto" w:fill="EDF1F7"/>
          </w:tcPr>
          <w:p>
            <w:pPr>
              <w:spacing w:before="40" w:after="40"/>
            </w:pPr>
            <w:r>
              <w:rPr>
                <w:rFonts w:ascii="Calibri" w:hAnsi="Calibri"/>
                <w:b w:val="0"/>
                <w:sz w:val="18"/>
              </w:rPr>
              <w:t>The written-down table of which document is authoritative for which field. If it is not written down it gets decided by whichever if-branch happens to run first.</w:t>
            </w:r>
          </w:p>
        </w:tc>
      </w:tr>
      <w:tr>
        <w:tc>
          <w:tcPr>
            <w:tcW w:type="dxa" w:w="2304"/>
          </w:tcPr>
          <w:p>
            <w:pPr>
              <w:spacing w:before="40" w:after="40"/>
            </w:pPr>
            <w:r>
              <w:rPr>
                <w:rFonts w:ascii="Calibri" w:hAnsi="Calibri"/>
                <w:b w:val="0"/>
                <w:sz w:val="18"/>
              </w:rPr>
              <w:t>Provenance</w:t>
            </w:r>
          </w:p>
        </w:tc>
        <w:tc>
          <w:tcPr>
            <w:tcW w:type="dxa" w:w="7056"/>
          </w:tcPr>
          <w:p>
            <w:pPr>
              <w:spacing w:before="40" w:after="40"/>
            </w:pPr>
            <w:r>
              <w:rPr>
                <w:rFonts w:ascii="Calibri" w:hAnsi="Calibri"/>
                <w:b w:val="0"/>
                <w:sz w:val="18"/>
              </w:rPr>
              <w:t>Per field: which document it came from, its confidence, and whether the sources agreed.</w:t>
            </w:r>
          </w:p>
        </w:tc>
      </w:tr>
      <w:tr>
        <w:tc>
          <w:tcPr>
            <w:tcW w:type="dxa" w:w="2304"/>
            <w:shd w:val="clear" w:color="auto" w:fill="EDF1F7"/>
          </w:tcPr>
          <w:p>
            <w:pPr>
              <w:spacing w:before="40" w:after="40"/>
            </w:pPr>
            <w:r>
              <w:rPr>
                <w:rFonts w:ascii="Calibri" w:hAnsi="Calibri"/>
                <w:b w:val="0"/>
                <w:sz w:val="18"/>
              </w:rPr>
              <w:t>Identity verdict</w:t>
            </w:r>
          </w:p>
        </w:tc>
        <w:tc>
          <w:tcPr>
            <w:tcW w:type="dxa" w:w="7056"/>
            <w:shd w:val="clear" w:color="auto" w:fill="EDF1F7"/>
          </w:tcPr>
          <w:p>
            <w:pPr>
              <w:spacing w:before="40" w:after="40"/>
            </w:pPr>
            <w:r>
              <w:rPr>
                <w:rFonts w:ascii="Calibri" w:hAnsi="Calibri"/>
                <w:b w:val="0"/>
                <w:sz w:val="18"/>
              </w:rPr>
              <w:t>The output of verify_identity — booleans and notes, and deliberately NO licence number, address or image.</w:t>
            </w:r>
          </w:p>
        </w:tc>
      </w:tr>
      <w:tr>
        <w:tc>
          <w:tcPr>
            <w:tcW w:type="dxa" w:w="2304"/>
          </w:tcPr>
          <w:p>
            <w:pPr>
              <w:spacing w:before="40" w:after="40"/>
            </w:pPr>
            <w:r>
              <w:rPr>
                <w:rFonts w:ascii="Calibri" w:hAnsi="Calibri"/>
                <w:b w:val="0"/>
                <w:sz w:val="18"/>
              </w:rPr>
              <w:t>Orphan</w:t>
            </w:r>
          </w:p>
        </w:tc>
        <w:tc>
          <w:tcPr>
            <w:tcW w:type="dxa" w:w="7056"/>
          </w:tcPr>
          <w:p>
            <w:pPr>
              <w:spacing w:before="40" w:after="40"/>
            </w:pPr>
            <w:r>
              <w:rPr>
                <w:rFonts w:ascii="Calibri" w:hAnsi="Calibri"/>
                <w:b w:val="0"/>
                <w:sz w:val="18"/>
              </w:rPr>
              <w:t>An asynchronous job that never resolved and that nobody is waiting for any more.</w:t>
            </w:r>
          </w:p>
        </w:tc>
      </w:tr>
      <w:tr>
        <w:tc>
          <w:tcPr>
            <w:tcW w:type="dxa" w:w="2304"/>
            <w:shd w:val="clear" w:color="auto" w:fill="EDF1F7"/>
          </w:tcPr>
          <w:p>
            <w:pPr>
              <w:spacing w:before="40" w:after="40"/>
            </w:pPr>
            <w:r>
              <w:rPr>
                <w:rFonts w:ascii="Calibri" w:hAnsi="Calibri"/>
                <w:b w:val="0"/>
                <w:sz w:val="18"/>
              </w:rPr>
              <w:t>Query Fields</w:t>
            </w:r>
          </w:p>
        </w:tc>
        <w:tc>
          <w:tcPr>
            <w:tcW w:type="dxa" w:w="7056"/>
            <w:shd w:val="clear" w:color="auto" w:fill="EDF1F7"/>
          </w:tcPr>
          <w:p>
            <w:pPr>
              <w:spacing w:before="40" w:after="40"/>
            </w:pPr>
            <w:r>
              <w:rPr>
                <w:rFonts w:ascii="Calibri" w:hAnsi="Calibri"/>
                <w:b w:val="0"/>
                <w:sz w:val="18"/>
              </w:rPr>
              <w:t>The Document Intelligence add-on that lets you ask for named fields instead of taking whatever key-value pairs the model finds. Billed per document.</w:t>
            </w:r>
          </w:p>
        </w:tc>
      </w:tr>
      <w:tr>
        <w:tc>
          <w:tcPr>
            <w:tcW w:type="dxa" w:w="2304"/>
          </w:tcPr>
          <w:p>
            <w:pPr>
              <w:spacing w:before="40" w:after="40"/>
            </w:pPr>
            <w:r>
              <w:rPr>
                <w:rFonts w:ascii="Calibri" w:hAnsi="Calibri"/>
                <w:b w:val="0"/>
                <w:sz w:val="18"/>
              </w:rPr>
              <w:t>prebuilt-layout</w:t>
            </w:r>
          </w:p>
        </w:tc>
        <w:tc>
          <w:tcPr>
            <w:tcW w:type="dxa" w:w="7056"/>
          </w:tcPr>
          <w:p>
            <w:pPr>
              <w:spacing w:before="40" w:after="40"/>
            </w:pPr>
            <w:r>
              <w:rPr>
                <w:rFonts w:ascii="Calibri" w:hAnsi="Calibri"/>
                <w:b w:val="0"/>
                <w:sz w:val="18"/>
              </w:rPr>
              <w:t>The Document Intelligence model that Query Fields attaches to, from api-version 2024-11-30.</w:t>
            </w:r>
          </w:p>
        </w:tc>
      </w:tr>
      <w:tr>
        <w:tc>
          <w:tcPr>
            <w:tcW w:type="dxa" w:w="2304"/>
            <w:shd w:val="clear" w:color="auto" w:fill="EDF1F7"/>
          </w:tcPr>
          <w:p>
            <w:pPr>
              <w:spacing w:before="40" w:after="40"/>
            </w:pPr>
            <w:r>
              <w:rPr>
                <w:rFonts w:ascii="Calibri" w:hAnsi="Calibri"/>
                <w:b w:val="0"/>
                <w:sz w:val="18"/>
              </w:rPr>
              <w:t>F0 / S0</w:t>
            </w:r>
          </w:p>
        </w:tc>
        <w:tc>
          <w:tcPr>
            <w:tcW w:type="dxa" w:w="7056"/>
            <w:shd w:val="clear" w:color="auto" w:fill="EDF1F7"/>
          </w:tcPr>
          <w:p>
            <w:pPr>
              <w:spacing w:before="40" w:after="40"/>
            </w:pPr>
            <w:r>
              <w:rPr>
                <w:rFonts w:ascii="Calibri" w:hAnsi="Calibri"/>
                <w:b w:val="0"/>
                <w:sz w:val="18"/>
              </w:rPr>
              <w:t>Free and Standard pricing tiers. F0 rate-limits aggressively and analyses only the first two pages of a document, without saying so.</w:t>
            </w:r>
          </w:p>
        </w:tc>
      </w:tr>
      <w:tr>
        <w:tc>
          <w:tcPr>
            <w:tcW w:type="dxa" w:w="2304"/>
          </w:tcPr>
          <w:p>
            <w:pPr>
              <w:spacing w:before="40" w:after="40"/>
            </w:pPr>
            <w:r>
              <w:rPr>
                <w:rFonts w:ascii="Calibri" w:hAnsi="Calibri"/>
                <w:b w:val="0"/>
                <w:sz w:val="18"/>
              </w:rPr>
              <w:t>Ground truth</w:t>
            </w:r>
          </w:p>
        </w:tc>
        <w:tc>
          <w:tcPr>
            <w:tcW w:type="dxa" w:w="7056"/>
          </w:tcPr>
          <w:p>
            <w:pPr>
              <w:spacing w:before="40" w:after="40"/>
            </w:pPr>
            <w:r>
              <w:rPr>
                <w:rFonts w:ascii="Calibri" w:hAnsi="Calibri"/>
                <w:b w:val="0"/>
                <w:sz w:val="18"/>
              </w:rPr>
              <w:t>What the value actually is. Available here because the packages are synthetic; never available in production, which is why refusing to guess matters more than any metric.</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