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8361" w14:textId="77777777" w:rsidR="00A226B1" w:rsidRPr="00864D5B" w:rsidRDefault="00BB4677">
      <w:pPr>
        <w:rPr>
          <w:sz w:val="22"/>
          <w:szCs w:val="22"/>
        </w:rPr>
      </w:pPr>
      <w:r w:rsidRPr="00864D5B">
        <w:rPr>
          <w:noProof/>
          <w:sz w:val="22"/>
          <w:szCs w:val="22"/>
          <w:lang w:val="en-GB" w:eastAsia="en-GB" w:bidi="x-non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C31F958" wp14:editId="04378435">
                <wp:simplePos x="0" y="0"/>
                <wp:positionH relativeFrom="column">
                  <wp:posOffset>1994535</wp:posOffset>
                </wp:positionH>
                <wp:positionV relativeFrom="paragraph">
                  <wp:posOffset>78740</wp:posOffset>
                </wp:positionV>
                <wp:extent cx="4004945" cy="0"/>
                <wp:effectExtent l="0" t="19050" r="14605" b="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D72E" id="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.2pt" to="472.4pt,6.2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ZbgRgOAgAAJwQAAA4AAABkcnMvZTJvRG9jLnhtbKxTTY/aMBC9V+p/sHyHJJClEBFWFYFe&#13;&#10;tt2Vtv0BxnaIVX/JNoRV1f/esQPs0l6qqhyMxzN+eW/eeHl/UhIdufPC6BoX4xwjrqlhQu9r/O3r&#13;&#10;djTHyAeiGZFG8xq/cI/vV+/fLXtb8YnpjGTcIQDRvuptjbsQbJVlnnZcET82lmtItsYpEiB0+4w5&#13;&#10;0gO6ktkkz2dZbxyzzlDuPZw2QxKvEn7bchoe29bzgGSNgVtIq0vrLq3ZakmqvSO2E/TMg/wDDUWE&#13;&#10;hq9eoRoSCDo48QeUEtQZb9owpkZlpm0F5UkEyCny3+Q8d8TyJAa64+21T/7/wdIvxyeHBAPzMNJE&#13;&#10;gUdoihG0pbe+guxaP7kojJ70s30w9LuPyewmGwNvAWfXfzYMIMghmNSOU+tUvA1C0Sk1/OW17fwU&#13;&#10;EIXTMs/LRXmHEb0mM1JdrlrnwyduFIqbGkuhY0tIRY4PPiQupLrUxHNttkLKmCCV1Kiv8XRe5GA+&#13;&#10;VRZksp1M172RgsXKWOfdfreWDh1JnJP0Sz0AGjd1zhw0G6A7TtjmEgQi5DmAK1JHTFAHBM+7YRZ+&#13;&#10;LPLFZr6Zl6NyMtuMyrxpRh+363I02xYf7ppps143xc9IryirTjDGddIyvA84/Dvfz09kmKjrZL72&#13;&#10;JbuFBzcT28t/Yp0Mjp4Og7Az7AX8vTgPw5iqzw8nTvvbGPZv3/fqFwAAAP//AwBQSwMEFAAGAAgA&#13;&#10;AAAhALbOUebgAAAADwEAAA8AAABkcnMvZG93bnJldi54bWxMT9tqwkAQfS/4D8sIfaub2FBqzEas&#13;&#10;RYrUl9p+wJiMSTA7G7KrJn/fKRTal4GZc+ZcstVgW3Wl3jeODcSzCBRx4cqGKwNfn9uHZ1A+IJfY&#13;&#10;OiYDI3lY5ZO7DNPS3fiDrodQKRFhn6KBOoQu1doXNVn0M9cRC3ZyvcUga1/pssebiNtWz6PoSVts&#13;&#10;WBxq7GhTU3E+XKyBcI7e3l9wO67taReqxVjY3WZvzP10eF3KWC9BBRrC3wf8dJD8kEuwo7tw6VVr&#13;&#10;4DFOYqEKME9ACWGRJFLo+HvQeab/98i/AQAA//8DAFBLAQItABQABgAIAAAAIQBaIpOj/wAAAOUB&#13;&#10;AAATAAAAAAAAAAAAAAAAAAAAAABbQ29udGVudF9UeXBlc10ueG1sUEsBAi0AFAAGAAgAAAAhAKdK&#13;&#10;zzjXAAAAlgEAAAsAAAAAAAAAAAAAAAAAMAEAAF9yZWxzLy5yZWxzUEsBAi0AFAAGAAgAAAAhAGZb&#13;&#10;gRgOAgAAJwQAAA4AAAAAAAAAAAAAAAAAMAIAAGRycy9lMm9Eb2MueG1sUEsBAi0AFAAGAAgAAAAh&#13;&#10;ALbOUebgAAAADwEAAA8AAAAAAAAAAAAAAAAAagQAAGRycy9kb3ducmV2LnhtbFBLBQYAAAAABAAE&#13;&#10;APMAAAB3BQAAAAA=&#13;&#10;" strokeweight="3pt">
                <v:stroke linestyle="thinThin"/>
                <o:lock v:ext="edit" shapetype="f"/>
              </v:line>
            </w:pict>
          </mc:Fallback>
        </mc:AlternateContent>
      </w:r>
      <w:r w:rsidR="00A226B1" w:rsidRPr="00864D5B">
        <w:rPr>
          <w:b/>
          <w:sz w:val="22"/>
          <w:szCs w:val="22"/>
        </w:rPr>
        <w:t xml:space="preserve">Yeo Jun Wei </w:t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4788"/>
        <w:gridCol w:w="4788"/>
      </w:tblGrid>
      <w:tr w:rsidR="00A226B1" w:rsidRPr="00864D5B" w14:paraId="041C5493" w14:textId="77777777">
        <w:trPr>
          <w:trHeight w:val="1061"/>
        </w:trPr>
        <w:tc>
          <w:tcPr>
            <w:tcW w:w="4788" w:type="dxa"/>
          </w:tcPr>
          <w:p w14:paraId="5AB9C4A7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 xml:space="preserve">484 </w:t>
            </w:r>
            <w:proofErr w:type="spellStart"/>
            <w:r w:rsidRPr="00864D5B">
              <w:rPr>
                <w:sz w:val="22"/>
                <w:szCs w:val="22"/>
              </w:rPr>
              <w:t>Choa</w:t>
            </w:r>
            <w:proofErr w:type="spellEnd"/>
            <w:r w:rsidRPr="00864D5B">
              <w:rPr>
                <w:sz w:val="22"/>
                <w:szCs w:val="22"/>
              </w:rPr>
              <w:t xml:space="preserve"> Chu Kang Avenue 5 #08-12</w:t>
            </w:r>
          </w:p>
          <w:p w14:paraId="23BA1F27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Singapore 680484</w:t>
            </w:r>
          </w:p>
          <w:p w14:paraId="3649D58A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DOB 05 July 1984</w:t>
            </w:r>
          </w:p>
          <w:p w14:paraId="4991D5B7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NRIC S8420265G</w:t>
            </w:r>
          </w:p>
        </w:tc>
        <w:tc>
          <w:tcPr>
            <w:tcW w:w="4788" w:type="dxa"/>
          </w:tcPr>
          <w:p w14:paraId="7AC0AB5D" w14:textId="77777777" w:rsidR="00A226B1" w:rsidRPr="00864D5B" w:rsidRDefault="00A226B1">
            <w:pPr>
              <w:jc w:val="right"/>
              <w:rPr>
                <w:sz w:val="22"/>
                <w:szCs w:val="22"/>
              </w:rPr>
            </w:pPr>
          </w:p>
          <w:p w14:paraId="4C7AFF7A" w14:textId="77777777" w:rsidR="00A226B1" w:rsidRPr="00864D5B" w:rsidRDefault="00A226B1">
            <w:pPr>
              <w:jc w:val="right"/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Home Phone (65) 66466148</w:t>
            </w:r>
          </w:p>
          <w:p w14:paraId="25A7CC5B" w14:textId="77777777" w:rsidR="00A226B1" w:rsidRPr="00864D5B" w:rsidRDefault="00A226B1">
            <w:pPr>
              <w:jc w:val="right"/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 xml:space="preserve">Mobile Phone (65) 94883328 </w:t>
            </w:r>
          </w:p>
          <w:p w14:paraId="31577B27" w14:textId="77777777" w:rsidR="00A226B1" w:rsidRPr="00864D5B" w:rsidRDefault="00A226B1">
            <w:pPr>
              <w:jc w:val="right"/>
              <w:rPr>
                <w:sz w:val="22"/>
                <w:szCs w:val="22"/>
              </w:rPr>
            </w:pPr>
            <w:r w:rsidRPr="00864D5B">
              <w:rPr>
                <w:sz w:val="22"/>
                <w:szCs w:val="22"/>
              </w:rPr>
              <w:t>Junwei.yeo@hotmail.com</w:t>
            </w:r>
          </w:p>
        </w:tc>
      </w:tr>
    </w:tbl>
    <w:p w14:paraId="4DE530DE" w14:textId="77777777" w:rsidR="00A226B1" w:rsidRPr="00864D5B" w:rsidRDefault="00A226B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9576"/>
      </w:tblGrid>
      <w:tr w:rsidR="00A226B1" w:rsidRPr="00864D5B" w14:paraId="7FAEAEFA" w14:textId="77777777">
        <w:tc>
          <w:tcPr>
            <w:tcW w:w="9576" w:type="dxa"/>
          </w:tcPr>
          <w:p w14:paraId="6C908797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EDUCATION</w:t>
            </w:r>
          </w:p>
        </w:tc>
      </w:tr>
    </w:tbl>
    <w:p w14:paraId="6B7BA83A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CFA Institute, Jun 2011: CFA Level 1 Examination, Passed</w:t>
      </w:r>
    </w:p>
    <w:p w14:paraId="01F19935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Northeastern University, Jun 2009 – Aug 2011: Bachelor of Science, GPA 3.824/4.00</w:t>
      </w:r>
    </w:p>
    <w:p w14:paraId="2C8F3B88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Ngee Ann Polytechnic, Jul 2001 – Jul 2004: Diploma in Chemical Engineering GPA 3.628/4.00</w:t>
      </w:r>
    </w:p>
    <w:p w14:paraId="0DEB8982" w14:textId="77777777" w:rsidR="00A226B1" w:rsidRPr="00864D5B" w:rsidRDefault="00A226B1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Chestnut Drive Secondary School, Jan 1997 – Dec 2000: 7 GCE O Level Passes</w:t>
      </w:r>
    </w:p>
    <w:p w14:paraId="2006F414" w14:textId="77777777" w:rsidR="00A226B1" w:rsidRPr="00864D5B" w:rsidRDefault="00A226B1">
      <w:pPr>
        <w:tabs>
          <w:tab w:val="left" w:pos="-1080"/>
          <w:tab w:val="left" w:pos="-720"/>
          <w:tab w:val="left" w:pos="1620"/>
          <w:tab w:val="left" w:pos="189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rPr>
          <w:b/>
          <w:caps/>
          <w:sz w:val="22"/>
          <w:szCs w:val="22"/>
        </w:rPr>
      </w:pPr>
    </w:p>
    <w:tbl>
      <w:tblPr>
        <w:tblW w:w="9558" w:type="dxa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9558"/>
      </w:tblGrid>
      <w:tr w:rsidR="00A226B1" w:rsidRPr="00864D5B" w14:paraId="1BE1DAA8" w14:textId="77777777">
        <w:tc>
          <w:tcPr>
            <w:tcW w:w="9558" w:type="dxa"/>
          </w:tcPr>
          <w:p w14:paraId="45CE716A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AWARDS</w:t>
            </w:r>
          </w:p>
        </w:tc>
      </w:tr>
    </w:tbl>
    <w:p w14:paraId="428E2F21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  <w:sectPr w:rsidR="00A226B1" w:rsidRPr="00864D5B">
          <w:headerReference w:type="default" r:id="rId7"/>
          <w:endnotePr>
            <w:numFmt w:val="decimal"/>
          </w:endnotePr>
          <w:type w:val="continuous"/>
          <w:pgSz w:w="12240" w:h="15840"/>
          <w:pgMar w:top="576" w:right="1008" w:bottom="576" w:left="1008" w:header="720" w:footer="720" w:gutter="0"/>
          <w:cols w:space="720"/>
          <w:titlePg/>
        </w:sectPr>
      </w:pPr>
    </w:p>
    <w:p w14:paraId="63B2E57E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  <w:r w:rsidRPr="00864D5B">
        <w:rPr>
          <w:sz w:val="22"/>
          <w:szCs w:val="22"/>
        </w:rPr>
        <w:t>Dean’s List 3 Semester (Northeastern University)</w:t>
      </w:r>
    </w:p>
    <w:p w14:paraId="611B112D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  <w:sectPr w:rsidR="00A226B1" w:rsidRPr="00864D5B">
          <w:endnotePr>
            <w:numFmt w:val="decimal"/>
          </w:endnotePr>
          <w:type w:val="continuous"/>
          <w:pgSz w:w="12240" w:h="15840"/>
          <w:pgMar w:top="576" w:right="1008" w:bottom="576" w:left="1008" w:header="720" w:footer="720" w:gutter="0"/>
          <w:cols w:num="2" w:space="720"/>
          <w:titlePg/>
        </w:sectPr>
      </w:pPr>
    </w:p>
    <w:p w14:paraId="666ED598" w14:textId="77777777" w:rsidR="00A226B1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</w:rPr>
      </w:pPr>
    </w:p>
    <w:tbl>
      <w:tblPr>
        <w:tblW w:w="9558" w:type="dxa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9558"/>
      </w:tblGrid>
      <w:tr w:rsidR="00A226B1" w14:paraId="6F6E659D" w14:textId="77777777">
        <w:tc>
          <w:tcPr>
            <w:tcW w:w="9558" w:type="dxa"/>
          </w:tcPr>
          <w:p w14:paraId="450517C9" w14:textId="77777777" w:rsidR="00A226B1" w:rsidRPr="00864D5B" w:rsidRDefault="00A226B1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WORK EXPERIENCE</w:t>
            </w:r>
          </w:p>
        </w:tc>
      </w:tr>
    </w:tbl>
    <w:p w14:paraId="793D31F1" w14:textId="77777777" w:rsidR="00E32C50" w:rsidRPr="00864D5B" w:rsidRDefault="00E32C50" w:rsidP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864D5B">
        <w:rPr>
          <w:b/>
          <w:sz w:val="24"/>
          <w:szCs w:val="24"/>
        </w:rPr>
        <w:t>CITCO FUND SERVICES (SINGAPORE) PTE LTD</w:t>
      </w:r>
    </w:p>
    <w:p w14:paraId="3BB1D8C5" w14:textId="77777777" w:rsidR="00E32C50" w:rsidRPr="00864D5B" w:rsidRDefault="00E32C50" w:rsidP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Assistant Vice President (Fund Accounting), 01 May 2015 to Present</w:t>
      </w:r>
    </w:p>
    <w:p w14:paraId="30D5DEE6" w14:textId="77777777" w:rsidR="00E32C50" w:rsidRPr="00864D5B" w:rsidRDefault="00E32C50" w:rsidP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Supervisor (Operations / Fund Accounting), 01 Jan</w:t>
      </w:r>
      <w:r w:rsidR="00D231F5" w:rsidRPr="00864D5B">
        <w:rPr>
          <w:b/>
          <w:sz w:val="22"/>
          <w:szCs w:val="22"/>
        </w:rPr>
        <w:t>uary</w:t>
      </w:r>
      <w:r w:rsidRPr="00864D5B">
        <w:rPr>
          <w:b/>
          <w:sz w:val="22"/>
          <w:szCs w:val="22"/>
        </w:rPr>
        <w:t xml:space="preserve"> 2014 to 30 Apr</w:t>
      </w:r>
      <w:r w:rsidR="00D231F5" w:rsidRPr="00864D5B">
        <w:rPr>
          <w:b/>
          <w:sz w:val="22"/>
          <w:szCs w:val="22"/>
        </w:rPr>
        <w:t>il</w:t>
      </w:r>
      <w:r w:rsidRPr="00864D5B">
        <w:rPr>
          <w:b/>
          <w:sz w:val="22"/>
          <w:szCs w:val="22"/>
        </w:rPr>
        <w:t xml:space="preserve"> 2015</w:t>
      </w:r>
    </w:p>
    <w:p w14:paraId="17D4F586" w14:textId="77777777" w:rsidR="004C222D" w:rsidRDefault="004C222D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Integral member in the initialization of the offshore office in India, and was responsible for the interview and hiring processes. Planned and executed the migration of </w:t>
      </w:r>
      <w:r w:rsidR="005049A9">
        <w:rPr>
          <w:sz w:val="22"/>
          <w:szCs w:val="22"/>
        </w:rPr>
        <w:t>15</w:t>
      </w:r>
      <w:r>
        <w:rPr>
          <w:sz w:val="22"/>
          <w:szCs w:val="22"/>
        </w:rPr>
        <w:t xml:space="preserve"> FTE of work</w:t>
      </w:r>
      <w:r w:rsidR="005049A9">
        <w:rPr>
          <w:sz w:val="22"/>
          <w:szCs w:val="22"/>
        </w:rPr>
        <w:t>,</w:t>
      </w:r>
      <w:r>
        <w:rPr>
          <w:sz w:val="22"/>
          <w:szCs w:val="22"/>
        </w:rPr>
        <w:t xml:space="preserve"> and led department in the integration of an offshore support model to</w:t>
      </w:r>
      <w:r w:rsidR="005049A9">
        <w:rPr>
          <w:sz w:val="22"/>
          <w:szCs w:val="22"/>
        </w:rPr>
        <w:t xml:space="preserve"> ensure efficient turnaround </w:t>
      </w:r>
      <w:r>
        <w:rPr>
          <w:sz w:val="22"/>
          <w:szCs w:val="22"/>
        </w:rPr>
        <w:t>in the preparation and review of work between Singapore and India offices.</w:t>
      </w:r>
    </w:p>
    <w:p w14:paraId="133EBB4C" w14:textId="34BEAB33" w:rsidR="005C3037" w:rsidRDefault="00BE478C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Further to the migration of Singapore work to India, </w:t>
      </w:r>
      <w:r w:rsidR="006137A7">
        <w:rPr>
          <w:sz w:val="22"/>
          <w:szCs w:val="22"/>
        </w:rPr>
        <w:t xml:space="preserve">travelled to and spend another </w:t>
      </w:r>
      <w:r w:rsidR="009C6580">
        <w:rPr>
          <w:sz w:val="22"/>
          <w:szCs w:val="22"/>
        </w:rPr>
        <w:t xml:space="preserve">10 weeks to the USA for </w:t>
      </w:r>
      <w:r w:rsidR="0057612A">
        <w:rPr>
          <w:sz w:val="22"/>
          <w:szCs w:val="22"/>
        </w:rPr>
        <w:t xml:space="preserve">BAU analysis and execution of a further 12 FTE of </w:t>
      </w:r>
      <w:r w:rsidR="005E4E14">
        <w:rPr>
          <w:sz w:val="22"/>
          <w:szCs w:val="22"/>
        </w:rPr>
        <w:t>work to India, travel</w:t>
      </w:r>
      <w:r w:rsidR="00E278E7">
        <w:rPr>
          <w:sz w:val="22"/>
          <w:szCs w:val="22"/>
        </w:rPr>
        <w:t>ling in total an excess of 6 months in 2017.</w:t>
      </w:r>
      <w:bookmarkStart w:id="0" w:name="_GoBack"/>
      <w:bookmarkEnd w:id="0"/>
    </w:p>
    <w:p w14:paraId="5FDBD298" w14:textId="77777777" w:rsidR="00175632" w:rsidRPr="00864D5B" w:rsidRDefault="00175632" w:rsidP="00175632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>Manage and supervise team of 10 members in daily, weekly, and monthly NAV production</w:t>
      </w:r>
      <w:r w:rsidR="0016395E">
        <w:rPr>
          <w:sz w:val="22"/>
          <w:szCs w:val="22"/>
        </w:rPr>
        <w:t xml:space="preserve">, including </w:t>
      </w:r>
      <w:r w:rsidR="0088123D">
        <w:rPr>
          <w:sz w:val="22"/>
          <w:szCs w:val="22"/>
        </w:rPr>
        <w:t xml:space="preserve">subscriptions and redemptions, </w:t>
      </w:r>
      <w:r w:rsidR="0016395E">
        <w:rPr>
          <w:sz w:val="22"/>
          <w:szCs w:val="22"/>
        </w:rPr>
        <w:t>calculation of management and incentive fees (equalization and series accounting), and P&amp;L allocation</w:t>
      </w:r>
      <w:r>
        <w:rPr>
          <w:sz w:val="22"/>
          <w:szCs w:val="22"/>
        </w:rPr>
        <w:t>. Lead team in the launch, migration, and liquidation of multiple funds.</w:t>
      </w:r>
    </w:p>
    <w:p w14:paraId="0F2B04E9" w14:textId="77777777" w:rsidR="00EC0368" w:rsidRPr="00EC0368" w:rsidRDefault="00EC0368" w:rsidP="00EC0368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EC0368">
        <w:rPr>
          <w:sz w:val="22"/>
          <w:szCs w:val="22"/>
        </w:rPr>
        <w:t>Consistently review</w:t>
      </w:r>
      <w:r>
        <w:rPr>
          <w:sz w:val="22"/>
          <w:szCs w:val="22"/>
        </w:rPr>
        <w:t xml:space="preserve"> and monitor the existing control measures to mitigate operational and reputational risks, and ensure compliance with Investment Manager’s Agreement.</w:t>
      </w:r>
    </w:p>
    <w:p w14:paraId="00682382" w14:textId="77777777" w:rsidR="00E32C50" w:rsidRPr="00864D5B" w:rsidRDefault="00EC0368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 xml:space="preserve">Participate actively in the UAT prior to release of any system updates, as well as coordinating with development </w:t>
      </w:r>
      <w:r w:rsidR="00347071">
        <w:rPr>
          <w:sz w:val="22"/>
          <w:szCs w:val="22"/>
        </w:rPr>
        <w:t xml:space="preserve">and operational </w:t>
      </w:r>
      <w:r>
        <w:rPr>
          <w:sz w:val="22"/>
          <w:szCs w:val="22"/>
        </w:rPr>
        <w:t xml:space="preserve">teams to improve on new </w:t>
      </w:r>
      <w:r w:rsidR="00347071">
        <w:rPr>
          <w:sz w:val="22"/>
          <w:szCs w:val="22"/>
        </w:rPr>
        <w:t>releases through feedback and follow-up testing.</w:t>
      </w:r>
    </w:p>
    <w:p w14:paraId="3626E2EE" w14:textId="77777777" w:rsidR="00E32C50" w:rsidRPr="00864D5B" w:rsidRDefault="00175632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>
        <w:rPr>
          <w:sz w:val="22"/>
          <w:szCs w:val="22"/>
        </w:rPr>
        <w:t>Contribute to the ongoing development of department through constant review and enhancements to staff training curriculum provided by training department.</w:t>
      </w:r>
    </w:p>
    <w:p w14:paraId="0CDCA0DA" w14:textId="77777777" w:rsidR="00E32C50" w:rsidRPr="00864D5B" w:rsidRDefault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Senior Operations Analyst, 01 Jul</w:t>
      </w:r>
      <w:r w:rsidR="00D231F5" w:rsidRPr="00864D5B">
        <w:rPr>
          <w:b/>
          <w:sz w:val="22"/>
          <w:szCs w:val="22"/>
        </w:rPr>
        <w:t>y</w:t>
      </w:r>
      <w:r w:rsidRPr="00864D5B">
        <w:rPr>
          <w:b/>
          <w:sz w:val="22"/>
          <w:szCs w:val="22"/>
        </w:rPr>
        <w:t xml:space="preserve"> 2012 to 31 Dec</w:t>
      </w:r>
      <w:r w:rsidR="00D231F5" w:rsidRPr="00864D5B">
        <w:rPr>
          <w:b/>
          <w:sz w:val="22"/>
          <w:szCs w:val="22"/>
        </w:rPr>
        <w:t>ember</w:t>
      </w:r>
      <w:r w:rsidRPr="00864D5B">
        <w:rPr>
          <w:b/>
          <w:sz w:val="22"/>
          <w:szCs w:val="22"/>
        </w:rPr>
        <w:t xml:space="preserve"> 2014</w:t>
      </w:r>
    </w:p>
    <w:p w14:paraId="07138BA3" w14:textId="77777777" w:rsidR="00E32C50" w:rsidRPr="00864D5B" w:rsidRDefault="00E32C50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Operations Analyst, 19 Sep</w:t>
      </w:r>
      <w:r w:rsidR="00D231F5" w:rsidRPr="00864D5B">
        <w:rPr>
          <w:b/>
          <w:sz w:val="22"/>
          <w:szCs w:val="22"/>
        </w:rPr>
        <w:t>tember 2011</w:t>
      </w:r>
      <w:r w:rsidRPr="00864D5B">
        <w:rPr>
          <w:b/>
          <w:sz w:val="22"/>
          <w:szCs w:val="22"/>
        </w:rPr>
        <w:t xml:space="preserve"> to 30 Jun</w:t>
      </w:r>
      <w:r w:rsidR="00D231F5" w:rsidRPr="00864D5B">
        <w:rPr>
          <w:b/>
          <w:sz w:val="22"/>
          <w:szCs w:val="22"/>
        </w:rPr>
        <w:t>e</w:t>
      </w:r>
      <w:r w:rsidRPr="00864D5B">
        <w:rPr>
          <w:b/>
          <w:sz w:val="22"/>
          <w:szCs w:val="22"/>
        </w:rPr>
        <w:t xml:space="preserve"> 2012</w:t>
      </w:r>
    </w:p>
    <w:p w14:paraId="13E0A7C9" w14:textId="77777777" w:rsidR="00A226B1" w:rsidRPr="00864D5B" w:rsidRDefault="001F5C4E" w:rsidP="001F5C4E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Performed and reviewed</w:t>
      </w:r>
      <w:r w:rsidR="00E32C50" w:rsidRPr="00864D5B">
        <w:rPr>
          <w:sz w:val="22"/>
          <w:szCs w:val="22"/>
        </w:rPr>
        <w:t xml:space="preserve"> daily</w:t>
      </w:r>
      <w:r w:rsidRPr="00864D5B">
        <w:rPr>
          <w:sz w:val="22"/>
          <w:szCs w:val="22"/>
        </w:rPr>
        <w:t>, weekly, and monthly</w:t>
      </w:r>
      <w:r w:rsidR="00E32C50" w:rsidRPr="00864D5B">
        <w:rPr>
          <w:sz w:val="22"/>
          <w:szCs w:val="22"/>
        </w:rPr>
        <w:t xml:space="preserve"> operational deliverables</w:t>
      </w:r>
      <w:r w:rsidRPr="00864D5B">
        <w:rPr>
          <w:sz w:val="22"/>
          <w:szCs w:val="22"/>
        </w:rPr>
        <w:t xml:space="preserve"> (including trades, positions and cash reconciliations and NAV)</w:t>
      </w:r>
      <w:r w:rsidR="00E32C50" w:rsidRPr="00864D5B">
        <w:rPr>
          <w:sz w:val="22"/>
          <w:szCs w:val="22"/>
        </w:rPr>
        <w:t xml:space="preserve"> in line with </w:t>
      </w:r>
      <w:r w:rsidRPr="00864D5B">
        <w:rPr>
          <w:sz w:val="22"/>
          <w:szCs w:val="22"/>
        </w:rPr>
        <w:t>internal and external</w:t>
      </w:r>
      <w:r w:rsidR="00E32C50" w:rsidRPr="00864D5B">
        <w:rPr>
          <w:sz w:val="22"/>
          <w:szCs w:val="22"/>
        </w:rPr>
        <w:t xml:space="preserve"> service level agreements.</w:t>
      </w:r>
      <w:r w:rsidRPr="00864D5B">
        <w:rPr>
          <w:sz w:val="22"/>
          <w:szCs w:val="22"/>
        </w:rPr>
        <w:t xml:space="preserve"> Engaged in reconciliation break resolution for all open items with the brokers and investment managers.</w:t>
      </w:r>
    </w:p>
    <w:p w14:paraId="2C918D02" w14:textId="77777777" w:rsidR="00E32C50" w:rsidRPr="00864D5B" w:rsidRDefault="00FF648B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Prepared routine client reports such as Profit &amp; Loss, Corporate Actions, and estimate portfolio Net Asset Valuations.</w:t>
      </w:r>
    </w:p>
    <w:p w14:paraId="66DB4809" w14:textId="77777777" w:rsidR="00E32C50" w:rsidRPr="00864D5B" w:rsidRDefault="001F5C4E" w:rsidP="00E32C50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 xml:space="preserve">Set up and maintained listed and OTC securities, </w:t>
      </w:r>
      <w:r w:rsidR="00AE4E47" w:rsidRPr="00864D5B">
        <w:rPr>
          <w:sz w:val="22"/>
          <w:szCs w:val="22"/>
        </w:rPr>
        <w:t>in adherence to OTC master agreements and confirmations</w:t>
      </w:r>
      <w:r w:rsidRPr="00864D5B">
        <w:rPr>
          <w:sz w:val="22"/>
          <w:szCs w:val="22"/>
        </w:rPr>
        <w:t>, to reflect accurat</w:t>
      </w:r>
      <w:r w:rsidR="00AE4E47" w:rsidRPr="00864D5B">
        <w:rPr>
          <w:sz w:val="22"/>
          <w:szCs w:val="22"/>
        </w:rPr>
        <w:t>e securities valuation and risk management reporting</w:t>
      </w:r>
      <w:r w:rsidR="00FF648B" w:rsidRPr="00864D5B">
        <w:rPr>
          <w:sz w:val="22"/>
          <w:szCs w:val="22"/>
        </w:rPr>
        <w:t>.</w:t>
      </w:r>
    </w:p>
    <w:p w14:paraId="056777F6" w14:textId="77777777" w:rsidR="00803B36" w:rsidRPr="00864D5B" w:rsidRDefault="00E0598C" w:rsidP="00803B3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 xml:space="preserve">Worked closely with Manager and Supervisors in </w:t>
      </w:r>
      <w:r w:rsidR="00CD4B65" w:rsidRPr="00864D5B">
        <w:rPr>
          <w:sz w:val="22"/>
          <w:szCs w:val="22"/>
        </w:rPr>
        <w:t xml:space="preserve">planning of team resources </w:t>
      </w:r>
      <w:r w:rsidRPr="00864D5B">
        <w:rPr>
          <w:sz w:val="22"/>
          <w:szCs w:val="22"/>
        </w:rPr>
        <w:t>ahead of year-end processes and audit.</w:t>
      </w:r>
    </w:p>
    <w:p w14:paraId="6D71C10D" w14:textId="77777777" w:rsidR="00A226B1" w:rsidRPr="00864D5B" w:rsidRDefault="00A226B1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</w:p>
    <w:p w14:paraId="400801C4" w14:textId="77777777" w:rsidR="00A226B1" w:rsidRPr="00864D5B" w:rsidRDefault="00803B36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4"/>
          <w:szCs w:val="24"/>
        </w:rPr>
      </w:pPr>
      <w:r w:rsidRPr="00864D5B">
        <w:rPr>
          <w:b/>
          <w:sz w:val="24"/>
          <w:szCs w:val="24"/>
        </w:rPr>
        <w:t>MAHA CHEMICALS (ASIA) PTE LTD</w:t>
      </w:r>
    </w:p>
    <w:p w14:paraId="0E38815E" w14:textId="77777777" w:rsidR="00A226B1" w:rsidRPr="00864D5B" w:rsidRDefault="00803B36">
      <w:pPr>
        <w:tabs>
          <w:tab w:val="left" w:pos="-1080"/>
          <w:tab w:val="left" w:pos="-720"/>
          <w:tab w:val="left" w:pos="54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sz w:val="22"/>
          <w:szCs w:val="22"/>
        </w:rPr>
      </w:pPr>
      <w:r w:rsidRPr="00864D5B">
        <w:rPr>
          <w:b/>
          <w:sz w:val="22"/>
          <w:szCs w:val="22"/>
        </w:rPr>
        <w:t>Business Analyst</w:t>
      </w:r>
      <w:r w:rsidR="00A226B1" w:rsidRPr="00864D5B">
        <w:rPr>
          <w:b/>
          <w:sz w:val="22"/>
          <w:szCs w:val="22"/>
        </w:rPr>
        <w:t xml:space="preserve">, </w:t>
      </w:r>
      <w:r w:rsidRPr="00864D5B">
        <w:rPr>
          <w:b/>
          <w:sz w:val="22"/>
          <w:szCs w:val="22"/>
        </w:rPr>
        <w:t>Aug</w:t>
      </w:r>
      <w:r w:rsidR="00D231F5" w:rsidRPr="00864D5B">
        <w:rPr>
          <w:b/>
          <w:sz w:val="22"/>
          <w:szCs w:val="22"/>
        </w:rPr>
        <w:t>ust</w:t>
      </w:r>
      <w:r w:rsidRPr="00864D5B">
        <w:rPr>
          <w:b/>
          <w:sz w:val="22"/>
          <w:szCs w:val="22"/>
        </w:rPr>
        <w:t xml:space="preserve"> </w:t>
      </w:r>
      <w:r w:rsidR="00A226B1" w:rsidRPr="00864D5B">
        <w:rPr>
          <w:b/>
          <w:sz w:val="22"/>
          <w:szCs w:val="22"/>
        </w:rPr>
        <w:t>200</w:t>
      </w:r>
      <w:r w:rsidRPr="00864D5B">
        <w:rPr>
          <w:b/>
          <w:sz w:val="22"/>
          <w:szCs w:val="22"/>
        </w:rPr>
        <w:t xml:space="preserve">9 </w:t>
      </w:r>
      <w:r w:rsidR="00A226B1" w:rsidRPr="00864D5B">
        <w:rPr>
          <w:b/>
          <w:sz w:val="22"/>
          <w:szCs w:val="22"/>
        </w:rPr>
        <w:t xml:space="preserve">to </w:t>
      </w:r>
      <w:r w:rsidRPr="00864D5B">
        <w:rPr>
          <w:b/>
          <w:sz w:val="22"/>
          <w:szCs w:val="22"/>
        </w:rPr>
        <w:t>Dec</w:t>
      </w:r>
      <w:r w:rsidR="00D231F5" w:rsidRPr="00864D5B">
        <w:rPr>
          <w:b/>
          <w:sz w:val="22"/>
          <w:szCs w:val="22"/>
        </w:rPr>
        <w:t>ember</w:t>
      </w:r>
      <w:r w:rsidR="00A226B1" w:rsidRPr="00864D5B">
        <w:rPr>
          <w:b/>
          <w:sz w:val="22"/>
          <w:szCs w:val="22"/>
        </w:rPr>
        <w:t xml:space="preserve"> 20</w:t>
      </w:r>
      <w:r w:rsidRPr="00864D5B">
        <w:rPr>
          <w:b/>
          <w:sz w:val="22"/>
          <w:szCs w:val="22"/>
        </w:rPr>
        <w:t>10</w:t>
      </w:r>
    </w:p>
    <w:p w14:paraId="28C7995D" w14:textId="77777777" w:rsidR="00A226B1" w:rsidRPr="00864D5B" w:rsidRDefault="00803B36" w:rsidP="00803B3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Review</w:t>
      </w:r>
      <w:r w:rsidR="00D231F5" w:rsidRPr="00864D5B">
        <w:rPr>
          <w:sz w:val="22"/>
          <w:szCs w:val="22"/>
        </w:rPr>
        <w:t>ed</w:t>
      </w:r>
      <w:r w:rsidRPr="00864D5B">
        <w:rPr>
          <w:sz w:val="22"/>
          <w:szCs w:val="22"/>
        </w:rPr>
        <w:t xml:space="preserve"> the overall orga</w:t>
      </w:r>
      <w:r w:rsidR="00D231F5" w:rsidRPr="00864D5B">
        <w:rPr>
          <w:sz w:val="22"/>
          <w:szCs w:val="22"/>
        </w:rPr>
        <w:t>nizational processes and worked</w:t>
      </w:r>
      <w:r w:rsidRPr="00864D5B">
        <w:rPr>
          <w:sz w:val="22"/>
          <w:szCs w:val="22"/>
        </w:rPr>
        <w:t xml:space="preserve"> in conjunction with external consultant</w:t>
      </w:r>
      <w:r w:rsidR="00D231F5" w:rsidRPr="00864D5B">
        <w:rPr>
          <w:sz w:val="22"/>
          <w:szCs w:val="22"/>
        </w:rPr>
        <w:t>s</w:t>
      </w:r>
      <w:r w:rsidRPr="00864D5B">
        <w:rPr>
          <w:sz w:val="22"/>
          <w:szCs w:val="22"/>
        </w:rPr>
        <w:t xml:space="preserve"> to revamp and improve </w:t>
      </w:r>
      <w:r w:rsidR="00D231F5" w:rsidRPr="00864D5B">
        <w:rPr>
          <w:sz w:val="22"/>
          <w:szCs w:val="22"/>
        </w:rPr>
        <w:t>workflow</w:t>
      </w:r>
      <w:r w:rsidRPr="00864D5B">
        <w:rPr>
          <w:sz w:val="22"/>
          <w:szCs w:val="22"/>
        </w:rPr>
        <w:t xml:space="preserve"> efficiency</w:t>
      </w:r>
      <w:r w:rsidR="00C34B34" w:rsidRPr="00864D5B">
        <w:rPr>
          <w:sz w:val="22"/>
          <w:szCs w:val="22"/>
        </w:rPr>
        <w:t>, resulting in desired levels of cost savings</w:t>
      </w:r>
      <w:r w:rsidRPr="00864D5B">
        <w:rPr>
          <w:sz w:val="22"/>
          <w:szCs w:val="22"/>
        </w:rPr>
        <w:t>.</w:t>
      </w:r>
    </w:p>
    <w:p w14:paraId="0C5350B1" w14:textId="77777777" w:rsidR="00803B36" w:rsidRPr="00864D5B" w:rsidRDefault="00803B36" w:rsidP="00803B3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Consolidate</w:t>
      </w:r>
      <w:r w:rsidR="00D231F5" w:rsidRPr="00864D5B">
        <w:rPr>
          <w:sz w:val="22"/>
          <w:szCs w:val="22"/>
        </w:rPr>
        <w:t>d</w:t>
      </w:r>
      <w:r w:rsidRPr="00864D5B">
        <w:rPr>
          <w:sz w:val="22"/>
          <w:szCs w:val="22"/>
        </w:rPr>
        <w:t xml:space="preserve"> ownership in subsidiary holding into books of parent company.</w:t>
      </w:r>
    </w:p>
    <w:p w14:paraId="734B49D9" w14:textId="77777777" w:rsidR="00A226B1" w:rsidRPr="00864D5B" w:rsidRDefault="00A226B1">
      <w:pPr>
        <w:tabs>
          <w:tab w:val="left" w:pos="-1080"/>
          <w:tab w:val="left" w:pos="-720"/>
          <w:tab w:val="left" w:pos="270"/>
          <w:tab w:val="left" w:pos="36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sz w:val="22"/>
          <w:szCs w:val="22"/>
        </w:rPr>
      </w:pPr>
    </w:p>
    <w:tbl>
      <w:tblPr>
        <w:tblW w:w="9558" w:type="dxa"/>
        <w:tblBorders>
          <w:top w:val="single" w:sz="4" w:space="0" w:color="FFFFFF"/>
          <w:left w:val="single" w:sz="4" w:space="0" w:color="FFFFFF"/>
          <w:bottom w:val="double" w:sz="4" w:space="0" w:color="000000"/>
          <w:right w:val="single" w:sz="4" w:space="0" w:color="FFFFFF"/>
          <w:insideV w:val="single" w:sz="4" w:space="0" w:color="FFFFFF"/>
        </w:tblBorders>
        <w:tblLook w:val="00BF" w:firstRow="1" w:lastRow="0" w:firstColumn="1" w:lastColumn="0" w:noHBand="0" w:noVBand="0"/>
      </w:tblPr>
      <w:tblGrid>
        <w:gridCol w:w="9558"/>
      </w:tblGrid>
      <w:tr w:rsidR="00A226B1" w:rsidRPr="00864D5B" w14:paraId="4E28CF16" w14:textId="77777777">
        <w:tc>
          <w:tcPr>
            <w:tcW w:w="9558" w:type="dxa"/>
          </w:tcPr>
          <w:p w14:paraId="2A5D08D6" w14:textId="77777777" w:rsidR="00A226B1" w:rsidRPr="00864D5B" w:rsidRDefault="00D231F5" w:rsidP="00DA05F6">
            <w:pPr>
              <w:rPr>
                <w:sz w:val="22"/>
                <w:szCs w:val="22"/>
              </w:rPr>
            </w:pPr>
            <w:r w:rsidRPr="00864D5B">
              <w:rPr>
                <w:b/>
                <w:sz w:val="22"/>
                <w:szCs w:val="22"/>
              </w:rPr>
              <w:t>Hobbies</w:t>
            </w:r>
            <w:r w:rsidR="00DA05F6" w:rsidRPr="00864D5B">
              <w:rPr>
                <w:b/>
                <w:sz w:val="22"/>
                <w:szCs w:val="22"/>
              </w:rPr>
              <w:t xml:space="preserve"> and Other Information</w:t>
            </w:r>
          </w:p>
        </w:tc>
      </w:tr>
    </w:tbl>
    <w:p w14:paraId="0E9D5490" w14:textId="77777777" w:rsidR="00A226B1" w:rsidRPr="00864D5B" w:rsidRDefault="00DA05F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864D5B">
        <w:rPr>
          <w:sz w:val="22"/>
          <w:szCs w:val="22"/>
        </w:rPr>
        <w:t>Football, Cycling, Running, Scuba Diving, Motor biking, Travelling</w:t>
      </w:r>
    </w:p>
    <w:p w14:paraId="44C1DC6C" w14:textId="77777777" w:rsidR="00DA05F6" w:rsidRPr="00DB4BD5" w:rsidRDefault="00DA05F6" w:rsidP="00DA05F6">
      <w:pPr>
        <w:numPr>
          <w:ilvl w:val="0"/>
          <w:numId w:val="1"/>
        </w:numPr>
        <w:tabs>
          <w:tab w:val="left" w:pos="-1080"/>
          <w:tab w:val="left" w:pos="-720"/>
          <w:tab w:val="left" w:pos="270"/>
          <w:tab w:val="left" w:pos="360"/>
          <w:tab w:val="num" w:pos="900"/>
          <w:tab w:val="left" w:pos="1620"/>
          <w:tab w:val="left" w:pos="19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270" w:hanging="270"/>
        <w:rPr>
          <w:sz w:val="22"/>
          <w:szCs w:val="22"/>
        </w:rPr>
      </w:pPr>
      <w:r w:rsidRPr="00DB4BD5">
        <w:rPr>
          <w:sz w:val="22"/>
          <w:szCs w:val="22"/>
        </w:rPr>
        <w:lastRenderedPageBreak/>
        <w:t>Currently holding appointment of Officer Commanding, 823 Singapore Infantry Regiment. Company achieves best score in operational evaluation test in 2015.</w:t>
      </w:r>
    </w:p>
    <w:sectPr w:rsidR="00DA05F6" w:rsidRPr="00DB4BD5">
      <w:endnotePr>
        <w:numFmt w:val="decimal"/>
      </w:endnotePr>
      <w:type w:val="continuous"/>
      <w:pgSz w:w="12240" w:h="15840"/>
      <w:pgMar w:top="576" w:right="1008" w:bottom="576" w:left="100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76DDB" w14:textId="77777777" w:rsidR="000F537D" w:rsidRDefault="000F537D">
      <w:r>
        <w:separator/>
      </w:r>
    </w:p>
  </w:endnote>
  <w:endnote w:type="continuationSeparator" w:id="0">
    <w:p w14:paraId="0AC52DF8" w14:textId="77777777" w:rsidR="000F537D" w:rsidRDefault="000F53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2A673" w14:textId="77777777" w:rsidR="000F537D" w:rsidRDefault="000F537D">
      <w:r>
        <w:separator/>
      </w:r>
    </w:p>
  </w:footnote>
  <w:footnote w:type="continuationSeparator" w:id="0">
    <w:p w14:paraId="31EF2A60" w14:textId="77777777" w:rsidR="000F537D" w:rsidRDefault="000F53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7CD53" w14:textId="3D6E8FC0" w:rsidR="00803B36" w:rsidRDefault="00803B36">
    <w:pPr>
      <w:pStyle w:val="Header"/>
      <w:jc w:val="right"/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78E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278E7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14E92"/>
    <w:multiLevelType w:val="hybridMultilevel"/>
    <w:tmpl w:val="143C9CE0"/>
    <w:lvl w:ilvl="0" w:tplc="00010409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C52BB1"/>
    <w:multiLevelType w:val="hybridMultilevel"/>
    <w:tmpl w:val="5AF024DE"/>
    <w:lvl w:ilvl="0" w:tplc="9A10BF5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826218"/>
    <w:multiLevelType w:val="hybridMultilevel"/>
    <w:tmpl w:val="1480D6AA"/>
    <w:lvl w:ilvl="0" w:tplc="00010409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F87C47"/>
    <w:multiLevelType w:val="hybridMultilevel"/>
    <w:tmpl w:val="075836E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04D4C"/>
    <w:multiLevelType w:val="hybridMultilevel"/>
    <w:tmpl w:val="63A6588E"/>
    <w:lvl w:ilvl="0" w:tplc="00010409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6B1"/>
    <w:rsid w:val="000F537D"/>
    <w:rsid w:val="0016395E"/>
    <w:rsid w:val="00175439"/>
    <w:rsid w:val="00175632"/>
    <w:rsid w:val="001F5C4E"/>
    <w:rsid w:val="00347071"/>
    <w:rsid w:val="004154C8"/>
    <w:rsid w:val="004C222D"/>
    <w:rsid w:val="005049A9"/>
    <w:rsid w:val="0057612A"/>
    <w:rsid w:val="005C3037"/>
    <w:rsid w:val="005E4E14"/>
    <w:rsid w:val="006137A7"/>
    <w:rsid w:val="00803B36"/>
    <w:rsid w:val="00864D5B"/>
    <w:rsid w:val="0088123D"/>
    <w:rsid w:val="00945466"/>
    <w:rsid w:val="009C6580"/>
    <w:rsid w:val="00A226B1"/>
    <w:rsid w:val="00AE4E47"/>
    <w:rsid w:val="00BB4677"/>
    <w:rsid w:val="00BE478C"/>
    <w:rsid w:val="00C34B34"/>
    <w:rsid w:val="00CD4B65"/>
    <w:rsid w:val="00D231F5"/>
    <w:rsid w:val="00DA05F6"/>
    <w:rsid w:val="00DB4BD5"/>
    <w:rsid w:val="00E0598C"/>
    <w:rsid w:val="00E278E7"/>
    <w:rsid w:val="00E32C50"/>
    <w:rsid w:val="00EC0368"/>
    <w:rsid w:val="00FE06B5"/>
    <w:rsid w:val="00FF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70950"/>
  <w15:chartTrackingRefBased/>
  <w15:docId w15:val="{F5081605-17EC-6740-BFBA-544AF11F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Quick">
    <w:name w:val="Quick •"/>
    <w:rPr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C0368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en-US" w:eastAsia="en-US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Jeremy NG Qwee Lian</vt:lpstr>
    </vt:vector>
  </TitlesOfParts>
  <Company>Citco</Company>
  <LinksUpToDate>false</LinksUpToDate>
  <CharactersWithSpaces>3573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Jeremy NG Qwee Lian</dc:title>
  <dc:subject/>
  <dc:creator>Jean</dc:creator>
  <cp:keywords/>
  <cp:lastModifiedBy>Jun Wei</cp:lastModifiedBy>
  <cp:revision>10</cp:revision>
  <cp:lastPrinted>2007-03-06T01:47:00Z</cp:lastPrinted>
  <dcterms:created xsi:type="dcterms:W3CDTF">2017-09-07T02:51:00Z</dcterms:created>
  <dcterms:modified xsi:type="dcterms:W3CDTF">2017-09-07T02:56:00Z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1207380209</vt:i4>
  </property>
  <property fmtid="{D5CDD505-2E9C-101B-9397-08002B2CF9AE}" pid="3" name="_NewReviewCycle">
    <vt:lpwstr/>
  </property>
  <property fmtid="{D5CDD505-2E9C-101B-9397-08002B2CF9AE}" pid="4" name="_EmailSubject">
    <vt:lpwstr>Samples - Not for Circulation</vt:lpwstr>
  </property>
  <property fmtid="{D5CDD505-2E9C-101B-9397-08002B2CF9AE}" pid="5" name="_AuthorEmail">
    <vt:lpwstr>JWYeo@citco.com</vt:lpwstr>
  </property>
  <property fmtid="{D5CDD505-2E9C-101B-9397-08002B2CF9AE}" pid="6" name="_AuthorEmailDisplayName">
    <vt:lpwstr>Yeo, Jun Wei    (Citco)</vt:lpwstr>
  </property>
  <property fmtid="{D5CDD505-2E9C-101B-9397-08002B2CF9AE}" pid="7" name="_ReviewingToolsShownOnce">
    <vt:lpwstr/>
  </property>
</Properties>
</file>