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5CC51" w14:textId="66E34C40" w:rsidR="004B5CEB" w:rsidRPr="00651F2E" w:rsidRDefault="006E7341" w:rsidP="00A8324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Arial"/>
          <w:sz w:val="24"/>
          <w:szCs w:val="24"/>
        </w:rPr>
      </w:pPr>
      <w:r w:rsidRPr="00651F2E">
        <w:rPr>
          <w:rFonts w:asciiTheme="minorHAnsi" w:hAnsiTheme="minorHAnsi" w:cs="Arial"/>
          <w:b/>
          <w:bCs/>
          <w:sz w:val="24"/>
          <w:szCs w:val="24"/>
        </w:rPr>
        <w:t>FU CHUANJIE</w:t>
      </w:r>
      <w:r w:rsidR="00CF35EE" w:rsidRPr="00651F2E">
        <w:rPr>
          <w:rFonts w:asciiTheme="minorHAnsi" w:hAnsiTheme="minorHAnsi" w:cs="Arial"/>
          <w:b/>
          <w:bCs/>
          <w:sz w:val="24"/>
          <w:szCs w:val="24"/>
        </w:rPr>
        <w:t>, CFA, CA</w:t>
      </w:r>
    </w:p>
    <w:tbl>
      <w:tblPr>
        <w:tblW w:w="0" w:type="auto"/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969"/>
        <w:gridCol w:w="3237"/>
      </w:tblGrid>
      <w:tr w:rsidR="0063546B" w:rsidRPr="00651F2E" w14:paraId="3216E6E8" w14:textId="77777777" w:rsidTr="00651F2E">
        <w:tc>
          <w:tcPr>
            <w:tcW w:w="3261" w:type="dxa"/>
            <w:vAlign w:val="center"/>
          </w:tcPr>
          <w:p w14:paraId="039C1E10" w14:textId="7328247B" w:rsidR="0063546B" w:rsidRPr="00651F2E" w:rsidRDefault="0063546B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i/>
                <w:sz w:val="20"/>
                <w:szCs w:val="20"/>
              </w:rPr>
            </w:pPr>
            <w:r w:rsidRPr="00651F2E">
              <w:rPr>
                <w:rFonts w:asciiTheme="minorHAnsi" w:hAnsiTheme="minorHAnsi" w:cs="Arial"/>
                <w:bCs/>
                <w:i/>
                <w:sz w:val="20"/>
                <w:szCs w:val="20"/>
              </w:rPr>
              <w:t>fu.chuanjie@gmail.com</w:t>
            </w:r>
          </w:p>
        </w:tc>
        <w:tc>
          <w:tcPr>
            <w:tcW w:w="3969" w:type="dxa"/>
          </w:tcPr>
          <w:p w14:paraId="07A0B0AC" w14:textId="383D08EF" w:rsidR="0063546B" w:rsidRPr="00651F2E" w:rsidRDefault="00D45806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i/>
                <w:sz w:val="20"/>
                <w:szCs w:val="20"/>
              </w:rPr>
              <w:t>37 Punggol Field, #02-35, Singapore 828809</w:t>
            </w:r>
          </w:p>
        </w:tc>
        <w:tc>
          <w:tcPr>
            <w:tcW w:w="3237" w:type="dxa"/>
            <w:vAlign w:val="center"/>
          </w:tcPr>
          <w:p w14:paraId="29621045" w14:textId="65018D90" w:rsidR="0063546B" w:rsidRPr="00651F2E" w:rsidRDefault="0063546B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 w:cs="Arial"/>
                <w:i/>
                <w:sz w:val="20"/>
                <w:szCs w:val="20"/>
              </w:rPr>
            </w:pPr>
            <w:r w:rsidRPr="00651F2E">
              <w:rPr>
                <w:rFonts w:asciiTheme="minorHAnsi" w:hAnsiTheme="minorHAnsi" w:cs="Arial"/>
                <w:i/>
                <w:sz w:val="20"/>
                <w:szCs w:val="20"/>
              </w:rPr>
              <w:t>+65-90231680</w:t>
            </w:r>
          </w:p>
        </w:tc>
      </w:tr>
    </w:tbl>
    <w:p w14:paraId="33A522D5" w14:textId="514489A6" w:rsidR="004B5CEB" w:rsidRPr="00651F2E" w:rsidRDefault="006E7341" w:rsidP="00A83246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sz w:val="20"/>
          <w:szCs w:val="20"/>
        </w:rPr>
      </w:pPr>
      <w:r w:rsidRPr="00651F2E">
        <w:rPr>
          <w:rFonts w:asciiTheme="minorHAnsi" w:hAnsiTheme="minorHAnsi" w:cs="Arial"/>
          <w:b/>
          <w:sz w:val="20"/>
          <w:szCs w:val="20"/>
        </w:rPr>
        <w:t>PROFESSIONAL PROFILE</w:t>
      </w:r>
    </w:p>
    <w:p w14:paraId="613602F8" w14:textId="7CA06827" w:rsidR="00090599" w:rsidRPr="00651F2E" w:rsidRDefault="005143DE" w:rsidP="00A832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20"/>
          <w:szCs w:val="20"/>
          <w:lang w:val="en-GB"/>
        </w:rPr>
      </w:pPr>
      <w:r w:rsidRPr="00651F2E">
        <w:rPr>
          <w:rFonts w:asciiTheme="minorHAnsi" w:hAnsiTheme="minorHAnsi" w:cs="Arial"/>
          <w:sz w:val="20"/>
          <w:szCs w:val="20"/>
        </w:rPr>
        <w:t xml:space="preserve">A dedicated </w:t>
      </w:r>
      <w:r w:rsidR="00090599" w:rsidRPr="00651F2E">
        <w:rPr>
          <w:rFonts w:asciiTheme="minorHAnsi" w:hAnsiTheme="minorHAnsi" w:cs="Arial"/>
          <w:sz w:val="20"/>
          <w:szCs w:val="20"/>
        </w:rPr>
        <w:t>professional holding both C</w:t>
      </w:r>
      <w:r w:rsidR="00273E46">
        <w:rPr>
          <w:rFonts w:asciiTheme="minorHAnsi" w:hAnsiTheme="minorHAnsi" w:cs="Arial"/>
          <w:sz w:val="20"/>
          <w:szCs w:val="20"/>
        </w:rPr>
        <w:t>FA and C</w:t>
      </w:r>
      <w:r w:rsidR="00C85141">
        <w:rPr>
          <w:rFonts w:asciiTheme="minorHAnsi" w:hAnsiTheme="minorHAnsi" w:cs="Arial"/>
          <w:sz w:val="20"/>
          <w:szCs w:val="20"/>
        </w:rPr>
        <w:t>A qualifications</w:t>
      </w:r>
      <w:r w:rsidR="0072656E" w:rsidRPr="0072656E">
        <w:rPr>
          <w:rFonts w:asciiTheme="minorHAnsi" w:hAnsiTheme="minorHAnsi" w:cs="Arial"/>
          <w:sz w:val="20"/>
          <w:szCs w:val="20"/>
        </w:rPr>
        <w:t xml:space="preserve"> </w:t>
      </w:r>
      <w:r w:rsidR="0072656E" w:rsidRPr="00651F2E">
        <w:rPr>
          <w:rFonts w:asciiTheme="minorHAnsi" w:hAnsiTheme="minorHAnsi" w:cs="Arial"/>
          <w:sz w:val="20"/>
          <w:szCs w:val="20"/>
        </w:rPr>
        <w:t xml:space="preserve">with </w:t>
      </w:r>
      <w:r w:rsidR="00C85141">
        <w:rPr>
          <w:rFonts w:asciiTheme="minorHAnsi" w:hAnsiTheme="minorHAnsi" w:cs="Arial"/>
          <w:sz w:val="20"/>
          <w:szCs w:val="20"/>
        </w:rPr>
        <w:t xml:space="preserve">a </w:t>
      </w:r>
      <w:r w:rsidRPr="00651F2E">
        <w:rPr>
          <w:rFonts w:asciiTheme="minorHAnsi" w:hAnsiTheme="minorHAnsi" w:cs="Arial"/>
          <w:sz w:val="20"/>
          <w:szCs w:val="20"/>
          <w:lang w:val="en-GB"/>
        </w:rPr>
        <w:t xml:space="preserve">wide-ranging </w:t>
      </w:r>
      <w:r w:rsidR="00C85141">
        <w:rPr>
          <w:rFonts w:asciiTheme="minorHAnsi" w:hAnsiTheme="minorHAnsi" w:cs="Arial"/>
          <w:sz w:val="20"/>
          <w:szCs w:val="20"/>
          <w:lang w:val="en-GB"/>
        </w:rPr>
        <w:t>skillset</w:t>
      </w:r>
      <w:r w:rsidR="008117E6">
        <w:rPr>
          <w:rFonts w:asciiTheme="minorHAnsi" w:hAnsiTheme="minorHAnsi" w:cs="Arial"/>
          <w:sz w:val="20"/>
          <w:szCs w:val="20"/>
          <w:lang w:val="en-GB"/>
        </w:rPr>
        <w:t xml:space="preserve"> </w:t>
      </w:r>
      <w:r w:rsidR="00C85141">
        <w:rPr>
          <w:rFonts w:asciiTheme="minorHAnsi" w:hAnsiTheme="minorHAnsi" w:cs="Arial"/>
          <w:sz w:val="20"/>
          <w:szCs w:val="20"/>
          <w:lang w:val="en-GB"/>
        </w:rPr>
        <w:t>that</w:t>
      </w:r>
      <w:r w:rsidR="00352A00">
        <w:rPr>
          <w:rFonts w:asciiTheme="minorHAnsi" w:hAnsiTheme="minorHAnsi" w:cs="Arial"/>
          <w:sz w:val="20"/>
          <w:szCs w:val="20"/>
          <w:lang w:val="en-GB"/>
        </w:rPr>
        <w:t xml:space="preserve"> include</w:t>
      </w:r>
      <w:r w:rsidR="00C85141">
        <w:rPr>
          <w:rFonts w:asciiTheme="minorHAnsi" w:hAnsiTheme="minorHAnsi" w:cs="Arial"/>
          <w:sz w:val="20"/>
          <w:szCs w:val="20"/>
          <w:lang w:val="en-GB"/>
        </w:rPr>
        <w:t>s</w:t>
      </w:r>
      <w:r w:rsidR="00352A00">
        <w:rPr>
          <w:rFonts w:asciiTheme="minorHAnsi" w:hAnsiTheme="minorHAnsi" w:cs="Arial"/>
          <w:sz w:val="20"/>
          <w:szCs w:val="20"/>
          <w:lang w:val="en-GB"/>
        </w:rPr>
        <w:t xml:space="preserve"> </w:t>
      </w:r>
      <w:r w:rsidR="00740DEC">
        <w:rPr>
          <w:rFonts w:asciiTheme="minorHAnsi" w:hAnsiTheme="minorHAnsi" w:cs="Arial"/>
          <w:sz w:val="20"/>
          <w:szCs w:val="20"/>
          <w:lang w:val="en-GB"/>
        </w:rPr>
        <w:t xml:space="preserve">financial analysis, </w:t>
      </w:r>
      <w:r w:rsidR="0072656E">
        <w:rPr>
          <w:rFonts w:asciiTheme="minorHAnsi" w:hAnsiTheme="minorHAnsi" w:cs="Arial"/>
          <w:sz w:val="20"/>
          <w:szCs w:val="20"/>
          <w:lang w:val="en-GB"/>
        </w:rPr>
        <w:t>financial modelling and building projection models</w:t>
      </w:r>
      <w:r w:rsidR="0009624E">
        <w:rPr>
          <w:rFonts w:asciiTheme="minorHAnsi" w:hAnsiTheme="minorHAnsi" w:cs="Arial"/>
          <w:sz w:val="20"/>
          <w:szCs w:val="20"/>
          <w:lang w:val="en-GB"/>
        </w:rPr>
        <w:t xml:space="preserve">. </w:t>
      </w:r>
      <w:r w:rsidR="00C85141">
        <w:rPr>
          <w:rFonts w:asciiTheme="minorHAnsi" w:hAnsiTheme="minorHAnsi" w:cs="Arial"/>
          <w:sz w:val="20"/>
          <w:szCs w:val="20"/>
          <w:lang w:val="en-GB"/>
        </w:rPr>
        <w:t xml:space="preserve">Possesses over 9 years of experience in financial modelling, </w:t>
      </w:r>
      <w:r w:rsidR="0009624E">
        <w:rPr>
          <w:rFonts w:asciiTheme="minorHAnsi" w:hAnsiTheme="minorHAnsi" w:cs="Arial"/>
          <w:sz w:val="20"/>
          <w:szCs w:val="20"/>
          <w:lang w:val="en-GB"/>
        </w:rPr>
        <w:t xml:space="preserve">bid evaluations, </w:t>
      </w:r>
      <w:r w:rsidR="0072656E">
        <w:rPr>
          <w:rFonts w:asciiTheme="minorHAnsi" w:hAnsiTheme="minorHAnsi" w:cs="Arial"/>
          <w:sz w:val="20"/>
          <w:szCs w:val="20"/>
          <w:lang w:val="en-GB"/>
        </w:rPr>
        <w:t xml:space="preserve">financial due diligence, </w:t>
      </w:r>
      <w:r w:rsidR="00A5467E">
        <w:rPr>
          <w:rFonts w:asciiTheme="minorHAnsi" w:hAnsiTheme="minorHAnsi" w:cs="Arial"/>
          <w:sz w:val="20"/>
          <w:szCs w:val="20"/>
          <w:lang w:val="en-GB"/>
        </w:rPr>
        <w:t xml:space="preserve">management accounting, </w:t>
      </w:r>
      <w:r w:rsidR="0072656E">
        <w:rPr>
          <w:rFonts w:asciiTheme="minorHAnsi" w:hAnsiTheme="minorHAnsi" w:cs="Arial"/>
          <w:sz w:val="20"/>
          <w:szCs w:val="20"/>
          <w:lang w:val="en-GB"/>
        </w:rPr>
        <w:t>audit</w:t>
      </w:r>
      <w:r w:rsidR="00C85141">
        <w:rPr>
          <w:rFonts w:asciiTheme="minorHAnsi" w:hAnsiTheme="minorHAnsi" w:cs="Arial"/>
          <w:sz w:val="20"/>
          <w:szCs w:val="20"/>
          <w:lang w:val="en-GB"/>
        </w:rPr>
        <w:t xml:space="preserve">, IPO valuations, financial reporting valuations, project finance and simulation modelling </w:t>
      </w:r>
      <w:r w:rsidR="0072656E">
        <w:rPr>
          <w:rFonts w:asciiTheme="minorHAnsi" w:hAnsiTheme="minorHAnsi" w:cs="Arial"/>
          <w:sz w:val="20"/>
          <w:szCs w:val="20"/>
          <w:lang w:val="en-GB"/>
        </w:rPr>
        <w:t>projects</w:t>
      </w:r>
      <w:r w:rsidR="00686A17">
        <w:rPr>
          <w:rFonts w:asciiTheme="minorHAnsi" w:hAnsiTheme="minorHAnsi" w:cs="Arial"/>
          <w:sz w:val="20"/>
          <w:szCs w:val="20"/>
          <w:lang w:val="en-GB"/>
        </w:rPr>
        <w:t>.</w:t>
      </w:r>
      <w:r w:rsidR="00090599" w:rsidRPr="00651F2E">
        <w:rPr>
          <w:rFonts w:asciiTheme="minorHAnsi" w:hAnsiTheme="minorHAnsi" w:cs="Arial"/>
          <w:sz w:val="20"/>
          <w:szCs w:val="20"/>
          <w:lang w:val="en-GB"/>
        </w:rPr>
        <w:t xml:space="preserve"> Dynamic and adaptable</w:t>
      </w:r>
      <w:r w:rsidRPr="00651F2E">
        <w:rPr>
          <w:rFonts w:asciiTheme="minorHAnsi" w:hAnsiTheme="minorHAnsi" w:cs="Arial"/>
          <w:sz w:val="20"/>
          <w:szCs w:val="20"/>
          <w:lang w:val="en-GB"/>
        </w:rPr>
        <w:t xml:space="preserve">, with </w:t>
      </w:r>
      <w:r w:rsidR="00416ADE">
        <w:rPr>
          <w:rFonts w:asciiTheme="minorHAnsi" w:hAnsiTheme="minorHAnsi" w:cs="Arial"/>
          <w:sz w:val="20"/>
          <w:szCs w:val="20"/>
          <w:lang w:val="en-GB"/>
        </w:rPr>
        <w:t>the ability to leverage on</w:t>
      </w:r>
      <w:r w:rsidRPr="00651F2E">
        <w:rPr>
          <w:rFonts w:asciiTheme="minorHAnsi" w:hAnsiTheme="minorHAnsi" w:cs="Arial"/>
          <w:sz w:val="20"/>
          <w:szCs w:val="20"/>
          <w:lang w:val="en-GB"/>
        </w:rPr>
        <w:t xml:space="preserve"> technical </w:t>
      </w:r>
      <w:r w:rsidR="00583F72">
        <w:rPr>
          <w:rFonts w:asciiTheme="minorHAnsi" w:hAnsiTheme="minorHAnsi" w:cs="Arial"/>
          <w:sz w:val="20"/>
          <w:szCs w:val="20"/>
          <w:lang w:val="en-GB"/>
        </w:rPr>
        <w:t>proficiency in</w:t>
      </w:r>
      <w:r w:rsidRPr="00651F2E">
        <w:rPr>
          <w:rFonts w:asciiTheme="minorHAnsi" w:hAnsiTheme="minorHAnsi" w:cs="Arial"/>
          <w:sz w:val="20"/>
          <w:szCs w:val="20"/>
          <w:lang w:val="en-GB"/>
        </w:rPr>
        <w:t xml:space="preserve"> VBA </w:t>
      </w:r>
      <w:r w:rsidR="00416ADE">
        <w:rPr>
          <w:rFonts w:asciiTheme="minorHAnsi" w:hAnsiTheme="minorHAnsi" w:cs="Arial"/>
          <w:sz w:val="20"/>
          <w:szCs w:val="20"/>
          <w:lang w:val="en-GB"/>
        </w:rPr>
        <w:t>to overcome financial</w:t>
      </w:r>
      <w:r w:rsidRPr="00651F2E">
        <w:rPr>
          <w:rFonts w:asciiTheme="minorHAnsi" w:hAnsiTheme="minorHAnsi" w:cs="Arial"/>
          <w:sz w:val="20"/>
          <w:szCs w:val="20"/>
          <w:lang w:val="en-GB"/>
        </w:rPr>
        <w:t xml:space="preserve"> </w:t>
      </w:r>
      <w:r w:rsidR="008117E6">
        <w:rPr>
          <w:rFonts w:asciiTheme="minorHAnsi" w:hAnsiTheme="minorHAnsi" w:cs="Arial"/>
          <w:sz w:val="20"/>
          <w:szCs w:val="20"/>
          <w:lang w:val="en-GB"/>
        </w:rPr>
        <w:t xml:space="preserve">modelling </w:t>
      </w:r>
      <w:r w:rsidR="00A5467E">
        <w:rPr>
          <w:rFonts w:asciiTheme="minorHAnsi" w:hAnsiTheme="minorHAnsi" w:cs="Arial"/>
          <w:sz w:val="20"/>
          <w:szCs w:val="20"/>
          <w:lang w:val="en-GB"/>
        </w:rPr>
        <w:t>challenges. Knowledgeable in data visualization software (i.e. Spotfire and Tableau) for constr</w:t>
      </w:r>
      <w:r w:rsidR="000D0AB5">
        <w:rPr>
          <w:rFonts w:asciiTheme="minorHAnsi" w:hAnsiTheme="minorHAnsi" w:cs="Arial"/>
          <w:sz w:val="20"/>
          <w:szCs w:val="20"/>
          <w:lang w:val="en-GB"/>
        </w:rPr>
        <w:t>ucting dashboards</w:t>
      </w:r>
      <w:r w:rsidR="00A5467E">
        <w:rPr>
          <w:rFonts w:asciiTheme="minorHAnsi" w:hAnsiTheme="minorHAnsi" w:cs="Arial"/>
          <w:sz w:val="20"/>
          <w:szCs w:val="20"/>
          <w:lang w:val="en-GB"/>
        </w:rPr>
        <w:t>.</w:t>
      </w:r>
      <w:r w:rsidR="000D0AB5">
        <w:rPr>
          <w:rFonts w:asciiTheme="minorHAnsi" w:hAnsiTheme="minorHAnsi" w:cs="Arial"/>
          <w:sz w:val="20"/>
          <w:szCs w:val="20"/>
          <w:lang w:val="en-GB"/>
        </w:rPr>
        <w:t xml:space="preserve"> Proficient in the usage of Python and Alteryx for data extraction and data wrangling.</w:t>
      </w:r>
    </w:p>
    <w:p w14:paraId="4DE000DD" w14:textId="77777777" w:rsidR="00A83246" w:rsidRDefault="00A83246" w:rsidP="00A83246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sz w:val="20"/>
          <w:szCs w:val="20"/>
        </w:rPr>
      </w:pPr>
    </w:p>
    <w:p w14:paraId="701CC9C5" w14:textId="7C9CBC5E" w:rsidR="00216AD7" w:rsidRPr="00651F2E" w:rsidRDefault="006E7341" w:rsidP="00A83246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sz w:val="20"/>
          <w:szCs w:val="20"/>
        </w:rPr>
      </w:pPr>
      <w:r w:rsidRPr="00651F2E">
        <w:rPr>
          <w:rFonts w:asciiTheme="minorHAnsi" w:hAnsiTheme="minorHAnsi" w:cs="Arial"/>
          <w:b/>
          <w:sz w:val="20"/>
          <w:szCs w:val="20"/>
        </w:rPr>
        <w:t>CAREER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3"/>
        <w:gridCol w:w="8214"/>
      </w:tblGrid>
      <w:tr w:rsidR="00216AD7" w:rsidRPr="00651F2E" w14:paraId="4436294E" w14:textId="77777777" w:rsidTr="006E7341">
        <w:tc>
          <w:tcPr>
            <w:tcW w:w="2268" w:type="dxa"/>
          </w:tcPr>
          <w:p w14:paraId="1B757711" w14:textId="77777777" w:rsidR="00216AD7" w:rsidRPr="00651F2E" w:rsidRDefault="00216AD7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651F2E">
              <w:rPr>
                <w:rFonts w:asciiTheme="minorHAnsi" w:hAnsiTheme="minorHAnsi" w:cs="Arial"/>
                <w:b/>
                <w:sz w:val="20"/>
                <w:szCs w:val="20"/>
              </w:rPr>
              <w:t>2012 - Present</w:t>
            </w:r>
          </w:p>
        </w:tc>
        <w:tc>
          <w:tcPr>
            <w:tcW w:w="8280" w:type="dxa"/>
          </w:tcPr>
          <w:p w14:paraId="04657B41" w14:textId="37CB799B" w:rsidR="00216AD7" w:rsidRPr="00651F2E" w:rsidRDefault="002B163F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SENIOR MANAGER</w:t>
            </w:r>
            <w:r w:rsidR="00216AD7" w:rsidRPr="00651F2E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</w:p>
        </w:tc>
      </w:tr>
      <w:tr w:rsidR="008C65A9" w:rsidRPr="00651F2E" w14:paraId="10ED5CFE" w14:textId="77777777" w:rsidTr="006E7341">
        <w:tc>
          <w:tcPr>
            <w:tcW w:w="2268" w:type="dxa"/>
          </w:tcPr>
          <w:p w14:paraId="6CDB741E" w14:textId="77777777" w:rsidR="008C65A9" w:rsidRPr="00651F2E" w:rsidRDefault="008C65A9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8280" w:type="dxa"/>
          </w:tcPr>
          <w:p w14:paraId="3A029A7C" w14:textId="5900EDC6" w:rsidR="008C65A9" w:rsidRPr="00651F2E" w:rsidRDefault="008C65A9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651F2E">
              <w:rPr>
                <w:rFonts w:asciiTheme="minorHAnsi" w:hAnsiTheme="minorHAnsi" w:cs="Arial"/>
                <w:b/>
                <w:sz w:val="20"/>
                <w:szCs w:val="20"/>
              </w:rPr>
              <w:t>Valuation and Business Mode</w:t>
            </w:r>
            <w:r w:rsidR="00942A44">
              <w:rPr>
                <w:rFonts w:asciiTheme="minorHAnsi" w:hAnsiTheme="minorHAnsi" w:cs="Arial"/>
                <w:b/>
                <w:sz w:val="20"/>
                <w:szCs w:val="20"/>
              </w:rPr>
              <w:t>l</w:t>
            </w:r>
            <w:r w:rsidRPr="00651F2E">
              <w:rPr>
                <w:rFonts w:asciiTheme="minorHAnsi" w:hAnsiTheme="minorHAnsi" w:cs="Arial"/>
                <w:b/>
                <w:sz w:val="20"/>
                <w:szCs w:val="20"/>
              </w:rPr>
              <w:t>ling, Ernst &amp; Young Solutions LLP, Singapore</w:t>
            </w:r>
          </w:p>
        </w:tc>
      </w:tr>
    </w:tbl>
    <w:p w14:paraId="7D153CDC" w14:textId="7F250B3F" w:rsidR="004B5CEB" w:rsidRDefault="00216AD7" w:rsidP="00A8324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97" w:hanging="397"/>
        <w:jc w:val="both"/>
        <w:rPr>
          <w:rFonts w:asciiTheme="minorHAnsi" w:hAnsiTheme="minorHAnsi" w:cs="Arial"/>
          <w:sz w:val="20"/>
          <w:szCs w:val="20"/>
        </w:rPr>
      </w:pPr>
      <w:r w:rsidRPr="00651F2E">
        <w:rPr>
          <w:rFonts w:asciiTheme="minorHAnsi" w:hAnsiTheme="minorHAnsi" w:cs="Arial"/>
          <w:sz w:val="20"/>
          <w:szCs w:val="20"/>
        </w:rPr>
        <w:t xml:space="preserve">Building and supporting complex </w:t>
      </w:r>
      <w:r w:rsidR="00E45B50">
        <w:rPr>
          <w:rFonts w:asciiTheme="minorHAnsi" w:hAnsiTheme="minorHAnsi" w:cs="Arial"/>
          <w:sz w:val="20"/>
          <w:szCs w:val="20"/>
        </w:rPr>
        <w:t xml:space="preserve">financial </w:t>
      </w:r>
      <w:r w:rsidRPr="00651F2E">
        <w:rPr>
          <w:rFonts w:asciiTheme="minorHAnsi" w:hAnsiTheme="minorHAnsi" w:cs="Arial"/>
          <w:sz w:val="20"/>
          <w:szCs w:val="20"/>
        </w:rPr>
        <w:t>models</w:t>
      </w:r>
      <w:r w:rsidR="008C65A9" w:rsidRPr="00651F2E">
        <w:rPr>
          <w:rFonts w:asciiTheme="minorHAnsi" w:hAnsiTheme="minorHAnsi" w:cs="Arial"/>
          <w:sz w:val="20"/>
          <w:szCs w:val="20"/>
        </w:rPr>
        <w:t xml:space="preserve"> for</w:t>
      </w:r>
      <w:r w:rsidR="008117E6">
        <w:rPr>
          <w:rFonts w:asciiTheme="minorHAnsi" w:hAnsiTheme="minorHAnsi" w:cs="Arial"/>
          <w:sz w:val="20"/>
          <w:szCs w:val="20"/>
        </w:rPr>
        <w:t xml:space="preserve"> valuation, project financing</w:t>
      </w:r>
      <w:r w:rsidR="007B10F1">
        <w:rPr>
          <w:rFonts w:asciiTheme="minorHAnsi" w:hAnsiTheme="minorHAnsi" w:cs="Arial"/>
          <w:sz w:val="20"/>
          <w:szCs w:val="20"/>
        </w:rPr>
        <w:t>,</w:t>
      </w:r>
      <w:r w:rsidR="00E45B50">
        <w:rPr>
          <w:rFonts w:asciiTheme="minorHAnsi" w:hAnsiTheme="minorHAnsi" w:cs="Arial"/>
          <w:sz w:val="20"/>
          <w:szCs w:val="20"/>
        </w:rPr>
        <w:t xml:space="preserve"> financial projections</w:t>
      </w:r>
      <w:r w:rsidR="008117E6">
        <w:rPr>
          <w:rFonts w:asciiTheme="minorHAnsi" w:hAnsiTheme="minorHAnsi" w:cs="Arial"/>
          <w:sz w:val="20"/>
          <w:szCs w:val="20"/>
        </w:rPr>
        <w:t xml:space="preserve"> and investment evaluation</w:t>
      </w:r>
      <w:r w:rsidRPr="00651F2E">
        <w:rPr>
          <w:rFonts w:asciiTheme="minorHAnsi" w:hAnsiTheme="minorHAnsi" w:cs="Arial"/>
          <w:sz w:val="20"/>
          <w:szCs w:val="20"/>
        </w:rPr>
        <w:t xml:space="preserve"> by working actively with investors, financiers</w:t>
      </w:r>
      <w:r w:rsidR="007B10F1">
        <w:rPr>
          <w:rFonts w:asciiTheme="minorHAnsi" w:hAnsiTheme="minorHAnsi" w:cs="Arial"/>
          <w:sz w:val="20"/>
          <w:szCs w:val="20"/>
        </w:rPr>
        <w:t>, senior management</w:t>
      </w:r>
      <w:r w:rsidRPr="00651F2E">
        <w:rPr>
          <w:rFonts w:asciiTheme="minorHAnsi" w:hAnsiTheme="minorHAnsi" w:cs="Arial"/>
          <w:sz w:val="20"/>
          <w:szCs w:val="20"/>
        </w:rPr>
        <w:t xml:space="preserve"> and government regulators</w:t>
      </w:r>
    </w:p>
    <w:p w14:paraId="33036427" w14:textId="1E05D6D1" w:rsidR="00E45B50" w:rsidRPr="00E45B50" w:rsidRDefault="007B10F1" w:rsidP="00E45B5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97" w:hanging="397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Conducting financial analysis for bid evaluation</w:t>
      </w:r>
      <w:r w:rsidR="00E45B50">
        <w:rPr>
          <w:rFonts w:asciiTheme="minorHAnsi" w:hAnsiTheme="minorHAnsi" w:cs="Arial"/>
          <w:sz w:val="20"/>
          <w:szCs w:val="20"/>
        </w:rPr>
        <w:t>, valuation</w:t>
      </w:r>
      <w:r>
        <w:rPr>
          <w:rFonts w:asciiTheme="minorHAnsi" w:hAnsiTheme="minorHAnsi" w:cs="Arial"/>
          <w:sz w:val="20"/>
          <w:szCs w:val="20"/>
        </w:rPr>
        <w:t xml:space="preserve"> and investment evaluation purposes</w:t>
      </w:r>
    </w:p>
    <w:p w14:paraId="00BEBB8D" w14:textId="77777777" w:rsidR="003C7375" w:rsidRDefault="003C7375" w:rsidP="003C737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97" w:hanging="397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Performing data visualizations and other analysis on financial and operational data to identify and model data patterns</w:t>
      </w:r>
    </w:p>
    <w:p w14:paraId="106AC113" w14:textId="4F3D94C2" w:rsidR="00E45B50" w:rsidRDefault="00E45B50" w:rsidP="00A8324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97" w:hanging="397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Conducting financial reporting valuation</w:t>
      </w:r>
      <w:r w:rsidR="00CC3213">
        <w:rPr>
          <w:rFonts w:asciiTheme="minorHAnsi" w:hAnsiTheme="minorHAnsi" w:cs="Arial"/>
          <w:sz w:val="20"/>
          <w:szCs w:val="20"/>
        </w:rPr>
        <w:t xml:space="preserve"> (i.e. intangible asset valuations, purchase price allocations, etc.)</w:t>
      </w:r>
      <w:r>
        <w:rPr>
          <w:rFonts w:asciiTheme="minorHAnsi" w:hAnsiTheme="minorHAnsi" w:cs="Arial"/>
          <w:sz w:val="20"/>
          <w:szCs w:val="20"/>
        </w:rPr>
        <w:t xml:space="preserve"> and IPO valuations</w:t>
      </w:r>
    </w:p>
    <w:p w14:paraId="7172BE67" w14:textId="0E9EB5E5" w:rsidR="00E45B50" w:rsidRPr="00E45B50" w:rsidRDefault="00E45B50" w:rsidP="00E45B5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97" w:hanging="397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Engaging in business development work to external and internal clients to generate and close leads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8215"/>
      </w:tblGrid>
      <w:tr w:rsidR="0004391D" w:rsidRPr="00651F2E" w14:paraId="1243C445" w14:textId="77777777" w:rsidTr="006E7341">
        <w:tc>
          <w:tcPr>
            <w:tcW w:w="2268" w:type="dxa"/>
          </w:tcPr>
          <w:p w14:paraId="13102DEA" w14:textId="77777777" w:rsidR="00C8425F" w:rsidRPr="00651F2E" w:rsidRDefault="00C8425F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651F2E">
              <w:rPr>
                <w:rFonts w:asciiTheme="minorHAnsi" w:hAnsiTheme="minorHAnsi" w:cs="Arial"/>
                <w:b/>
                <w:sz w:val="20"/>
                <w:szCs w:val="20"/>
              </w:rPr>
              <w:t>2011-2012</w:t>
            </w:r>
          </w:p>
        </w:tc>
        <w:tc>
          <w:tcPr>
            <w:tcW w:w="8280" w:type="dxa"/>
          </w:tcPr>
          <w:p w14:paraId="6EBE36A8" w14:textId="77777777" w:rsidR="00C8425F" w:rsidRPr="00651F2E" w:rsidRDefault="009D0647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651F2E">
              <w:rPr>
                <w:rFonts w:asciiTheme="minorHAnsi" w:hAnsiTheme="minorHAnsi" w:cs="Arial"/>
                <w:b/>
                <w:sz w:val="20"/>
                <w:szCs w:val="20"/>
              </w:rPr>
              <w:t>SENIOR ASSOCIATE</w:t>
            </w:r>
          </w:p>
        </w:tc>
      </w:tr>
      <w:tr w:rsidR="00884A22" w:rsidRPr="00651F2E" w14:paraId="248EC4B3" w14:textId="77777777" w:rsidTr="006E7341">
        <w:tc>
          <w:tcPr>
            <w:tcW w:w="2268" w:type="dxa"/>
          </w:tcPr>
          <w:p w14:paraId="4CCD3AA5" w14:textId="77777777" w:rsidR="00884A22" w:rsidRPr="00651F2E" w:rsidRDefault="00884A22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8280" w:type="dxa"/>
          </w:tcPr>
          <w:p w14:paraId="784FB2E4" w14:textId="77777777" w:rsidR="00884A22" w:rsidRPr="00651F2E" w:rsidRDefault="008C65A9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651F2E">
              <w:rPr>
                <w:rFonts w:asciiTheme="minorHAnsi" w:hAnsiTheme="minorHAnsi" w:cs="Arial"/>
                <w:b/>
                <w:sz w:val="20"/>
                <w:szCs w:val="20"/>
              </w:rPr>
              <w:t>Transaction Support, Ernst &amp; Young Solutions LLP, Singapore</w:t>
            </w:r>
          </w:p>
        </w:tc>
      </w:tr>
    </w:tbl>
    <w:p w14:paraId="141CC1D9" w14:textId="4EB33C04" w:rsidR="009D0647" w:rsidRPr="00651F2E" w:rsidRDefault="00C8425F" w:rsidP="00A83246">
      <w:pPr>
        <w:pStyle w:val="NoSpacing"/>
        <w:numPr>
          <w:ilvl w:val="0"/>
          <w:numId w:val="7"/>
        </w:numPr>
        <w:ind w:left="397" w:hanging="397"/>
        <w:rPr>
          <w:rFonts w:asciiTheme="minorHAnsi" w:hAnsiTheme="minorHAnsi" w:cs="Arial"/>
          <w:sz w:val="20"/>
          <w:szCs w:val="20"/>
        </w:rPr>
      </w:pPr>
      <w:r w:rsidRPr="00651F2E">
        <w:rPr>
          <w:rFonts w:asciiTheme="minorHAnsi" w:hAnsiTheme="minorHAnsi" w:cs="Arial"/>
          <w:sz w:val="20"/>
          <w:szCs w:val="20"/>
        </w:rPr>
        <w:t>Supporting negotiation services and providing financial due diligence for</w:t>
      </w:r>
      <w:r w:rsidR="00686A17">
        <w:rPr>
          <w:rFonts w:asciiTheme="minorHAnsi" w:hAnsiTheme="minorHAnsi" w:cs="Arial"/>
          <w:sz w:val="20"/>
          <w:szCs w:val="20"/>
        </w:rPr>
        <w:t xml:space="preserve"> more than 20</w:t>
      </w:r>
      <w:r w:rsidRPr="00651F2E">
        <w:rPr>
          <w:rFonts w:asciiTheme="minorHAnsi" w:hAnsiTheme="minorHAnsi" w:cs="Arial"/>
          <w:sz w:val="20"/>
          <w:szCs w:val="20"/>
        </w:rPr>
        <w:t xml:space="preserve"> cross-border and local transa</w:t>
      </w:r>
      <w:r w:rsidR="00686A17">
        <w:rPr>
          <w:rFonts w:asciiTheme="minorHAnsi" w:hAnsiTheme="minorHAnsi" w:cs="Arial"/>
          <w:sz w:val="20"/>
          <w:szCs w:val="20"/>
        </w:rPr>
        <w:t>ction deals</w:t>
      </w:r>
      <w:r w:rsidRPr="00651F2E">
        <w:rPr>
          <w:rFonts w:asciiTheme="minorHAnsi" w:hAnsiTheme="minorHAnsi" w:cs="Arial"/>
          <w:sz w:val="20"/>
          <w:szCs w:val="20"/>
        </w:rPr>
        <w:t xml:space="preserve"> across various industries</w:t>
      </w:r>
    </w:p>
    <w:p w14:paraId="2E456BDD" w14:textId="77777777" w:rsidR="009D0647" w:rsidRPr="00651F2E" w:rsidRDefault="006352B8" w:rsidP="00A83246">
      <w:pPr>
        <w:pStyle w:val="NoSpacing"/>
        <w:numPr>
          <w:ilvl w:val="0"/>
          <w:numId w:val="7"/>
        </w:numPr>
        <w:ind w:left="397" w:hanging="397"/>
        <w:rPr>
          <w:rFonts w:asciiTheme="minorHAnsi" w:hAnsiTheme="minorHAnsi" w:cs="Arial"/>
          <w:sz w:val="20"/>
          <w:szCs w:val="20"/>
        </w:rPr>
      </w:pPr>
      <w:r w:rsidRPr="00651F2E">
        <w:rPr>
          <w:rFonts w:asciiTheme="minorHAnsi" w:hAnsiTheme="minorHAnsi" w:cs="Arial"/>
          <w:sz w:val="20"/>
          <w:szCs w:val="20"/>
        </w:rPr>
        <w:t>P</w:t>
      </w:r>
      <w:r w:rsidR="009D0647" w:rsidRPr="00651F2E">
        <w:rPr>
          <w:rFonts w:asciiTheme="minorHAnsi" w:hAnsiTheme="minorHAnsi" w:cs="Arial"/>
          <w:sz w:val="20"/>
          <w:szCs w:val="20"/>
        </w:rPr>
        <w:t>roviding financial</w:t>
      </w:r>
      <w:r w:rsidRPr="00651F2E">
        <w:rPr>
          <w:rFonts w:asciiTheme="minorHAnsi" w:hAnsiTheme="minorHAnsi" w:cs="Arial"/>
          <w:sz w:val="20"/>
          <w:szCs w:val="20"/>
        </w:rPr>
        <w:t xml:space="preserve"> due diligence</w:t>
      </w:r>
      <w:r w:rsidR="009D0647" w:rsidRPr="00651F2E">
        <w:rPr>
          <w:rFonts w:asciiTheme="minorHAnsi" w:hAnsiTheme="minorHAnsi" w:cs="Arial"/>
          <w:sz w:val="20"/>
          <w:szCs w:val="20"/>
        </w:rPr>
        <w:t xml:space="preserve"> insights</w:t>
      </w:r>
      <w:r w:rsidRPr="00651F2E">
        <w:rPr>
          <w:rFonts w:asciiTheme="minorHAnsi" w:hAnsiTheme="minorHAnsi" w:cs="Arial"/>
          <w:sz w:val="20"/>
          <w:szCs w:val="20"/>
        </w:rPr>
        <w:t xml:space="preserve"> for deal completion phase, </w:t>
      </w:r>
      <w:r w:rsidR="009D0647" w:rsidRPr="00651F2E">
        <w:rPr>
          <w:rFonts w:asciiTheme="minorHAnsi" w:hAnsiTheme="minorHAnsi" w:cs="Arial"/>
          <w:sz w:val="20"/>
          <w:szCs w:val="20"/>
        </w:rPr>
        <w:t>based on classical approach (i.e. completion accounts) and “Locked Box” approach</w:t>
      </w:r>
    </w:p>
    <w:p w14:paraId="3847C272" w14:textId="77777777" w:rsidR="000576B3" w:rsidRPr="00651F2E" w:rsidRDefault="006352B8" w:rsidP="00A83246">
      <w:pPr>
        <w:pStyle w:val="NoSpacing"/>
        <w:numPr>
          <w:ilvl w:val="0"/>
          <w:numId w:val="7"/>
        </w:numPr>
        <w:ind w:left="397" w:hanging="397"/>
        <w:rPr>
          <w:rFonts w:asciiTheme="minorHAnsi" w:hAnsiTheme="minorHAnsi" w:cs="Arial"/>
          <w:sz w:val="20"/>
          <w:szCs w:val="20"/>
        </w:rPr>
      </w:pPr>
      <w:r w:rsidRPr="00651F2E">
        <w:rPr>
          <w:rFonts w:asciiTheme="minorHAnsi" w:hAnsiTheme="minorHAnsi" w:cs="Arial"/>
          <w:sz w:val="20"/>
          <w:szCs w:val="20"/>
        </w:rPr>
        <w:t>Researching into technical accounting issues, and evaluating impact on transaction value and structuring</w:t>
      </w:r>
    </w:p>
    <w:p w14:paraId="4D04EB2D" w14:textId="49F47E6A" w:rsidR="00884A22" w:rsidRPr="00651F2E" w:rsidRDefault="000576B3" w:rsidP="00A83246">
      <w:pPr>
        <w:pStyle w:val="NoSpacing"/>
        <w:numPr>
          <w:ilvl w:val="0"/>
          <w:numId w:val="7"/>
        </w:numPr>
        <w:ind w:left="397" w:hanging="397"/>
        <w:rPr>
          <w:rFonts w:asciiTheme="minorHAnsi" w:hAnsiTheme="minorHAnsi" w:cs="Arial"/>
          <w:sz w:val="20"/>
          <w:szCs w:val="20"/>
        </w:rPr>
      </w:pPr>
      <w:r w:rsidRPr="00651F2E">
        <w:rPr>
          <w:rFonts w:asciiTheme="minorHAnsi" w:hAnsiTheme="minorHAnsi" w:cs="Arial"/>
          <w:sz w:val="20"/>
          <w:szCs w:val="20"/>
        </w:rPr>
        <w:t>Managing and preparing deliverables including Excel data book analysis, reports, presentations and discussion packs to effectively communicate financial due diligence insights</w:t>
      </w:r>
      <w:r w:rsidR="006352B8" w:rsidRPr="00651F2E">
        <w:rPr>
          <w:rFonts w:asciiTheme="minorHAnsi" w:hAnsiTheme="minorHAnsi" w:cs="Arial"/>
          <w:sz w:val="20"/>
          <w:szCs w:val="20"/>
        </w:rPr>
        <w:t xml:space="preserve"> to clients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8215"/>
      </w:tblGrid>
      <w:tr w:rsidR="00884A22" w:rsidRPr="00651F2E" w14:paraId="03597B75" w14:textId="77777777" w:rsidTr="006E7341">
        <w:tc>
          <w:tcPr>
            <w:tcW w:w="2268" w:type="dxa"/>
          </w:tcPr>
          <w:p w14:paraId="50BEF743" w14:textId="77777777" w:rsidR="00884A22" w:rsidRPr="00651F2E" w:rsidRDefault="00884A22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651F2E">
              <w:rPr>
                <w:rFonts w:asciiTheme="minorHAnsi" w:hAnsiTheme="minorHAnsi" w:cs="Arial"/>
                <w:b/>
                <w:sz w:val="20"/>
                <w:szCs w:val="20"/>
              </w:rPr>
              <w:t>2007-2010</w:t>
            </w:r>
          </w:p>
        </w:tc>
        <w:tc>
          <w:tcPr>
            <w:tcW w:w="8280" w:type="dxa"/>
          </w:tcPr>
          <w:p w14:paraId="49209DFB" w14:textId="77777777" w:rsidR="00884A22" w:rsidRPr="00651F2E" w:rsidRDefault="00884A22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651F2E">
              <w:rPr>
                <w:rFonts w:asciiTheme="minorHAnsi" w:hAnsiTheme="minorHAnsi" w:cs="Arial"/>
                <w:b/>
                <w:sz w:val="20"/>
                <w:szCs w:val="20"/>
              </w:rPr>
              <w:t xml:space="preserve">AUDIT SENIOR </w:t>
            </w:r>
          </w:p>
        </w:tc>
      </w:tr>
      <w:tr w:rsidR="008C65A9" w:rsidRPr="00651F2E" w14:paraId="56B44F59" w14:textId="77777777" w:rsidTr="006E7341">
        <w:tc>
          <w:tcPr>
            <w:tcW w:w="2268" w:type="dxa"/>
          </w:tcPr>
          <w:p w14:paraId="1AE1DFBE" w14:textId="77777777" w:rsidR="008C65A9" w:rsidRPr="00651F2E" w:rsidRDefault="008C65A9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8280" w:type="dxa"/>
          </w:tcPr>
          <w:p w14:paraId="66514441" w14:textId="77777777" w:rsidR="008C65A9" w:rsidRPr="00651F2E" w:rsidRDefault="008C65A9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651F2E">
              <w:rPr>
                <w:rFonts w:asciiTheme="minorHAnsi" w:hAnsiTheme="minorHAnsi" w:cs="Arial"/>
                <w:b/>
                <w:sz w:val="20"/>
                <w:szCs w:val="20"/>
              </w:rPr>
              <w:t>Ernst &amp; Young Solutions LLP, Singapore</w:t>
            </w:r>
          </w:p>
        </w:tc>
      </w:tr>
    </w:tbl>
    <w:p w14:paraId="31B1011C" w14:textId="77777777" w:rsidR="00BE02D7" w:rsidRDefault="00884A22" w:rsidP="00A83246">
      <w:pPr>
        <w:pStyle w:val="NoSpacing"/>
        <w:numPr>
          <w:ilvl w:val="0"/>
          <w:numId w:val="8"/>
        </w:numPr>
        <w:ind w:left="397" w:hanging="397"/>
        <w:jc w:val="both"/>
        <w:rPr>
          <w:rFonts w:asciiTheme="minorHAnsi" w:hAnsiTheme="minorHAnsi" w:cs="Arial"/>
          <w:sz w:val="20"/>
          <w:szCs w:val="20"/>
        </w:rPr>
      </w:pPr>
      <w:r w:rsidRPr="00651F2E">
        <w:rPr>
          <w:rFonts w:asciiTheme="minorHAnsi" w:hAnsiTheme="minorHAnsi" w:cs="Arial"/>
          <w:sz w:val="20"/>
          <w:szCs w:val="20"/>
        </w:rPr>
        <w:t xml:space="preserve">Auditing companies within various industries, including insurance, brokerages, manufacturing </w:t>
      </w:r>
      <w:r w:rsidR="00BE02D7">
        <w:rPr>
          <w:rFonts w:asciiTheme="minorHAnsi" w:hAnsiTheme="minorHAnsi" w:cs="Arial"/>
          <w:sz w:val="20"/>
          <w:szCs w:val="20"/>
        </w:rPr>
        <w:t>and oilfield services equipment</w:t>
      </w:r>
    </w:p>
    <w:p w14:paraId="5E54EC16" w14:textId="651A13A9" w:rsidR="00884A22" w:rsidRPr="00651F2E" w:rsidRDefault="00AF562C" w:rsidP="00A83246">
      <w:pPr>
        <w:pStyle w:val="NoSpacing"/>
        <w:numPr>
          <w:ilvl w:val="0"/>
          <w:numId w:val="8"/>
        </w:numPr>
        <w:ind w:left="397" w:hanging="397"/>
        <w:jc w:val="both"/>
        <w:rPr>
          <w:rFonts w:asciiTheme="minorHAnsi" w:hAnsiTheme="minorHAnsi" w:cs="Arial"/>
          <w:sz w:val="20"/>
          <w:szCs w:val="20"/>
        </w:rPr>
      </w:pPr>
      <w:r w:rsidRPr="00651F2E">
        <w:rPr>
          <w:rFonts w:asciiTheme="minorHAnsi" w:hAnsiTheme="minorHAnsi" w:cs="Arial"/>
          <w:sz w:val="20"/>
          <w:szCs w:val="20"/>
        </w:rPr>
        <w:t>Ascertaining that the client’s accounts are prepared in accordance with current accounting standards</w:t>
      </w:r>
    </w:p>
    <w:p w14:paraId="2EC19F69" w14:textId="74AE9316" w:rsidR="00884A22" w:rsidRPr="00651F2E" w:rsidRDefault="00884A22" w:rsidP="00A83246">
      <w:pPr>
        <w:pStyle w:val="NoSpacing"/>
        <w:numPr>
          <w:ilvl w:val="0"/>
          <w:numId w:val="8"/>
        </w:numPr>
        <w:ind w:left="397" w:hanging="397"/>
        <w:jc w:val="both"/>
        <w:rPr>
          <w:rFonts w:asciiTheme="minorHAnsi" w:hAnsiTheme="minorHAnsi" w:cs="Arial"/>
          <w:sz w:val="20"/>
          <w:szCs w:val="20"/>
        </w:rPr>
      </w:pPr>
      <w:r w:rsidRPr="00651F2E">
        <w:rPr>
          <w:rFonts w:asciiTheme="minorHAnsi" w:hAnsiTheme="minorHAnsi" w:cs="Arial"/>
          <w:sz w:val="20"/>
          <w:szCs w:val="20"/>
        </w:rPr>
        <w:t>Analyzing financial statements to pinpoint possible areas where instances of errors or fraud could occur, and designing audit procedures to expose such instances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4"/>
        <w:gridCol w:w="8233"/>
      </w:tblGrid>
      <w:tr w:rsidR="00884A22" w:rsidRPr="00651F2E" w14:paraId="4437AE9B" w14:textId="77777777" w:rsidTr="0074502E">
        <w:tc>
          <w:tcPr>
            <w:tcW w:w="2234" w:type="dxa"/>
          </w:tcPr>
          <w:p w14:paraId="550D5396" w14:textId="77777777" w:rsidR="00884A22" w:rsidRPr="00651F2E" w:rsidRDefault="00884A22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651F2E">
              <w:rPr>
                <w:rFonts w:asciiTheme="minorHAnsi" w:hAnsiTheme="minorHAnsi" w:cs="Arial"/>
                <w:b/>
                <w:sz w:val="20"/>
                <w:szCs w:val="20"/>
              </w:rPr>
              <w:t>2010-2011</w:t>
            </w:r>
          </w:p>
        </w:tc>
        <w:tc>
          <w:tcPr>
            <w:tcW w:w="8233" w:type="dxa"/>
          </w:tcPr>
          <w:p w14:paraId="7B4C9687" w14:textId="77777777" w:rsidR="00884A22" w:rsidRPr="00651F2E" w:rsidRDefault="00884A22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651F2E">
              <w:rPr>
                <w:rFonts w:asciiTheme="minorHAnsi" w:hAnsiTheme="minorHAnsi" w:cs="Arial"/>
                <w:b/>
                <w:sz w:val="20"/>
                <w:szCs w:val="20"/>
              </w:rPr>
              <w:t>REGIONAL FINANC</w:t>
            </w:r>
            <w:r w:rsidR="00AF0EEB" w:rsidRPr="00651F2E">
              <w:rPr>
                <w:rFonts w:asciiTheme="minorHAnsi" w:hAnsiTheme="minorHAnsi" w:cs="Arial"/>
                <w:b/>
                <w:sz w:val="20"/>
                <w:szCs w:val="20"/>
              </w:rPr>
              <w:t>IAL</w:t>
            </w:r>
            <w:r w:rsidRPr="00651F2E">
              <w:rPr>
                <w:rFonts w:asciiTheme="minorHAnsi" w:hAnsiTheme="minorHAnsi" w:cs="Arial"/>
                <w:b/>
                <w:sz w:val="20"/>
                <w:szCs w:val="20"/>
              </w:rPr>
              <w:t xml:space="preserve"> ANAL</w:t>
            </w:r>
            <w:r w:rsidR="00AF0EEB" w:rsidRPr="00651F2E">
              <w:rPr>
                <w:rFonts w:asciiTheme="minorHAnsi" w:hAnsiTheme="minorHAnsi" w:cs="Arial"/>
                <w:b/>
                <w:sz w:val="20"/>
                <w:szCs w:val="20"/>
              </w:rPr>
              <w:t>YS</w:t>
            </w:r>
            <w:r w:rsidRPr="00651F2E">
              <w:rPr>
                <w:rFonts w:asciiTheme="minorHAnsi" w:hAnsiTheme="minorHAnsi" w:cs="Arial"/>
                <w:b/>
                <w:sz w:val="20"/>
                <w:szCs w:val="20"/>
              </w:rPr>
              <w:t xml:space="preserve">T </w:t>
            </w:r>
          </w:p>
        </w:tc>
      </w:tr>
      <w:tr w:rsidR="00884A22" w:rsidRPr="00651F2E" w14:paraId="70DBFEED" w14:textId="77777777" w:rsidTr="0074502E">
        <w:tc>
          <w:tcPr>
            <w:tcW w:w="2234" w:type="dxa"/>
          </w:tcPr>
          <w:p w14:paraId="27324A00" w14:textId="77777777" w:rsidR="00884A22" w:rsidRPr="00651F2E" w:rsidRDefault="00884A22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8233" w:type="dxa"/>
          </w:tcPr>
          <w:p w14:paraId="4F4DA5BC" w14:textId="77777777" w:rsidR="00884A22" w:rsidRPr="00651F2E" w:rsidRDefault="00884A22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651F2E">
              <w:rPr>
                <w:rFonts w:asciiTheme="minorHAnsi" w:hAnsiTheme="minorHAnsi" w:cs="Arial"/>
                <w:b/>
                <w:sz w:val="20"/>
                <w:szCs w:val="20"/>
              </w:rPr>
              <w:t>Allianz SE Insurance Management Asia Pacific, Singapore</w:t>
            </w:r>
          </w:p>
        </w:tc>
      </w:tr>
    </w:tbl>
    <w:p w14:paraId="5CAEC491" w14:textId="77777777" w:rsidR="0074502E" w:rsidRPr="00651F2E" w:rsidRDefault="0074502E" w:rsidP="0074502E">
      <w:pPr>
        <w:pStyle w:val="NoSpacing"/>
        <w:numPr>
          <w:ilvl w:val="0"/>
          <w:numId w:val="10"/>
        </w:numPr>
        <w:ind w:left="397" w:hanging="397"/>
        <w:jc w:val="both"/>
        <w:rPr>
          <w:rFonts w:asciiTheme="minorHAnsi" w:hAnsiTheme="minorHAnsi" w:cs="Arial"/>
          <w:sz w:val="20"/>
          <w:szCs w:val="20"/>
        </w:rPr>
      </w:pPr>
      <w:r w:rsidRPr="00651F2E">
        <w:rPr>
          <w:rFonts w:asciiTheme="minorHAnsi" w:hAnsiTheme="minorHAnsi" w:cs="Arial"/>
          <w:sz w:val="20"/>
          <w:szCs w:val="20"/>
        </w:rPr>
        <w:t xml:space="preserve">Preparing PowerPoint presentations for senior management on the region’s financial performance </w:t>
      </w:r>
    </w:p>
    <w:p w14:paraId="37B7D734" w14:textId="77777777" w:rsidR="0074502E" w:rsidRDefault="0074502E" w:rsidP="0074502E">
      <w:pPr>
        <w:pStyle w:val="NoSpacing"/>
        <w:numPr>
          <w:ilvl w:val="0"/>
          <w:numId w:val="10"/>
        </w:numPr>
        <w:ind w:left="397" w:hanging="397"/>
        <w:jc w:val="both"/>
        <w:rPr>
          <w:rFonts w:asciiTheme="minorHAnsi" w:hAnsiTheme="minorHAnsi" w:cs="Arial"/>
          <w:sz w:val="20"/>
          <w:szCs w:val="20"/>
        </w:rPr>
      </w:pPr>
      <w:r w:rsidRPr="00651F2E">
        <w:rPr>
          <w:rFonts w:asciiTheme="minorHAnsi" w:hAnsiTheme="minorHAnsi" w:cs="Arial"/>
          <w:sz w:val="20"/>
          <w:szCs w:val="20"/>
        </w:rPr>
        <w:t>Assessing that the operating entities’ accounting policies comply with IFRS accounting standards</w:t>
      </w:r>
      <w:r w:rsidRPr="0074502E">
        <w:rPr>
          <w:rFonts w:asciiTheme="minorHAnsi" w:hAnsiTheme="minorHAnsi" w:cs="Arial"/>
          <w:sz w:val="20"/>
          <w:szCs w:val="20"/>
        </w:rPr>
        <w:t xml:space="preserve"> </w:t>
      </w:r>
    </w:p>
    <w:p w14:paraId="36B67322" w14:textId="1CA508A5" w:rsidR="00884A22" w:rsidRPr="00651F2E" w:rsidRDefault="00884A22" w:rsidP="00A83246">
      <w:pPr>
        <w:pStyle w:val="NoSpacing"/>
        <w:numPr>
          <w:ilvl w:val="0"/>
          <w:numId w:val="10"/>
        </w:numPr>
        <w:ind w:left="397" w:hanging="397"/>
        <w:jc w:val="both"/>
        <w:rPr>
          <w:rFonts w:asciiTheme="minorHAnsi" w:hAnsiTheme="minorHAnsi" w:cs="Arial"/>
          <w:sz w:val="20"/>
          <w:szCs w:val="20"/>
        </w:rPr>
      </w:pPr>
      <w:r w:rsidRPr="00651F2E">
        <w:rPr>
          <w:rFonts w:asciiTheme="minorHAnsi" w:hAnsiTheme="minorHAnsi" w:cs="Arial"/>
          <w:sz w:val="20"/>
          <w:szCs w:val="20"/>
        </w:rPr>
        <w:t xml:space="preserve">Conducting </w:t>
      </w:r>
      <w:r w:rsidR="0009624E">
        <w:rPr>
          <w:rFonts w:asciiTheme="minorHAnsi" w:hAnsiTheme="minorHAnsi" w:cs="Arial"/>
          <w:sz w:val="20"/>
          <w:szCs w:val="20"/>
        </w:rPr>
        <w:t>site visits to overseas offices and</w:t>
      </w:r>
      <w:r w:rsidRPr="00651F2E">
        <w:rPr>
          <w:rFonts w:asciiTheme="minorHAnsi" w:hAnsiTheme="minorHAnsi" w:cs="Arial"/>
          <w:sz w:val="20"/>
          <w:szCs w:val="20"/>
        </w:rPr>
        <w:t xml:space="preserve"> </w:t>
      </w:r>
      <w:r w:rsidR="0009624E">
        <w:rPr>
          <w:rFonts w:asciiTheme="minorHAnsi" w:hAnsiTheme="minorHAnsi" w:cs="Arial"/>
          <w:sz w:val="20"/>
          <w:szCs w:val="20"/>
        </w:rPr>
        <w:t>assisting</w:t>
      </w:r>
      <w:r w:rsidRPr="00651F2E">
        <w:rPr>
          <w:rFonts w:asciiTheme="minorHAnsi" w:hAnsiTheme="minorHAnsi" w:cs="Arial"/>
          <w:sz w:val="20"/>
          <w:szCs w:val="20"/>
        </w:rPr>
        <w:t xml:space="preserve"> on financial reporting issues</w:t>
      </w:r>
    </w:p>
    <w:p w14:paraId="101C796F" w14:textId="5AAACE86" w:rsidR="00884A22" w:rsidRPr="0074502E" w:rsidRDefault="0074502E" w:rsidP="00B666A7">
      <w:pPr>
        <w:pStyle w:val="NoSpacing"/>
        <w:numPr>
          <w:ilvl w:val="0"/>
          <w:numId w:val="10"/>
        </w:numPr>
        <w:ind w:left="397" w:hanging="397"/>
        <w:jc w:val="both"/>
        <w:rPr>
          <w:rFonts w:asciiTheme="minorHAnsi" w:hAnsiTheme="minorHAnsi" w:cs="Arial"/>
          <w:sz w:val="20"/>
          <w:szCs w:val="20"/>
        </w:rPr>
      </w:pPr>
      <w:r w:rsidRPr="0074502E">
        <w:rPr>
          <w:rFonts w:asciiTheme="minorHAnsi" w:hAnsiTheme="minorHAnsi" w:cs="Arial"/>
          <w:sz w:val="20"/>
          <w:szCs w:val="20"/>
        </w:rPr>
        <w:t>Preparing automated Excel workbooks and briefing papers for assessing the financial performances of the operating entity every month</w:t>
      </w:r>
    </w:p>
    <w:p w14:paraId="5CA751CE" w14:textId="77777777" w:rsidR="00A83246" w:rsidRDefault="00A83246" w:rsidP="00A83246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sz w:val="20"/>
          <w:szCs w:val="20"/>
        </w:rPr>
      </w:pPr>
    </w:p>
    <w:p w14:paraId="2F6B4315" w14:textId="71F9EEF4" w:rsidR="00CA4B0A" w:rsidRPr="00651F2E" w:rsidRDefault="006E7341" w:rsidP="00A83246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sz w:val="20"/>
          <w:szCs w:val="20"/>
        </w:rPr>
      </w:pPr>
      <w:r w:rsidRPr="00651F2E">
        <w:rPr>
          <w:rFonts w:asciiTheme="minorHAnsi" w:hAnsiTheme="minorHAnsi" w:cs="Arial"/>
          <w:b/>
          <w:sz w:val="20"/>
          <w:szCs w:val="20"/>
        </w:rPr>
        <w:t>EDUCATION AND QUALIFICATIONS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8217"/>
      </w:tblGrid>
      <w:tr w:rsidR="00115BED" w:rsidRPr="00651F2E" w14:paraId="2D3B965C" w14:textId="77777777" w:rsidTr="006E7341">
        <w:tc>
          <w:tcPr>
            <w:tcW w:w="2250" w:type="dxa"/>
          </w:tcPr>
          <w:p w14:paraId="4F6E340E" w14:textId="77777777" w:rsidR="00115BED" w:rsidRPr="00651F2E" w:rsidRDefault="00115BED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651F2E">
              <w:rPr>
                <w:rFonts w:asciiTheme="minorHAnsi" w:hAnsiTheme="minorHAnsi" w:cs="Arial"/>
                <w:b/>
                <w:sz w:val="20"/>
                <w:szCs w:val="20"/>
              </w:rPr>
              <w:t>CA Singapore</w:t>
            </w:r>
          </w:p>
        </w:tc>
        <w:tc>
          <w:tcPr>
            <w:tcW w:w="8217" w:type="dxa"/>
          </w:tcPr>
          <w:p w14:paraId="51CFD56D" w14:textId="6E2D3B68" w:rsidR="00115BED" w:rsidRPr="00651F2E" w:rsidRDefault="00273E46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Regular Member, </w:t>
            </w:r>
            <w:r w:rsidR="00115BED" w:rsidRPr="00651F2E">
              <w:rPr>
                <w:rFonts w:asciiTheme="minorHAnsi" w:hAnsiTheme="minorHAnsi" w:cs="Arial"/>
                <w:sz w:val="20"/>
                <w:szCs w:val="20"/>
              </w:rPr>
              <w:t>Institute of Singapore Chartered Accountants</w:t>
            </w:r>
            <w:r w:rsidR="000D5AB7">
              <w:rPr>
                <w:rFonts w:asciiTheme="minorHAnsi" w:hAnsiTheme="minorHAnsi" w:cs="Arial"/>
                <w:sz w:val="20"/>
                <w:szCs w:val="20"/>
              </w:rPr>
              <w:t>, ISCA</w:t>
            </w:r>
            <w:r w:rsidR="00115BED" w:rsidRPr="00651F2E">
              <w:rPr>
                <w:rFonts w:asciiTheme="minorHAnsi" w:hAnsiTheme="minorHAnsi" w:cs="Arial"/>
                <w:sz w:val="20"/>
                <w:szCs w:val="20"/>
              </w:rPr>
              <w:t xml:space="preserve"> (2007-Present)</w:t>
            </w:r>
          </w:p>
        </w:tc>
      </w:tr>
      <w:tr w:rsidR="00115BED" w:rsidRPr="00651F2E" w14:paraId="120B4DCF" w14:textId="77777777" w:rsidTr="006E7341">
        <w:tc>
          <w:tcPr>
            <w:tcW w:w="2250" w:type="dxa"/>
          </w:tcPr>
          <w:p w14:paraId="62040024" w14:textId="77777777" w:rsidR="00115BED" w:rsidRPr="00651F2E" w:rsidRDefault="00115BED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651F2E">
              <w:rPr>
                <w:rFonts w:asciiTheme="minorHAnsi" w:hAnsiTheme="minorHAnsi" w:cs="Arial"/>
                <w:b/>
                <w:sz w:val="20"/>
                <w:szCs w:val="20"/>
              </w:rPr>
              <w:t>CFA</w:t>
            </w:r>
          </w:p>
        </w:tc>
        <w:tc>
          <w:tcPr>
            <w:tcW w:w="8217" w:type="dxa"/>
          </w:tcPr>
          <w:p w14:paraId="4E86522C" w14:textId="5E292289" w:rsidR="00115BED" w:rsidRPr="00651F2E" w:rsidRDefault="00115BED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651F2E">
              <w:rPr>
                <w:rFonts w:asciiTheme="minorHAnsi" w:hAnsiTheme="minorHAnsi" w:cs="Arial"/>
                <w:sz w:val="20"/>
                <w:szCs w:val="20"/>
              </w:rPr>
              <w:t xml:space="preserve">CFA </w:t>
            </w:r>
            <w:r w:rsidR="00740DEC">
              <w:rPr>
                <w:rFonts w:asciiTheme="minorHAnsi" w:hAnsiTheme="minorHAnsi" w:cs="Arial"/>
                <w:sz w:val="20"/>
                <w:szCs w:val="20"/>
              </w:rPr>
              <w:t>Charter H</w:t>
            </w:r>
            <w:r w:rsidR="00740DEC" w:rsidRPr="00651F2E">
              <w:rPr>
                <w:rFonts w:asciiTheme="minorHAnsi" w:hAnsiTheme="minorHAnsi" w:cs="Arial"/>
                <w:sz w:val="20"/>
                <w:szCs w:val="20"/>
              </w:rPr>
              <w:t>older</w:t>
            </w:r>
            <w:r w:rsidRPr="00651F2E">
              <w:rPr>
                <w:rFonts w:asciiTheme="minorHAnsi" w:hAnsiTheme="minorHAnsi" w:cs="Arial"/>
                <w:sz w:val="20"/>
                <w:szCs w:val="20"/>
              </w:rPr>
              <w:t>, CFA Institute (2007-Present)</w:t>
            </w:r>
          </w:p>
        </w:tc>
      </w:tr>
      <w:tr w:rsidR="00820B24" w:rsidRPr="00651F2E" w14:paraId="41966F63" w14:textId="77777777" w:rsidTr="006E7341">
        <w:tc>
          <w:tcPr>
            <w:tcW w:w="2250" w:type="dxa"/>
            <w:vMerge w:val="restart"/>
          </w:tcPr>
          <w:p w14:paraId="1E9DF0BD" w14:textId="77777777" w:rsidR="00A83246" w:rsidRDefault="00820B24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651F2E">
              <w:rPr>
                <w:rFonts w:asciiTheme="minorHAnsi" w:hAnsiTheme="minorHAnsi" w:cs="Arial"/>
                <w:b/>
                <w:sz w:val="20"/>
                <w:szCs w:val="20"/>
              </w:rPr>
              <w:t xml:space="preserve">Bachelor of Accountancy </w:t>
            </w:r>
          </w:p>
          <w:p w14:paraId="56B4C049" w14:textId="4F0D3DA3" w:rsidR="00820B24" w:rsidRPr="00651F2E" w:rsidRDefault="00820B24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651F2E">
              <w:rPr>
                <w:rFonts w:asciiTheme="minorHAnsi" w:hAnsiTheme="minorHAnsi" w:cs="Arial"/>
                <w:b/>
                <w:sz w:val="20"/>
                <w:szCs w:val="20"/>
              </w:rPr>
              <w:t>(</w:t>
            </w:r>
            <w:r w:rsidR="00740DEC">
              <w:rPr>
                <w:rFonts w:asciiTheme="minorHAnsi" w:hAnsiTheme="minorHAnsi" w:cs="Arial"/>
                <w:b/>
                <w:sz w:val="20"/>
                <w:szCs w:val="20"/>
              </w:rPr>
              <w:t xml:space="preserve">First Class </w:t>
            </w:r>
            <w:r w:rsidRPr="00651F2E">
              <w:rPr>
                <w:rFonts w:asciiTheme="minorHAnsi" w:hAnsiTheme="minorHAnsi" w:cs="Arial"/>
                <w:b/>
                <w:sz w:val="20"/>
                <w:szCs w:val="20"/>
              </w:rPr>
              <w:t>Hon</w:t>
            </w:r>
            <w:r w:rsidR="00740DEC">
              <w:rPr>
                <w:rFonts w:asciiTheme="minorHAnsi" w:hAnsiTheme="minorHAnsi" w:cs="Arial"/>
                <w:b/>
                <w:sz w:val="20"/>
                <w:szCs w:val="20"/>
              </w:rPr>
              <w:t>or</w:t>
            </w:r>
            <w:r w:rsidRPr="00651F2E">
              <w:rPr>
                <w:rFonts w:asciiTheme="minorHAnsi" w:hAnsiTheme="minorHAnsi" w:cs="Arial"/>
                <w:b/>
                <w:sz w:val="20"/>
                <w:szCs w:val="20"/>
              </w:rPr>
              <w:t>s)</w:t>
            </w:r>
          </w:p>
        </w:tc>
        <w:tc>
          <w:tcPr>
            <w:tcW w:w="8217" w:type="dxa"/>
          </w:tcPr>
          <w:p w14:paraId="6F41924C" w14:textId="77777777" w:rsidR="00820B24" w:rsidRPr="00651F2E" w:rsidRDefault="00820B24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651F2E">
              <w:rPr>
                <w:rFonts w:asciiTheme="minorHAnsi" w:hAnsiTheme="minorHAnsi" w:cs="Arial"/>
                <w:sz w:val="20"/>
                <w:szCs w:val="20"/>
              </w:rPr>
              <w:t>First Class Honors, Nanyang Business School (2007)</w:t>
            </w:r>
            <w:r w:rsidRPr="00651F2E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</w:p>
        </w:tc>
      </w:tr>
      <w:tr w:rsidR="00820B24" w:rsidRPr="00651F2E" w14:paraId="2B9A74EC" w14:textId="77777777" w:rsidTr="006E7341">
        <w:tc>
          <w:tcPr>
            <w:tcW w:w="2250" w:type="dxa"/>
            <w:vMerge/>
          </w:tcPr>
          <w:p w14:paraId="433BF385" w14:textId="77777777" w:rsidR="00820B24" w:rsidRPr="00651F2E" w:rsidRDefault="00820B24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8217" w:type="dxa"/>
          </w:tcPr>
          <w:p w14:paraId="6DFA04E3" w14:textId="05511D26" w:rsidR="00820B24" w:rsidRPr="00651F2E" w:rsidRDefault="00820B24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651F2E">
              <w:rPr>
                <w:rFonts w:asciiTheme="minorHAnsi" w:hAnsiTheme="minorHAnsi" w:cs="Arial"/>
                <w:sz w:val="20"/>
                <w:szCs w:val="20"/>
              </w:rPr>
              <w:t>(Second Specialization in Banking and Finance)</w:t>
            </w:r>
          </w:p>
        </w:tc>
      </w:tr>
    </w:tbl>
    <w:p w14:paraId="106938F6" w14:textId="77777777" w:rsidR="00A83246" w:rsidRDefault="00A83246" w:rsidP="00A83246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sz w:val="20"/>
          <w:szCs w:val="20"/>
        </w:rPr>
      </w:pPr>
    </w:p>
    <w:p w14:paraId="5F845055" w14:textId="07B4B8CF" w:rsidR="004B5CEB" w:rsidRPr="00651F2E" w:rsidRDefault="00686A17" w:rsidP="00A83246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AWARDS AND ACTIVITIES</w:t>
      </w:r>
    </w:p>
    <w:p w14:paraId="7FD70C8E" w14:textId="1D60DB61" w:rsidR="00557D30" w:rsidRDefault="000D5AB7" w:rsidP="00A83246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97" w:hanging="397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ModelOff 201</w:t>
      </w:r>
      <w:r w:rsidR="000D0AB5">
        <w:rPr>
          <w:rFonts w:asciiTheme="minorHAnsi" w:hAnsiTheme="minorHAnsi" w:cs="Arial"/>
          <w:sz w:val="20"/>
          <w:szCs w:val="20"/>
        </w:rPr>
        <w:t>6</w:t>
      </w:r>
      <w:r>
        <w:rPr>
          <w:rFonts w:asciiTheme="minorHAnsi" w:hAnsiTheme="minorHAnsi" w:cs="Arial"/>
          <w:sz w:val="20"/>
          <w:szCs w:val="20"/>
        </w:rPr>
        <w:t>:</w:t>
      </w:r>
      <w:r w:rsidR="00557D30">
        <w:rPr>
          <w:rFonts w:asciiTheme="minorHAnsi" w:hAnsiTheme="minorHAnsi" w:cs="Arial"/>
          <w:sz w:val="20"/>
          <w:szCs w:val="20"/>
        </w:rPr>
        <w:t xml:space="preserve"> Round 1 (Overall – Top 10%)</w:t>
      </w:r>
      <w:r w:rsidR="00144975">
        <w:rPr>
          <w:rFonts w:asciiTheme="minorHAnsi" w:hAnsiTheme="minorHAnsi" w:cs="Arial"/>
          <w:sz w:val="20"/>
          <w:szCs w:val="20"/>
        </w:rPr>
        <w:t>; Round 2 (Overall – Top 50%)</w:t>
      </w:r>
    </w:p>
    <w:p w14:paraId="720ABB78" w14:textId="00E8D8EF" w:rsidR="004B5CEB" w:rsidRPr="00651F2E" w:rsidRDefault="0083393C" w:rsidP="00A83246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97" w:hanging="397"/>
        <w:jc w:val="both"/>
        <w:rPr>
          <w:rFonts w:asciiTheme="minorHAnsi" w:hAnsiTheme="minorHAnsi" w:cs="Arial"/>
          <w:sz w:val="20"/>
          <w:szCs w:val="20"/>
        </w:rPr>
      </w:pPr>
      <w:r w:rsidRPr="00651F2E">
        <w:rPr>
          <w:rFonts w:asciiTheme="minorHAnsi" w:hAnsiTheme="minorHAnsi" w:cs="Arial"/>
          <w:sz w:val="20"/>
          <w:szCs w:val="20"/>
        </w:rPr>
        <w:t>Student Researcher, Nanyang Business School, Nanyang Techn</w:t>
      </w:r>
      <w:r w:rsidR="00AF0EEB" w:rsidRPr="00651F2E">
        <w:rPr>
          <w:rFonts w:asciiTheme="minorHAnsi" w:hAnsiTheme="minorHAnsi" w:cs="Arial"/>
          <w:sz w:val="20"/>
          <w:szCs w:val="20"/>
        </w:rPr>
        <w:t>olog</w:t>
      </w:r>
      <w:r w:rsidRPr="00651F2E">
        <w:rPr>
          <w:rFonts w:asciiTheme="minorHAnsi" w:hAnsiTheme="minorHAnsi" w:cs="Arial"/>
          <w:sz w:val="20"/>
          <w:szCs w:val="20"/>
        </w:rPr>
        <w:t>ical University, 2005-2006</w:t>
      </w:r>
    </w:p>
    <w:p w14:paraId="20C6EEB2" w14:textId="77777777" w:rsidR="0083393C" w:rsidRPr="00651F2E" w:rsidRDefault="0083393C" w:rsidP="00A83246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97" w:hanging="397"/>
        <w:jc w:val="both"/>
        <w:rPr>
          <w:rFonts w:asciiTheme="minorHAnsi" w:hAnsiTheme="minorHAnsi" w:cs="Arial"/>
          <w:sz w:val="20"/>
          <w:szCs w:val="20"/>
        </w:rPr>
      </w:pPr>
      <w:r w:rsidRPr="00651F2E">
        <w:rPr>
          <w:rFonts w:asciiTheme="minorHAnsi" w:hAnsiTheme="minorHAnsi" w:cs="Arial"/>
          <w:sz w:val="20"/>
          <w:szCs w:val="20"/>
        </w:rPr>
        <w:t>Financial Controller, Chinese Orchestra, Nanyang Techn</w:t>
      </w:r>
      <w:r w:rsidR="00AF0EEB" w:rsidRPr="00651F2E">
        <w:rPr>
          <w:rFonts w:asciiTheme="minorHAnsi" w:hAnsiTheme="minorHAnsi" w:cs="Arial"/>
          <w:sz w:val="20"/>
          <w:szCs w:val="20"/>
        </w:rPr>
        <w:t>olog</w:t>
      </w:r>
      <w:r w:rsidRPr="00651F2E">
        <w:rPr>
          <w:rFonts w:asciiTheme="minorHAnsi" w:hAnsiTheme="minorHAnsi" w:cs="Arial"/>
          <w:sz w:val="20"/>
          <w:szCs w:val="20"/>
        </w:rPr>
        <w:t>ical University, 2005-2006</w:t>
      </w:r>
    </w:p>
    <w:p w14:paraId="0ABFDF23" w14:textId="77777777" w:rsidR="0083393C" w:rsidRPr="00651F2E" w:rsidRDefault="0083393C" w:rsidP="00A83246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97" w:hanging="397"/>
        <w:jc w:val="both"/>
        <w:rPr>
          <w:rFonts w:asciiTheme="minorHAnsi" w:hAnsiTheme="minorHAnsi" w:cs="Arial"/>
          <w:sz w:val="20"/>
          <w:szCs w:val="20"/>
        </w:rPr>
      </w:pPr>
      <w:r w:rsidRPr="00651F2E">
        <w:rPr>
          <w:rFonts w:asciiTheme="minorHAnsi" w:hAnsiTheme="minorHAnsi" w:cs="Arial"/>
          <w:sz w:val="20"/>
          <w:szCs w:val="20"/>
        </w:rPr>
        <w:t>NTU-NTC Business Plan Competition (Finalist), Nanyang Technical University, 2004</w:t>
      </w:r>
    </w:p>
    <w:p w14:paraId="7DDFE53A" w14:textId="77777777" w:rsidR="00115BED" w:rsidRPr="00651F2E" w:rsidRDefault="00115BED" w:rsidP="00A83246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97" w:hanging="397"/>
        <w:jc w:val="both"/>
        <w:rPr>
          <w:rFonts w:asciiTheme="minorHAnsi" w:hAnsiTheme="minorHAnsi" w:cs="Arial"/>
          <w:sz w:val="20"/>
          <w:szCs w:val="20"/>
        </w:rPr>
      </w:pPr>
      <w:r w:rsidRPr="00651F2E">
        <w:rPr>
          <w:rFonts w:asciiTheme="minorHAnsi" w:hAnsiTheme="minorHAnsi" w:cs="Arial"/>
          <w:sz w:val="20"/>
          <w:szCs w:val="20"/>
        </w:rPr>
        <w:t>Salvation Army Volunteer (technician: computer repair), 200</w:t>
      </w:r>
      <w:bookmarkStart w:id="0" w:name="_GoBack"/>
      <w:bookmarkEnd w:id="0"/>
      <w:r w:rsidRPr="00651F2E">
        <w:rPr>
          <w:rFonts w:asciiTheme="minorHAnsi" w:hAnsiTheme="minorHAnsi" w:cs="Arial"/>
          <w:sz w:val="20"/>
          <w:szCs w:val="20"/>
        </w:rPr>
        <w:t>4</w:t>
      </w:r>
    </w:p>
    <w:p w14:paraId="67A2B8D1" w14:textId="77777777" w:rsidR="00A83246" w:rsidRDefault="00A83246" w:rsidP="00A83246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after="0" w:line="240" w:lineRule="auto"/>
      </w:pPr>
    </w:p>
    <w:p w14:paraId="39DFA83C" w14:textId="0F7DF9F4" w:rsidR="00A83246" w:rsidRPr="00A83246" w:rsidRDefault="00A83246" w:rsidP="00A83246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PERSONAL DETAILS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8766"/>
      </w:tblGrid>
      <w:tr w:rsidR="00A83246" w:rsidRPr="00651F2E" w14:paraId="6F67D7F9" w14:textId="77777777" w:rsidTr="00B21D39">
        <w:tc>
          <w:tcPr>
            <w:tcW w:w="1701" w:type="dxa"/>
          </w:tcPr>
          <w:p w14:paraId="5445D6A5" w14:textId="6A4EB348" w:rsidR="00A83246" w:rsidRPr="00651F2E" w:rsidRDefault="00A83246" w:rsidP="00546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8766" w:type="dxa"/>
          </w:tcPr>
          <w:p w14:paraId="16485169" w14:textId="445F05A2" w:rsidR="00A83246" w:rsidRPr="00651F2E" w:rsidRDefault="00A83246" w:rsidP="00546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English </w:t>
            </w:r>
            <w:r w:rsidR="00B21D39">
              <w:rPr>
                <w:rFonts w:asciiTheme="minorHAnsi" w:hAnsiTheme="minorHAnsi" w:cs="Arial"/>
                <w:sz w:val="20"/>
                <w:szCs w:val="20"/>
              </w:rPr>
              <w:t>(Professional),</w:t>
            </w:r>
            <w:r w:rsidR="00423E0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20"/>
              </w:rPr>
              <w:t>Mandarin</w:t>
            </w:r>
            <w:r w:rsidR="00423E09">
              <w:rPr>
                <w:rFonts w:asciiTheme="minorHAnsi" w:hAnsiTheme="minorHAnsi" w:cs="Arial"/>
                <w:sz w:val="20"/>
                <w:szCs w:val="20"/>
              </w:rPr>
              <w:t xml:space="preserve"> (Fluent)</w:t>
            </w:r>
          </w:p>
        </w:tc>
      </w:tr>
      <w:tr w:rsidR="00A83246" w:rsidRPr="00651F2E" w14:paraId="26225636" w14:textId="77777777" w:rsidTr="00B21D39">
        <w:tc>
          <w:tcPr>
            <w:tcW w:w="1701" w:type="dxa"/>
          </w:tcPr>
          <w:p w14:paraId="7DD55973" w14:textId="1C09E31C" w:rsidR="00A83246" w:rsidRPr="00651F2E" w:rsidRDefault="00A83246" w:rsidP="00546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IT </w:t>
            </w:r>
            <w:r w:rsidR="00A5467E">
              <w:rPr>
                <w:rFonts w:asciiTheme="minorHAnsi" w:hAnsiTheme="minorHAnsi" w:cs="Arial"/>
                <w:b/>
                <w:sz w:val="20"/>
                <w:szCs w:val="20"/>
              </w:rPr>
              <w:t>Applications</w:t>
            </w:r>
          </w:p>
        </w:tc>
        <w:tc>
          <w:tcPr>
            <w:tcW w:w="8766" w:type="dxa"/>
          </w:tcPr>
          <w:p w14:paraId="7CD5837D" w14:textId="17A5C15A" w:rsidR="00A83246" w:rsidRPr="00651F2E" w:rsidRDefault="00B21D39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Word, Excel, PowerPoint, Spotfire, Tableau, </w:t>
            </w:r>
            <w:r w:rsidR="00A5467E">
              <w:rPr>
                <w:rFonts w:asciiTheme="minorHAnsi" w:hAnsiTheme="minorHAnsi" w:cs="Arial"/>
                <w:sz w:val="20"/>
                <w:szCs w:val="20"/>
              </w:rPr>
              <w:t xml:space="preserve">Alteryx,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Thomson </w:t>
            </w:r>
            <w:r w:rsidR="00423E09">
              <w:rPr>
                <w:rFonts w:asciiTheme="minorHAnsi" w:hAnsiTheme="minorHAnsi" w:cs="Arial"/>
                <w:sz w:val="20"/>
                <w:szCs w:val="20"/>
              </w:rPr>
              <w:t>One</w:t>
            </w:r>
            <w:r w:rsidR="00A5467E">
              <w:rPr>
                <w:rFonts w:asciiTheme="minorHAnsi" w:hAnsiTheme="minorHAnsi" w:cs="Arial"/>
                <w:sz w:val="20"/>
                <w:szCs w:val="20"/>
              </w:rPr>
              <w:t>, Capital IQ, Amazon Web Services</w:t>
            </w:r>
          </w:p>
        </w:tc>
      </w:tr>
      <w:tr w:rsidR="00423E09" w:rsidRPr="00651F2E" w14:paraId="2937BCB7" w14:textId="77777777" w:rsidTr="00B21D39">
        <w:tc>
          <w:tcPr>
            <w:tcW w:w="1701" w:type="dxa"/>
          </w:tcPr>
          <w:p w14:paraId="30528964" w14:textId="420C3B60" w:rsidR="00423E09" w:rsidRDefault="00423E09" w:rsidP="00546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Programming</w:t>
            </w:r>
          </w:p>
        </w:tc>
        <w:tc>
          <w:tcPr>
            <w:tcW w:w="8766" w:type="dxa"/>
          </w:tcPr>
          <w:p w14:paraId="696D8297" w14:textId="11B7B8C0" w:rsidR="00423E09" w:rsidRDefault="00B21D39" w:rsidP="00A832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VBA, Python, Microsoft SQL</w:t>
            </w:r>
          </w:p>
        </w:tc>
      </w:tr>
      <w:tr w:rsidR="00A83246" w:rsidRPr="00651F2E" w14:paraId="655FF44A" w14:textId="77777777" w:rsidTr="00B21D39">
        <w:tc>
          <w:tcPr>
            <w:tcW w:w="1701" w:type="dxa"/>
          </w:tcPr>
          <w:p w14:paraId="0E521C94" w14:textId="3EEBF8A3" w:rsidR="00A83246" w:rsidRPr="00651F2E" w:rsidRDefault="00A83246" w:rsidP="00546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Interests</w:t>
            </w:r>
          </w:p>
        </w:tc>
        <w:tc>
          <w:tcPr>
            <w:tcW w:w="8766" w:type="dxa"/>
          </w:tcPr>
          <w:p w14:paraId="7F1F0DC3" w14:textId="1F5AAF04" w:rsidR="00A83246" w:rsidRPr="00651F2E" w:rsidRDefault="00A83246" w:rsidP="00546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Reading,</w:t>
            </w:r>
            <w:r w:rsidR="00B21D39">
              <w:rPr>
                <w:rFonts w:asciiTheme="minorHAnsi" w:hAnsiTheme="minorHAnsi" w:cs="Arial"/>
                <w:sz w:val="20"/>
                <w:szCs w:val="20"/>
              </w:rPr>
              <w:t xml:space="preserve"> Investing,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Playing the</w:t>
            </w:r>
            <w:r w:rsidR="00423E09">
              <w:rPr>
                <w:rFonts w:asciiTheme="minorHAnsi" w:hAnsiTheme="minorHAnsi" w:cs="Arial"/>
                <w:sz w:val="20"/>
                <w:szCs w:val="20"/>
              </w:rPr>
              <w:t xml:space="preserve"> Cello, Programming</w:t>
            </w:r>
            <w:r w:rsidR="00A5467E">
              <w:rPr>
                <w:rFonts w:asciiTheme="minorHAnsi" w:hAnsiTheme="minorHAnsi" w:cs="Arial"/>
                <w:sz w:val="20"/>
                <w:szCs w:val="20"/>
              </w:rPr>
              <w:t>, Billiards</w:t>
            </w:r>
          </w:p>
        </w:tc>
      </w:tr>
    </w:tbl>
    <w:p w14:paraId="612482DF" w14:textId="6AB5B36A" w:rsidR="00A83246" w:rsidRPr="00651F2E" w:rsidRDefault="00A83246" w:rsidP="003E17D7">
      <w:pPr>
        <w:pStyle w:val="NoSpacing"/>
        <w:rPr>
          <w:rFonts w:asciiTheme="minorHAnsi" w:hAnsiTheme="minorHAnsi"/>
        </w:rPr>
      </w:pPr>
    </w:p>
    <w:sectPr w:rsidR="00A83246" w:rsidRPr="00651F2E" w:rsidSect="00651F2E">
      <w:pgSz w:w="11907" w:h="16840"/>
      <w:pgMar w:top="720" w:right="720" w:bottom="720" w:left="720" w:header="567" w:footer="567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B51CB" w14:textId="77777777" w:rsidR="005350F4" w:rsidRDefault="005350F4">
      <w:pPr>
        <w:spacing w:after="0" w:line="240" w:lineRule="auto"/>
      </w:pPr>
      <w:r>
        <w:separator/>
      </w:r>
    </w:p>
  </w:endnote>
  <w:endnote w:type="continuationSeparator" w:id="0">
    <w:p w14:paraId="5A6BD1C8" w14:textId="77777777" w:rsidR="005350F4" w:rsidRDefault="00535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2240E" w14:textId="77777777" w:rsidR="005350F4" w:rsidRDefault="005350F4">
      <w:pPr>
        <w:spacing w:after="0" w:line="240" w:lineRule="auto"/>
      </w:pPr>
      <w:r>
        <w:separator/>
      </w:r>
    </w:p>
  </w:footnote>
  <w:footnote w:type="continuationSeparator" w:id="0">
    <w:p w14:paraId="6EC6BDE0" w14:textId="77777777" w:rsidR="005350F4" w:rsidRDefault="00535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36A2A"/>
    <w:multiLevelType w:val="hybridMultilevel"/>
    <w:tmpl w:val="19D21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B5672"/>
    <w:multiLevelType w:val="hybridMultilevel"/>
    <w:tmpl w:val="2244F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0683D"/>
    <w:multiLevelType w:val="hybridMultilevel"/>
    <w:tmpl w:val="84A8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7507"/>
    <w:multiLevelType w:val="hybridMultilevel"/>
    <w:tmpl w:val="B8422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584598"/>
    <w:multiLevelType w:val="hybridMultilevel"/>
    <w:tmpl w:val="33E2D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1D1FC5"/>
    <w:multiLevelType w:val="hybridMultilevel"/>
    <w:tmpl w:val="2390C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B5078"/>
    <w:multiLevelType w:val="hybridMultilevel"/>
    <w:tmpl w:val="9F80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D4D78"/>
    <w:multiLevelType w:val="hybridMultilevel"/>
    <w:tmpl w:val="847A9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D45C66"/>
    <w:multiLevelType w:val="hybridMultilevel"/>
    <w:tmpl w:val="0720A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470CB"/>
    <w:multiLevelType w:val="hybridMultilevel"/>
    <w:tmpl w:val="C51E82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36F43"/>
    <w:multiLevelType w:val="hybridMultilevel"/>
    <w:tmpl w:val="54465E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8656C"/>
    <w:multiLevelType w:val="hybridMultilevel"/>
    <w:tmpl w:val="B0E2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11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EB"/>
    <w:rsid w:val="00017780"/>
    <w:rsid w:val="00022F4B"/>
    <w:rsid w:val="0004391D"/>
    <w:rsid w:val="0005502E"/>
    <w:rsid w:val="000576B3"/>
    <w:rsid w:val="00090599"/>
    <w:rsid w:val="0009624E"/>
    <w:rsid w:val="000D0AB5"/>
    <w:rsid w:val="000D5AB7"/>
    <w:rsid w:val="000E6737"/>
    <w:rsid w:val="00115BED"/>
    <w:rsid w:val="00144975"/>
    <w:rsid w:val="00216AD7"/>
    <w:rsid w:val="00262771"/>
    <w:rsid w:val="00273E46"/>
    <w:rsid w:val="002A661E"/>
    <w:rsid w:val="002B163F"/>
    <w:rsid w:val="003308C9"/>
    <w:rsid w:val="00352A00"/>
    <w:rsid w:val="003677CF"/>
    <w:rsid w:val="003C7375"/>
    <w:rsid w:val="003E17D7"/>
    <w:rsid w:val="003F7CF0"/>
    <w:rsid w:val="00416ADE"/>
    <w:rsid w:val="00423E09"/>
    <w:rsid w:val="0043471B"/>
    <w:rsid w:val="00471CE4"/>
    <w:rsid w:val="004729AF"/>
    <w:rsid w:val="004B5CEB"/>
    <w:rsid w:val="004E310F"/>
    <w:rsid w:val="004F74E2"/>
    <w:rsid w:val="005143DE"/>
    <w:rsid w:val="005350F4"/>
    <w:rsid w:val="005479BE"/>
    <w:rsid w:val="00557D30"/>
    <w:rsid w:val="00583F72"/>
    <w:rsid w:val="005913D2"/>
    <w:rsid w:val="005B6CB5"/>
    <w:rsid w:val="006352B8"/>
    <w:rsid w:val="0063546B"/>
    <w:rsid w:val="00651F2E"/>
    <w:rsid w:val="00686A17"/>
    <w:rsid w:val="006E7341"/>
    <w:rsid w:val="0072656E"/>
    <w:rsid w:val="00740DEC"/>
    <w:rsid w:val="0074502E"/>
    <w:rsid w:val="00747C9E"/>
    <w:rsid w:val="007B10F1"/>
    <w:rsid w:val="007D2E47"/>
    <w:rsid w:val="007F4DE6"/>
    <w:rsid w:val="008117E6"/>
    <w:rsid w:val="008163A0"/>
    <w:rsid w:val="00820B24"/>
    <w:rsid w:val="00825D7F"/>
    <w:rsid w:val="0083393C"/>
    <w:rsid w:val="00844EF9"/>
    <w:rsid w:val="00884A22"/>
    <w:rsid w:val="008B2A0B"/>
    <w:rsid w:val="008C65A9"/>
    <w:rsid w:val="00904039"/>
    <w:rsid w:val="00942A44"/>
    <w:rsid w:val="009D0647"/>
    <w:rsid w:val="00A214A3"/>
    <w:rsid w:val="00A5467E"/>
    <w:rsid w:val="00A63A74"/>
    <w:rsid w:val="00A81915"/>
    <w:rsid w:val="00A83246"/>
    <w:rsid w:val="00AB3F8F"/>
    <w:rsid w:val="00AC30EC"/>
    <w:rsid w:val="00AC44A5"/>
    <w:rsid w:val="00AF0EEB"/>
    <w:rsid w:val="00AF562C"/>
    <w:rsid w:val="00B21D39"/>
    <w:rsid w:val="00B70616"/>
    <w:rsid w:val="00B97D5D"/>
    <w:rsid w:val="00BE02D7"/>
    <w:rsid w:val="00C27B70"/>
    <w:rsid w:val="00C8425F"/>
    <w:rsid w:val="00C85141"/>
    <w:rsid w:val="00CA4B0A"/>
    <w:rsid w:val="00CC3213"/>
    <w:rsid w:val="00CE5ACB"/>
    <w:rsid w:val="00CF35EE"/>
    <w:rsid w:val="00D16A9A"/>
    <w:rsid w:val="00D45806"/>
    <w:rsid w:val="00D67AFA"/>
    <w:rsid w:val="00D76BDA"/>
    <w:rsid w:val="00E45B50"/>
    <w:rsid w:val="00EC1CA0"/>
    <w:rsid w:val="00EF047B"/>
    <w:rsid w:val="00F3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3EC144"/>
  <w15:chartTrackingRefBased/>
  <w15:docId w15:val="{7E864FFE-56E8-4C6B-9016-B28CD13B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6AD7"/>
    <w:rPr>
      <w:rFonts w:ascii="Times New Roman" w:eastAsia="SimSun" w:hAnsi="Times New Roman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CF3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5EE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F35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5EE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A832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4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4C4C7-3F14-43AF-8241-EDF2FC08A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/ Cover Letter</vt:lpstr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/ Cover Letter</dc:title>
  <dc:subject/>
  <dc:creator>Fu Chuanjie</dc:creator>
  <cp:keywords/>
  <cp:lastModifiedBy>Chuanjie Fu</cp:lastModifiedBy>
  <cp:revision>25</cp:revision>
  <cp:lastPrinted>2015-11-17T13:02:00Z</cp:lastPrinted>
  <dcterms:created xsi:type="dcterms:W3CDTF">2013-12-25T01:04:00Z</dcterms:created>
  <dcterms:modified xsi:type="dcterms:W3CDTF">2017-01-04T14:34:00Z</dcterms:modified>
</cp:coreProperties>
</file>