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31" w:rsidRPr="007B2A03" w:rsidRDefault="00872331" w:rsidP="00872331">
      <w:pPr>
        <w:jc w:val="center"/>
        <w:rPr>
          <w:rFonts w:cs="Arial"/>
          <w:sz w:val="32"/>
          <w:szCs w:val="32"/>
          <w:lang w:val="en-GB"/>
        </w:rPr>
      </w:pPr>
      <w:r w:rsidRPr="007B2A03">
        <w:rPr>
          <w:rFonts w:cs="Arial"/>
          <w:sz w:val="32"/>
          <w:szCs w:val="32"/>
          <w:lang w:val="en-GB"/>
        </w:rPr>
        <w:t>JOSEPH BITAR</w:t>
      </w:r>
    </w:p>
    <w:p w:rsidR="00872331" w:rsidRPr="00BF3E81" w:rsidRDefault="00872331" w:rsidP="00BF3E81">
      <w:pPr>
        <w:jc w:val="center"/>
        <w:rPr>
          <w:rFonts w:cs="Arial"/>
          <w:b/>
        </w:rPr>
      </w:pPr>
      <w:r w:rsidRPr="007B2A03">
        <w:rPr>
          <w:rFonts w:cs="Arial"/>
          <w:b/>
        </w:rPr>
        <w:t>josephbitar@hotmail.fr</w:t>
      </w:r>
    </w:p>
    <w:p w:rsidR="00872331" w:rsidRPr="007B2A03" w:rsidRDefault="00265022" w:rsidP="00872331">
      <w:pPr>
        <w:jc w:val="center"/>
        <w:rPr>
          <w:rFonts w:cs="Arial"/>
        </w:rPr>
      </w:pPr>
      <w:r>
        <w:rPr>
          <w:rFonts w:cs="Arial"/>
        </w:rPr>
        <w:t>Tel: +971 558581576</w:t>
      </w:r>
    </w:p>
    <w:p w:rsidR="00872331" w:rsidRPr="00246805" w:rsidRDefault="00872331" w:rsidP="00872331">
      <w:pPr>
        <w:jc w:val="center"/>
        <w:rPr>
          <w:rFonts w:cs="Arial"/>
          <w:sz w:val="24"/>
          <w:szCs w:val="24"/>
        </w:rPr>
      </w:pPr>
    </w:p>
    <w:tbl>
      <w:tblPr>
        <w:tblW w:w="9846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1617"/>
        <w:gridCol w:w="8229"/>
      </w:tblGrid>
      <w:tr w:rsidR="00872331" w:rsidRPr="007B2A03" w:rsidTr="009F5152">
        <w:trPr>
          <w:trHeight w:val="79"/>
        </w:trPr>
        <w:tc>
          <w:tcPr>
            <w:tcW w:w="9846" w:type="dxa"/>
            <w:gridSpan w:val="2"/>
          </w:tcPr>
          <w:p w:rsidR="003D5E8E" w:rsidRPr="002A2D1A" w:rsidRDefault="003D5E8E" w:rsidP="003B3432">
            <w:pPr>
              <w:pStyle w:val="CompanyName"/>
              <w:rPr>
                <w:rFonts w:cs="Arial"/>
              </w:rPr>
            </w:pPr>
            <w:r>
              <w:t xml:space="preserve">I am an experienced international </w:t>
            </w:r>
            <w:r w:rsidR="003B3432">
              <w:t>Business Development Manager and Investment Advisor</w:t>
            </w:r>
            <w:r>
              <w:t xml:space="preserve">. </w:t>
            </w:r>
            <w:r w:rsidRPr="007B2A03">
              <w:rPr>
                <w:rFonts w:cs="Arial"/>
              </w:rPr>
              <w:t>I have spent 7 years between asset managem</w:t>
            </w:r>
            <w:bookmarkStart w:id="0" w:name="_GoBack"/>
            <w:bookmarkEnd w:id="0"/>
            <w:r w:rsidRPr="007B2A03">
              <w:rPr>
                <w:rFonts w:cs="Arial"/>
              </w:rPr>
              <w:t>ent, investment banking and p</w:t>
            </w:r>
            <w:r>
              <w:rPr>
                <w:rFonts w:cs="Arial"/>
              </w:rPr>
              <w:t>rivate banking, and I have run</w:t>
            </w:r>
            <w:r w:rsidRPr="007B2A03">
              <w:rPr>
                <w:rFonts w:cs="Arial"/>
              </w:rPr>
              <w:t xml:space="preserve"> my real estat</w:t>
            </w:r>
            <w:r>
              <w:rPr>
                <w:rFonts w:cs="Arial"/>
              </w:rPr>
              <w:t>e business</w:t>
            </w:r>
            <w:r w:rsidRPr="007B2A0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I</w:t>
            </w:r>
            <w:r w:rsidRPr="007B2A03">
              <w:rPr>
                <w:rFonts w:cs="Arial"/>
              </w:rPr>
              <w:t xml:space="preserve"> lived and worked in different locations in</w:t>
            </w:r>
            <w:r>
              <w:rPr>
                <w:rFonts w:cs="Arial"/>
              </w:rPr>
              <w:t>cluding Dubai, London, Paris,</w:t>
            </w:r>
            <w:r w:rsidRPr="007B2A03">
              <w:rPr>
                <w:rFonts w:cs="Arial"/>
              </w:rPr>
              <w:t xml:space="preserve"> Monaco</w:t>
            </w:r>
            <w:r>
              <w:rPr>
                <w:rFonts w:cs="Arial"/>
              </w:rPr>
              <w:t xml:space="preserve"> and Beirut</w:t>
            </w:r>
            <w:r w:rsidRPr="007B2A03">
              <w:rPr>
                <w:rFonts w:cs="Arial"/>
              </w:rPr>
              <w:t xml:space="preserve">. </w:t>
            </w:r>
            <w:r>
              <w:rPr>
                <w:rFonts w:cs="Arial"/>
              </w:rPr>
              <w:t>C</w:t>
            </w:r>
            <w:r w:rsidRPr="007B2A03">
              <w:rPr>
                <w:rFonts w:cs="Arial"/>
              </w:rPr>
              <w:t xml:space="preserve">urrently </w:t>
            </w:r>
            <w:r>
              <w:rPr>
                <w:rFonts w:cs="Arial"/>
              </w:rPr>
              <w:t>seeking a senior</w:t>
            </w:r>
            <w:r w:rsidR="00CF2D5A">
              <w:rPr>
                <w:rFonts w:cs="Arial"/>
              </w:rPr>
              <w:t xml:space="preserve"> rol</w:t>
            </w:r>
            <w:r w:rsidR="00394046">
              <w:rPr>
                <w:rFonts w:cs="Arial"/>
              </w:rPr>
              <w:t>e in a multinational company</w:t>
            </w:r>
            <w:r>
              <w:rPr>
                <w:rFonts w:cs="Arial"/>
              </w:rPr>
              <w:t>.</w:t>
            </w:r>
          </w:p>
          <w:p w:rsidR="00D8766F" w:rsidRPr="007B2A03" w:rsidRDefault="00D8766F" w:rsidP="00D8766F">
            <w:pPr>
              <w:rPr>
                <w:rFonts w:cs="Arial"/>
              </w:rPr>
            </w:pPr>
          </w:p>
        </w:tc>
      </w:tr>
      <w:tr w:rsidR="00872331" w:rsidRPr="007B2A03" w:rsidTr="009F5152">
        <w:trPr>
          <w:trHeight w:val="79"/>
        </w:trPr>
        <w:tc>
          <w:tcPr>
            <w:tcW w:w="1617" w:type="dxa"/>
          </w:tcPr>
          <w:p w:rsidR="003611B3" w:rsidRDefault="003611B3" w:rsidP="00123FF3">
            <w:pPr>
              <w:pStyle w:val="SectionTitle"/>
            </w:pPr>
            <w:r>
              <w:t>Citizenships</w:t>
            </w:r>
          </w:p>
          <w:p w:rsidR="00872331" w:rsidRPr="007B2A03" w:rsidRDefault="00872331" w:rsidP="00123FF3">
            <w:pPr>
              <w:pStyle w:val="SectionTitle"/>
            </w:pPr>
            <w:r w:rsidRPr="007B2A03">
              <w:t>Education</w:t>
            </w:r>
          </w:p>
        </w:tc>
        <w:tc>
          <w:tcPr>
            <w:tcW w:w="8229" w:type="dxa"/>
          </w:tcPr>
          <w:p w:rsidR="00872331" w:rsidRPr="007B2A03" w:rsidRDefault="00872331" w:rsidP="00123FF3">
            <w:pPr>
              <w:ind w:left="60"/>
              <w:rPr>
                <w:rFonts w:cs="Arial"/>
              </w:rPr>
            </w:pPr>
          </w:p>
          <w:p w:rsidR="003611B3" w:rsidRPr="003611B3" w:rsidRDefault="003611B3" w:rsidP="00872331">
            <w:pPr>
              <w:numPr>
                <w:ilvl w:val="0"/>
                <w:numId w:val="2"/>
              </w:numPr>
              <w:rPr>
                <w:rFonts w:cs="Arial"/>
                <w:b/>
                <w:lang w:val="en-GB"/>
              </w:rPr>
            </w:pPr>
            <w:r w:rsidRPr="003611B3">
              <w:rPr>
                <w:rFonts w:cs="Arial"/>
                <w:b/>
                <w:lang w:val="en-GB"/>
              </w:rPr>
              <w:t>French and Lebanese</w:t>
            </w:r>
          </w:p>
          <w:p w:rsidR="003611B3" w:rsidRPr="003611B3" w:rsidRDefault="003611B3" w:rsidP="003611B3">
            <w:pPr>
              <w:ind w:left="420"/>
              <w:rPr>
                <w:rFonts w:cs="Arial"/>
              </w:rPr>
            </w:pPr>
          </w:p>
          <w:p w:rsidR="00872331" w:rsidRPr="007B2A03" w:rsidRDefault="00872331" w:rsidP="00872331">
            <w:pPr>
              <w:numPr>
                <w:ilvl w:val="0"/>
                <w:numId w:val="2"/>
              </w:numPr>
              <w:rPr>
                <w:rFonts w:cs="Arial"/>
              </w:rPr>
            </w:pPr>
            <w:r w:rsidRPr="007B2A03">
              <w:rPr>
                <w:rFonts w:cs="Arial"/>
                <w:b/>
                <w:lang w:val="en-GB"/>
              </w:rPr>
              <w:t>MSc Banking and Finance</w:t>
            </w:r>
            <w:r w:rsidR="00024A30" w:rsidRPr="007D536B">
              <w:rPr>
                <w:rFonts w:cs="Arial"/>
                <w:b/>
                <w:lang w:val="en-GB"/>
              </w:rPr>
              <w:t>, with honours</w:t>
            </w:r>
            <w:r w:rsidRPr="007B2A03">
              <w:rPr>
                <w:rFonts w:cs="Arial"/>
                <w:lang w:val="en-GB"/>
              </w:rPr>
              <w:br/>
              <w:t>Paris Sorbonne University</w:t>
            </w:r>
            <w:r w:rsidRPr="007B2A03">
              <w:rPr>
                <w:rFonts w:cs="Arial"/>
                <w:lang w:val="en-GB"/>
              </w:rPr>
              <w:br/>
              <w:t>2004</w:t>
            </w:r>
          </w:p>
          <w:p w:rsidR="00872331" w:rsidRPr="007B2A03" w:rsidRDefault="00872331" w:rsidP="00123FF3">
            <w:pPr>
              <w:ind w:left="60"/>
              <w:rPr>
                <w:rFonts w:cs="Arial"/>
                <w:lang w:val="en-GB"/>
              </w:rPr>
            </w:pPr>
          </w:p>
          <w:p w:rsidR="00872331" w:rsidRPr="007B2A03" w:rsidRDefault="00872331" w:rsidP="00872331">
            <w:pPr>
              <w:numPr>
                <w:ilvl w:val="0"/>
                <w:numId w:val="2"/>
              </w:numPr>
              <w:rPr>
                <w:rFonts w:cs="Arial"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B.A. Economics</w:t>
            </w:r>
            <w:r w:rsidR="00024A30" w:rsidRPr="007D536B">
              <w:rPr>
                <w:rFonts w:cs="Arial"/>
                <w:b/>
                <w:lang w:val="en-GB"/>
              </w:rPr>
              <w:t>, with distinction</w:t>
            </w:r>
            <w:r w:rsidRPr="007B2A03">
              <w:rPr>
                <w:rFonts w:cs="Arial"/>
                <w:lang w:val="en-GB"/>
              </w:rPr>
              <w:br/>
              <w:t>Saint Joseph University, Beirut</w:t>
            </w:r>
            <w:r w:rsidRPr="007B2A03">
              <w:rPr>
                <w:rFonts w:cs="Arial"/>
                <w:lang w:val="en-GB"/>
              </w:rPr>
              <w:br/>
              <w:t>2002</w:t>
            </w:r>
          </w:p>
          <w:p w:rsidR="00872331" w:rsidRPr="007B2A03" w:rsidRDefault="00872331" w:rsidP="00123FF3">
            <w:pPr>
              <w:rPr>
                <w:rFonts w:cs="Arial"/>
                <w:lang w:val="en-GB"/>
              </w:rPr>
            </w:pPr>
          </w:p>
        </w:tc>
      </w:tr>
      <w:tr w:rsidR="00872331" w:rsidRPr="007B2A03" w:rsidTr="009F5152">
        <w:trPr>
          <w:trHeight w:val="79"/>
        </w:trPr>
        <w:tc>
          <w:tcPr>
            <w:tcW w:w="1617" w:type="dxa"/>
          </w:tcPr>
          <w:p w:rsidR="00872331" w:rsidRPr="007B2A03" w:rsidRDefault="00872331" w:rsidP="00123FF3">
            <w:pPr>
              <w:pStyle w:val="SectionTitle"/>
            </w:pPr>
            <w:r w:rsidRPr="007B2A03">
              <w:t>Professional experience</w:t>
            </w:r>
          </w:p>
        </w:tc>
        <w:tc>
          <w:tcPr>
            <w:tcW w:w="8229" w:type="dxa"/>
          </w:tcPr>
          <w:p w:rsidR="00292109" w:rsidRPr="007B2A03" w:rsidRDefault="00292109" w:rsidP="00292109">
            <w:pPr>
              <w:ind w:right="232"/>
              <w:jc w:val="both"/>
              <w:rPr>
                <w:rFonts w:cs="Arial"/>
                <w:b/>
                <w:lang w:val="en-GB"/>
              </w:rPr>
            </w:pPr>
          </w:p>
          <w:p w:rsidR="0047492A" w:rsidRDefault="0047492A" w:rsidP="00872331">
            <w:pPr>
              <w:pStyle w:val="ListParagraph"/>
              <w:numPr>
                <w:ilvl w:val="0"/>
                <w:numId w:val="8"/>
              </w:numPr>
              <w:ind w:left="378" w:right="232"/>
              <w:jc w:val="both"/>
              <w:rPr>
                <w:rFonts w:cs="Arial"/>
                <w:b/>
                <w:lang w:val="en-GB"/>
              </w:rPr>
            </w:pPr>
            <w:r>
              <w:rPr>
                <w:rFonts w:cs="Arial"/>
                <w:b/>
                <w:lang w:val="en-GB"/>
              </w:rPr>
              <w:t>The First Group – Dubai, United Arab Emirates</w:t>
            </w:r>
          </w:p>
          <w:p w:rsidR="0047492A" w:rsidRPr="00CD3503" w:rsidRDefault="00CD3503" w:rsidP="00CD3503">
            <w:pPr>
              <w:pStyle w:val="ListParagraph"/>
              <w:ind w:left="378" w:right="232"/>
              <w:jc w:val="both"/>
              <w:rPr>
                <w:rFonts w:cs="Arial"/>
              </w:rPr>
            </w:pPr>
            <w:r w:rsidRPr="00CD3503">
              <w:rPr>
                <w:rFonts w:cs="Arial"/>
              </w:rPr>
              <w:t>Investment Consultant</w:t>
            </w:r>
          </w:p>
          <w:p w:rsidR="0047492A" w:rsidRPr="00E628AD" w:rsidRDefault="004C49FB" w:rsidP="00E628AD">
            <w:pPr>
              <w:pStyle w:val="ListParagraph"/>
              <w:ind w:left="378" w:right="232"/>
              <w:jc w:val="both"/>
              <w:rPr>
                <w:rFonts w:cs="Arial"/>
              </w:rPr>
            </w:pPr>
            <w:r>
              <w:rPr>
                <w:rFonts w:cs="Arial"/>
              </w:rPr>
              <w:t>November 2015 – April 2016</w:t>
            </w:r>
          </w:p>
          <w:p w:rsidR="00881FBE" w:rsidRDefault="00137364" w:rsidP="00D76D4B">
            <w:pPr>
              <w:ind w:right="232"/>
              <w:jc w:val="both"/>
              <w:rPr>
                <w:rFonts w:cs="Arial"/>
              </w:rPr>
            </w:pPr>
            <w:r>
              <w:rPr>
                <w:rFonts w:cs="Arial"/>
              </w:rPr>
              <w:t>The First Group is a</w:t>
            </w:r>
            <w:r w:rsidR="00F41979" w:rsidRPr="00F41979">
              <w:rPr>
                <w:rFonts w:cs="Arial"/>
              </w:rPr>
              <w:t xml:space="preserve"> leading developer of iconic hotels in Dubai, offering individual investors the opportunity to profit from purchasing hotel rooms and suites.</w:t>
            </w:r>
            <w:r w:rsidR="00881FBE">
              <w:rPr>
                <w:rFonts w:cs="Arial"/>
              </w:rPr>
              <w:t xml:space="preserve"> I joined the company as an investment consultant, advising potential investors on the features and </w:t>
            </w:r>
            <w:r w:rsidR="00CF5497">
              <w:rPr>
                <w:rFonts w:cs="Arial"/>
              </w:rPr>
              <w:t xml:space="preserve">financial </w:t>
            </w:r>
            <w:r w:rsidR="00881FBE">
              <w:rPr>
                <w:rFonts w:cs="Arial"/>
              </w:rPr>
              <w:t>benefits of the proposed hotel investments.</w:t>
            </w:r>
          </w:p>
          <w:p w:rsidR="00881FBE" w:rsidRPr="00F41979" w:rsidRDefault="00881FBE" w:rsidP="00D76D4B">
            <w:pPr>
              <w:ind w:right="232"/>
              <w:jc w:val="both"/>
              <w:rPr>
                <w:rFonts w:cs="Arial"/>
              </w:rPr>
            </w:pPr>
          </w:p>
          <w:p w:rsidR="00292109" w:rsidRPr="007B2A03" w:rsidRDefault="00292109" w:rsidP="00872331">
            <w:pPr>
              <w:pStyle w:val="ListParagraph"/>
              <w:numPr>
                <w:ilvl w:val="0"/>
                <w:numId w:val="8"/>
              </w:numPr>
              <w:ind w:left="378" w:right="232"/>
              <w:jc w:val="both"/>
              <w:rPr>
                <w:rFonts w:cs="Arial"/>
                <w:b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Breteuil Estates</w:t>
            </w:r>
            <w:r w:rsidR="003A5426">
              <w:rPr>
                <w:rFonts w:cs="Arial"/>
                <w:b/>
                <w:lang w:val="en-GB"/>
              </w:rPr>
              <w:t xml:space="preserve">, </w:t>
            </w:r>
            <w:r w:rsidR="0093154E" w:rsidRPr="007B2A03">
              <w:rPr>
                <w:rFonts w:cs="Arial"/>
                <w:b/>
                <w:lang w:val="en-GB"/>
              </w:rPr>
              <w:t>Chelsea, London</w:t>
            </w:r>
            <w:r w:rsidR="003A5426">
              <w:rPr>
                <w:rFonts w:cs="Arial"/>
                <w:b/>
                <w:lang w:val="en-GB"/>
              </w:rPr>
              <w:t xml:space="preserve"> – Estate Agency</w:t>
            </w:r>
          </w:p>
          <w:p w:rsidR="00292109" w:rsidRPr="007B2A03" w:rsidRDefault="00292109" w:rsidP="00292109">
            <w:pPr>
              <w:pStyle w:val="ListParagraph"/>
              <w:ind w:left="378" w:right="232"/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Senior Consultant</w:t>
            </w:r>
          </w:p>
          <w:p w:rsidR="00292109" w:rsidRPr="00E628AD" w:rsidRDefault="00292109" w:rsidP="00E628AD">
            <w:pPr>
              <w:pStyle w:val="ListParagraph"/>
              <w:ind w:left="378" w:right="232"/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 xml:space="preserve">January 2015 – </w:t>
            </w:r>
            <w:r w:rsidR="006123E6">
              <w:rPr>
                <w:rFonts w:cs="Arial"/>
              </w:rPr>
              <w:t>August 2015</w:t>
            </w:r>
          </w:p>
          <w:p w:rsidR="00292109" w:rsidRPr="00FB665C" w:rsidRDefault="00023BE3" w:rsidP="00D76D4B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Breteuil is a leader in the Parisian estate agency business</w:t>
            </w:r>
            <w:r w:rsidR="006A312B" w:rsidRPr="007B2A03">
              <w:rPr>
                <w:rFonts w:cs="Arial"/>
              </w:rPr>
              <w:t>,</w:t>
            </w:r>
            <w:r w:rsidRPr="007B2A03">
              <w:rPr>
                <w:rFonts w:cs="Arial"/>
              </w:rPr>
              <w:t xml:space="preserve"> </w:t>
            </w:r>
            <w:r w:rsidR="00726815" w:rsidRPr="007B2A03">
              <w:rPr>
                <w:rFonts w:cs="Arial"/>
              </w:rPr>
              <w:t>specialized i</w:t>
            </w:r>
            <w:r w:rsidRPr="007B2A03">
              <w:rPr>
                <w:rFonts w:cs="Arial"/>
              </w:rPr>
              <w:t>n the high-end of the market. The company opened its first office i</w:t>
            </w:r>
            <w:r w:rsidR="008730F5" w:rsidRPr="007B2A03">
              <w:rPr>
                <w:rFonts w:cs="Arial"/>
              </w:rPr>
              <w:t>n London in the affluent Chelsea area</w:t>
            </w:r>
            <w:r w:rsidRPr="007B2A03">
              <w:rPr>
                <w:rFonts w:cs="Arial"/>
              </w:rPr>
              <w:t xml:space="preserve">. I joined the Chelsea office with a specific </w:t>
            </w:r>
            <w:r w:rsidR="0077149E" w:rsidRPr="007B2A03">
              <w:rPr>
                <w:rFonts w:cs="Arial"/>
              </w:rPr>
              <w:t xml:space="preserve">consulting </w:t>
            </w:r>
            <w:r w:rsidRPr="007B2A03">
              <w:rPr>
                <w:rFonts w:cs="Arial"/>
              </w:rPr>
              <w:t>mission focused on new business generation</w:t>
            </w:r>
            <w:r w:rsidR="00B52062" w:rsidRPr="007B2A03">
              <w:rPr>
                <w:rFonts w:cs="Arial"/>
              </w:rPr>
              <w:t>.</w:t>
            </w:r>
            <w:r w:rsidR="00996A84">
              <w:rPr>
                <w:rFonts w:cs="Arial"/>
              </w:rPr>
              <w:t xml:space="preserve"> I helped double t</w:t>
            </w:r>
            <w:r w:rsidR="00BB30DA">
              <w:rPr>
                <w:rFonts w:cs="Arial"/>
              </w:rPr>
              <w:t xml:space="preserve">he </w:t>
            </w:r>
            <w:r w:rsidR="00996A84">
              <w:rPr>
                <w:rFonts w:cs="Arial"/>
              </w:rPr>
              <w:t>office income</w:t>
            </w:r>
            <w:r w:rsidR="00BB30DA">
              <w:rPr>
                <w:rFonts w:cs="Arial"/>
              </w:rPr>
              <w:t xml:space="preserve"> in the</w:t>
            </w:r>
            <w:r w:rsidR="009E1A4F">
              <w:rPr>
                <w:rFonts w:cs="Arial"/>
              </w:rPr>
              <w:t xml:space="preserve"> eight</w:t>
            </w:r>
            <w:r w:rsidR="00996A84">
              <w:rPr>
                <w:rFonts w:cs="Arial"/>
              </w:rPr>
              <w:t xml:space="preserve"> </w:t>
            </w:r>
            <w:r w:rsidR="00E00124">
              <w:rPr>
                <w:rFonts w:cs="Arial"/>
              </w:rPr>
              <w:t>months’</w:t>
            </w:r>
            <w:r w:rsidR="00BB30DA">
              <w:rPr>
                <w:rFonts w:cs="Arial"/>
              </w:rPr>
              <w:t xml:space="preserve"> period I spent with the team.</w:t>
            </w:r>
          </w:p>
          <w:p w:rsidR="00292109" w:rsidRPr="007B2A03" w:rsidRDefault="00292109" w:rsidP="00292109">
            <w:pPr>
              <w:pStyle w:val="ListParagraph"/>
              <w:ind w:left="378" w:right="232"/>
              <w:jc w:val="both"/>
              <w:rPr>
                <w:rFonts w:cs="Arial"/>
                <w:b/>
                <w:lang w:val="en-GB"/>
              </w:rPr>
            </w:pPr>
          </w:p>
          <w:p w:rsidR="00872331" w:rsidRPr="007B2A03" w:rsidRDefault="00872331" w:rsidP="00872331">
            <w:pPr>
              <w:pStyle w:val="ListParagraph"/>
              <w:numPr>
                <w:ilvl w:val="0"/>
                <w:numId w:val="8"/>
              </w:numPr>
              <w:ind w:left="378" w:right="232"/>
              <w:jc w:val="both"/>
              <w:rPr>
                <w:rFonts w:cs="Arial"/>
                <w:b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Martin and Co Fulham</w:t>
            </w:r>
            <w:r w:rsidR="0040290B" w:rsidRPr="007B2A03">
              <w:rPr>
                <w:rFonts w:cs="Arial"/>
                <w:b/>
                <w:lang w:val="en-GB"/>
              </w:rPr>
              <w:t>, London</w:t>
            </w:r>
            <w:r w:rsidRPr="007B2A03">
              <w:rPr>
                <w:rFonts w:cs="Arial"/>
                <w:b/>
                <w:lang w:val="en-GB"/>
              </w:rPr>
              <w:t xml:space="preserve"> – Estate Agency</w:t>
            </w:r>
          </w:p>
          <w:p w:rsidR="00872331" w:rsidRPr="007B2A03" w:rsidRDefault="00872331" w:rsidP="00123FF3">
            <w:pPr>
              <w:pStyle w:val="ListParagraph"/>
              <w:ind w:left="378" w:right="232"/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Owner and Director</w:t>
            </w:r>
          </w:p>
          <w:p w:rsidR="00872331" w:rsidRPr="00E628AD" w:rsidRDefault="00872331" w:rsidP="00E628AD">
            <w:pPr>
              <w:pStyle w:val="ListParagraph"/>
              <w:ind w:left="378" w:right="232"/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September 2012 – November 2014</w:t>
            </w:r>
          </w:p>
          <w:p w:rsidR="00872331" w:rsidRPr="007B2A03" w:rsidRDefault="00872331" w:rsidP="00D76D4B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 xml:space="preserve">I established my company under the franchise of Martin and Co in Fulham from a cold start at the end of 2012. Within 18 months of trading </w:t>
            </w:r>
            <w:r w:rsidR="00C94E2C" w:rsidRPr="007B2A03">
              <w:rPr>
                <w:rFonts w:cs="Arial"/>
              </w:rPr>
              <w:t xml:space="preserve">the company </w:t>
            </w:r>
            <w:r w:rsidRPr="007B2A03">
              <w:rPr>
                <w:rFonts w:cs="Arial"/>
              </w:rPr>
              <w:t>became one of the major competitors in the high end segment of the Fulham residential lettings market. I started focusing on residential sales from the second quarter of 2014.</w:t>
            </w:r>
          </w:p>
          <w:p w:rsidR="00872331" w:rsidRPr="007B2A03" w:rsidRDefault="00872331" w:rsidP="00D76D4B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My team was comprised of 6 employees including 3 negotiators, a lister, a property manager and an office manager.</w:t>
            </w:r>
          </w:p>
          <w:p w:rsidR="00872331" w:rsidRPr="007B2A03" w:rsidRDefault="00872331" w:rsidP="00D76D4B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 xml:space="preserve">I acted as sales manager and lettings manager alongside my owner/director role. My major tasks were </w:t>
            </w:r>
            <w:r w:rsidR="006A57D3">
              <w:rPr>
                <w:rFonts w:cs="Arial"/>
              </w:rPr>
              <w:t xml:space="preserve">business planning and market study, </w:t>
            </w:r>
            <w:r w:rsidRPr="007B2A03">
              <w:rPr>
                <w:rFonts w:cs="Arial"/>
              </w:rPr>
              <w:t xml:space="preserve">premises management and finance, staff recruitment, regulatory compliance and professional affiliations, client accounting, marketing and advertising, property valuation and listing, </w:t>
            </w:r>
            <w:r w:rsidR="00605EE8">
              <w:rPr>
                <w:rFonts w:cs="Arial"/>
              </w:rPr>
              <w:t xml:space="preserve">training and </w:t>
            </w:r>
            <w:r w:rsidRPr="007B2A03">
              <w:rPr>
                <w:rFonts w:cs="Arial"/>
              </w:rPr>
              <w:t>supervising the negotiators.</w:t>
            </w:r>
          </w:p>
          <w:p w:rsidR="00872331" w:rsidRPr="007B2A03" w:rsidRDefault="00872331" w:rsidP="00D76D4B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I terminated the franchise in November 2014</w:t>
            </w:r>
            <w:r w:rsidR="00E66C01">
              <w:rPr>
                <w:rFonts w:cs="Arial"/>
              </w:rPr>
              <w:t>.</w:t>
            </w:r>
          </w:p>
          <w:p w:rsidR="00872331" w:rsidRPr="007B2A03" w:rsidRDefault="00872331" w:rsidP="00123FF3">
            <w:pPr>
              <w:ind w:right="232"/>
              <w:jc w:val="both"/>
              <w:rPr>
                <w:rFonts w:cs="Arial"/>
                <w:b/>
                <w:lang w:val="en-GB"/>
              </w:rPr>
            </w:pPr>
          </w:p>
          <w:p w:rsidR="00872331" w:rsidRPr="007B2A03" w:rsidRDefault="00872331" w:rsidP="00872331">
            <w:pPr>
              <w:pStyle w:val="ListParagraph"/>
              <w:numPr>
                <w:ilvl w:val="0"/>
                <w:numId w:val="8"/>
              </w:numPr>
              <w:ind w:left="378" w:right="232"/>
              <w:jc w:val="both"/>
              <w:rPr>
                <w:rFonts w:cs="Arial"/>
                <w:b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Societe Generale – Corporate and Investment Banking</w:t>
            </w:r>
          </w:p>
          <w:p w:rsidR="00872331" w:rsidRPr="007B2A03" w:rsidRDefault="00872331" w:rsidP="00123FF3">
            <w:pPr>
              <w:ind w:left="378" w:right="232"/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Debt Capital Markets</w:t>
            </w:r>
          </w:p>
          <w:p w:rsidR="00872331" w:rsidRPr="007B2A03" w:rsidRDefault="00872331" w:rsidP="00123FF3">
            <w:pPr>
              <w:ind w:left="378" w:right="232"/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Vice President - Sovereign, Supranational &amp; Agencies</w:t>
            </w:r>
          </w:p>
          <w:p w:rsidR="00872331" w:rsidRPr="0058526B" w:rsidRDefault="00872331" w:rsidP="0058526B">
            <w:pPr>
              <w:ind w:left="378" w:right="232"/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January 2010 – November 2011</w:t>
            </w:r>
          </w:p>
          <w:p w:rsidR="00872331" w:rsidRPr="007B2A03" w:rsidRDefault="00872331" w:rsidP="00123FF3">
            <w:pPr>
              <w:ind w:right="232"/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Duties include</w:t>
            </w:r>
            <w:r w:rsidR="004C4EA6">
              <w:rPr>
                <w:rFonts w:cs="Arial"/>
                <w:lang w:val="en-GB"/>
              </w:rPr>
              <w:t>d</w:t>
            </w:r>
            <w:r w:rsidRPr="007B2A03">
              <w:rPr>
                <w:rFonts w:cs="Arial"/>
                <w:lang w:val="en-GB"/>
              </w:rPr>
              <w:t>:</w:t>
            </w:r>
          </w:p>
          <w:p w:rsidR="00872331" w:rsidRPr="007B2A03" w:rsidRDefault="00872331" w:rsidP="00280E9C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lastRenderedPageBreak/>
              <w:t>Conducting analyses on new bond issuance and on target clients.</w:t>
            </w:r>
          </w:p>
          <w:p w:rsidR="00872331" w:rsidRPr="007B2A03" w:rsidRDefault="00872331" w:rsidP="00280E9C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Preparing written market updates, bond pricing and proposals to client.</w:t>
            </w:r>
          </w:p>
          <w:p w:rsidR="00872331" w:rsidRPr="007B2A03" w:rsidRDefault="00872331" w:rsidP="00280E9C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Executing Debt Capital Market mandates.</w:t>
            </w:r>
          </w:p>
          <w:p w:rsidR="00872331" w:rsidRDefault="00872331" w:rsidP="00280E9C">
            <w:pPr>
              <w:jc w:val="both"/>
              <w:rPr>
                <w:rFonts w:cs="Arial"/>
              </w:rPr>
            </w:pPr>
            <w:r w:rsidRPr="007B2A03">
              <w:rPr>
                <w:rFonts w:cs="Arial"/>
              </w:rPr>
              <w:t>Working with other business lines and investment banking departments to insure the success of Sovereign debt issuance.</w:t>
            </w:r>
          </w:p>
          <w:p w:rsidR="001C5DE3" w:rsidRPr="00246805" w:rsidRDefault="001C5DE3" w:rsidP="00280E9C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Training junior members of staff.</w:t>
            </w:r>
          </w:p>
        </w:tc>
      </w:tr>
      <w:tr w:rsidR="00872331" w:rsidRPr="007B2A03" w:rsidTr="009F5152">
        <w:trPr>
          <w:trHeight w:val="79"/>
        </w:trPr>
        <w:tc>
          <w:tcPr>
            <w:tcW w:w="1617" w:type="dxa"/>
          </w:tcPr>
          <w:p w:rsidR="00872331" w:rsidRPr="007B2A03" w:rsidRDefault="00872331" w:rsidP="00123FF3">
            <w:pPr>
              <w:pStyle w:val="SectionTitle"/>
            </w:pPr>
          </w:p>
        </w:tc>
        <w:tc>
          <w:tcPr>
            <w:tcW w:w="8229" w:type="dxa"/>
          </w:tcPr>
          <w:p w:rsidR="00872331" w:rsidRPr="007B2A03" w:rsidRDefault="00872331" w:rsidP="00123FF3">
            <w:pPr>
              <w:ind w:right="232"/>
              <w:jc w:val="both"/>
              <w:rPr>
                <w:rFonts w:cs="Arial"/>
                <w:i/>
                <w:lang w:val="en-GB"/>
              </w:rPr>
            </w:pPr>
          </w:p>
          <w:p w:rsidR="00872331" w:rsidRPr="00EF0849" w:rsidRDefault="00872331" w:rsidP="00123FF3">
            <w:pPr>
              <w:numPr>
                <w:ilvl w:val="0"/>
                <w:numId w:val="1"/>
              </w:numPr>
              <w:rPr>
                <w:rFonts w:cs="Arial"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Societe Generale – Asset Management</w:t>
            </w:r>
            <w:r w:rsidRPr="007B2A03">
              <w:rPr>
                <w:rFonts w:cs="Arial"/>
                <w:lang w:val="en-GB"/>
              </w:rPr>
              <w:br/>
              <w:t>Middle East Institutional Sales</w:t>
            </w:r>
            <w:r w:rsidRPr="007B2A03">
              <w:rPr>
                <w:rFonts w:cs="Arial"/>
                <w:lang w:val="en-GB"/>
              </w:rPr>
              <w:br/>
              <w:t>March 2007 – December 2009</w:t>
            </w:r>
            <w:r w:rsidRPr="00EF0849">
              <w:rPr>
                <w:rFonts w:cs="Arial"/>
                <w:lang w:val="en-GB"/>
              </w:rPr>
              <w:br/>
              <w:t>Duties included:</w:t>
            </w:r>
          </w:p>
          <w:p w:rsidR="00872331" w:rsidRDefault="00872331" w:rsidP="004A095C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Marketing of SGAM’s asset management expertise to institutional clients throughout the Middle East: long only mutual funds, hedge funds, funds structured notes, private equity/mezzanine funds and real estate funds.</w:t>
            </w:r>
          </w:p>
          <w:p w:rsidR="00EF0849" w:rsidRPr="007B2A03" w:rsidRDefault="00EF0849" w:rsidP="004A095C">
            <w:pPr>
              <w:jc w:val="both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Developing </w:t>
            </w:r>
            <w:r w:rsidRPr="007B2A03">
              <w:rPr>
                <w:rFonts w:cs="Arial"/>
                <w:lang w:val="en-GB"/>
              </w:rPr>
              <w:t>a wide client network within sovereign wea</w:t>
            </w:r>
            <w:r>
              <w:rPr>
                <w:rFonts w:cs="Arial"/>
                <w:lang w:val="en-GB"/>
              </w:rPr>
              <w:t xml:space="preserve">lth funds, public institutions, </w:t>
            </w:r>
            <w:r w:rsidRPr="007B2A03">
              <w:rPr>
                <w:rFonts w:cs="Arial"/>
                <w:lang w:val="en-GB"/>
              </w:rPr>
              <w:t>corporate, banks and financial companies in Kuwait, the United Arab Emirates, Qatar and Bahrain.</w:t>
            </w:r>
          </w:p>
          <w:p w:rsidR="00872331" w:rsidRPr="007B2A03" w:rsidRDefault="00872331" w:rsidP="004A095C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</w:rPr>
              <w:t>Identifying opportunities and providing proactive feedback to the management centers in London, Paris, Los Angeles and Singapore in order to propose innovative investment solutions.</w:t>
            </w:r>
          </w:p>
          <w:p w:rsidR="00872331" w:rsidRPr="007B2A03" w:rsidRDefault="00872331" w:rsidP="004A095C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</w:rPr>
              <w:t>Signing Investment Management Agreements with major Middle Eastern investors and leading structuring, legal and fees negotiations.</w:t>
            </w:r>
          </w:p>
          <w:p w:rsidR="00872331" w:rsidRPr="007B2A03" w:rsidRDefault="00872331" w:rsidP="004A095C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</w:rPr>
              <w:t>Assisting SGAM Middle East CEO with strategic marketing by selecting the product offer suitable to our Middle Eastern clients and implementing marketing strategies.</w:t>
            </w:r>
          </w:p>
          <w:p w:rsidR="00872331" w:rsidRPr="007B2A03" w:rsidRDefault="00872331" w:rsidP="00123FF3">
            <w:pPr>
              <w:ind w:left="743"/>
              <w:rPr>
                <w:rFonts w:cs="Arial"/>
              </w:rPr>
            </w:pPr>
          </w:p>
          <w:p w:rsidR="00872331" w:rsidRPr="00156DBB" w:rsidRDefault="00872331" w:rsidP="00156DBB">
            <w:pPr>
              <w:numPr>
                <w:ilvl w:val="0"/>
                <w:numId w:val="1"/>
              </w:numPr>
              <w:rPr>
                <w:rFonts w:cs="Arial"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Societe Generale – Asset Management</w:t>
            </w:r>
            <w:r w:rsidRPr="007B2A03">
              <w:rPr>
                <w:rFonts w:cs="Arial"/>
                <w:lang w:val="en-GB"/>
              </w:rPr>
              <w:br/>
              <w:t>Marketing, Product Development and Client Reporting Department</w:t>
            </w:r>
            <w:r w:rsidRPr="007B2A03">
              <w:rPr>
                <w:rFonts w:cs="Arial"/>
                <w:lang w:val="en-GB"/>
              </w:rPr>
              <w:br/>
            </w:r>
            <w:r w:rsidRPr="007B2A03">
              <w:rPr>
                <w:rFonts w:cs="Arial"/>
              </w:rPr>
              <w:t>Product Specialist and Performance Analyst</w:t>
            </w:r>
            <w:r w:rsidRPr="007B2A03">
              <w:rPr>
                <w:rFonts w:cs="Arial"/>
                <w:lang w:val="en-GB"/>
              </w:rPr>
              <w:t xml:space="preserve"> </w:t>
            </w:r>
            <w:r w:rsidRPr="007B2A03">
              <w:rPr>
                <w:rFonts w:cs="Arial"/>
                <w:b/>
                <w:u w:val="single"/>
              </w:rPr>
              <w:br/>
            </w:r>
            <w:r w:rsidR="0058526B">
              <w:rPr>
                <w:rFonts w:cs="Arial"/>
                <w:lang w:val="en-GB"/>
              </w:rPr>
              <w:t>January 2005 – February 2007</w:t>
            </w:r>
          </w:p>
          <w:p w:rsidR="00872331" w:rsidRPr="007B2A03" w:rsidRDefault="00872331" w:rsidP="001475F1">
            <w:pPr>
              <w:jc w:val="both"/>
              <w:rPr>
                <w:rFonts w:cs="Arial"/>
                <w:i/>
                <w:lang w:val="en-GB"/>
              </w:rPr>
            </w:pPr>
            <w:r w:rsidRPr="007B2A03">
              <w:rPr>
                <w:rFonts w:cs="Arial"/>
                <w:lang w:val="en-GB"/>
              </w:rPr>
              <w:t>Duties included:</w:t>
            </w:r>
          </w:p>
          <w:p w:rsidR="00872331" w:rsidRPr="007B2A03" w:rsidRDefault="00872331" w:rsidP="001475F1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Being in charge of asset management products marketing for all asset classes: equities, fixed income, hedge funds, private equity and structured products.</w:t>
            </w:r>
          </w:p>
          <w:p w:rsidR="00872331" w:rsidRPr="007B2A03" w:rsidRDefault="00872331" w:rsidP="001475F1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Producing marketing and sales booklets and monthly portfolio analyses and performance attributions. Setting up new calculation methods for fixed inc</w:t>
            </w:r>
            <w:r w:rsidR="00DD3ECB">
              <w:rPr>
                <w:rFonts w:cs="Arial"/>
                <w:lang w:val="en-GB"/>
              </w:rPr>
              <w:t>ome client reports,</w:t>
            </w:r>
            <w:r w:rsidRPr="007B2A03">
              <w:rPr>
                <w:rFonts w:cs="Arial"/>
                <w:lang w:val="en-GB"/>
              </w:rPr>
              <w:t xml:space="preserve"> performance indicators and risk ratios.</w:t>
            </w:r>
          </w:p>
          <w:p w:rsidR="00872331" w:rsidRPr="007B2A03" w:rsidRDefault="00872331" w:rsidP="001475F1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Answering clients' technical queries on investment strategies and contributing to requests for proposals in collaboration with the marketing and management teams.</w:t>
            </w:r>
          </w:p>
          <w:p w:rsidR="00872331" w:rsidRPr="007B2A03" w:rsidRDefault="00872331" w:rsidP="00123FF3">
            <w:pPr>
              <w:rPr>
                <w:rFonts w:cs="Arial"/>
                <w:b/>
                <w:lang w:val="en-GB"/>
              </w:rPr>
            </w:pPr>
          </w:p>
          <w:p w:rsidR="004C4EA6" w:rsidRPr="008C29B9" w:rsidRDefault="00872331" w:rsidP="00BA226E">
            <w:pPr>
              <w:numPr>
                <w:ilvl w:val="0"/>
                <w:numId w:val="1"/>
              </w:numPr>
              <w:rPr>
                <w:rFonts w:cs="Arial"/>
                <w:lang w:val="en-GB"/>
              </w:rPr>
            </w:pPr>
            <w:r w:rsidRPr="007B2A03">
              <w:rPr>
                <w:rFonts w:cs="Arial"/>
                <w:b/>
                <w:lang w:val="en-GB"/>
              </w:rPr>
              <w:t>HSBC – Private Bank</w:t>
            </w:r>
            <w:r w:rsidRPr="007B2A03">
              <w:rPr>
                <w:rFonts w:cs="Arial"/>
                <w:lang w:val="en-GB"/>
              </w:rPr>
              <w:br/>
              <w:t>Paris and Monaco</w:t>
            </w:r>
            <w:r w:rsidRPr="007B2A03">
              <w:rPr>
                <w:rFonts w:cs="Arial"/>
                <w:lang w:val="en-GB"/>
              </w:rPr>
              <w:br/>
              <w:t xml:space="preserve">Trading Desk </w:t>
            </w:r>
            <w:r w:rsidRPr="007B2A03">
              <w:rPr>
                <w:rFonts w:cs="Arial"/>
                <w:b/>
                <w:u w:val="single"/>
              </w:rPr>
              <w:br/>
            </w:r>
            <w:r w:rsidRPr="007B2A03">
              <w:rPr>
                <w:rFonts w:cs="Arial"/>
                <w:lang w:val="en-GB"/>
              </w:rPr>
              <w:t xml:space="preserve">June 2004 – </w:t>
            </w:r>
            <w:r w:rsidR="004C4EA6">
              <w:rPr>
                <w:rFonts w:cs="Arial"/>
                <w:lang w:val="en-GB"/>
              </w:rPr>
              <w:t>December 2004</w:t>
            </w:r>
          </w:p>
          <w:p w:rsidR="00872331" w:rsidRPr="007B2A03" w:rsidRDefault="00872331" w:rsidP="006B4F40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Duties included:</w:t>
            </w:r>
          </w:p>
          <w:p w:rsidR="00872331" w:rsidRPr="007B2A03" w:rsidRDefault="00872331" w:rsidP="006B4F40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Paris: Traded European and US bonds and equities and provided analyses to HNW clients on market trends.</w:t>
            </w:r>
          </w:p>
          <w:p w:rsidR="00246805" w:rsidRPr="007B2A03" w:rsidRDefault="00872331" w:rsidP="006B4F40">
            <w:p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Monaco: Provided advisory and technical assistance to private portfolio managers on interest rates structured products.</w:t>
            </w:r>
          </w:p>
        </w:tc>
      </w:tr>
      <w:tr w:rsidR="00872331" w:rsidRPr="007B2A03" w:rsidTr="009F5152">
        <w:trPr>
          <w:trHeight w:val="81"/>
        </w:trPr>
        <w:tc>
          <w:tcPr>
            <w:tcW w:w="1617" w:type="dxa"/>
          </w:tcPr>
          <w:p w:rsidR="00872331" w:rsidRPr="007B2A03" w:rsidRDefault="00872331" w:rsidP="00123FF3">
            <w:pPr>
              <w:pStyle w:val="SectionTitle"/>
            </w:pPr>
            <w:r w:rsidRPr="007B2A03">
              <w:t>Skills and technical knowledge</w:t>
            </w:r>
          </w:p>
        </w:tc>
        <w:tc>
          <w:tcPr>
            <w:tcW w:w="8229" w:type="dxa"/>
          </w:tcPr>
          <w:p w:rsidR="0058526B" w:rsidRPr="007B2A03" w:rsidRDefault="0058526B" w:rsidP="00123FF3">
            <w:pPr>
              <w:rPr>
                <w:rFonts w:cs="Arial"/>
                <w:lang w:val="en-GB"/>
              </w:rPr>
            </w:pPr>
          </w:p>
          <w:p w:rsidR="00C73E84" w:rsidRPr="00C73E84" w:rsidRDefault="00C73E84" w:rsidP="00C73E84">
            <w:pPr>
              <w:numPr>
                <w:ilvl w:val="0"/>
                <w:numId w:val="2"/>
              </w:numPr>
              <w:jc w:val="both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CFA Level 1</w:t>
            </w:r>
          </w:p>
          <w:p w:rsidR="00872331" w:rsidRPr="007B2A03" w:rsidRDefault="00246805" w:rsidP="008B6E7B">
            <w:pPr>
              <w:numPr>
                <w:ilvl w:val="0"/>
                <w:numId w:val="2"/>
              </w:numPr>
              <w:jc w:val="both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 skills including advanced</w:t>
            </w:r>
            <w:r w:rsidR="00872331" w:rsidRPr="007B2A03">
              <w:rPr>
                <w:rFonts w:cs="Arial"/>
                <w:lang w:val="en-GB"/>
              </w:rPr>
              <w:t xml:space="preserve"> knowledge of MS Office (Excel, Word, PowerPoint, Access)</w:t>
            </w:r>
          </w:p>
          <w:p w:rsidR="00872331" w:rsidRPr="007B2A03" w:rsidRDefault="00872331" w:rsidP="008B6E7B">
            <w:pPr>
              <w:numPr>
                <w:ilvl w:val="0"/>
                <w:numId w:val="2"/>
              </w:num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Professional use of financial data systems (Bloomberg, Reuters, DataStream)</w:t>
            </w:r>
          </w:p>
          <w:p w:rsidR="008D7938" w:rsidRPr="00C73E84" w:rsidRDefault="00872331" w:rsidP="00C73E84">
            <w:pPr>
              <w:numPr>
                <w:ilvl w:val="0"/>
                <w:numId w:val="2"/>
              </w:num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Professional use of estate agency softwares: Jupix and Expert Agent</w:t>
            </w:r>
          </w:p>
          <w:p w:rsidR="00B52C25" w:rsidRPr="007B2A03" w:rsidRDefault="00B52C25" w:rsidP="008B6E7B">
            <w:pPr>
              <w:numPr>
                <w:ilvl w:val="0"/>
                <w:numId w:val="2"/>
              </w:numPr>
              <w:jc w:val="both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French Driving License holder</w:t>
            </w:r>
          </w:p>
          <w:p w:rsidR="00872331" w:rsidRPr="007B2A03" w:rsidRDefault="00872331" w:rsidP="008B6E7B">
            <w:pPr>
              <w:numPr>
                <w:ilvl w:val="0"/>
                <w:numId w:val="2"/>
              </w:numPr>
              <w:jc w:val="both"/>
              <w:rPr>
                <w:rFonts w:cs="Arial"/>
                <w:lang w:val="en-GB"/>
              </w:rPr>
            </w:pPr>
            <w:r w:rsidRPr="007B2A03">
              <w:rPr>
                <w:rFonts w:cs="Arial"/>
                <w:lang w:val="en-GB"/>
              </w:rPr>
              <w:t>Fluent in English, French and Arabic</w:t>
            </w:r>
          </w:p>
        </w:tc>
      </w:tr>
    </w:tbl>
    <w:p w:rsidR="005C348E" w:rsidRPr="007B2A03" w:rsidRDefault="005C348E" w:rsidP="00B0121C">
      <w:pPr>
        <w:rPr>
          <w:rFonts w:cs="Arial"/>
        </w:rPr>
      </w:pPr>
    </w:p>
    <w:sectPr w:rsidR="005C348E" w:rsidRPr="007B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804" w:rsidRDefault="00456804" w:rsidP="00B0121C">
      <w:r>
        <w:separator/>
      </w:r>
    </w:p>
  </w:endnote>
  <w:endnote w:type="continuationSeparator" w:id="0">
    <w:p w:rsidR="00456804" w:rsidRDefault="00456804" w:rsidP="00B0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804" w:rsidRDefault="00456804" w:rsidP="00B0121C">
      <w:r>
        <w:separator/>
      </w:r>
    </w:p>
  </w:footnote>
  <w:footnote w:type="continuationSeparator" w:id="0">
    <w:p w:rsidR="00456804" w:rsidRDefault="00456804" w:rsidP="00B01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083"/>
    <w:multiLevelType w:val="hybridMultilevel"/>
    <w:tmpl w:val="97C4A460"/>
    <w:lvl w:ilvl="0" w:tplc="08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23A841A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A283599"/>
    <w:multiLevelType w:val="hybridMultilevel"/>
    <w:tmpl w:val="15C4559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4B277D"/>
    <w:multiLevelType w:val="hybridMultilevel"/>
    <w:tmpl w:val="C0B09A44"/>
    <w:lvl w:ilvl="0" w:tplc="08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23A841A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24E052CA"/>
    <w:multiLevelType w:val="hybridMultilevel"/>
    <w:tmpl w:val="93AE0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C21BF"/>
    <w:multiLevelType w:val="hybridMultilevel"/>
    <w:tmpl w:val="B3E2622E"/>
    <w:lvl w:ilvl="0" w:tplc="08090005">
      <w:start w:val="1"/>
      <w:numFmt w:val="bullet"/>
      <w:lvlText w:val="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23A841A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C1975C3"/>
    <w:multiLevelType w:val="singleLevel"/>
    <w:tmpl w:val="8C7CD9A0"/>
    <w:lvl w:ilvl="0">
      <w:start w:val="1"/>
      <w:numFmt w:val="bullet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2"/>
      </w:rPr>
    </w:lvl>
  </w:abstractNum>
  <w:abstractNum w:abstractNumId="6" w15:restartNumberingAfterBreak="0">
    <w:nsid w:val="684F7180"/>
    <w:multiLevelType w:val="hybridMultilevel"/>
    <w:tmpl w:val="E77E7886"/>
    <w:lvl w:ilvl="0" w:tplc="040C0005">
      <w:start w:val="1"/>
      <w:numFmt w:val="bullet"/>
      <w:lvlText w:val="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23A841A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3136BD7"/>
    <w:multiLevelType w:val="hybridMultilevel"/>
    <w:tmpl w:val="BE347ACC"/>
    <w:lvl w:ilvl="0" w:tplc="08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31"/>
    <w:rsid w:val="00021F80"/>
    <w:rsid w:val="00023BE3"/>
    <w:rsid w:val="00024A30"/>
    <w:rsid w:val="00044655"/>
    <w:rsid w:val="000666A3"/>
    <w:rsid w:val="00097B93"/>
    <w:rsid w:val="000A1E06"/>
    <w:rsid w:val="000C7795"/>
    <w:rsid w:val="000E4E93"/>
    <w:rsid w:val="000F225F"/>
    <w:rsid w:val="00111D4D"/>
    <w:rsid w:val="001155F2"/>
    <w:rsid w:val="00123FAA"/>
    <w:rsid w:val="0013720D"/>
    <w:rsid w:val="00137364"/>
    <w:rsid w:val="001475F1"/>
    <w:rsid w:val="00147A49"/>
    <w:rsid w:val="00156DBB"/>
    <w:rsid w:val="0016265F"/>
    <w:rsid w:val="0016292B"/>
    <w:rsid w:val="0016377D"/>
    <w:rsid w:val="001B01D2"/>
    <w:rsid w:val="001C5DE3"/>
    <w:rsid w:val="002373C9"/>
    <w:rsid w:val="00246805"/>
    <w:rsid w:val="00265022"/>
    <w:rsid w:val="00280E9C"/>
    <w:rsid w:val="00292109"/>
    <w:rsid w:val="00292B07"/>
    <w:rsid w:val="00296C5F"/>
    <w:rsid w:val="002B252C"/>
    <w:rsid w:val="002D58BE"/>
    <w:rsid w:val="002D7DF9"/>
    <w:rsid w:val="00317398"/>
    <w:rsid w:val="00327959"/>
    <w:rsid w:val="00353AF8"/>
    <w:rsid w:val="00356599"/>
    <w:rsid w:val="003611B3"/>
    <w:rsid w:val="00394046"/>
    <w:rsid w:val="003A5426"/>
    <w:rsid w:val="003B3432"/>
    <w:rsid w:val="003D2FAF"/>
    <w:rsid w:val="003D5E8E"/>
    <w:rsid w:val="003E136F"/>
    <w:rsid w:val="0040284D"/>
    <w:rsid w:val="0040290B"/>
    <w:rsid w:val="00413F12"/>
    <w:rsid w:val="00423124"/>
    <w:rsid w:val="00447D31"/>
    <w:rsid w:val="00456804"/>
    <w:rsid w:val="00457F5E"/>
    <w:rsid w:val="0046100A"/>
    <w:rsid w:val="0047492A"/>
    <w:rsid w:val="00493D12"/>
    <w:rsid w:val="004A095C"/>
    <w:rsid w:val="004C49FB"/>
    <w:rsid w:val="004C4EA6"/>
    <w:rsid w:val="004C5143"/>
    <w:rsid w:val="00505067"/>
    <w:rsid w:val="00527F03"/>
    <w:rsid w:val="005522B1"/>
    <w:rsid w:val="005532D8"/>
    <w:rsid w:val="005671C4"/>
    <w:rsid w:val="0058526B"/>
    <w:rsid w:val="0059264A"/>
    <w:rsid w:val="005B3ACA"/>
    <w:rsid w:val="005C348E"/>
    <w:rsid w:val="005F2CCD"/>
    <w:rsid w:val="00602AE9"/>
    <w:rsid w:val="00605EE8"/>
    <w:rsid w:val="006123E6"/>
    <w:rsid w:val="00634FF8"/>
    <w:rsid w:val="00696CBB"/>
    <w:rsid w:val="006A312B"/>
    <w:rsid w:val="006A57D3"/>
    <w:rsid w:val="006B4F40"/>
    <w:rsid w:val="006F05DE"/>
    <w:rsid w:val="007173E2"/>
    <w:rsid w:val="00726815"/>
    <w:rsid w:val="00770D3D"/>
    <w:rsid w:val="0077149E"/>
    <w:rsid w:val="007A0737"/>
    <w:rsid w:val="007B2A03"/>
    <w:rsid w:val="007C752C"/>
    <w:rsid w:val="007D1FD2"/>
    <w:rsid w:val="007D536B"/>
    <w:rsid w:val="007E3D3E"/>
    <w:rsid w:val="007F315B"/>
    <w:rsid w:val="0081551B"/>
    <w:rsid w:val="00835F1D"/>
    <w:rsid w:val="00837B0F"/>
    <w:rsid w:val="00840CF8"/>
    <w:rsid w:val="00872331"/>
    <w:rsid w:val="008730F5"/>
    <w:rsid w:val="00881FBE"/>
    <w:rsid w:val="008B6E7B"/>
    <w:rsid w:val="008C29B9"/>
    <w:rsid w:val="008D4A45"/>
    <w:rsid w:val="008D7938"/>
    <w:rsid w:val="00901829"/>
    <w:rsid w:val="00925773"/>
    <w:rsid w:val="0093154E"/>
    <w:rsid w:val="00934EA2"/>
    <w:rsid w:val="00957A6F"/>
    <w:rsid w:val="00976819"/>
    <w:rsid w:val="00996A84"/>
    <w:rsid w:val="009B45F6"/>
    <w:rsid w:val="009C6739"/>
    <w:rsid w:val="009E1A4F"/>
    <w:rsid w:val="009F5152"/>
    <w:rsid w:val="00A07D65"/>
    <w:rsid w:val="00A515A4"/>
    <w:rsid w:val="00A74BF2"/>
    <w:rsid w:val="00A76E51"/>
    <w:rsid w:val="00AA15BA"/>
    <w:rsid w:val="00AA57B0"/>
    <w:rsid w:val="00AB23D5"/>
    <w:rsid w:val="00AB7FDE"/>
    <w:rsid w:val="00AE3BCB"/>
    <w:rsid w:val="00B0121C"/>
    <w:rsid w:val="00B0699C"/>
    <w:rsid w:val="00B46F2C"/>
    <w:rsid w:val="00B52062"/>
    <w:rsid w:val="00B52C25"/>
    <w:rsid w:val="00B97AA2"/>
    <w:rsid w:val="00BA226E"/>
    <w:rsid w:val="00BB30DA"/>
    <w:rsid w:val="00BE107F"/>
    <w:rsid w:val="00BF3E81"/>
    <w:rsid w:val="00C51A73"/>
    <w:rsid w:val="00C73E84"/>
    <w:rsid w:val="00C93D27"/>
    <w:rsid w:val="00C94E2C"/>
    <w:rsid w:val="00CD3503"/>
    <w:rsid w:val="00CF2D5A"/>
    <w:rsid w:val="00CF5497"/>
    <w:rsid w:val="00D569D4"/>
    <w:rsid w:val="00D764D1"/>
    <w:rsid w:val="00D76D4B"/>
    <w:rsid w:val="00D77F11"/>
    <w:rsid w:val="00D8766F"/>
    <w:rsid w:val="00D909A5"/>
    <w:rsid w:val="00D95DC7"/>
    <w:rsid w:val="00DA0AC8"/>
    <w:rsid w:val="00DB6698"/>
    <w:rsid w:val="00DB76BA"/>
    <w:rsid w:val="00DD3ECB"/>
    <w:rsid w:val="00E00124"/>
    <w:rsid w:val="00E206D7"/>
    <w:rsid w:val="00E628AD"/>
    <w:rsid w:val="00E66C01"/>
    <w:rsid w:val="00E96212"/>
    <w:rsid w:val="00EC6545"/>
    <w:rsid w:val="00ED26BF"/>
    <w:rsid w:val="00EF0849"/>
    <w:rsid w:val="00EF0E7C"/>
    <w:rsid w:val="00EF7C4D"/>
    <w:rsid w:val="00F161E2"/>
    <w:rsid w:val="00F314A9"/>
    <w:rsid w:val="00F41979"/>
    <w:rsid w:val="00F50299"/>
    <w:rsid w:val="00F54700"/>
    <w:rsid w:val="00F96A9A"/>
    <w:rsid w:val="00FB1293"/>
    <w:rsid w:val="00FB665C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435D"/>
  <w15:docId w15:val="{43D1D937-A9E6-49B8-9151-F2C9B4BF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33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72331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872331"/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Achievement">
    <w:name w:val="Achievement"/>
    <w:basedOn w:val="BodyText"/>
    <w:rsid w:val="00872331"/>
    <w:pPr>
      <w:spacing w:after="60"/>
    </w:pPr>
  </w:style>
  <w:style w:type="paragraph" w:customStyle="1" w:styleId="CompanyName">
    <w:name w:val="Company Name"/>
    <w:basedOn w:val="Normal"/>
    <w:next w:val="Normal"/>
    <w:autoRedefine/>
    <w:rsid w:val="000666A3"/>
    <w:pPr>
      <w:tabs>
        <w:tab w:val="left" w:pos="0"/>
        <w:tab w:val="left" w:pos="34"/>
        <w:tab w:val="left" w:pos="2055"/>
      </w:tabs>
      <w:spacing w:before="120" w:after="60"/>
      <w:jc w:val="both"/>
    </w:pPr>
  </w:style>
  <w:style w:type="paragraph" w:customStyle="1" w:styleId="SectionTitle">
    <w:name w:val="Section Title"/>
    <w:basedOn w:val="Normal"/>
    <w:next w:val="Normal"/>
    <w:autoRedefine/>
    <w:rsid w:val="00872331"/>
    <w:pPr>
      <w:spacing w:before="220" w:line="220" w:lineRule="atLeast"/>
      <w:jc w:val="center"/>
    </w:pPr>
    <w:rPr>
      <w:rFonts w:cs="Arial"/>
      <w:b/>
      <w:spacing w:val="-10"/>
    </w:rPr>
  </w:style>
  <w:style w:type="paragraph" w:styleId="ListParagraph">
    <w:name w:val="List Paragraph"/>
    <w:basedOn w:val="Normal"/>
    <w:uiPriority w:val="34"/>
    <w:qFormat/>
    <w:rsid w:val="00872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3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12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21C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12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21C"/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CompuTOP</cp:lastModifiedBy>
  <cp:revision>10</cp:revision>
  <cp:lastPrinted>2015-05-31T20:58:00Z</cp:lastPrinted>
  <dcterms:created xsi:type="dcterms:W3CDTF">2016-07-18T20:30:00Z</dcterms:created>
  <dcterms:modified xsi:type="dcterms:W3CDTF">2016-08-07T12:35:00Z</dcterms:modified>
</cp:coreProperties>
</file>