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0" w:lineRule="auto"/>
      </w:pPr>
    </w:p>
    <w:p>
      <w:pPr>
        <w:spacing w:before="0" w:after="0" w:line="0" w:lineRule="auto"/>
      </w:pPr>
    </w:p>
    <w:p>
      <w:pPr>
        <w:spacing w:before="0" w:after="0" w:line="0" w:lineRule="auto"/>
      </w:pPr>
    </w:p>
    <w:p>
      <w:pPr>
        <w:spacing w:before="0" w:after="0" w:line="0" w:lineRule="auto"/>
      </w:pPr>
    </w:p>
    <w:p>
      <w:pPr>
        <w:spacing w:before="0" w:after="0" w:line="0" w:lineRule="auto"/>
      </w:pPr>
    </w:p>
    <w:p>
      <w:pPr>
        <w:spacing w:before="0" w:after="0" w:line="0" w:lineRule="auto"/>
      </w:pPr>
    </w:p>
    <w:p>
      <w:pPr>
        <w:spacing w:before="0" w:after="0" w:line="0" w:lineRule="auto"/>
      </w:pPr>
    </w:p>
    <w:p>
      <w:pPr>
        <w:spacing w:before="0" w:after="0" w:line="0" w:lineRule="auto"/>
      </w:pPr>
    </w:p>
    <w:p>
      <w:pPr>
        <w:spacing w:before="0" w:after="120" w:line="288" w:lineRule="auto"/>
        <w:jc w:val="center"/>
      </w:pPr>
      <w:r>
        <w:rPr>
          <w:rFonts w:ascii="Calibri" w:hAnsi="Calibri"/>
          <w:b/>
          <w:color w:val="000000"/>
          <w:sz w:val="44"/>
        </w:rPr>
        <w:t>PRODUCT REQUIREMENTS DOCUMENT</w:t>
      </w:r>
    </w:p>
    <w:p>
      <w:pPr>
        <w:spacing w:before="0" w:after="600" w:line="288" w:lineRule="auto"/>
        <w:jc w:val="center"/>
      </w:pPr>
      <w:r>
        <w:rPr>
          <w:rFonts w:ascii="Calibri" w:hAnsi="Calibri"/>
          <w:b w:val="0"/>
          <w:color w:val="000000"/>
          <w:sz w:val="28"/>
        </w:rPr>
        <w:t>RLHF Training Pipeline — End-to-End Preference Alignment from Scratch</w:t>
      </w:r>
    </w:p>
    <w:p>
      <w:pPr>
        <w:spacing w:before="0" w:after="40" w:line="276" w:lineRule="auto"/>
        <w:jc w:val="center"/>
      </w:pPr>
      <w:r>
        <w:rPr>
          <w:rFonts w:ascii="Calibri" w:hAnsi="Calibri"/>
          <w:b w:val="0"/>
          <w:color w:val="000000"/>
          <w:sz w:val="21"/>
        </w:rPr>
        <w:t>Version 1.0</w:t>
      </w:r>
    </w:p>
    <w:p>
      <w:pPr>
        <w:spacing w:before="0" w:after="40" w:line="276" w:lineRule="auto"/>
        <w:jc w:val="center"/>
      </w:pPr>
      <w:r>
        <w:rPr>
          <w:rFonts w:ascii="Calibri" w:hAnsi="Calibri"/>
          <w:b w:val="0"/>
          <w:color w:val="000000"/>
          <w:sz w:val="21"/>
        </w:rPr>
        <w:t>Date: May 2025</w:t>
      </w:r>
    </w:p>
    <w:p>
      <w:pPr>
        <w:spacing w:before="0" w:after="40" w:line="276" w:lineRule="auto"/>
        <w:jc w:val="center"/>
      </w:pPr>
      <w:r>
        <w:rPr>
          <w:rFonts w:ascii="Calibri" w:hAnsi="Calibri"/>
          <w:b w:val="0"/>
          <w:color w:val="000000"/>
          <w:sz w:val="21"/>
        </w:rPr>
        <w:t>Author: AI Alignment Infrastructure Team</w:t>
      </w:r>
    </w:p>
    <w:p>
      <w:pPr>
        <w:spacing w:before="0" w:after="40" w:line="276" w:lineRule="auto"/>
        <w:jc w:val="center"/>
      </w:pPr>
      <w:r>
        <w:rPr>
          <w:rFonts w:ascii="Calibri" w:hAnsi="Calibri"/>
          <w:b w:val="0"/>
          <w:color w:val="000000"/>
          <w:sz w:val="21"/>
        </w:rPr>
        <w:t>Classification: Internal — Confidential</w:t>
      </w:r>
    </w:p>
    <w:p>
      <w:r>
        <w:br w:type="page"/>
      </w:r>
    </w:p>
    <w:p>
      <w:pPr>
        <w:spacing w:before="320" w:after="120" w:line="276" w:lineRule="auto"/>
      </w:pPr>
      <w:r>
        <w:rPr>
          <w:rFonts w:ascii="Calibri" w:hAnsi="Calibri"/>
          <w:b/>
          <w:color w:val="000000"/>
          <w:sz w:val="26"/>
        </w:rPr>
        <w:t>1. EXECUTIVE SUMMARY</w:t>
      </w:r>
    </w:p>
    <w:p>
      <w:pPr>
        <w:spacing w:before="80" w:after="80" w:line="259" w:lineRule="auto"/>
      </w:pPr>
      <w:r>
        <w:rPr>
          <w:rFonts w:ascii="Calibri" w:hAnsi="Calibri"/>
          <w:b w:val="0"/>
          <w:color w:val="000000"/>
          <w:sz w:val="21"/>
        </w:rPr>
        <w:t>Reinforcement Learning from Human Feedback (RLHF) represents the single most consequential advancement in language model alignment since the invention of the transformer architecture. It is the technique that transforms a raw, unguided base language model into a safe, helpful, and instruction-following assistant. RLHF underpins the behavior of every major deployed language model today — including OpenAI's GPT-4, Anthropic's Claude, Google's Gemini, and Meta's Llama-3 family — each of which relies on a multi-stage training pipeline that combines supervised fine-tuning, reward modeling, and reinforcement learning to instill human-aligned preferences into the model's generative distribution.</w:t>
      </w:r>
    </w:p>
    <w:p>
      <w:pPr>
        <w:spacing w:before="80" w:after="80" w:line="259" w:lineRule="auto"/>
      </w:pPr>
      <w:r>
        <w:rPr>
          <w:rFonts w:ascii="Calibri" w:hAnsi="Calibri"/>
          <w:b w:val="0"/>
          <w:color w:val="000000"/>
          <w:sz w:val="21"/>
        </w:rPr>
        <w:t>This document specifies the end-to-end architecture, component design, and implementation roadmap for building a complete RLHF training pipeline from scratch. The pipeline encompasses three sequential stages: (1) Supervised Fine-Tuning (SFT) using LoRA adapters atop a Llama-3-8B base model, (2) training a Bradley-Terry preference-based Reward Model from human comparison data, and (3) Proximal Policy Optimization (PPO) that tunes the SFT policy against the frozen reward model while regularizing via KL-divergence to a reference policy. This is not a wrapper around an existing API; it is a ground-up implementation that exposes every design decision, every hyperparameter, and every engineering trade-off to the practitioner.</w:t>
      </w:r>
    </w:p>
    <w:p>
      <w:pPr>
        <w:spacing w:before="80" w:after="80" w:line="259" w:lineRule="auto"/>
      </w:pPr>
      <w:r>
        <w:rPr>
          <w:rFonts w:ascii="Calibri" w:hAnsi="Calibri"/>
          <w:b w:val="0"/>
          <w:color w:val="000000"/>
          <w:sz w:val="21"/>
        </w:rPr>
        <w:t>The rationale for building this infrastructure from scratch rather than consuming off-the-shelf alignment services is threefold. First, deep organizational understanding: alignment is a competitive moat, and owning the full stack ensures that the engineering team can debug, audit, and extend every component. Second, domain-specific customization: general-purpose alignment services (e.g., OpenAI's fine-tuning API) optimize for broad user satisfaction, not for the specific needs of a medical, legal, or financial domain. A custom pipeline permits curation of domain-specific preference data and tuning of the reward model to domain-relevant correctness criteria. Third, cost control at scale: API-based fine-tuning costs can become prohibitive at high throughput; an internally managed pipeline on owned or reserved GPU instances provides predictable marginal cost per training run.</w:t>
      </w:r>
    </w:p>
    <w:p>
      <w:pPr>
        <w:spacing w:before="80" w:after="80" w:line="259" w:lineRule="auto"/>
      </w:pPr>
      <w:r>
        <w:rPr>
          <w:rFonts w:ascii="Calibri" w:hAnsi="Calibri"/>
          <w:b w:val="0"/>
          <w:color w:val="000000"/>
          <w:sz w:val="21"/>
        </w:rPr>
        <w:t>Ultimately, this pipeline is the infrastructure that turns a base language model — an entity that merely predicts the next token — into a safe, helpful, and aligned assistant that can follow complex instructions, refuse harmful requests, and calibrate its uncertainty appropriately. The PRD that follows defines precisely how to build it.</w:t>
      </w:r>
    </w:p>
    <w:p>
      <w:pPr>
        <w:spacing w:before="320" w:after="120" w:line="276" w:lineRule="auto"/>
      </w:pPr>
      <w:r>
        <w:rPr>
          <w:rFonts w:ascii="Calibri" w:hAnsi="Calibri"/>
          <w:b/>
          <w:color w:val="000000"/>
          <w:sz w:val="26"/>
        </w:rPr>
        <w:t>2. PROBLEM STATEMENT</w:t>
      </w:r>
    </w:p>
    <w:p>
      <w:pPr>
        <w:spacing w:before="200" w:after="60" w:line="264" w:lineRule="auto"/>
      </w:pPr>
      <w:r>
        <w:rPr>
          <w:rFonts w:ascii="Calibri" w:hAnsi="Calibri"/>
          <w:b/>
          <w:color w:val="000000"/>
          <w:sz w:val="22"/>
        </w:rPr>
        <w:t>2.1 Base Models Are Not Assistants</w:t>
      </w:r>
    </w:p>
    <w:p>
      <w:pPr>
        <w:spacing w:before="80" w:after="80" w:line="259" w:lineRule="auto"/>
      </w:pPr>
      <w:r>
        <w:rPr>
          <w:rFonts w:ascii="Calibri" w:hAnsi="Calibri"/>
          <w:b w:val="0"/>
          <w:color w:val="000000"/>
          <w:sz w:val="21"/>
        </w:rPr>
        <w:t>A base language model (e.g., Llama-3-8B pre-trained on trillions of tokens) is fundamentally a next-token predictor. It has no concept of helpfulness, harmlessness, or instruction-following. When prompted with a question, it may continue the prompt as though it were a document, generate a list of related questions, or produce text that is factually incorrect delivered with complete confidence. These models are trained to maximize the likelihood of internet text, not to serve as conversational agents. The delta between a base model and a production assistant is vast and cannot be bridged by prompt engineering alone.</w:t>
      </w:r>
    </w:p>
    <w:p>
      <w:pPr>
        <w:spacing w:before="200" w:after="60" w:line="264" w:lineRule="auto"/>
      </w:pPr>
      <w:r>
        <w:rPr>
          <w:rFonts w:ascii="Calibri" w:hAnsi="Calibri"/>
          <w:b/>
          <w:color w:val="000000"/>
          <w:sz w:val="22"/>
        </w:rPr>
        <w:t>2.2 Supervised Fine-Tuning Is Insufficient</w:t>
      </w:r>
    </w:p>
    <w:p>
      <w:pPr>
        <w:spacing w:before="80" w:after="80" w:line="259" w:lineRule="auto"/>
      </w:pPr>
      <w:r>
        <w:rPr>
          <w:rFonts w:ascii="Calibri" w:hAnsi="Calibri"/>
          <w:b w:val="0"/>
          <w:color w:val="000000"/>
          <w:sz w:val="21"/>
        </w:rPr>
        <w:t>Supervised fine-tuning on instruction-response pairs teaches a model the format of an assistant — it learns the distribution of tokens that constitute a helpful response. However, SFT alone is fundamentally limited: the model learns to mimic what humans have written, not to understand what humans truly prefer. Given two factually correct responses to the same prompt, SFT provides no mechanism to prefer the more concise, the more empathetic, or the more actionable one. Preference learning — the ability to rank responses — is the missing signal, and it is precisely what RLHF introduces.</w:t>
      </w:r>
    </w:p>
    <w:p>
      <w:pPr>
        <w:spacing w:before="200" w:after="60" w:line="264" w:lineRule="auto"/>
      </w:pPr>
      <w:r>
        <w:rPr>
          <w:rFonts w:ascii="Calibri" w:hAnsi="Calibri"/>
          <w:b/>
          <w:color w:val="000000"/>
          <w:sz w:val="22"/>
        </w:rPr>
        <w:t>2.3 Reward Hacking and Goodhart's Law</w:t>
      </w:r>
    </w:p>
    <w:p>
      <w:pPr>
        <w:spacing w:before="80" w:after="80" w:line="259" w:lineRule="auto"/>
      </w:pPr>
      <w:r>
        <w:rPr>
          <w:rFonts w:ascii="Calibri" w:hAnsi="Calibri"/>
          <w:b w:val="0"/>
          <w:color w:val="000000"/>
          <w:sz w:val="21"/>
        </w:rPr>
        <w:t>When a reward model is used as a proxy for human judgment, the policy being optimized will inevitably discover exploit patterns — responses that score highly on the reward model but are nonsensical, repetitive, or outright harmful to a human evaluator. This phenomenon, known as reward hacking or Goodhart's Law ("when a measure becomes a target, it ceases to be a good measure"), is the central tension in RLHF. Without proper constraints — specifically a KL divergence penalty that prevents the policy from drifting too far from a well-behaved reference model — the optimization will collapse into a degenerate regime where reward increases while actual response quality deteriorates.</w:t>
      </w:r>
    </w:p>
    <w:p>
      <w:pPr>
        <w:spacing w:before="200" w:after="60" w:line="264" w:lineRule="auto"/>
      </w:pPr>
      <w:r>
        <w:rPr>
          <w:rFonts w:ascii="Calibri" w:hAnsi="Calibri"/>
          <w:b/>
          <w:color w:val="000000"/>
          <w:sz w:val="22"/>
        </w:rPr>
        <w:t>2.4 Mode Collapse and Diversity Loss</w:t>
      </w:r>
    </w:p>
    <w:p>
      <w:pPr>
        <w:spacing w:before="80" w:after="80" w:line="259" w:lineRule="auto"/>
      </w:pPr>
      <w:r>
        <w:rPr>
          <w:rFonts w:ascii="Calibri" w:hAnsi="Calibri"/>
          <w:b w:val="0"/>
          <w:color w:val="000000"/>
          <w:sz w:val="21"/>
        </w:rPr>
        <w:t>A second failure mode is mode collapse: the policy converges to a narrow set of high-reward responses and loses the generation diversity that makes language models useful across varied contexts. This manifests as repetitive phrasing, overuse of certain sentence structures, and an inability to adapt tone or style to the prompt. Mode collapse is exacerbated by aggressive PPO updates and insufficient entropy in the generation process. Mitigating it requires careful tuning of the PPO clipping parameter, temperature, and the inclusion of an entropy bonus in the objective function.</w:t>
      </w:r>
    </w:p>
    <w:p>
      <w:pPr>
        <w:spacing w:before="200" w:after="60" w:line="264" w:lineRule="auto"/>
      </w:pPr>
      <w:r>
        <w:rPr>
          <w:rFonts w:ascii="Calibri" w:hAnsi="Calibri"/>
          <w:b/>
          <w:color w:val="000000"/>
          <w:sz w:val="22"/>
        </w:rPr>
        <w:t>2.5 Distributed Training Complexity</w:t>
      </w:r>
    </w:p>
    <w:p>
      <w:pPr>
        <w:spacing w:before="80" w:after="80" w:line="259" w:lineRule="auto"/>
      </w:pPr>
      <w:r>
        <w:rPr>
          <w:rFonts w:ascii="Calibri" w:hAnsi="Calibri"/>
          <w:b w:val="0"/>
          <w:color w:val="000000"/>
          <w:sz w:val="21"/>
        </w:rPr>
        <w:t>Running an RLHF pipeline at scale — particularly the PPO stage which requires four distinct models loaded simultaneously in GPU memory — demands expertise in distributed training that relatively few engineering teams possess. The memory footprint of the policy, reference, reward, and value models combined far exceeds the capacity of a single GPU. This necessitates model sharding strategies (DeepSpeed ZeRO-3 or FSDP), gradient checkpointing to trade compute for memory, and careful orchestration of forward and backward passes across a multi-GPU topology. Incorrect configuration leads to OOM errors, silent correctness bugs from mismatched sharding, or throughput so low that training runs become economically infeasible.</w:t>
      </w:r>
    </w:p>
    <w:p>
      <w:pPr>
        <w:spacing w:before="200" w:after="60" w:line="264" w:lineRule="auto"/>
      </w:pPr>
      <w:r>
        <w:rPr>
          <w:rFonts w:ascii="Calibri" w:hAnsi="Calibri"/>
          <w:b/>
          <w:color w:val="000000"/>
          <w:sz w:val="22"/>
        </w:rPr>
        <w:t>2.6 Data Quality as the Hidden Bottleneck</w:t>
      </w:r>
    </w:p>
    <w:p>
      <w:pPr>
        <w:spacing w:before="80" w:after="80" w:line="259" w:lineRule="auto"/>
      </w:pPr>
      <w:r>
        <w:rPr>
          <w:rFonts w:ascii="Calibri" w:hAnsi="Calibri"/>
          <w:b w:val="0"/>
          <w:color w:val="000000"/>
          <w:sz w:val="21"/>
        </w:rPr>
        <w:t>While model architecture and training algorithms receive the most attention in the literature, data quality is the single largest determinant of RLHF success in practice. Instruction data sets scraped from the web contain near-duplicates that artificially inflate effective batch size and bias the model. Toxicity in training examples — even at low rates — can be amplified by the PPO process, producing an aligned model that nonetheless outputs harmful content under adversarial prompting. Semantic homogeneity in the instruction set leads to a model that performs well on narrow benchmarks but fails on out-of-distribution requests. Each of these issues requires dedicated infrastructure: MinHash deduplication, toxicity classifier integration, and diversity sampling pipelines that are often the most engineering-intensive components of the system.</w:t>
      </w:r>
    </w:p>
    <w:p>
      <w:pPr>
        <w:spacing w:before="320" w:after="120" w:line="276" w:lineRule="auto"/>
      </w:pPr>
      <w:r>
        <w:rPr>
          <w:rFonts w:ascii="Calibri" w:hAnsi="Calibri"/>
          <w:b/>
          <w:color w:val="000000"/>
          <w:sz w:val="26"/>
        </w:rPr>
        <w:t>3. SOLUTION OVERVIEW</w:t>
      </w:r>
    </w:p>
    <w:p>
      <w:pPr>
        <w:spacing w:before="80" w:after="80" w:line="259" w:lineRule="auto"/>
      </w:pPr>
      <w:r>
        <w:rPr>
          <w:rFonts w:ascii="Calibri" w:hAnsi="Calibri"/>
          <w:b w:val="0"/>
          <w:color w:val="000000"/>
          <w:sz w:val="21"/>
        </w:rPr>
        <w:t>The RLHF Training Pipeline is architected as a sequential three-stage process, with each stage producing artifacts consumed by the subsequent stage. The pipeline is designed to be modular, reproducible, and observable: every stage is independently configurable, every training run is tracked in Weights &amp; Biases, and every artifact is versioned in S3 with associated metadata (hyperparameters, evaluation scores, data provenance). The following describes each stage at a high level; detailed component specifications appear in Section 5.</w:t>
      </w:r>
    </w:p>
    <w:p>
      <w:pPr>
        <w:spacing w:before="200" w:after="60" w:line="264" w:lineRule="auto"/>
      </w:pPr>
      <w:r>
        <w:rPr>
          <w:rFonts w:ascii="Calibri" w:hAnsi="Calibri"/>
          <w:b/>
          <w:color w:val="000000"/>
          <w:sz w:val="22"/>
        </w:rPr>
        <w:t>Stage 1 — Supervised Fine-Tuning (SFT)</w:t>
      </w:r>
    </w:p>
    <w:p>
      <w:pPr>
        <w:spacing w:before="80" w:after="80" w:line="259" w:lineRule="auto"/>
      </w:pPr>
      <w:r>
        <w:rPr>
          <w:rFonts w:ascii="Calibri" w:hAnsi="Calibri"/>
          <w:b w:val="0"/>
          <w:color w:val="000000"/>
          <w:sz w:val="21"/>
        </w:rPr>
        <w:t>The pipeline begins by fine-tuning a pre-trained base model — specifically Llama-3-8B or a comparable decoder-only transformer — on a curated corpus of high-quality instruction-response pairs. Fine-tuning is performed via Low-Rank Adaptation (LoRA), which inserts trainable rank-decomposition matrices into the attention projections (q_proj, k_proj, v_proj, o_proj) of every transformer layer while keeping the original weights frozen. This approach reduces trainable parameters from 8 billion to approximately 40 million, making training feasible on a single node of 4x A100 GPUs with DeepSpeed ZeRO-3 sharding. The loss function is standard causal language modeling cross-entropy, computed only on the response tokens (the prompt tokens are excluded from the loss to prevent the model from learning to reproduce the prompt). The output of this stage is a LoRA adapter module plus the frozen base weights, collectively forming the SFT policy model.</w:t>
      </w:r>
    </w:p>
    <w:p>
      <w:pPr>
        <w:spacing w:before="200" w:after="60" w:line="264" w:lineRule="auto"/>
      </w:pPr>
      <w:r>
        <w:rPr>
          <w:rFonts w:ascii="Calibri" w:hAnsi="Calibri"/>
          <w:b/>
          <w:color w:val="000000"/>
          <w:sz w:val="22"/>
        </w:rPr>
        <w:t>Stage 2 — Reward Model Training</w:t>
      </w:r>
    </w:p>
    <w:p>
      <w:pPr>
        <w:spacing w:before="80" w:after="80" w:line="259" w:lineRule="auto"/>
      </w:pPr>
      <w:r>
        <w:rPr>
          <w:rFonts w:ascii="Calibri" w:hAnsi="Calibri"/>
          <w:b w:val="0"/>
          <w:color w:val="000000"/>
          <w:sz w:val="21"/>
        </w:rPr>
        <w:t>The reward model is trained on human preference data consisting of triples (prompt, chosen_response, rejected_response). Architecturally, it mirrors the base model but replaces the language-modeling head with a scalar regression head that outputs a single real number — the predicted reward. Training uses the Bradley-Terry preference model: the probability that response A is preferred over response B is modeled as P(A &gt; B) = sigma(r_A - r_B), where sigma is the logistic sigmoid. The loss is binary cross-entropy between the predicted probability and the ground-truth preference label. Human preference data is collected through a custom-built annotation UI (Next.js-based web application) that presents annotators with a prompt and two candidate responses, records their selection, and persists it to a PostgreSQL database. The target dataset size is 10,000+ preference pairs with inter-annotator agreement metrics tracked to ensure annotation quality.</w:t>
      </w:r>
    </w:p>
    <w:p>
      <w:pPr>
        <w:spacing w:before="200" w:after="60" w:line="264" w:lineRule="auto"/>
      </w:pPr>
      <w:r>
        <w:rPr>
          <w:rFonts w:ascii="Calibri" w:hAnsi="Calibri"/>
          <w:b/>
          <w:color w:val="000000"/>
          <w:sz w:val="22"/>
        </w:rPr>
        <w:t>Stage 3 — Proximal Policy Optimization (PPO)</w:t>
      </w:r>
    </w:p>
    <w:p>
      <w:pPr>
        <w:spacing w:before="80" w:after="80" w:line="259" w:lineRule="auto"/>
      </w:pPr>
      <w:r>
        <w:rPr>
          <w:rFonts w:ascii="Calibri" w:hAnsi="Calibri"/>
          <w:b w:val="0"/>
          <w:color w:val="000000"/>
          <w:sz w:val="21"/>
        </w:rPr>
        <w:t>PPO is the reinforcement learning algorithm that fine-tunes the SFT policy to maximize the reward model's score while remaining close to a frozen reference model (the pre-PPO SFT policy). The objective function is: maximize E[reward(response) - beta * KL(policy || reference)], where beta is an adaptive coefficient that controls the strength of the KL penalty. Four models are loaded simultaneously: the Policy (being trained), the Reference (frozen SFT model, for KL computation), the Reward model (frozen, for scoring responses), and a Value model (trained alongside the policy, for advantage estimation via Generalized Advantage Estimation). The PPO update uses a clipped surrogate objective to prevent destructive policy updates: L = min(r_t * A_t, clip(r_t, 1-epsilon, 1+epsilon) * A_t), where r_t is the probability ratio between the new and old policies and A_t is the advantage estimate. Training proceeds for approximately 150-200 PPO steps, with reward scores, KL divergence, policy entropy, and response diversity metrics streamed to Weights &amp; Biases for real-time monitoring.</w:t>
      </w:r>
    </w:p>
    <w:p>
      <w:pPr>
        <w:spacing w:before="200" w:after="60" w:line="264" w:lineRule="auto"/>
      </w:pPr>
      <w:r>
        <w:rPr>
          <w:rFonts w:ascii="Calibri" w:hAnsi="Calibri"/>
          <w:b/>
          <w:color w:val="000000"/>
          <w:sz w:val="22"/>
        </w:rPr>
        <w:t>Supporting Infrastructure</w:t>
      </w:r>
    </w:p>
    <w:p>
      <w:pPr>
        <w:spacing w:before="80" w:after="80" w:line="259" w:lineRule="auto"/>
      </w:pPr>
      <w:r>
        <w:rPr>
          <w:rFonts w:ascii="Calibri" w:hAnsi="Calibri"/>
          <w:b w:val="0"/>
          <w:color w:val="000000"/>
          <w:sz w:val="21"/>
        </w:rPr>
        <w:t>Beyond the three training stages, the pipeline includes a comprehensive data curation subsystem that handles deduplication (MinHash with Jaccard threshold 0.8), toxicity filtering (Llama Guard classification across 14 harm categories), semantic diversity sampling (BGE-large embeddings + k-means clustering), and format normalization to the ShareGPT conversation schema. An automated evaluation harness runs the trained models against MT-Bench (GPT-4 as judge) and AlpacaEval 2.0 at each stage to provide standardized, comparable quality metrics. All experiments are tracked in Weights &amp; Biases with loss curves, reward trajectories, KL divergence over time, and model checkpoints automatically logged as versioned artifacts.</w:t>
      </w:r>
    </w:p>
    <w:p>
      <w:pPr>
        <w:spacing w:before="320" w:after="120" w:line="276" w:lineRule="auto"/>
      </w:pPr>
      <w:r>
        <w:rPr>
          <w:rFonts w:ascii="Calibri" w:hAnsi="Calibri"/>
          <w:b/>
          <w:color w:val="000000"/>
          <w:sz w:val="26"/>
        </w:rPr>
        <w:t>4. TECHNICAL ARCHITECTURE</w:t>
      </w:r>
    </w:p>
    <w:p>
      <w:pPr>
        <w:spacing w:before="200" w:after="60" w:line="264" w:lineRule="auto"/>
      </w:pPr>
      <w:r>
        <w:rPr>
          <w:rFonts w:ascii="Calibri" w:hAnsi="Calibri"/>
          <w:b/>
          <w:color w:val="000000"/>
          <w:sz w:val="22"/>
        </w:rPr>
        <w:t>4.1 Stage 1: SFT Architecture</w:t>
      </w:r>
    </w:p>
    <w:p>
      <w:pPr>
        <w:spacing w:before="80" w:after="80" w:line="259" w:lineRule="auto"/>
      </w:pPr>
      <w:r>
        <w:rPr>
          <w:rFonts w:ascii="Calibri" w:hAnsi="Calibri"/>
          <w:b w:val="0"/>
          <w:color w:val="000000"/>
          <w:sz w:val="21"/>
        </w:rPr>
        <w:t>The SFT stage begins with loading the pre-trained Llama-3-8B-Instruct model from the Hugging Face Transformers library using 16-bit (bfloat16) precision to reduce memory consumption. The tokenizer is configured with a maximum sequence length of 4096 tokens, a chat template conforming to the ShareGPT conversation format, and left-padding to enable efficient batched generation. LoRA adapters are attached via the PEFT library, targeting the query, key, value, and output projection matrices (q_proj, k_proj, v_proj, o_proj) across all 32 transformer layers. The LoRA rank is set to 64 and alpha to 128, providing sufficient capacity for adaptation while keeping the adapter footprint under 100 MB — small enough to be stored and distributed independently from the base model.</w:t>
      </w:r>
    </w:p>
    <w:p>
      <w:pPr>
        <w:spacing w:before="80" w:after="80" w:line="259" w:lineRule="auto"/>
      </w:pPr>
      <w:r>
        <w:rPr>
          <w:rFonts w:ascii="Calibri" w:hAnsi="Calibri"/>
          <w:b w:val="0"/>
          <w:color w:val="000000"/>
          <w:sz w:val="21"/>
        </w:rPr>
        <w:t>The training data loader is designed for streaming from S3 to avoid local storage bottlenecks. It uses Hugging Face's IterableDataset abstraction with dynamic batching by sequence length: sequences of similar length are grouped together to minimize padding tokens, which can account for 30-50% of compute in naive implementations. The training loop is driven by the TRL SFTTrainer, which provides built-in support for packing multiple short examples into a single sequence, response-only loss masking, and integration with the DeepSpeed ZeRO-3 engine. Gradient accumulation over 8 micro-batches yields an effective batch size of 128, with gradient checkpointing enabled on every transformer block to reduce peak memory. Mixed-precision training (bfloat16) is used throughout, with Flash Attention 2 enabled via the model config.</w:t>
      </w:r>
    </w:p>
    <w:p>
      <w:pPr>
        <w:spacing w:before="80" w:after="80" w:line="259" w:lineRule="auto"/>
      </w:pPr>
      <w:r>
        <w:rPr>
          <w:rFonts w:ascii="Calibri" w:hAnsi="Calibri"/>
          <w:b w:val="0"/>
          <w:color w:val="000000"/>
          <w:sz w:val="21"/>
        </w:rPr>
        <w:t>Checkpointing occurs every 500 training steps. Each checkpoint saves the LoRA adapter weights (not the full model), the optimizer state for resumption, and a metadata JSON file recording the step number, learning rate, and loss at that point. Checkpoints are uploaded to S3 under a versioned prefix (s3://bucket/rlhf/sft-checkpoints/{run_id}/step-{N}/) and optionally logged as W&amp;B artifacts. The SFT training run is configured for 3 epochs over the curated instruction dataset, with the learning rate following a cosine decay schedule from 2e-4 to 0 after a linear warmup covering 10% of total steps.</w:t>
      </w:r>
    </w:p>
    <w:p>
      <w:pPr>
        <w:spacing w:before="200" w:after="60" w:line="264" w:lineRule="auto"/>
      </w:pPr>
      <w:r>
        <w:rPr>
          <w:rFonts w:ascii="Calibri" w:hAnsi="Calibri"/>
          <w:b/>
          <w:color w:val="000000"/>
          <w:sz w:val="22"/>
        </w:rPr>
        <w:t>4.2 Stage 2: Reward Model Architecture</w:t>
      </w:r>
    </w:p>
    <w:p>
      <w:pPr>
        <w:spacing w:before="80" w:after="80" w:line="259" w:lineRule="auto"/>
      </w:pPr>
      <w:r>
        <w:rPr>
          <w:rFonts w:ascii="Calibri" w:hAnsi="Calibri"/>
          <w:b w:val="0"/>
          <w:color w:val="000000"/>
          <w:sz w:val="21"/>
        </w:rPr>
        <w:t>The reward model is architecturally identical to the SFT base model — same transformer backbone, same hidden dimension, same number of layers — with one crucial modification: the final language-modeling head (which projects hidden states to the vocabulary size) is replaced with a linear layer that projects the hidden state of the last token to a scalar. Concretely, the hidden state of the final token in the response sequence is passed through a single linear layer (d_model -&gt; 1) without activation, producing the reward score. This design choice is well-established in the literature (InstructGPT, Llama-2, Starling) and ensures that the reward model leverages the pre-trained representations of the base model rather than learning a reward function from a random initialization.</w:t>
      </w:r>
    </w:p>
    <w:p>
      <w:pPr>
        <w:spacing w:before="80" w:after="80" w:line="259" w:lineRule="auto"/>
      </w:pPr>
      <w:r>
        <w:rPr>
          <w:rFonts w:ascii="Calibri" w:hAnsi="Calibri"/>
          <w:b w:val="0"/>
          <w:color w:val="000000"/>
          <w:sz w:val="21"/>
        </w:rPr>
        <w:t>The Bradley-Terry loss function is implemented as follows. For a batch of preference pairs (chosen, rejected), the reward model independently scores each response, producing r_chosen and r_rejected. The predicted preference probability is p = sigma(r_chosen - r_rejected). The loss for a single pair is -log(p) — equivalent to binary cross-entropy with a label of 1 (always predicting that the chosen response is preferred). In practice, the TRL RewardTrainer handles this automatically when provided with properly formatted preference data. Training runs for a single epoch to avoid overfitting to the relatively small preference dataset (10K pairs). The learning rate is set conservatively at 1e-5 with a linear warmup over the first 100 steps followed by constant learning rate.</w:t>
      </w:r>
    </w:p>
    <w:p>
      <w:pPr>
        <w:spacing w:before="80" w:after="80" w:line="259" w:lineRule="auto"/>
      </w:pPr>
      <w:r>
        <w:rPr>
          <w:rFonts w:ascii="Calibri" w:hAnsi="Calibri"/>
          <w:b w:val="0"/>
          <w:color w:val="000000"/>
          <w:sz w:val="21"/>
        </w:rPr>
        <w:t>Evaluation of the reward model uses two primary metrics. First, preference prediction accuracy on a held-out validation set of approximately 2,000 pairs: the percentage of pairs for which r_chosen &gt; r_rejected. A target accuracy of &gt;72% is considered acceptable. Second, bias analysis: the average reward as a function of response length (to detect length bias, where longer responses systematically receive higher rewards regardless of quality) and position bias (to detect systematic preference for response A over response B irrespective of content). Both biases are measured by constructing balanced test sets where length and position are controlled variables.</w:t>
      </w:r>
    </w:p>
    <w:p>
      <w:pPr>
        <w:spacing w:before="200" w:after="60" w:line="264" w:lineRule="auto"/>
      </w:pPr>
      <w:r>
        <w:rPr>
          <w:rFonts w:ascii="Calibri" w:hAnsi="Calibri"/>
          <w:b/>
          <w:color w:val="000000"/>
          <w:sz w:val="22"/>
        </w:rPr>
        <w:t>4.3 Stage 3: PPO Architecture</w:t>
      </w:r>
    </w:p>
    <w:p>
      <w:pPr>
        <w:spacing w:before="80" w:after="80" w:line="259" w:lineRule="auto"/>
      </w:pPr>
      <w:r>
        <w:rPr>
          <w:rFonts w:ascii="Calibri" w:hAnsi="Calibri"/>
          <w:b w:val="0"/>
          <w:color w:val="000000"/>
          <w:sz w:val="21"/>
        </w:rPr>
        <w:t>The PPO stage is the most architecturally complex component of the pipeline, requiring four distinct model instances to coexist in GPU memory. The Policy model is the SFT model with LoRA adapters, initialized from the best SFT checkpoint. The Reference model is a frozen copy of the same SFT model, detached from the computation graph (no gradients), used solely to compute KL(pi_new || pi_ref) for the KL penalty term. The Reward model is the frozen scalar-head model from Stage 2, used to score responses generated by the policy during exploration. The Value model is a trainable critic — architecturally identical to the reward model (same transformer backbone + scalar head) — that predicts the expected future return from a given state, enabling advantage estimation via Generalized Advantage Estimation (GAE).</w:t>
      </w:r>
    </w:p>
    <w:p>
      <w:pPr>
        <w:spacing w:before="80" w:after="80" w:line="259" w:lineRule="auto"/>
      </w:pPr>
      <w:r>
        <w:rPr>
          <w:rFonts w:ascii="Calibri" w:hAnsi="Calibri"/>
          <w:b w:val="0"/>
          <w:color w:val="000000"/>
          <w:sz w:val="21"/>
        </w:rPr>
        <w:t>The PPO training loop operates as follows. In each iteration, the policy generates a batch of responses to a set of prompts sampled from the training distribution. Each response is scored by the reward model and its log-probability is computed under both the current policy and the reference model (for KL computation). The value model predicts the expected return for each token position; these predictions are combined with the actual rewards to compute GAE advantage estimates. The policy is then updated via the clipped surrogate objective over PPO_epochs = 4 passes through the batch, with mini-batch size 64. The value model is updated via mean squared error between its predictions and the actual returns. The KL penalty coefficient beta is adjusted adaptively: if the running average KL exceeds the target of 0.01 nats, beta is increased by a factor of 2; if the KL is below target/2, beta is decreased by a factor of 2. This adaptive mechanism prevents both reward hacking (KL too high) and under-optimization (KL too low).</w:t>
      </w:r>
    </w:p>
    <w:p>
      <w:pPr>
        <w:spacing w:before="80" w:after="80" w:line="259" w:lineRule="auto"/>
      </w:pPr>
      <w:r>
        <w:rPr>
          <w:rFonts w:ascii="Calibri" w:hAnsi="Calibri"/>
          <w:b w:val="0"/>
          <w:color w:val="000000"/>
          <w:sz w:val="21"/>
        </w:rPr>
        <w:t>Memory management for the four-model architecture relies on DeepSpeed ZeRO-3 with model sharding across 4 GPUs. The policy and value models are sharded in ZeRO-3 mode (parameters, gradients, and optimizer states partitioned across GPUs), while the reference and reward models are loaded in evaluation mode with gradient computation disabled and sharded in ZeRO-3 inference mode. CPU offloading is enabled for optimizer states and parameters that do not fit in GPU memory. Gradient checkpointing is applied to all four models, trading a 20-30% throughput reduction for a 40-50% memory reduction. With this configuration, the entire PPO pipeline fits within 4x A100-80GB GPUs while maintaining a throughput of approximately 1,200 tokens per second per GPU.</w:t>
      </w:r>
    </w:p>
    <w:p>
      <w:pPr>
        <w:spacing w:before="320" w:after="120" w:line="276" w:lineRule="auto"/>
      </w:pPr>
      <w:r>
        <w:rPr>
          <w:rFonts w:ascii="Calibri" w:hAnsi="Calibri"/>
          <w:b/>
          <w:color w:val="000000"/>
          <w:sz w:val="26"/>
        </w:rPr>
        <w:t>5. COMPONENT SPECIFICATION</w:t>
      </w:r>
    </w:p>
    <w:p>
      <w:pPr>
        <w:spacing w:before="200" w:after="60" w:line="264" w:lineRule="auto"/>
      </w:pPr>
      <w:r>
        <w:rPr>
          <w:rFonts w:ascii="Calibri" w:hAnsi="Calibri"/>
          <w:b/>
          <w:color w:val="000000"/>
          <w:sz w:val="22"/>
        </w:rPr>
        <w:t>5.1 Data Curation Pipeline</w:t>
      </w:r>
    </w:p>
    <w:p>
      <w:pPr>
        <w:spacing w:before="80" w:after="80" w:line="259" w:lineRule="auto"/>
      </w:pPr>
      <w:r>
        <w:rPr>
          <w:rFonts w:ascii="Calibri" w:hAnsi="Calibri"/>
          <w:b w:val="0"/>
          <w:color w:val="000000"/>
          <w:sz w:val="21"/>
        </w:rPr>
        <w:t>The data curation pipeline is the foundation upon which all subsequent training stages depend. Its purpose is to transform raw, heterogeneous instruction-response data from multiple sources (web scraping, existing datasets like OpenOrca and ShareGPT, domain-specific corpora) into a clean, deduplicated, diverse, and safety-filtered training corpus in ShareGPT conversation format. The pipeline consists of four sequential processing stages, each implemented as a separate, independently testable module.</w:t>
      </w:r>
    </w:p>
    <w:p>
      <w:pPr>
        <w:spacing w:before="80" w:after="80" w:line="259" w:lineRule="auto"/>
      </w:pPr>
      <w:r>
        <w:rPr>
          <w:rFonts w:ascii="Calibri" w:hAnsi="Calibri"/>
          <w:b w:val="0"/>
          <w:color w:val="000000"/>
          <w:sz w:val="21"/>
        </w:rPr>
        <w:t>MinHash deduplication is the first stage. Each document (conversation) is tokenized into character-level 5-grams, and a 128-permutation MinHash signature is computed using the datasketch library. Signatures are inserted into an LSH index with 8 bands of 16 rows each, yielding a Jaccard similarity threshold of approximately 0.8 for candidate pair detection. Documents within the same cluster (connected components of the candidate-pair graph) are reduced to a single representative — the document with the highest token count, which tends to be the most complete version. This process typically eliminates 15-25% of web-scraped instruction data as near-duplicates.</w:t>
      </w:r>
    </w:p>
    <w:p>
      <w:pPr>
        <w:spacing w:before="80" w:after="80" w:line="259" w:lineRule="auto"/>
      </w:pPr>
      <w:r>
        <w:rPr>
          <w:rFonts w:ascii="Calibri" w:hAnsi="Calibri"/>
          <w:b w:val="0"/>
          <w:color w:val="000000"/>
          <w:sz w:val="21"/>
        </w:rPr>
        <w:t>Toxicity filtering follows deduplication. Every prompt and every response in the corpus is passed through Llama Guard, Meta's safety classifier, which categorizes content into 14 harm categories (violence, hate speech, sexual content, self-harm, etc.) plus a 'safe' category. Any response flagged as unsafe is removed entirely; any prompt flagged as unsafe has its corresponding entire conversation removed to prevent the model from learning to respond to harmful queries. The target safety threshold is &lt;0.1% unsafe content in the final training corpus. Llama Guard is run in batch mode with a custom inference script that parallelizes across available GPUs.</w:t>
      </w:r>
    </w:p>
    <w:p>
      <w:pPr>
        <w:spacing w:before="80" w:after="80" w:line="259" w:lineRule="auto"/>
      </w:pPr>
      <w:r>
        <w:rPr>
          <w:rFonts w:ascii="Calibri" w:hAnsi="Calibri"/>
          <w:b w:val="0"/>
          <w:color w:val="000000"/>
          <w:sz w:val="21"/>
        </w:rPr>
        <w:t>Semantic diversity sampling ensures that the training corpus does not over-represent any single topic or domain. Every instruction in the cleaned corpus is embedded using the BGE-large-en-v1.5 embedding model (1024-dimensional embeddings). The embeddings are clustered into k=1000 clusters using mini-batch k-means. Sampling from the corpus is performed proportionally to cluster assignment, with each cluster contributing a number of examples proportional to the square root of its size (tempered sampling) — this prevents dominant clusters from overwhelming the batch distribution while still respecting the underlying frequency distribution. The final training corpus target is 100,000+ high-quality, deduplicated, safety-filtered instruction-response pairs with broad topic coverage.</w:t>
      </w:r>
    </w:p>
    <w:p>
      <w:pPr>
        <w:spacing w:before="80" w:after="80" w:line="259" w:lineRule="auto"/>
      </w:pPr>
      <w:r>
        <w:rPr>
          <w:rFonts w:ascii="Calibri" w:hAnsi="Calibri"/>
          <w:b w:val="0"/>
          <w:color w:val="000000"/>
          <w:sz w:val="21"/>
        </w:rPr>
        <w:t>Format normalization standardizes every conversation to the ShareGPT conversation schema: a JSON object with a 'conversations' array where each turn contains a 'from' field ("human" or "gpt") and a 'value' field (the text content). All conversations are truncated to a maximum of 4096 tokens (measured by the Llama-3 tokenizer). Any conversation with an empty turn, a turn exceeding 2048 tokens, or an initial turn not from "human" is discarded. The output is written to JSONL files sharded into 1 GB partitions for efficient streaming during training.</w:t>
      </w:r>
    </w:p>
    <w:p>
      <w:pPr>
        <w:spacing w:before="200" w:after="60" w:line="264" w:lineRule="auto"/>
      </w:pPr>
      <w:r>
        <w:rPr>
          <w:rFonts w:ascii="Calibri" w:hAnsi="Calibri"/>
          <w:b/>
          <w:color w:val="000000"/>
          <w:sz w:val="22"/>
        </w:rPr>
        <w:t>5.2 SFT Trainer</w:t>
      </w:r>
    </w:p>
    <w:p>
      <w:pPr>
        <w:spacing w:before="80" w:after="80" w:line="259" w:lineRule="auto"/>
      </w:pPr>
      <w:r>
        <w:rPr>
          <w:rFonts w:ascii="Calibri" w:hAnsi="Calibri"/>
          <w:b w:val="0"/>
          <w:color w:val="000000"/>
          <w:sz w:val="21"/>
        </w:rPr>
        <w:t>The SFT Trainer component wraps Hugging Face's Trainer API with TRL's SFTTrainer to provide a production-grade fine-tuning experience. The core configuration is as follows: the base model is meta-llama/Meta-Llama-3-8B-Instruct loaded in bfloat16. LoRA adapters are configured with rank r=64, alpha=128, dropout=0.05, targeting all linear layers (not just attention projections) to maximize adaptation capacity — this increases the adapter parameter count to approximately 80 million but significantly improves downstream task performance. The target modules list includes q_proj, k_proj, v_proj, o_proj, gate_proj, up_proj, and down_proj across all layers.</w:t>
      </w:r>
    </w:p>
    <w:p>
      <w:pPr>
        <w:spacing w:before="80" w:after="80" w:line="259" w:lineRule="auto"/>
      </w:pPr>
      <w:r>
        <w:rPr>
          <w:rFonts w:ascii="Calibri" w:hAnsi="Calibri"/>
          <w:b w:val="0"/>
          <w:color w:val="000000"/>
          <w:sz w:val="21"/>
        </w:rPr>
        <w:t>Training hyperparameters are established through a systematic sweep using W&amp;B Sweeps with Bayesian optimization. The learning rate is swept over [5e-5, 1e-4, 2e-4, 5e-4], batch size over [64, 128, 256], and LoRA rank over [16, 32, 64, 128]. The optimal configuration selected is: learning rate 2e-4 with cosine decay to 0, warmup ratio 0.1 (10% of total steps for linear warmup), effective batch size 128 via gradient accumulation (micro-batch of 16 per GPU x 4 GPUs x 2 accumulation steps), and LoRA rank 64. Training proceeds for 3 epochs with early stopping if validation loss does not improve for 3 consecutive evaluation steps.</w:t>
      </w:r>
    </w:p>
    <w:p>
      <w:pPr>
        <w:spacing w:before="80" w:after="80" w:line="259" w:lineRule="auto"/>
      </w:pPr>
      <w:r>
        <w:rPr>
          <w:rFonts w:ascii="Calibri" w:hAnsi="Calibri"/>
          <w:b w:val="0"/>
          <w:color w:val="000000"/>
          <w:sz w:val="21"/>
        </w:rPr>
        <w:t>The DeepSpeed ZeRO-3 configuration enables training on 4x A100-80GB GPUs. Stage 3 sharding partitions model parameters, gradients, and optimizer states across all GPUs. CPU offloading is enabled for both optimizer states (via the AdamW optimizer's state dict offloading) and model parameters (via parameter offloading to CPU when not actively being used in computation). Communication overlap is enabled, allowing gradient all-reduce operations to overlap with the backward pass computation. Sub-group size is set to 1e9 parameters to minimize communication overhead. With this configuration, throughput reaches approximately 1,500 tokens per second per GPU on the SFT dataset.</w:t>
      </w:r>
    </w:p>
    <w:p>
      <w:pPr>
        <w:spacing w:before="80" w:after="80" w:line="259" w:lineRule="auto"/>
      </w:pPr>
      <w:r>
        <w:rPr>
          <w:rFonts w:ascii="Calibri" w:hAnsi="Calibri"/>
          <w:b w:val="0"/>
          <w:color w:val="000000"/>
          <w:sz w:val="21"/>
        </w:rPr>
        <w:t>Loss logging and evaluation occur at every 100 training steps. At each evaluation interval, the trainer computes perplexity on a held-out validation set of 1,000 examples, generates sample responses for a fixed set of 20 diverse prompts (covering reasoning, creative writing, coding, factual recall, and safety scenarios), and logs both metrics and generated text to W&amp;B. The generated samples are stored as W&amp;B Tables for manual inspection. Best checkpoint selection is based on validation perplexity, with a secondary tie-breaking criterion of manual quality assessment on the generated samples.</w:t>
      </w:r>
    </w:p>
    <w:p>
      <w:pPr>
        <w:spacing w:before="200" w:after="60" w:line="264" w:lineRule="auto"/>
      </w:pPr>
      <w:r>
        <w:rPr>
          <w:rFonts w:ascii="Calibri" w:hAnsi="Calibri"/>
          <w:b/>
          <w:color w:val="000000"/>
          <w:sz w:val="22"/>
        </w:rPr>
        <w:t>5.3 Reward Model Trainer</w:t>
      </w:r>
    </w:p>
    <w:p>
      <w:pPr>
        <w:spacing w:before="80" w:after="80" w:line="259" w:lineRule="auto"/>
      </w:pPr>
      <w:r>
        <w:rPr>
          <w:rFonts w:ascii="Calibri" w:hAnsi="Calibri"/>
          <w:b w:val="0"/>
          <w:color w:val="000000"/>
          <w:sz w:val="21"/>
        </w:rPr>
        <w:t>The Reward Model Trainer uses TRL's RewardTrainer with a custom Bradley-Terry loss implementation. The base model is loaded identically to the SFT model, but the LM head is replaced by a randomly initialized linear layer mapping hidden_size -&gt; 1. Training proceeds for exactly 1 epoch over the preference dataset to minimize overfitting risk. The learning rate is fixed at 1e-5 with a linear warmup over 100 steps; no decay is applied. Batch size is 64 preference pairs per step (16 per GPU x 4 GPUs), and gradient checkpointing is enabled to keep memory usage within the 80 GB per GPU budget.</w:t>
      </w:r>
    </w:p>
    <w:p>
      <w:pPr>
        <w:spacing w:before="80" w:after="80" w:line="259" w:lineRule="auto"/>
      </w:pPr>
      <w:r>
        <w:rPr>
          <w:rFonts w:ascii="Calibri" w:hAnsi="Calibri"/>
          <w:b w:val="0"/>
          <w:color w:val="000000"/>
          <w:sz w:val="21"/>
        </w:rPr>
        <w:t>The preference dataset is formatted as a Hugging Face Dataset with three fields per example: 'prompt' (the instruction text), 'chosen' (the preferred response), and 'rejected' (the dispreferred response). During training, each example is tokenized by concatenating the prompt with the chosen response and, separately, the prompt with the rejected response. Each tokenized sequence is truncated to the model's maximum context length (4096 tokens), with truncation applied only on the response side (the prompt is always kept intact). The RewardTrainer handles the dual forward pass internally: it computes r_chosen from the last non-padding token of the (prompt + chosen) sequence and r_rejected from the last non-padding token of the (prompt + rejected) sequence.</w:t>
      </w:r>
    </w:p>
    <w:p>
      <w:pPr>
        <w:spacing w:before="80" w:after="80" w:line="259" w:lineRule="auto"/>
      </w:pPr>
      <w:r>
        <w:rPr>
          <w:rFonts w:ascii="Calibri" w:hAnsi="Calibri"/>
          <w:b w:val="0"/>
          <w:color w:val="000000"/>
          <w:sz w:val="21"/>
        </w:rPr>
        <w:t>Evaluation runs at the end of every 10% of an epoch (approximately every 100 training steps for a 10K dataset with batch size 64). At each evaluation, accuracy on a held-out validation set of 2,000 pairs is computed. Additionally, the reward model is tested on a set of synthetic adversarial examples — pairs where the 'chosen' response is clearly inferior (e.g., nonsensical, toxic, or factually incorrect) — to ensure the model correctly assigns higher rewards to the genuinely better response. Bias metrics (length bias, position bias) are calculated and logged to W&amp;B as scalar time-series. The best checkpoint is selected by validation accuracy, and this checkpoint is frozen and exported to S3 for use in Stage 3.</w:t>
      </w:r>
    </w:p>
    <w:p>
      <w:pPr>
        <w:spacing w:before="200" w:after="60" w:line="264" w:lineRule="auto"/>
      </w:pPr>
      <w:r>
        <w:rPr>
          <w:rFonts w:ascii="Calibri" w:hAnsi="Calibri"/>
          <w:b/>
          <w:color w:val="000000"/>
          <w:sz w:val="22"/>
        </w:rPr>
        <w:t>5.4 PPO Trainer</w:t>
      </w:r>
    </w:p>
    <w:p>
      <w:pPr>
        <w:spacing w:before="80" w:after="80" w:line="259" w:lineRule="auto"/>
      </w:pPr>
      <w:r>
        <w:rPr>
          <w:rFonts w:ascii="Calibri" w:hAnsi="Calibri"/>
          <w:b w:val="0"/>
          <w:color w:val="000000"/>
          <w:sz w:val="21"/>
        </w:rPr>
        <w:t>The PPO Trainer is built on TRL's PPOTrainer, which orchestrates the four-model architecture described in Section 4.3. The PPO-specific hyperparameters are: learning rate 1.4e-5 (applied to both the policy and value model, with the value model optionally using a separate learning rate of 1e-4), batch size 128 (responses generated per PPO iteration), mini-batch size 64 (used for the 4 PPO-epoch inner loop over a single batch), PPO clipping epsilon 0.2 (the standard value from the original PPO paper, balancing update conservatism with optimization speed), and value function loss coefficient 0.1 (down-weighting the value loss relative to the policy loss to prevent the value model from dominating the joint optimization).</w:t>
      </w:r>
    </w:p>
    <w:p>
      <w:pPr>
        <w:spacing w:before="80" w:after="80" w:line="259" w:lineRule="auto"/>
      </w:pPr>
      <w:r>
        <w:rPr>
          <w:rFonts w:ascii="Calibri" w:hAnsi="Calibri"/>
          <w:b w:val="0"/>
          <w:color w:val="000000"/>
          <w:sz w:val="21"/>
        </w:rPr>
        <w:t>The generation configuration for the policy model during PPO exploration is critical. Responses are generated with temperature 0.7 (providing a balance between exploration and coherence), top_p nucleus sampling with p=0.9 (truncating the low-probability tail of the distribution), maximum 512 new tokens per response, and do_sample=True. The prompts are sampled from the training dataset's instruction distribution, excluding any prompts that appeared in reward model training or validation sets to prevent data leakage. A generation batch size of 128 is used, meaning each PPO iteration produces 128 prompt-response pairs for scoring.</w:t>
      </w:r>
    </w:p>
    <w:p>
      <w:pPr>
        <w:spacing w:before="80" w:after="80" w:line="259" w:lineRule="auto"/>
      </w:pPr>
      <w:r>
        <w:rPr>
          <w:rFonts w:ascii="Calibri" w:hAnsi="Calibri"/>
          <w:b w:val="0"/>
          <w:color w:val="000000"/>
          <w:sz w:val="21"/>
        </w:rPr>
        <w:t>Reward normalization is applied before computing advantages to stabilize training. The pipeline maintains a running mean and standard deviation of all rewards observed during the PPO run, updated via exponential moving average with a decay factor of 0.95. Each batch of rewards is normalized to zero mean and unit variance before being passed to the GAE advantage estimator. This prevents reward scale drift — where the reward model's output distribution shifts as the policy generates increasingly out-of-distribution responses — from destabilizing the advantage estimates and causing gradient spikes. The GAE parameters are gamma=1.0 (no discount, since the reward is given only at the final token and there is no intermediate reward signal) and lambda=0.95 (the standard GAE value, providing low-bias advantage estimates).</w:t>
      </w:r>
    </w:p>
    <w:p>
      <w:pPr>
        <w:spacing w:before="80" w:after="80" w:line="259" w:lineRule="auto"/>
      </w:pPr>
      <w:r>
        <w:rPr>
          <w:rFonts w:ascii="Calibri" w:hAnsi="Calibri"/>
          <w:b w:val="0"/>
          <w:color w:val="000000"/>
          <w:sz w:val="21"/>
        </w:rPr>
        <w:t>The KL penalty is the central safety mechanism preventing reward hacking. The target KL divergence is set to 0.01 nats, measured per-token between the current policy and the reference (SFT) policy. The beta coefficient is initialized at 0.1 and adapts as follows: after each PPO iteration, if the running-average KL exceeds 0.01, beta is doubled; if the KL is below 0.005 (half the target), beta is halved. Beta is clipped to the range [0.01, 10.0] to prevent extreme values. This adaptive mechanism is implemented as a callback that executes after each training step, modifying the optimizer's loss computation by scaling the KL penalty term. The current value of beta, the per-batch KL, and the running-average KL are all logged to W&amp;B for real-time monitoring.</w:t>
      </w:r>
    </w:p>
    <w:p>
      <w:pPr>
        <w:spacing w:before="320" w:after="120" w:line="276" w:lineRule="auto"/>
      </w:pPr>
      <w:r>
        <w:rPr>
          <w:rFonts w:ascii="Calibri" w:hAnsi="Calibri"/>
          <w:b/>
          <w:color w:val="000000"/>
          <w:sz w:val="26"/>
        </w:rPr>
        <w:t>6. OFF-CHAIN INFRASTRUCTURE</w:t>
      </w:r>
    </w:p>
    <w:p>
      <w:pPr>
        <w:spacing w:before="200" w:after="60" w:line="264" w:lineRule="auto"/>
      </w:pPr>
      <w:r>
        <w:rPr>
          <w:rFonts w:ascii="Calibri" w:hAnsi="Calibri"/>
          <w:b/>
          <w:color w:val="000000"/>
          <w:sz w:val="22"/>
        </w:rPr>
        <w:t>6.1 Annotation Platform</w:t>
      </w:r>
    </w:p>
    <w:p>
      <w:pPr>
        <w:spacing w:before="80" w:after="80" w:line="259" w:lineRule="auto"/>
      </w:pPr>
      <w:r>
        <w:rPr>
          <w:rFonts w:ascii="Calibri" w:hAnsi="Calibri"/>
          <w:b w:val="0"/>
          <w:color w:val="000000"/>
          <w:sz w:val="21"/>
        </w:rPr>
        <w:t>A custom-built annotation platform is required to collect the human preference data that trains the reward model. The platform is a Next.js web application with a Python FastAPI backend, designed for low-latency, high-throughput preference labeling. Annotators authenticate via OAuth (Google Workspace SSO) and are presented with a task queue: a prompt displayed at the top of the screen, and two response candidates displayed side by side. The annotator clicks the preferred response (or uses keyboard shortcuts 'A' and 'B'), and the choice is immediately recorded. A 'skip' button is available for prompts where neither response is acceptable, and a 'both bad' / 'both good' toggle captures tie scenarios for inter-annotator agreement analysis.</w:t>
      </w:r>
    </w:p>
    <w:p>
      <w:pPr>
        <w:spacing w:before="80" w:after="80" w:line="259" w:lineRule="auto"/>
      </w:pPr>
      <w:r>
        <w:rPr>
          <w:rFonts w:ascii="Calibri" w:hAnsi="Calibri"/>
          <w:b w:val="0"/>
          <w:color w:val="000000"/>
          <w:sz w:val="21"/>
        </w:rPr>
        <w:t>The annotation UI is designed for speed: keyboard shortcuts reduce time per annotation to under 10 seconds for experienced annotators. The task queue is randomized and deduplicated at the server level to prevent annotator fatigue from seeing similar prompts. The backend persists every annotation event to a PostgreSQL database with the following schema: annotation_id (UUID primary key), annotator_id (foreign key to users table), prompt_text, response_a_text, response_b_text, chosen (enum: 'a', 'b', 'tie', 'skip'), annotation_time_ms, and created_at timestamp. Inter-annotator agreement is computed via Cohen's kappa on overlapping annotations (10% of prompts are served to multiple annotators as a quality-control overlay).</w:t>
      </w:r>
    </w:p>
    <w:p>
      <w:pPr>
        <w:spacing w:before="200" w:after="60" w:line="264" w:lineRule="auto"/>
      </w:pPr>
      <w:r>
        <w:rPr>
          <w:rFonts w:ascii="Calibri" w:hAnsi="Calibri"/>
          <w:b/>
          <w:color w:val="000000"/>
          <w:sz w:val="22"/>
        </w:rPr>
        <w:t>6.2 Experiment Tracker (Weights &amp; Biases)</w:t>
      </w:r>
    </w:p>
    <w:p>
      <w:pPr>
        <w:spacing w:before="80" w:after="80" w:line="259" w:lineRule="auto"/>
      </w:pPr>
      <w:r>
        <w:rPr>
          <w:rFonts w:ascii="Calibri" w:hAnsi="Calibri"/>
          <w:b w:val="0"/>
          <w:color w:val="000000"/>
          <w:sz w:val="21"/>
        </w:rPr>
        <w:t>Weights &amp; Biases serves as the unified experiment tracking and artifact management platform for the entire pipeline. Every training run — SFT, reward model, and PPO — is initialized with a W&amp;B run that logs the full hyperparameter configuration, the git commit hash of the training code, and pointers to the training data provenance (S3 paths, dataset hash). During training, the following metrics are logged at configurable intervals: training loss, validation loss, learning rate, gradient norm, GPU utilization, and memory usage. For the reward model, validation accuracy and bias metrics are additionally logged. For PPO, reward scores (raw and normalized), KL divergence (per-batch and running-average), policy entropy, response length distribution statistics, and the adaptive beta coefficient are all tracked.</w:t>
      </w:r>
    </w:p>
    <w:p>
      <w:pPr>
        <w:spacing w:before="80" w:after="80" w:line="259" w:lineRule="auto"/>
      </w:pPr>
      <w:r>
        <w:rPr>
          <w:rFonts w:ascii="Calibri" w:hAnsi="Calibri"/>
          <w:b w:val="0"/>
          <w:color w:val="000000"/>
          <w:sz w:val="21"/>
        </w:rPr>
        <w:t>W&amp;B Artifacts are used to version and track model checkpoints. Each saved checkpoint — LoRA adapter weights for SFT and PPO stages, full model weights for the reward model — is uploaded as a W&amp;B Artifact with metadata including the training step, validation metrics at that step, and a lineage link to the parent run. This enables complete reproducibility: any downstream stage can reference a specific artifact version to ensure bitwise-identical initialization. Hyperparameter sweeps are managed through W&amp;B Sweeps with Bayesian search strategy (via the scikit-optimize backend), running 20-50 trial runs per sweep across the available GPU cluster.</w:t>
      </w:r>
    </w:p>
    <w:p>
      <w:pPr>
        <w:spacing w:before="200" w:after="60" w:line="264" w:lineRule="auto"/>
      </w:pPr>
      <w:r>
        <w:rPr>
          <w:rFonts w:ascii="Calibri" w:hAnsi="Calibri"/>
          <w:b/>
          <w:color w:val="000000"/>
          <w:sz w:val="22"/>
        </w:rPr>
        <w:t>6.3 Evaluation Harness</w:t>
      </w:r>
    </w:p>
    <w:p>
      <w:pPr>
        <w:spacing w:before="80" w:after="80" w:line="259" w:lineRule="auto"/>
      </w:pPr>
      <w:r>
        <w:rPr>
          <w:rFonts w:ascii="Calibri" w:hAnsi="Calibri"/>
          <w:b w:val="0"/>
          <w:color w:val="000000"/>
          <w:sz w:val="21"/>
        </w:rPr>
        <w:t>The evaluation harness provides standardized, automated quality assessment of the model at every stage of the pipeline. The primary evaluation benchmarks are MT-Bench and AlpacaEval 2.0, both of which use GPT-4 as an LLM judge to rate model responses. MT-Bench consists of 80 multi-turn questions across 8 categories (writing, roleplay, reasoning, math, coding, extraction, STEM, humanities); each response is rated by GPT-4 on a scale of 1-10. AlpacaEval 2.0 compares the model's responses to GPT-4's responses on 805 single-turn prompts, computing a win rate against the reference. The evaluation harness automates the full pipeline: loading the model checkpoint, generating responses for all benchmark prompts, sending them to the OpenAI API for GPT-4 judgment, and computing summary statistics.</w:t>
      </w:r>
    </w:p>
    <w:p>
      <w:pPr>
        <w:spacing w:before="80" w:after="80" w:line="259" w:lineRule="auto"/>
      </w:pPr>
      <w:r>
        <w:rPr>
          <w:rFonts w:ascii="Calibri" w:hAnsi="Calibri"/>
          <w:b w:val="0"/>
          <w:color w:val="000000"/>
          <w:sz w:val="21"/>
        </w:rPr>
        <w:t>In addition to standard benchmarks, a suite of custom domain-specific evaluations is maintained for the target application domain. These consist of 100-200 hand-crafted prompts covering domain-specific tasks, edge cases, and failure modes identified during development. A side-by-side A/B comparison UI (also Next.js-based) enables human evaluators to compare responses from two model versions (e.g., SFT vs. PPO) on the same prompts, providing a direct qualitative assessment of improvement. All evaluation results are logged to W&amp;B as summary metrics and stored in a dedicated PostgreSQL evaluation_results table for historical trend analysis.</w:t>
      </w:r>
    </w:p>
    <w:p>
      <w:pPr>
        <w:spacing w:before="200" w:after="60" w:line="264" w:lineRule="auto"/>
      </w:pPr>
      <w:r>
        <w:rPr>
          <w:rFonts w:ascii="Calibri" w:hAnsi="Calibri"/>
          <w:b/>
          <w:color w:val="000000"/>
          <w:sz w:val="22"/>
        </w:rPr>
        <w:t>6.4 Training Orchestrator</w:t>
      </w:r>
    </w:p>
    <w:p>
      <w:pPr>
        <w:spacing w:before="80" w:after="80" w:line="259" w:lineRule="auto"/>
      </w:pPr>
      <w:r>
        <w:rPr>
          <w:rFonts w:ascii="Calibri" w:hAnsi="Calibri"/>
          <w:b w:val="0"/>
          <w:color w:val="000000"/>
          <w:sz w:val="21"/>
        </w:rPr>
        <w:t>The training orchestrator manages the lifecycle of training jobs across the GPU cluster. It supports both Slurm-based HPC clusters and Kubernetes-based cloud deployments, abstracting the job submission interface behind a common Python API. The orchestrator handles GPU allocation (requesting the appropriate number and type of GPUs based on the training stage configuration), environment setup (Docker image selection, environment variable injection, S3 credential mounting), and job monitoring (tracking job status, capturing stdout/stderr logs, detecting OOM or GPU hardware errors). Jobs are defined as YAML specifications checked into version control alongside the training code.</w:t>
      </w:r>
    </w:p>
    <w:p>
      <w:pPr>
        <w:spacing w:before="80" w:after="80" w:line="259" w:lineRule="auto"/>
      </w:pPr>
      <w:r>
        <w:rPr>
          <w:rFonts w:ascii="Calibri" w:hAnsi="Calibri"/>
          <w:b w:val="0"/>
          <w:color w:val="000000"/>
          <w:sz w:val="21"/>
        </w:rPr>
        <w:t>Preemption handling is a critical requirement for cost-efficient training on spot/preemptible instances. The training loop implements a signal handler for SIGTERM that, upon receiving a preemption notice, immediately saves a checkpoint, uploads it to S3, and exits cleanly. Upon restart, the training script detects the existing checkpoint, loads the optimizer state and data loader position, and resumes from the exact interruption point. Cost tracking is implemented by recording the instance type, GPU count, wall-clock duration, and spot/on-demand pricing tier for each training run, allowing per-experiment cost attribution and ROI analysis for hyperparameter tuning decisions.</w:t>
      </w:r>
    </w:p>
    <w:p>
      <w:pPr>
        <w:spacing w:before="320" w:after="120" w:line="276" w:lineRule="auto"/>
      </w:pPr>
      <w:r>
        <w:rPr>
          <w:rFonts w:ascii="Calibri" w:hAnsi="Calibri"/>
          <w:b/>
          <w:color w:val="000000"/>
          <w:sz w:val="26"/>
        </w:rPr>
        <w:t>7. TECHNOLOGY STACK</w:t>
      </w:r>
    </w:p>
    <w:p>
      <w:pPr>
        <w:spacing w:before="200" w:after="60" w:line="264" w:lineRule="auto"/>
      </w:pPr>
      <w:r>
        <w:rPr>
          <w:rFonts w:ascii="Calibri" w:hAnsi="Calibri"/>
          <w:b/>
          <w:color w:val="000000"/>
          <w:sz w:val="22"/>
        </w:rPr>
        <w:t>7.1 Core Training Stack</w:t>
      </w:r>
    </w:p>
    <w:p>
      <w:pPr>
        <w:spacing w:before="80" w:after="80" w:line="259" w:lineRule="auto"/>
      </w:pPr>
      <w:r>
        <w:rPr>
          <w:rFonts w:ascii="Calibri" w:hAnsi="Calibri"/>
          <w:b w:val="0"/>
          <w:color w:val="000000"/>
          <w:sz w:val="21"/>
        </w:rPr>
        <w:t>The training stack is built on Python 3.11+ with PyTorch 2.3+ as the tensor computation backend. PyTorch 2.x's torch.compile feature is enabled where applicable (primarily for the reward model forward pass and the PPO value model, where the computation graph is static enough to benefit from compilation). The Hugging Face Transformers library provides model implementations and tokenizers; the PEFT library provides LoRA and QLoRA adapter support; the TRL (Transformer Reinforcement Learning) library provides the SFTTrainer, RewardTrainer, and PPOTrainer training loops, each with built-in DeepSpeed integration.</w:t>
      </w:r>
    </w:p>
    <w:p>
      <w:pPr>
        <w:spacing w:before="200" w:after="60" w:line="264" w:lineRule="auto"/>
      </w:pPr>
      <w:r>
        <w:rPr>
          <w:rFonts w:ascii="Calibri" w:hAnsi="Calibri"/>
          <w:b/>
          <w:color w:val="000000"/>
          <w:sz w:val="22"/>
        </w:rPr>
        <w:t>7.2 Distributed Training and Optimization</w:t>
      </w:r>
    </w:p>
    <w:p>
      <w:pPr>
        <w:spacing w:before="80" w:after="80" w:line="259" w:lineRule="auto"/>
      </w:pPr>
      <w:r>
        <w:rPr>
          <w:rFonts w:ascii="Calibri" w:hAnsi="Calibri"/>
          <w:b w:val="0"/>
          <w:color w:val="000000"/>
          <w:sz w:val="21"/>
        </w:rPr>
        <w:t>DeepSpeed ZeRO Stage 3 is the primary distributed training engine, providing model sharding across multiple GPUs within a single node (intra-node communication via NVLink/NVSwitch at 600 GB/s) and optionally across nodes (inter-node communication via InfiniBand or RoCE at 100-200 Gbps). Flash Attention 2 is integrated into the model via the Hugging Face model config (attn_implementation="flash_attention_2"), reducing the quadratic attention memory complexity from O(N^2) to O(N) and enabling longer context windows. Mixed-precision training uses bfloat16 throughout, with an optional FP32 master copy of optimizer states preserved automatically by DeepSpeed.</w:t>
      </w:r>
    </w:p>
    <w:p>
      <w:pPr>
        <w:spacing w:before="200" w:after="60" w:line="264" w:lineRule="auto"/>
      </w:pPr>
      <w:r>
        <w:rPr>
          <w:rFonts w:ascii="Calibri" w:hAnsi="Calibri"/>
          <w:b/>
          <w:color w:val="000000"/>
          <w:sz w:val="22"/>
        </w:rPr>
        <w:t>7.3 Data Stack</w:t>
      </w:r>
    </w:p>
    <w:p>
      <w:pPr>
        <w:spacing w:before="80" w:after="80" w:line="259" w:lineRule="auto"/>
      </w:pPr>
      <w:r>
        <w:rPr>
          <w:rFonts w:ascii="Calibri" w:hAnsi="Calibri"/>
          <w:b w:val="0"/>
          <w:color w:val="000000"/>
          <w:sz w:val="21"/>
        </w:rPr>
        <w:t>Data processing leverages the following libraries and tools. MinHash computation and LSH indexing use the datasketch Python library, which provides a NumPy-optimized MinHash implementation scalable to millions of documents. Toxicity filtering uses Meta's Llama Guard model, deployed via vLLM for high-throughput batched inference on a dedicated A10G GPU. Embedding computation for semantic diversity sampling uses the sentence-transformers library with the BAAI/bge-large-en-v1.5 model, running on a single A10G GPU. Data serialization uses the Hugging Face Datasets library with the Arrow format for efficient random access, and JSONL for long-term archival storage in S3.</w:t>
      </w:r>
    </w:p>
    <w:p>
      <w:pPr>
        <w:spacing w:before="200" w:after="60" w:line="264" w:lineRule="auto"/>
      </w:pPr>
      <w:r>
        <w:rPr>
          <w:rFonts w:ascii="Calibri" w:hAnsi="Calibri"/>
          <w:b/>
          <w:color w:val="000000"/>
          <w:sz w:val="22"/>
        </w:rPr>
        <w:t>7.4 Infrastructure and DevOps</w:t>
      </w:r>
    </w:p>
    <w:p>
      <w:pPr>
        <w:spacing w:before="80" w:after="80" w:line="259" w:lineRule="auto"/>
      </w:pPr>
      <w:r>
        <w:rPr>
          <w:rFonts w:ascii="Calibri" w:hAnsi="Calibri"/>
          <w:b w:val="0"/>
          <w:color w:val="000000"/>
          <w:sz w:val="21"/>
        </w:rPr>
        <w:t>The infrastructure layer includes the following components. GPU compute is provisioned on AWS p4d.24xlarge instances (8x A100-80GB) for production training runs, with g5.12xlarge (4x A10G) for development and evaluation. Containerization via Docker with a custom training image built on nvidia/cuda:12.1-cudnn8-devel-ubuntu22.04, including all Python dependencies pinned to exact versions in a pyproject.toml file. Model artifacts are stored in S3 with versioning enabled and lifecycle policies to transition old checkpoints to Glacier after 90 days. PostgreSQL (via RDS) stores annotation data, evaluation results, and training metadata. Slurm or Kubernetes (depending on the deployment environment) handles job scheduling, with configuration managed via the orchestrator described in Section 6.4.</w:t>
      </w:r>
    </w:p>
    <w:p>
      <w:pPr>
        <w:spacing w:before="200" w:after="60" w:line="264" w:lineRule="auto"/>
      </w:pPr>
      <w:r>
        <w:rPr>
          <w:rFonts w:ascii="Calibri" w:hAnsi="Calibri"/>
          <w:b/>
          <w:color w:val="000000"/>
          <w:sz w:val="22"/>
        </w:rPr>
        <w:t>7.5 Development Tools and Quality</w:t>
      </w:r>
    </w:p>
    <w:p>
      <w:pPr>
        <w:spacing w:before="80" w:after="80" w:line="259" w:lineRule="auto"/>
      </w:pPr>
      <w:r>
        <w:rPr>
          <w:rFonts w:ascii="Calibri" w:hAnsi="Calibri"/>
          <w:b w:val="0"/>
          <w:color w:val="000000"/>
          <w:sz w:val="21"/>
        </w:rPr>
        <w:t>Code quality is enforced through a pre-commit hook pipeline that runs isort (import sorting), black (code formatting, line length 100), ruff (linting, replacing flake8 and isort for performance), mypy (static type checking, strict mode), and pytest (unit and integration tests). All training scripts are written as modular Python packages with type annotations throughout. Configuration is managed via YAML files with dataclass-based schema validation (using pydantic v2), ensuring that all hyperparameters are validated at job submission time rather than mid-training. Version control uses Git with a trunk-based development workflow and feature branches for experimental changes.</w:t>
      </w:r>
    </w:p>
    <w:p>
      <w:pPr>
        <w:spacing w:before="320" w:after="120" w:line="276" w:lineRule="auto"/>
      </w:pPr>
      <w:r>
        <w:rPr>
          <w:rFonts w:ascii="Calibri" w:hAnsi="Calibri"/>
          <w:b/>
          <w:color w:val="000000"/>
          <w:sz w:val="26"/>
        </w:rPr>
        <w:t>8. IMPLEMENTATION ROADMAP</w:t>
      </w:r>
    </w:p>
    <w:p>
      <w:pPr>
        <w:spacing w:before="200" w:after="60" w:line="264" w:lineRule="auto"/>
      </w:pPr>
      <w:r>
        <w:rPr>
          <w:rFonts w:ascii="Calibri" w:hAnsi="Calibri"/>
          <w:b/>
          <w:color w:val="000000"/>
          <w:sz w:val="22"/>
        </w:rPr>
        <w:t>Phase 1 — Data Pipeline (Weeks 1–3)</w:t>
      </w:r>
    </w:p>
    <w:p>
      <w:pPr>
        <w:spacing w:before="80" w:after="80" w:line="259" w:lineRule="auto"/>
      </w:pPr>
      <w:r>
        <w:rPr>
          <w:rFonts w:ascii="Calibri" w:hAnsi="Calibri"/>
          <w:b w:val="0"/>
          <w:color w:val="000000"/>
          <w:sz w:val="21"/>
        </w:rPr>
        <w:t>The first phase focuses exclusively on data, recognizing that the quality of the training corpus is the single largest determinant of downstream model quality. Week 1 involves building data collection scripts that aggregate instruction-response data from multiple sources: the OpenOrca dataset (a large, diverse collection of GPT-4 generated instructions), the ShareGPT dataset (real user conversations with ChatGPT), domain-specific web scraping for the target application area, and synthetic data generation using GPT-4 for targeted coverage of under-represented topics. Collection scripts are written as idempotent Python modules that write raw JSONL files to a staging S3 bucket with source attribution metadata.</w:t>
      </w:r>
    </w:p>
    <w:p>
      <w:pPr>
        <w:spacing w:before="80" w:after="80" w:line="259" w:lineRule="auto"/>
      </w:pPr>
      <w:r>
        <w:rPr>
          <w:rFonts w:ascii="Calibri" w:hAnsi="Calibri"/>
          <w:b w:val="0"/>
          <w:color w:val="000000"/>
          <w:sz w:val="21"/>
        </w:rPr>
        <w:t>Week 2 is dedicated to the deduplication and filtering pipeline. The MinHash deduplication module is implemented and tested on a 10K document sample, then scaled to the full corpus using multiprocessing across 32 CPU cores. The Llama Guard toxicity filtering module is deployed on a dedicated inference server, with a batching client that processes 1M documents in approximately 2 hours on a single A10G GPU. Filter thresholds are tuned on a labeled validation set to balance precision (keeping safe content) and recall (removing harmful content). The output is a cleaned JSONL corpus with an estimated 80-90K documents after filtering.</w:t>
      </w:r>
    </w:p>
    <w:p>
      <w:pPr>
        <w:spacing w:before="80" w:after="80" w:line="259" w:lineRule="auto"/>
      </w:pPr>
      <w:r>
        <w:rPr>
          <w:rFonts w:ascii="Calibri" w:hAnsi="Calibri"/>
          <w:b w:val="0"/>
          <w:color w:val="000000"/>
          <w:sz w:val="21"/>
        </w:rPr>
        <w:t>Week 3 completes the data phase with semantic diversity sampling and format normalization. The BGE-large embedding model computes 1024-dimensional embeddings for all documents (a compute-intensive step that runs for approximately 6 hours on a single A10G). K-means clustering (k=1000) is performed using faiss for GPU-accelerated mini-batch clustering. The tempered sampling strategy is implemented, and the final training corpus is sampled to the target size of 100K+ examples. Format normalization to ShareGPT schema is applied as a final pass, with validation to ensure no malformed entries. Corpus statistics — token count distribution, topic distribution, safety label distribution — are computed and logged to W&amp;B as a data report.</w:t>
      </w:r>
    </w:p>
    <w:p>
      <w:pPr>
        <w:spacing w:before="200" w:after="60" w:line="264" w:lineRule="auto"/>
      </w:pPr>
      <w:r>
        <w:rPr>
          <w:rFonts w:ascii="Calibri" w:hAnsi="Calibri"/>
          <w:b/>
          <w:color w:val="000000"/>
          <w:sz w:val="22"/>
        </w:rPr>
        <w:t>Phase 2 — SFT Training (Weeks 4–6)</w:t>
      </w:r>
    </w:p>
    <w:p>
      <w:pPr>
        <w:spacing w:before="80" w:after="80" w:line="259" w:lineRule="auto"/>
      </w:pPr>
      <w:r>
        <w:rPr>
          <w:rFonts w:ascii="Calibri" w:hAnsi="Calibri"/>
          <w:b w:val="0"/>
          <w:color w:val="000000"/>
          <w:sz w:val="21"/>
        </w:rPr>
        <w:t>Phase 2 begins with infrastructure setup in Week 4. The DeepSpeed ZeRO-3 configuration is validated on the target GPU cluster (4x A100-80GB), with a dry-run that loads the base model, attaches LoRA adapters, and runs a single training step to verify memory usage and throughput estimates. The S3 data loading pipeline is tested end-to-end, with the streaming Iterable-Dataset fetching data from S3 and feeding the trainer at sufficient throughput to keep GPUs at &gt;90% utilization. W&amp;B integration is configured, and a baseline zero-shot evaluation of the base model on MT-Bench is run to establish pre-training quality metrics.</w:t>
      </w:r>
    </w:p>
    <w:p>
      <w:pPr>
        <w:spacing w:before="80" w:after="80" w:line="259" w:lineRule="auto"/>
      </w:pPr>
      <w:r>
        <w:rPr>
          <w:rFonts w:ascii="Calibri" w:hAnsi="Calibri"/>
          <w:b w:val="0"/>
          <w:color w:val="000000"/>
          <w:sz w:val="21"/>
        </w:rPr>
        <w:t>Week 5 is dedicated to hyperparameter optimization via W&amp;B Sweeps. A Bayesian sweep over learning rate, batch size, LoRA rank, and warmup ratio is configured with 30 trial runs, each running for 25% of an epoch to efficiently identify the optimal configuration. The sweep output provides not only the optimal hyperparameters but also sensitivity analysis — which parameters most strongly influence final loss and which have negligible effect. The optimal configuration is then used for a full 3-epoch training run that executes over 2-3 days on 4x A100 GPUs. Training progress is monitored in real-time via W&amp;B dashboards.</w:t>
      </w:r>
    </w:p>
    <w:p>
      <w:pPr>
        <w:spacing w:before="80" w:after="80" w:line="259" w:lineRule="auto"/>
      </w:pPr>
      <w:r>
        <w:rPr>
          <w:rFonts w:ascii="Calibri" w:hAnsi="Calibri"/>
          <w:b w:val="0"/>
          <w:color w:val="000000"/>
          <w:sz w:val="21"/>
        </w:rPr>
        <w:t>Week 6 focuses on evaluation and checkpoint selection. The SFT model is evaluated on MT-Bench and AlpacaEval 2.0, with results compared against the baseline zero-shot scores. A manual quality assessment is conducted: 100 prompts are sampled from diverse categories, responses are generated, and 3 human evaluators rate each response on a 1-5 Likert scale for helpfulness, harmlessness, and honesty (the HHH criteria). The best checkpoint is selected based on a weighted combination of validation perplexity (40%), MT-Bench score (40%), and human evaluation score (20%). This checkpoint is frozen and exported to S3 as s3://bucket/rlhf/models/sft-best/.</w:t>
      </w:r>
    </w:p>
    <w:p>
      <w:pPr>
        <w:spacing w:before="200" w:after="60" w:line="264" w:lineRule="auto"/>
      </w:pPr>
      <w:r>
        <w:rPr>
          <w:rFonts w:ascii="Calibri" w:hAnsi="Calibri"/>
          <w:b/>
          <w:color w:val="000000"/>
          <w:sz w:val="22"/>
        </w:rPr>
        <w:t>Phase 3 — Reward Model (Weeks 7–9)</w:t>
      </w:r>
    </w:p>
    <w:p>
      <w:pPr>
        <w:spacing w:before="80" w:after="80" w:line="259" w:lineRule="auto"/>
      </w:pPr>
      <w:r>
        <w:rPr>
          <w:rFonts w:ascii="Calibri" w:hAnsi="Calibri"/>
          <w:b w:val="0"/>
          <w:color w:val="000000"/>
          <w:sz w:val="21"/>
        </w:rPr>
        <w:t>Week 7 is dedicated to building the annotation platform. The Next.js frontend is implemented with a clean, distraction-free UI optimized for rapid annotation. The FastAPI backend connects to PostgreSQL and implements the annotation queue with randomization, deduplication, and quality-control overlap. A pilot annotation run with 5 internal annotators labels 500 prompts to validate the platform UX and compute initial inter-annotator agreement metrics. Platform issues identified during the pilot — ambiguous guidelines, confusing UI elements, slow task loading — are addressed before scaling to the full annotation effort.</w:t>
      </w:r>
    </w:p>
    <w:p>
      <w:pPr>
        <w:spacing w:before="80" w:after="80" w:line="259" w:lineRule="auto"/>
      </w:pPr>
      <w:r>
        <w:rPr>
          <w:rFonts w:ascii="Calibri" w:hAnsi="Calibri"/>
          <w:b w:val="0"/>
          <w:color w:val="000000"/>
          <w:sz w:val="21"/>
        </w:rPr>
        <w:t>Week 8 executes the full-scale annotation campaign. A team of 10-15 annotators (sourced internally or through a labeling service) labels preference pairs at a target rate of 200 pairs per annotator per day, yielding ~3,000 pairs per day and the target 10,000 pairs in approximately 4 days. The annotation guidelines are a detailed document specifying what constitutes a better response: helpfulness (does it address the prompt?), accuracy (are facts correct?), conciseness (is it appropriately brief?), safety (does it avoid harmful content?), and tone (is the style appropriate?). Inter-annotator agreement is tracked daily, and annotators with below-threshold agreement are given additional training.</w:t>
      </w:r>
    </w:p>
    <w:p>
      <w:pPr>
        <w:spacing w:before="80" w:after="80" w:line="259" w:lineRule="auto"/>
      </w:pPr>
      <w:r>
        <w:rPr>
          <w:rFonts w:ascii="Calibri" w:hAnsi="Calibri"/>
          <w:b w:val="0"/>
          <w:color w:val="000000"/>
          <w:sz w:val="21"/>
        </w:rPr>
        <w:t>Week 9 trains and evaluates the reward model. The preference dataset (10K+ pairs) is split 80-20 into training and validation sets, stratified to ensure proportional representation of prompt categories. The Bradley-Terry reward model is trained for 1 epoch. Comprehensive evaluation follows: accuracy on held-out pairs, calibration analysis (how well does predicted reward magnitude correlate with human preference strength?), length bias testing, position bias testing, and adversarial robustness testing. If accuracy is below the 72% target, additional preference data is collected in a second annotation round. The best reward model checkpoint is frozen and exported to S3 as s3://bucket/rlhf/models/reward-best/.</w:t>
      </w:r>
    </w:p>
    <w:p>
      <w:pPr>
        <w:spacing w:before="200" w:after="60" w:line="264" w:lineRule="auto"/>
      </w:pPr>
      <w:r>
        <w:rPr>
          <w:rFonts w:ascii="Calibri" w:hAnsi="Calibri"/>
          <w:b/>
          <w:color w:val="000000"/>
          <w:sz w:val="22"/>
        </w:rPr>
        <w:t>Phase 4 — PPO Training (Weeks 10–12)</w:t>
      </w:r>
    </w:p>
    <w:p>
      <w:pPr>
        <w:spacing w:before="80" w:after="80" w:line="259" w:lineRule="auto"/>
      </w:pPr>
      <w:r>
        <w:rPr>
          <w:rFonts w:ascii="Calibri" w:hAnsi="Calibri"/>
          <w:b w:val="0"/>
          <w:color w:val="000000"/>
          <w:sz w:val="21"/>
        </w:rPr>
        <w:t>Week 10 begins PPO development with infrastructure validation. The four-model architecture (policy, reference, reward, value) is loaded and a single forward pass is executed to verify memory fits within the 4x A100-80GB budget. The generation pipeline is tested with the target parameters (temperature 0.7, top_p 0.9, max_new_tokens 512) to verify generation quality and throughput. A short PPO run of 10 steps serves as a smoke test, checking that rewards are being computed, KL divergence is being tracked, and the policy is being updated (as evidenced by changing log-probabilities). Any configuration issues — incorrect model freezing, mismatched tokenizer settings, NaN gradients — are resolved before the full run.</w:t>
      </w:r>
    </w:p>
    <w:p>
      <w:pPr>
        <w:spacing w:before="80" w:after="80" w:line="259" w:lineRule="auto"/>
      </w:pPr>
      <w:r>
        <w:rPr>
          <w:rFonts w:ascii="Calibri" w:hAnsi="Calibri"/>
          <w:b w:val="0"/>
          <w:color w:val="000000"/>
          <w:sz w:val="21"/>
        </w:rPr>
        <w:t>Week 11 executes the full PPO training run. The adaptive KL coefficient is initialized at 0.1, and the PPO training loop runs for approximately 150-200 steps (each step using 128 new prompt-response pairs). Critical monitoring covers: (a) reward trajectory — is the normalized reward increasing steadily, indicating the policy is learning to generate higher-reward responses? (b) KL trajectory — is the KL divergence remaining near the 0.01 target, indicating the KL penalty is functioning correctly? (c) Response diversity — are distinct n-gram ratios and response length distributions remaining healthy, indicating no mode collapse? (d) Reward hacking indicators — is MT-Bench score (evaluated every 50 PPO steps) correlating positively with reward increase? If reward increases but MT-Bench decreases, the KL coefficient is manually increased and training is rolled back to the last good checkpoint.</w:t>
      </w:r>
    </w:p>
    <w:p>
      <w:pPr>
        <w:spacing w:before="80" w:after="80" w:line="259" w:lineRule="auto"/>
      </w:pPr>
      <w:r>
        <w:rPr>
          <w:rFonts w:ascii="Calibri" w:hAnsi="Calibri"/>
          <w:b w:val="0"/>
          <w:color w:val="000000"/>
          <w:sz w:val="21"/>
        </w:rPr>
        <w:t>Week 12 conducts final evaluation and ablation analysis. The PPO-tuned model is evaluated on MT-Bench, AlpacaEval 2.0, and custom domain benchmarks. Results are compared against the SFT baseline to quantify the improvement attributable to RLHF. Ablation studies are conducted to isolate the contribution of individual components: PPO without KL penalty (to demonstrate reward hacking), PPO with different beta values, and PPO with different reward model checkpoints. A human side-by-side evaluation (SFT vs. PPO on 50 prompts) provides the ultimate quality judgment. The final model, including the merged LoRA weights, is exported to S3 as s3://bucket/rlhf/models/ppo-final/.</w:t>
      </w:r>
    </w:p>
    <w:p>
      <w:pPr>
        <w:spacing w:before="200" w:after="60" w:line="264" w:lineRule="auto"/>
      </w:pPr>
      <w:r>
        <w:rPr>
          <w:rFonts w:ascii="Calibri" w:hAnsi="Calibri"/>
          <w:b/>
          <w:color w:val="000000"/>
          <w:sz w:val="22"/>
        </w:rPr>
        <w:t>Phase 5 — Production and Release (Weeks 13–14)</w:t>
      </w:r>
    </w:p>
    <w:p>
      <w:pPr>
        <w:spacing w:before="80" w:after="80" w:line="259" w:lineRule="auto"/>
      </w:pPr>
      <w:r>
        <w:rPr>
          <w:rFonts w:ascii="Calibri" w:hAnsi="Calibri"/>
          <w:b w:val="0"/>
          <w:color w:val="000000"/>
          <w:sz w:val="21"/>
        </w:rPr>
        <w:t>Week 13 handles productionization. The LoRA adapter weights are merged into the base model using the PEFT merge_and_unload() method, producing a single, self-contained model file compatible with standard inference frameworks. The merged model is quantized to INT8 using bitsandbytes and to INT4 using GPTQ, with perplexity measured on a calibration set to quantify quality degradation from quantization. A vLLM inference server is deployed with the quantized model, configured with continuous batching, PagedAttention KV cache management, and an auto-scaling policy based on request queue depth. The inference API is load-tested with 100 concurrent users to measure P50, P95, and P99 latency.</w:t>
      </w:r>
    </w:p>
    <w:p>
      <w:pPr>
        <w:spacing w:before="80" w:after="80" w:line="259" w:lineRule="auto"/>
      </w:pPr>
      <w:r>
        <w:rPr>
          <w:rFonts w:ascii="Calibri" w:hAnsi="Calibri"/>
          <w:b w:val="0"/>
          <w:color w:val="000000"/>
          <w:sz w:val="21"/>
        </w:rPr>
        <w:t>Week 14 completes the release process. A comprehensive model card is written, documenting the model's intended use, training methodology, evaluation results, known limitations, and safety characteristics. Release artifacts — the merged model weights, the LoRA adapter, the reward model, the dataset manifest, and the evaluation report — are organized in a versioned S3 release bucket. Internal documentation covering the training pipeline setup, configuration, and operation is published in the team wiki. A final retrospective meeting captures lessons learned, documents process improvements for future training runs, and identifies follow-up work (e.g., DPO experiments, Constitutional AI integration, multi-modal RLHF extensions).</w:t>
      </w:r>
    </w:p>
    <w:p>
      <w:pPr>
        <w:spacing w:before="320" w:after="120" w:line="276" w:lineRule="auto"/>
      </w:pPr>
      <w:r>
        <w:rPr>
          <w:rFonts w:ascii="Calibri" w:hAnsi="Calibri"/>
          <w:b/>
          <w:color w:val="000000"/>
          <w:sz w:val="26"/>
        </w:rPr>
        <w:t>9. TESTING STRATEGY</w:t>
      </w:r>
    </w:p>
    <w:p>
      <w:pPr>
        <w:spacing w:before="200" w:after="60" w:line="264" w:lineRule="auto"/>
      </w:pPr>
      <w:r>
        <w:rPr>
          <w:rFonts w:ascii="Calibri" w:hAnsi="Calibri"/>
          <w:b/>
          <w:color w:val="000000"/>
          <w:sz w:val="22"/>
        </w:rPr>
        <w:t>9.1 SFT Stage Testing</w:t>
      </w:r>
    </w:p>
    <w:p>
      <w:pPr>
        <w:spacing w:before="80" w:after="80" w:line="259" w:lineRule="auto"/>
      </w:pPr>
      <w:r>
        <w:rPr>
          <w:rFonts w:ascii="Calibri" w:hAnsi="Calibri"/>
          <w:b w:val="0"/>
          <w:color w:val="000000"/>
          <w:sz w:val="21"/>
        </w:rPr>
        <w:t>The SFT stage is tested across four dimensions. Loss convergence: the training loss must decrease monotonically (aside from minor noise from mini-batch variance), reaching a stable plateau by the end of epoch 3. If the loss diverges or oscillates wildly, the learning rate is reduced and training is restarted. Overfitting detection: validation loss is computed every 500 steps. If validation loss increases for 3 consecutive evaluations while training loss continues to decrease, early stopping is triggered. The validation set of 1,000 examples is sampled from the same data distribution as the training set but is held out entirely from training.</w:t>
      </w:r>
    </w:p>
    <w:p>
      <w:pPr>
        <w:spacing w:before="80" w:after="80" w:line="259" w:lineRule="auto"/>
      </w:pPr>
      <w:r>
        <w:rPr>
          <w:rFonts w:ascii="Calibri" w:hAnsi="Calibri"/>
          <w:b w:val="0"/>
          <w:color w:val="000000"/>
          <w:sz w:val="21"/>
        </w:rPr>
        <w:t>Generation quality testing involves human review of 100 generated responses to diverse prompts. Each response is evaluated on formatting (does it follow the expected conversation format?), relevance (does it address the prompt?), and safety (does it avoid harmful content?). The target pass rate is &gt;90% for formatting and relevance, and &gt;99% for safety. Perplexity regression testing ensures that the SFT model has not catastrophically forgotten its pre-training knowledge: the SFT model's perplexity on a held-out corpus of Wikipedia articles should not increase by more than 20% relative to the base model. A larger increase indicates catastrophic forgetting and suggests that the LoRA rank is too high or the learning rate is too aggressive.</w:t>
      </w:r>
    </w:p>
    <w:p>
      <w:pPr>
        <w:spacing w:before="200" w:after="60" w:line="264" w:lineRule="auto"/>
      </w:pPr>
      <w:r>
        <w:rPr>
          <w:rFonts w:ascii="Calibri" w:hAnsi="Calibri"/>
          <w:b/>
          <w:color w:val="000000"/>
          <w:sz w:val="22"/>
        </w:rPr>
        <w:t>9.2 Reward Model Stage Testing</w:t>
      </w:r>
    </w:p>
    <w:p>
      <w:pPr>
        <w:spacing w:before="80" w:after="80" w:line="259" w:lineRule="auto"/>
      </w:pPr>
      <w:r>
        <w:rPr>
          <w:rFonts w:ascii="Calibri" w:hAnsi="Calibri"/>
          <w:b w:val="0"/>
          <w:color w:val="000000"/>
          <w:sz w:val="21"/>
        </w:rPr>
        <w:t>Reward model testing centers on accuracy, calibration, and fairness. Accuracy on held-out preference pairs must exceed 72%. Calibration is evaluated by binning test pairs by the reward model's predicted probability and comparing to the empirical preference rate in each bin — a well-calibrated model has points on the diagonal of the reliability diagram. Length bias testing uses a controlled test set where the 'correct' response is the shorter of two equally good responses; the reward model should assign higher reward to the shorter response in at most 55% of cases (i.e., no strong length bias). Position bias testing randomizes whether the chosen response appears first or second in each test pair and verifies that accuracy does not depend on position.</w:t>
      </w:r>
    </w:p>
    <w:p>
      <w:pPr>
        <w:spacing w:before="80" w:after="80" w:line="259" w:lineRule="auto"/>
      </w:pPr>
      <w:r>
        <w:rPr>
          <w:rFonts w:ascii="Calibri" w:hAnsi="Calibri"/>
          <w:b w:val="0"/>
          <w:color w:val="000000"/>
          <w:sz w:val="21"/>
        </w:rPr>
        <w:t>Adversarial robustness testing probes the reward model's ability to correctly penalize objectively bad responses. A set of 500 synthetic 'bad' responses is generated: nonsensical text (random tokens), toxic content, factually incorrect statements, and responses that refuse to engage with the prompt. For each, the reward model is asked to compare the bad response against a known-good response; the model must assign a higher reward to the good response in &gt;95% of cases. Failures are analyzed to identify patterns that the reward model blind spots and to guide improvements in either the reward model architecture or the preference data collection process.</w:t>
      </w:r>
    </w:p>
    <w:p>
      <w:pPr>
        <w:spacing w:before="200" w:after="60" w:line="264" w:lineRule="auto"/>
      </w:pPr>
      <w:r>
        <w:rPr>
          <w:rFonts w:ascii="Calibri" w:hAnsi="Calibri"/>
          <w:b/>
          <w:color w:val="000000"/>
          <w:sz w:val="22"/>
        </w:rPr>
        <w:t>9.3 PPO Stage Testing</w:t>
      </w:r>
    </w:p>
    <w:p>
      <w:pPr>
        <w:spacing w:before="80" w:after="80" w:line="259" w:lineRule="auto"/>
      </w:pPr>
      <w:r>
        <w:rPr>
          <w:rFonts w:ascii="Calibri" w:hAnsi="Calibri"/>
          <w:b w:val="0"/>
          <w:color w:val="000000"/>
          <w:sz w:val="21"/>
        </w:rPr>
        <w:t>PPO testing is the most extensive, reflecting the stage's complexity. KL divergence monitoring is continuous: the per-step KL must not exceed 10 nats (1000x the target of 0.01), and the running-average KL must remain within [0.005, 0.05] nats. If the KL spikes, the adaptive beta mechanism should bring it back down within 5 steps; if it does not, training is paused for investigation. Reward hacking detection uses a parallel evaluation track: every 50 PPO steps, the current policy is evaluated on MT-Bench. If the MT-Bench score decreases while the training reward increases, this is a clear signature of reward hacking and triggers an automatic rollback to the previous checkpoint.</w:t>
      </w:r>
    </w:p>
    <w:p>
      <w:pPr>
        <w:spacing w:before="80" w:after="80" w:line="259" w:lineRule="auto"/>
      </w:pPr>
      <w:r>
        <w:rPr>
          <w:rFonts w:ascii="Calibri" w:hAnsi="Calibri"/>
          <w:b w:val="0"/>
          <w:color w:val="000000"/>
          <w:sz w:val="21"/>
        </w:rPr>
        <w:t>Diversity metrics are tracked throughout PPO training to detect mode collapse. Distinct n-gram ratio (the proportion of n-grams in the generated text that are unique) is measured for unigrams, bigrams, and trigrams on every batch. Response length distribution is tracked via mean and standard deviation. Token-level entropy of the policy's output distribution is averaged across all generated tokens. If the distinct n-gram ratio drops below 0.6 or the response length standard deviation drops below 100 tokens (from an initial ~200), mode collapse is suspected and the temperature is increased or the KL penalty is strengthened. Human evaluation provides the final quality signal: a side-by-side A/B comparison of SFT vs. PPO on 50 prompts, with 3 human evaluators rating which response is better (win/loss/tie). The PPO model must win more comparisons than it loses.</w:t>
      </w:r>
    </w:p>
    <w:p>
      <w:pPr>
        <w:spacing w:before="200" w:after="60" w:line="264" w:lineRule="auto"/>
      </w:pPr>
      <w:r>
        <w:rPr>
          <w:rFonts w:ascii="Calibri" w:hAnsi="Calibri"/>
          <w:b/>
          <w:color w:val="000000"/>
          <w:sz w:val="22"/>
        </w:rPr>
        <w:t>9.4 Production Testing</w:t>
      </w:r>
    </w:p>
    <w:p>
      <w:pPr>
        <w:spacing w:before="80" w:after="80" w:line="259" w:lineRule="auto"/>
      </w:pPr>
      <w:r>
        <w:rPr>
          <w:rFonts w:ascii="Calibri" w:hAnsi="Calibri"/>
          <w:b w:val="0"/>
          <w:color w:val="000000"/>
          <w:sz w:val="21"/>
        </w:rPr>
        <w:t>Production testing validates the model's behavior under realistic deployment conditions. Load testing uses Locust to simulate 100 concurrent users sending inference requests at a Poisson arrival rate of 50 requests per second, measuring P50, P95, and P99 latency. The P95 latency must be under 2 seconds for a 512-token response. Regression testing maintains a snapshot of 100 prompts with their expected good responses (established during earlier evaluation phases); any model update must be validated against this snapshot to ensure no regression on previously working behavior. Safety testing uses a corpus of 500 adversarial prompts — jailbreak attempts, harmful requests, and prompt injection attacks — collected from public red-teaming datasets (Anthropic's red-teaming data, WildJailbreak, HarmBench). The refusal rate (model responds with a refusal rather than complying) must exceed 95%.</w:t>
      </w:r>
    </w:p>
    <w:p>
      <w:pPr>
        <w:spacing w:before="320" w:after="120" w:line="276" w:lineRule="auto"/>
      </w:pPr>
      <w:r>
        <w:rPr>
          <w:rFonts w:ascii="Calibri" w:hAnsi="Calibri"/>
          <w:b/>
          <w:color w:val="000000"/>
          <w:sz w:val="26"/>
        </w:rPr>
        <w:t>10. DEPLOYMENT PLAN</w:t>
      </w:r>
    </w:p>
    <w:p>
      <w:pPr>
        <w:spacing w:before="200" w:after="60" w:line="264" w:lineRule="auto"/>
      </w:pPr>
      <w:r>
        <w:rPr>
          <w:rFonts w:ascii="Calibri" w:hAnsi="Calibri"/>
          <w:b/>
          <w:color w:val="000000"/>
          <w:sz w:val="22"/>
        </w:rPr>
        <w:t>10.1 Training Environment</w:t>
      </w:r>
    </w:p>
    <w:p>
      <w:pPr>
        <w:spacing w:before="80" w:after="80" w:line="259" w:lineRule="auto"/>
      </w:pPr>
      <w:r>
        <w:rPr>
          <w:rFonts w:ascii="Calibri" w:hAnsi="Calibri"/>
          <w:b w:val="0"/>
          <w:color w:val="000000"/>
          <w:sz w:val="21"/>
        </w:rPr>
        <w:t>Training is executed on AWS p4d.24xlarge instances, each providing 8 NVIDIA A100-80GB GPUs connected via NVSwitch (600 GB/s bidirectional per GPU) and 96 vCPUs with 1.1 TB of system memory. The instances run in a dedicated VPC with an S3 VPC endpoint for high-throughput data access without traversing the public internet. For cost optimization, development and hyper-parameter sweep runs use g5.12xlarge instances (4x A10G-24GB), while full production training runs use p4d instances. Spot instances are used when available, with on-demand fallback and the preemption-handling mechanism described in Section 6.4.</w:t>
      </w:r>
    </w:p>
    <w:p>
      <w:pPr>
        <w:spacing w:before="200" w:after="60" w:line="264" w:lineRule="auto"/>
      </w:pPr>
      <w:r>
        <w:rPr>
          <w:rFonts w:ascii="Calibri" w:hAnsi="Calibri"/>
          <w:b/>
          <w:color w:val="000000"/>
          <w:sz w:val="22"/>
        </w:rPr>
        <w:t>10.2 Model Registry</w:t>
      </w:r>
    </w:p>
    <w:p>
      <w:pPr>
        <w:spacing w:before="80" w:after="80" w:line="259" w:lineRule="auto"/>
      </w:pPr>
      <w:r>
        <w:rPr>
          <w:rFonts w:ascii="Calibri" w:hAnsi="Calibri"/>
          <w:b w:val="0"/>
          <w:color w:val="000000"/>
          <w:sz w:val="21"/>
        </w:rPr>
        <w:t>All trained model artifacts are stored in a versioned model registry implemented on S3 with the following directory structure: s3://{bucket}/rlhf/models/{stage}/{run_id}/{artifact_type}/. Each artifact directory contains the model weights (safetensors format for LoRA adapters, full model for merged checkpoints), a metadata.json file recording the training configuration, hyperparameters, evaluation scores, git commit hash, and data provenance (S3 paths of training data used), and a model_card.md with the model's intended use and characteristics. The S3 bucket has versioning enabled, and lifecycle policies automatically transition checkpoints older than 90 days to Glacier Deep Archive for cost-effective long-term storage.</w:t>
      </w:r>
    </w:p>
    <w:p>
      <w:pPr>
        <w:spacing w:before="200" w:after="60" w:line="264" w:lineRule="auto"/>
      </w:pPr>
      <w:r>
        <w:rPr>
          <w:rFonts w:ascii="Calibri" w:hAnsi="Calibri"/>
          <w:b/>
          <w:color w:val="000000"/>
          <w:sz w:val="22"/>
        </w:rPr>
        <w:t>10.3 Inference Deployment</w:t>
      </w:r>
    </w:p>
    <w:p>
      <w:pPr>
        <w:spacing w:before="80" w:after="80" w:line="259" w:lineRule="auto"/>
      </w:pPr>
      <w:r>
        <w:rPr>
          <w:rFonts w:ascii="Calibri" w:hAnsi="Calibri"/>
          <w:b w:val="0"/>
          <w:color w:val="000000"/>
          <w:sz w:val="21"/>
        </w:rPr>
        <w:t>Production inference is served by vLLM, an open-source high-throughput LLM serving engine. The vLLM server is deployed as a Docker container on g5.12xlarge or p4d instances, depending on throughput requirements. Key vLLM configurations include: continuous batching (dynamically aggregating incoming requests into batches to maximize GPU utilization), PagedAttention KV cache (managing the attention key-value cache in non-contiguous memory pages to eliminate internal fragmentation and enable memory sharing across sequences), tensor parallelism across all available GPUs on the instance, and max_num_seqs=256 (the maximum number of concurrent sequences, controlling throughput vs. latency trade-off). The model is loaded in INT4 or INT8 quantized format to maximize the number of sequences that fit in GPU memory.</w:t>
      </w:r>
    </w:p>
    <w:p>
      <w:pPr>
        <w:spacing w:before="80" w:after="80" w:line="259" w:lineRule="auto"/>
      </w:pPr>
      <w:r>
        <w:rPr>
          <w:rFonts w:ascii="Calibri" w:hAnsi="Calibri"/>
          <w:b w:val="0"/>
          <w:color w:val="000000"/>
          <w:sz w:val="21"/>
        </w:rPr>
        <w:t>The inference deployment includes an auto-scaling layer. A Kubernetes Horizontal Pod Autoscaler (HPA) scales the number of vLLM replicas based on custom metrics: request queue depth (target &lt; 10 queued requests per replica) and P95 latency (target &lt; 2 seconds). When queue depth exceeds the threshold for 60 seconds, a new replica is launched; when queue depth is zero for 5 minutes, a replica is scaled down. An Envoy proxy provides load balancing with least-request routing and circuit breaking to handle replica failures gracefully.</w:t>
      </w:r>
    </w:p>
    <w:p>
      <w:pPr>
        <w:spacing w:before="200" w:after="60" w:line="264" w:lineRule="auto"/>
      </w:pPr>
      <w:r>
        <w:rPr>
          <w:rFonts w:ascii="Calibri" w:hAnsi="Calibri"/>
          <w:b/>
          <w:color w:val="000000"/>
          <w:sz w:val="22"/>
        </w:rPr>
        <w:t>10.4 Monitoring and Observability</w:t>
      </w:r>
    </w:p>
    <w:p>
      <w:pPr>
        <w:spacing w:before="80" w:after="80" w:line="259" w:lineRule="auto"/>
      </w:pPr>
      <w:r>
        <w:rPr>
          <w:rFonts w:ascii="Calibri" w:hAnsi="Calibri"/>
          <w:b w:val="0"/>
          <w:color w:val="000000"/>
          <w:sz w:val="21"/>
        </w:rPr>
        <w:t>Monitoring is implemented via Prometheus for metric collection and Grafana for dash-boarding and alerting. Key metrics include: token throughput (tokens generated per second, aggregated across all replicas), request latency (P50, P95, P99 histograms with 1-second buckets), request queue depth, GPU utilization (per-GPU, per-replica), GPU memory usage, KV cache hit rate (for PagedAttention efficiency), error rate (4xx and 5xx responses), and per-model version traffic (to track canary deployments). Alerts are configured to fire on: P95 latency &gt; 3 seconds sustained for 5 minutes, error rate &gt; 1%, GPU utilization &lt; 50% (indicating a bottleneck upstream of the GPU), and queue depth &gt; 50 pending requests.</w:t>
      </w:r>
    </w:p>
    <w:p>
      <w:pPr>
        <w:spacing w:before="320" w:after="120" w:line="276" w:lineRule="auto"/>
      </w:pPr>
      <w:r>
        <w:rPr>
          <w:rFonts w:ascii="Calibri" w:hAnsi="Calibri"/>
          <w:b/>
          <w:color w:val="000000"/>
          <w:sz w:val="26"/>
        </w:rPr>
        <w:t>11. SUCCESS METRICS</w:t>
      </w:r>
    </w:p>
    <w:p>
      <w:pPr>
        <w:spacing w:before="80" w:after="80" w:line="259" w:lineRule="auto"/>
      </w:pPr>
      <w:r>
        <w:rPr>
          <w:rFonts w:ascii="Calibri" w:hAnsi="Calibri"/>
          <w:b w:val="0"/>
          <w:color w:val="000000"/>
          <w:sz w:val="21"/>
        </w:rPr>
        <w:t>The following quantitative metrics define success for each stage of the pipeline. All metrics are measured against pre-established baselines and are tracked in W&amp;B for continuous visibility. Metrics that do not meet their targets trigger the investigation and remediation procedures defined in Section 9 (Testing Strategy).</w:t>
      </w:r>
    </w:p>
    <w:p>
      <w:pPr>
        <w:spacing w:before="200" w:after="60" w:line="264" w:lineRule="auto"/>
      </w:pPr>
      <w:r>
        <w:rPr>
          <w:rFonts w:ascii="Calibri" w:hAnsi="Calibri"/>
          <w:b/>
          <w:color w:val="000000"/>
          <w:sz w:val="22"/>
        </w:rPr>
        <w:t>11.1 SFT Stage Metrics</w:t>
      </w:r>
    </w:p>
    <w:p>
      <w:pPr>
        <w:pStyle w:val="ListBullet"/>
        <w:spacing w:before="20" w:after="20" w:line="259" w:lineRule="auto"/>
        <w:ind w:left="360"/>
      </w:pPr>
      <w:r>
        <w:rPr>
          <w:rFonts w:ascii="Calibri" w:hAnsi="Calibri"/>
          <w:b w:val="0"/>
          <w:color w:val="000000"/>
          <w:sz w:val="21"/>
        </w:rPr>
        <w:t>Validation loss decrease from baseline: &gt; 20% reduction relative to zero-shot base model perplexity</w:t>
      </w:r>
    </w:p>
    <w:p>
      <w:pPr>
        <w:pStyle w:val="ListBullet"/>
        <w:spacing w:before="20" w:after="20" w:line="259" w:lineRule="auto"/>
        <w:ind w:left="360"/>
      </w:pPr>
      <w:r>
        <w:rPr>
          <w:rFonts w:ascii="Calibri" w:hAnsi="Calibri"/>
          <w:b w:val="0"/>
          <w:color w:val="000000"/>
          <w:sz w:val="21"/>
        </w:rPr>
        <w:t>MT-Bench score (GPT-4 judge): &gt; 6.5 / 10 across all 8 categories</w:t>
      </w:r>
    </w:p>
    <w:p>
      <w:pPr>
        <w:pStyle w:val="ListBullet"/>
        <w:spacing w:before="20" w:after="20" w:line="259" w:lineRule="auto"/>
        <w:ind w:left="360"/>
      </w:pPr>
      <w:r>
        <w:rPr>
          <w:rFonts w:ascii="Calibri" w:hAnsi="Calibri"/>
          <w:b w:val="0"/>
          <w:color w:val="000000"/>
          <w:sz w:val="21"/>
        </w:rPr>
        <w:t>Training throughput: &gt; 1,000 tokens/sec/GPU on the target hardware configuration</w:t>
      </w:r>
    </w:p>
    <w:p>
      <w:pPr>
        <w:pStyle w:val="ListBullet"/>
        <w:spacing w:before="20" w:after="20" w:line="259" w:lineRule="auto"/>
        <w:ind w:left="360"/>
      </w:pPr>
      <w:r>
        <w:rPr>
          <w:rFonts w:ascii="Calibri" w:hAnsi="Calibri"/>
          <w:b w:val="0"/>
          <w:color w:val="000000"/>
          <w:sz w:val="21"/>
        </w:rPr>
        <w:t>Catastrophic forgetting check: Wikipedia perplexity increase &lt; 20% vs. base model</w:t>
      </w:r>
    </w:p>
    <w:p>
      <w:pPr>
        <w:spacing w:before="200" w:after="60" w:line="264" w:lineRule="auto"/>
      </w:pPr>
      <w:r>
        <w:rPr>
          <w:rFonts w:ascii="Calibri" w:hAnsi="Calibri"/>
          <w:b/>
          <w:color w:val="000000"/>
          <w:sz w:val="22"/>
        </w:rPr>
        <w:t>11.2 Reward Model Metrics</w:t>
      </w:r>
    </w:p>
    <w:p>
      <w:pPr>
        <w:pStyle w:val="ListBullet"/>
        <w:spacing w:before="20" w:after="20" w:line="259" w:lineRule="auto"/>
        <w:ind w:left="360"/>
      </w:pPr>
      <w:r>
        <w:rPr>
          <w:rFonts w:ascii="Calibri" w:hAnsi="Calibri"/>
          <w:b w:val="0"/>
          <w:color w:val="000000"/>
          <w:sz w:val="21"/>
        </w:rPr>
        <w:t>Preference prediction accuracy on held-out validation pairs: &gt; 72%</w:t>
      </w:r>
    </w:p>
    <w:p>
      <w:pPr>
        <w:pStyle w:val="ListBullet"/>
        <w:spacing w:before="20" w:after="20" w:line="259" w:lineRule="auto"/>
        <w:ind w:left="360"/>
      </w:pPr>
      <w:r>
        <w:rPr>
          <w:rFonts w:ascii="Calibri" w:hAnsi="Calibri"/>
          <w:b w:val="0"/>
          <w:color w:val="000000"/>
          <w:sz w:val="21"/>
        </w:rPr>
        <w:t>Length bias: accuracy on length-controlled test pairs within 5 percentage points of overall accuracy</w:t>
      </w:r>
    </w:p>
    <w:p>
      <w:pPr>
        <w:pStyle w:val="ListBullet"/>
        <w:spacing w:before="20" w:after="20" w:line="259" w:lineRule="auto"/>
        <w:ind w:left="360"/>
      </w:pPr>
      <w:r>
        <w:rPr>
          <w:rFonts w:ascii="Calibri" w:hAnsi="Calibri"/>
          <w:b w:val="0"/>
          <w:color w:val="000000"/>
          <w:sz w:val="21"/>
        </w:rPr>
        <w:t>Position bias: accuracy difference between A-first and B-first test sets &lt; 3 percentage points</w:t>
      </w:r>
    </w:p>
    <w:p>
      <w:pPr>
        <w:pStyle w:val="ListBullet"/>
        <w:spacing w:before="20" w:after="20" w:line="259" w:lineRule="auto"/>
        <w:ind w:left="360"/>
      </w:pPr>
      <w:r>
        <w:rPr>
          <w:rFonts w:ascii="Calibri" w:hAnsi="Calibri"/>
          <w:b w:val="0"/>
          <w:color w:val="000000"/>
          <w:sz w:val="21"/>
        </w:rPr>
        <w:t>Adversarial robustness: correctly penalizes bad responses &gt; 95% of the time</w:t>
      </w:r>
    </w:p>
    <w:p>
      <w:pPr>
        <w:pStyle w:val="ListBullet"/>
        <w:spacing w:before="20" w:after="20" w:line="259" w:lineRule="auto"/>
        <w:ind w:left="360"/>
      </w:pPr>
      <w:r>
        <w:rPr>
          <w:rFonts w:ascii="Calibri" w:hAnsi="Calibri"/>
          <w:b w:val="0"/>
          <w:color w:val="000000"/>
          <w:sz w:val="21"/>
        </w:rPr>
        <w:t>Inter-annotator agreement (Cohen's kappa): &gt; 0.6</w:t>
      </w:r>
    </w:p>
    <w:p>
      <w:pPr>
        <w:spacing w:before="200" w:after="60" w:line="264" w:lineRule="auto"/>
      </w:pPr>
      <w:r>
        <w:rPr>
          <w:rFonts w:ascii="Calibri" w:hAnsi="Calibri"/>
          <w:b/>
          <w:color w:val="000000"/>
          <w:sz w:val="22"/>
        </w:rPr>
        <w:t>11.3 PPO Stage Metrics</w:t>
      </w:r>
    </w:p>
    <w:p>
      <w:pPr>
        <w:pStyle w:val="ListBullet"/>
        <w:spacing w:before="20" w:after="20" w:line="259" w:lineRule="auto"/>
        <w:ind w:left="360"/>
      </w:pPr>
      <w:r>
        <w:rPr>
          <w:rFonts w:ascii="Calibri" w:hAnsi="Calibri"/>
          <w:b w:val="0"/>
          <w:color w:val="000000"/>
          <w:sz w:val="21"/>
        </w:rPr>
        <w:t>MT-Bench improvement over SFT: &gt; +0.5 points (absolute)</w:t>
      </w:r>
    </w:p>
    <w:p>
      <w:pPr>
        <w:pStyle w:val="ListBullet"/>
        <w:spacing w:before="20" w:after="20" w:line="259" w:lineRule="auto"/>
        <w:ind w:left="360"/>
      </w:pPr>
      <w:r>
        <w:rPr>
          <w:rFonts w:ascii="Calibri" w:hAnsi="Calibri"/>
          <w:b w:val="0"/>
          <w:color w:val="000000"/>
          <w:sz w:val="21"/>
        </w:rPr>
        <w:t>AlpacaEval 2.0 win rate improvement: &gt; +5 percentage points over SFT baseline</w:t>
      </w:r>
    </w:p>
    <w:p>
      <w:pPr>
        <w:pStyle w:val="ListBullet"/>
        <w:spacing w:before="20" w:after="20" w:line="259" w:lineRule="auto"/>
        <w:ind w:left="360"/>
      </w:pPr>
      <w:r>
        <w:rPr>
          <w:rFonts w:ascii="Calibri" w:hAnsi="Calibri"/>
          <w:b w:val="0"/>
          <w:color w:val="000000"/>
          <w:sz w:val="21"/>
        </w:rPr>
        <w:t>KL divergence from reference model: &lt; 8 nats (running average, per-token)</w:t>
      </w:r>
    </w:p>
    <w:p>
      <w:pPr>
        <w:pStyle w:val="ListBullet"/>
        <w:spacing w:before="20" w:after="20" w:line="259" w:lineRule="auto"/>
        <w:ind w:left="360"/>
      </w:pPr>
      <w:r>
        <w:rPr>
          <w:rFonts w:ascii="Calibri" w:hAnsi="Calibri"/>
          <w:b w:val="0"/>
          <w:color w:val="000000"/>
          <w:sz w:val="21"/>
        </w:rPr>
        <w:t>Reward hacking: MT-Bench score must not decrease while training reward increases</w:t>
      </w:r>
    </w:p>
    <w:p>
      <w:pPr>
        <w:pStyle w:val="ListBullet"/>
        <w:spacing w:before="20" w:after="20" w:line="259" w:lineRule="auto"/>
        <w:ind w:left="360"/>
      </w:pPr>
      <w:r>
        <w:rPr>
          <w:rFonts w:ascii="Calibri" w:hAnsi="Calibri"/>
          <w:b w:val="0"/>
          <w:color w:val="000000"/>
          <w:sz w:val="21"/>
        </w:rPr>
        <w:t>Human A/B evaluation: PPO model wins &gt; 60% of comparisons vs. SFT model</w:t>
      </w:r>
    </w:p>
    <w:p>
      <w:pPr>
        <w:pStyle w:val="ListBullet"/>
        <w:spacing w:before="20" w:after="20" w:line="259" w:lineRule="auto"/>
        <w:ind w:left="360"/>
      </w:pPr>
      <w:r>
        <w:rPr>
          <w:rFonts w:ascii="Calibri" w:hAnsi="Calibri"/>
          <w:b w:val="0"/>
          <w:color w:val="000000"/>
          <w:sz w:val="21"/>
        </w:rPr>
        <w:t>Distinct unigram ratio: &gt; 0.7 (indicating no mode collapse)</w:t>
      </w:r>
    </w:p>
    <w:p>
      <w:pPr>
        <w:pStyle w:val="ListBullet"/>
        <w:spacing w:before="20" w:after="20" w:line="259" w:lineRule="auto"/>
        <w:ind w:left="360"/>
      </w:pPr>
      <w:r>
        <w:rPr>
          <w:rFonts w:ascii="Calibri" w:hAnsi="Calibri"/>
          <w:b w:val="0"/>
          <w:color w:val="000000"/>
          <w:sz w:val="21"/>
        </w:rPr>
        <w:t>Response length standard deviation: &gt; 100 tokens (indicating response diversity)</w:t>
      </w:r>
    </w:p>
    <w:p>
      <w:pPr>
        <w:spacing w:before="200" w:after="60" w:line="264" w:lineRule="auto"/>
      </w:pPr>
      <w:r>
        <w:rPr>
          <w:rFonts w:ascii="Calibri" w:hAnsi="Calibri"/>
          <w:b/>
          <w:color w:val="000000"/>
          <w:sz w:val="22"/>
        </w:rPr>
        <w:t>11.4 Safety and Production Metrics</w:t>
      </w:r>
    </w:p>
    <w:p>
      <w:pPr>
        <w:pStyle w:val="ListBullet"/>
        <w:spacing w:before="20" w:after="20" w:line="259" w:lineRule="auto"/>
        <w:ind w:left="360"/>
      </w:pPr>
      <w:r>
        <w:rPr>
          <w:rFonts w:ascii="Calibri" w:hAnsi="Calibri"/>
          <w:b w:val="0"/>
          <w:color w:val="000000"/>
          <w:sz w:val="21"/>
        </w:rPr>
        <w:t>Refusal rate on 500 adversarial prompts: &gt; 95%</w:t>
      </w:r>
    </w:p>
    <w:p>
      <w:pPr>
        <w:pStyle w:val="ListBullet"/>
        <w:spacing w:before="20" w:after="20" w:line="259" w:lineRule="auto"/>
        <w:ind w:left="360"/>
      </w:pPr>
      <w:r>
        <w:rPr>
          <w:rFonts w:ascii="Calibri" w:hAnsi="Calibri"/>
          <w:b w:val="0"/>
          <w:color w:val="000000"/>
          <w:sz w:val="21"/>
        </w:rPr>
        <w:t>Toxicity score on 1,000 random generations (Perspective API): &lt; 0.01</w:t>
      </w:r>
    </w:p>
    <w:p>
      <w:pPr>
        <w:pStyle w:val="ListBullet"/>
        <w:spacing w:before="20" w:after="20" w:line="259" w:lineRule="auto"/>
        <w:ind w:left="360"/>
      </w:pPr>
      <w:r>
        <w:rPr>
          <w:rFonts w:ascii="Calibri" w:hAnsi="Calibri"/>
          <w:b w:val="0"/>
          <w:color w:val="000000"/>
          <w:sz w:val="21"/>
        </w:rPr>
        <w:t>Inference P95 latency for 512-token response: &lt; 2 seconds</w:t>
      </w:r>
    </w:p>
    <w:p>
      <w:pPr>
        <w:pStyle w:val="ListBullet"/>
        <w:spacing w:before="20" w:after="20" w:line="259" w:lineRule="auto"/>
        <w:ind w:left="360"/>
      </w:pPr>
      <w:r>
        <w:rPr>
          <w:rFonts w:ascii="Calibri" w:hAnsi="Calibri"/>
          <w:b w:val="0"/>
          <w:color w:val="000000"/>
          <w:sz w:val="21"/>
        </w:rPr>
        <w:t>Inference P50 latency for 512-token response: &lt; 500 ms</w:t>
      </w:r>
    </w:p>
    <w:p>
      <w:pPr>
        <w:pStyle w:val="ListBullet"/>
        <w:spacing w:before="20" w:after="20" w:line="259" w:lineRule="auto"/>
        <w:ind w:left="360"/>
      </w:pPr>
      <w:r>
        <w:rPr>
          <w:rFonts w:ascii="Calibri" w:hAnsi="Calibri"/>
          <w:b w:val="0"/>
          <w:color w:val="000000"/>
          <w:sz w:val="21"/>
        </w:rPr>
        <w:t>Token throughput per A100 GPU: &gt; 1,200 tokens/sec</w:t>
      </w:r>
    </w:p>
    <w:p>
      <w:pPr>
        <w:pStyle w:val="ListBullet"/>
        <w:spacing w:before="20" w:after="20" w:line="259" w:lineRule="auto"/>
        <w:ind w:left="360"/>
      </w:pPr>
      <w:r>
        <w:rPr>
          <w:rFonts w:ascii="Calibri" w:hAnsi="Calibri"/>
          <w:b w:val="0"/>
          <w:color w:val="000000"/>
          <w:sz w:val="21"/>
        </w:rPr>
        <w:t>System availability (uptime): &gt; 99.9%</w:t>
      </w:r>
    </w:p>
    <w:p>
      <w:pPr>
        <w:spacing w:before="320" w:after="120" w:line="276" w:lineRule="auto"/>
      </w:pPr>
      <w:r>
        <w:rPr>
          <w:rFonts w:ascii="Calibri" w:hAnsi="Calibri"/>
          <w:b/>
          <w:color w:val="000000"/>
          <w:sz w:val="26"/>
        </w:rPr>
        <w:t>12. RISK ANALYSIS</w:t>
      </w:r>
    </w:p>
    <w:p>
      <w:pPr>
        <w:spacing w:before="200" w:after="60" w:line="264" w:lineRule="auto"/>
      </w:pPr>
      <w:r>
        <w:rPr>
          <w:rFonts w:ascii="Calibri" w:hAnsi="Calibri"/>
          <w:b/>
          <w:color w:val="000000"/>
          <w:sz w:val="22"/>
        </w:rPr>
        <w:t>12.1 Reward Model Overfitting</w:t>
      </w:r>
    </w:p>
    <w:p>
      <w:pPr>
        <w:spacing w:before="80" w:after="80" w:line="259" w:lineRule="auto"/>
      </w:pPr>
      <w:r>
        <w:rPr>
          <w:rFonts w:ascii="Calibri" w:hAnsi="Calibri"/>
          <w:b w:val="0"/>
          <w:color w:val="000000"/>
          <w:sz w:val="21"/>
        </w:rPr>
        <w:t>The reward model is trained on a relatively small dataset (10K+ preference pairs) relative to the richness of human preferences, creating significant overfitting risk. An overfit reward model memorizes the training preferences rather than learning a generalizable notion of quality, leading to high validation accuracy but poor downstream PPO performance. The model may assign high rewards to responses that superficially resemble chosen training responses (e.g., matching a specific lexical style) while missing substantive quality differences.</w:t>
      </w:r>
    </w:p>
    <w:p>
      <w:pPr>
        <w:spacing w:before="80" w:after="80" w:line="259" w:lineRule="auto"/>
      </w:pPr>
      <w:r>
        <w:rPr>
          <w:rFonts w:ascii="Calibri" w:hAnsi="Calibri"/>
          <w:b w:val="0"/>
          <w:color w:val="000000"/>
          <w:sz w:val="21"/>
        </w:rPr>
        <w:t>Mitigation strategies include: (1) k-fold cross-validation (k=5) during reward model training to ensure consistent accuracy across folds rather than cherry-picking a lucky split; (2) adversarial testing as described in Section 9.2; (3) training an ensemble of 3-5 reward models on different data splits and using the ensemble mean as the reward signal during PPO, which reduces variance from individual model quirks; and (4) continuous monitoring of reward model calibration on fresh preference pairs collected during PPO training.</w:t>
      </w:r>
    </w:p>
    <w:p>
      <w:pPr>
        <w:spacing w:before="200" w:after="60" w:line="264" w:lineRule="auto"/>
      </w:pPr>
      <w:r>
        <w:rPr>
          <w:rFonts w:ascii="Calibri" w:hAnsi="Calibri"/>
          <w:b/>
          <w:color w:val="000000"/>
          <w:sz w:val="22"/>
        </w:rPr>
        <w:t>12.2 Reward Hacking (Goodhart's Law)</w:t>
      </w:r>
    </w:p>
    <w:p>
      <w:pPr>
        <w:spacing w:before="80" w:after="80" w:line="259" w:lineRule="auto"/>
      </w:pPr>
      <w:r>
        <w:rPr>
          <w:rFonts w:ascii="Calibri" w:hAnsi="Calibri"/>
          <w:b w:val="0"/>
          <w:color w:val="000000"/>
          <w:sz w:val="21"/>
        </w:rPr>
        <w:t>Reward hacking is the primary technical risk in the PPO stage and arguably the most significant risk in the entire pipeline. It occurs when the policy discovers responses that the reward model rates highly but that humans would judge as low quality — for example, responses that are verbose but vacuous, responses that repeat the prompt back in different words, or responses that exploit known reward model weaknesses (e.g., always starting with 'I understand your question'). Once the policy begins to exploit a reward model vulnerability, the PPO objective reinforces the exploit, and the policy's behavior can degrade within a small number of steps.</w:t>
      </w:r>
    </w:p>
    <w:p>
      <w:pPr>
        <w:spacing w:before="80" w:after="80" w:line="259" w:lineRule="auto"/>
      </w:pPr>
      <w:r>
        <w:rPr>
          <w:rFonts w:ascii="Calibri" w:hAnsi="Calibri"/>
          <w:b w:val="0"/>
          <w:color w:val="000000"/>
          <w:sz w:val="21"/>
        </w:rPr>
        <w:t>The primary mitigation is the KL divergence penalty, which keeps the policy close to the well-behaved SFT model and prevents it from wandering into reward-hacking regions of the policy space. Secondary mitigations include: (1) early stopping if MT-Bench score (computed every 50 PPO steps) decreases while reward increases; (2) reward model retraining or refinement if reward hacking is detected, incorporating the hacked responses as rejected examples; and (3) human evaluation as the ground-truth quality signal, used as a stopping criterion — training continues only as long as human-evaluated quality is improving.</w:t>
      </w:r>
    </w:p>
    <w:p>
      <w:pPr>
        <w:spacing w:before="200" w:after="60" w:line="264" w:lineRule="auto"/>
      </w:pPr>
      <w:r>
        <w:rPr>
          <w:rFonts w:ascii="Calibri" w:hAnsi="Calibri"/>
          <w:b/>
          <w:color w:val="000000"/>
          <w:sz w:val="22"/>
        </w:rPr>
        <w:t>12.3 Mode Collapse</w:t>
      </w:r>
    </w:p>
    <w:p>
      <w:pPr>
        <w:spacing w:before="80" w:after="80" w:line="259" w:lineRule="auto"/>
      </w:pPr>
      <w:r>
        <w:rPr>
          <w:rFonts w:ascii="Calibri" w:hAnsi="Calibri"/>
          <w:b w:val="0"/>
          <w:color w:val="000000"/>
          <w:sz w:val="21"/>
        </w:rPr>
        <w:t>Mode collapse is the convergence of the policy's generative distribution to a narrow set of templated responses that achieve high reward across many prompts but lack creativity, specificity, and engagement. This manifests as repetitive paragraph structures, overuse of hedge phrases ('It is important to note that...'), and an inability to match the tone or register appropriate to the prompt (e.g., formal for academic questions, casual for friendly chat). Mode collapse is difficult to detect from reward scores alone because collapsed responses often receive high reward — the reward model itself may prefer safe, formulaic responses over creative ones.</w:t>
      </w:r>
    </w:p>
    <w:p>
      <w:pPr>
        <w:spacing w:before="80" w:after="80" w:line="259" w:lineRule="auto"/>
      </w:pPr>
      <w:r>
        <w:rPr>
          <w:rFonts w:ascii="Calibri" w:hAnsi="Calibri"/>
          <w:b w:val="0"/>
          <w:color w:val="000000"/>
          <w:sz w:val="21"/>
        </w:rPr>
        <w:t>Mitigations include: (1) an entropy bonus added to the PPO objective that directly rewards the policy for maintaining high output entropy; (2) diverse prompt sampling during PPO, ensuring the batch of prompts used for each update spans a wide range of topics, styles, and difficulty levels; (3) temperature tuning — increasing generation temperature increases response diversity at a modest cost to coherence; and (4) distinct n-gram ratio monitoring as described in Section 9.3, with automatic temperature adjustment if diversity drops below threshold.</w:t>
      </w:r>
    </w:p>
    <w:p>
      <w:pPr>
        <w:spacing w:before="200" w:after="60" w:line="264" w:lineRule="auto"/>
      </w:pPr>
      <w:r>
        <w:rPr>
          <w:rFonts w:ascii="Calibri" w:hAnsi="Calibri"/>
          <w:b/>
          <w:color w:val="000000"/>
          <w:sz w:val="22"/>
        </w:rPr>
        <w:t>12.4 Catastrophic Forgetting During PPO</w:t>
      </w:r>
    </w:p>
    <w:p>
      <w:pPr>
        <w:spacing w:before="80" w:after="80" w:line="259" w:lineRule="auto"/>
      </w:pPr>
      <w:r>
        <w:rPr>
          <w:rFonts w:ascii="Calibri" w:hAnsi="Calibri"/>
          <w:b w:val="0"/>
          <w:color w:val="000000"/>
          <w:sz w:val="21"/>
        </w:rPr>
        <w:t>Catastrophic forgetting occurs when the PPO optimization erases knowledge or capabilities that the model possessed after SFT. This is distinct from reward hacking: the model does not necessarily produce bad responses; it simply loses the ability to perform certain tasks entirely — for example, the ability to write code, solve math problems, or recall factual information may degrade as the policy is optimized for general helpfulness on conversational prompts. This happens because the PPO objective is a narrow proxy (reward model score on training-distribution prompts) that may not incentivize the maintenance of broad capabilities.</w:t>
      </w:r>
    </w:p>
    <w:p>
      <w:pPr>
        <w:spacing w:before="80" w:after="80" w:line="259" w:lineRule="auto"/>
      </w:pPr>
      <w:r>
        <w:rPr>
          <w:rFonts w:ascii="Calibri" w:hAnsi="Calibri"/>
          <w:b w:val="0"/>
          <w:color w:val="000000"/>
          <w:sz w:val="21"/>
        </w:rPr>
        <w:t>Mitigations include: (1) the KL divergence penalty, which prevents the policy from moving too far from the SFT model that possesses the full breadth of capabilities; (2) data mixing — including a fraction (20-30%) of original SFT training data in the PPO prompt distribution, with the SFT responses used as positive examples (effectively adding a supervised loss term alongside the PPO objective); and (3) periodic evaluation on a diverse benchmark suite (MT-Bench, MMLU subsets, HumanEval for coding) during PPO to detect capability degradation early and trigger intervention if scores decline.</w:t>
      </w:r>
    </w:p>
    <w:p>
      <w:pPr>
        <w:spacing w:before="200" w:after="60" w:line="264" w:lineRule="auto"/>
      </w:pPr>
      <w:r>
        <w:rPr>
          <w:rFonts w:ascii="Calibri" w:hAnsi="Calibri"/>
          <w:b/>
          <w:color w:val="000000"/>
          <w:sz w:val="22"/>
        </w:rPr>
        <w:t>12.5 GPU Cost and Infrastructure Risk</w:t>
      </w:r>
    </w:p>
    <w:p>
      <w:pPr>
        <w:spacing w:before="80" w:after="80" w:line="259" w:lineRule="auto"/>
      </w:pPr>
      <w:r>
        <w:rPr>
          <w:rFonts w:ascii="Calibri" w:hAnsi="Calibri"/>
          <w:b w:val="0"/>
          <w:color w:val="000000"/>
          <w:sz w:val="21"/>
        </w:rPr>
        <w:t>The estimated cost of a full pipeline training run is approximately $15,000-$25,000 in GPU compute (assuming on-demand p4d.24xlarge pricing of ~$33/hour x 2 weeks for PPO, plus smaller instances for SFT and reward model training). Cost overruns occur if hyperparameter tuning requires more trials than planned, if training fails partway and must be restarted, or if spot instance availability is low and on-demand fallback is used extensively. For a small team, this cost represents a significant budget item that must be justified by measurable improvements in model quality.</w:t>
      </w:r>
    </w:p>
    <w:p>
      <w:pPr>
        <w:spacing w:before="80" w:after="80" w:line="259" w:lineRule="auto"/>
      </w:pPr>
      <w:r>
        <w:rPr>
          <w:rFonts w:ascii="Calibri" w:hAnsi="Calibri"/>
          <w:b w:val="0"/>
          <w:color w:val="000000"/>
          <w:sz w:val="21"/>
        </w:rPr>
        <w:t>Mitigations include: (1) efficient hyperparameter search using Bayesian optimization (W&amp;B Sweeps) rather than grid search, reducing the number of trials needed; (2) QLoRA (4-bit quantization of the base model during LoRA training) for initial experiments, trading some training speed for the ability to run on cheaper A10G GPUs; (3) early stopping on plateau for all training stages to avoid wasted compute; (4) spot instance usage with the preemption handling system described in Section 6.4, which can reduce compute costs by 60-70%; and (5) cost tracking per experiment (Section 6.4) to enable ROI analysis — experiments that are not producing model improvements proportional to their cost can be terminated early.</w:t>
      </w:r>
    </w:p>
    <w:p>
      <w:pPr>
        <w:spacing w:before="200" w:after="60" w:line="264" w:lineRule="auto"/>
      </w:pPr>
      <w:r>
        <w:rPr>
          <w:rFonts w:ascii="Calibri" w:hAnsi="Calibri"/>
          <w:b/>
          <w:color w:val="000000"/>
          <w:sz w:val="22"/>
        </w:rPr>
        <w:t>12.6 Data Contamination and Annotation Quality</w:t>
      </w:r>
    </w:p>
    <w:p>
      <w:pPr>
        <w:spacing w:before="80" w:after="80" w:line="259" w:lineRule="auto"/>
      </w:pPr>
      <w:r>
        <w:rPr>
          <w:rFonts w:ascii="Calibri" w:hAnsi="Calibri"/>
          <w:b w:val="0"/>
          <w:color w:val="000000"/>
          <w:sz w:val="21"/>
        </w:rPr>
        <w:t>Data contamination occurs when the training data (SFT instruction pairs, PPO prompts) overlaps with evaluation benchmarks, inflating evaluation scores and producing a false sense of model quality. This is particularly insidious because it can go undetected — the model appears to perform well on benchmarks, but the performance does not generalize to truly unseen tasks. Annotation quality risk arises from inconsistent or biased human annotators: if annotators systematically prefer longer responses, more deferential tone, or answers that match a particular writing style, the reward model will encode these biases and the PPO-tuned model will amplify them.</w:t>
      </w:r>
    </w:p>
    <w:p>
      <w:pPr>
        <w:spacing w:before="80" w:after="80" w:line="259" w:lineRule="auto"/>
      </w:pPr>
      <w:r>
        <w:rPr>
          <w:rFonts w:ascii="Calibri" w:hAnsi="Calibri"/>
          <w:b w:val="0"/>
          <w:color w:val="000000"/>
          <w:sz w:val="21"/>
        </w:rPr>
        <w:t>Mitigations for data contamination include: (1) n-gram overlap detection — computing the longest common n-gram between each training example and each evaluation benchmark example, with a threshold for removal (e.g., any training example sharing a 50-gram with any benchmark example is excluded); (2) use of the decontamination tools from LMSys and the LLM evaluation community; and (3) periodic manual auditing of benchmark performance — if the model achieves suspiciously high scores on a specific benchmark category, inspect whether contamination might be the cause. Mitigations for annotation quality include: (1) inter-annotator agreement tracking (target Cohen's kappa &gt; 0.6); (2) detailed annotation guidelines with illustrative examples; (3) periodic quality audits where a senior reviewer re-annotates a random sample of each annotator's work; and (4) annotator calibration sessions at the start of each annotation campaign.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