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E1B4B"/>
          <w:sz w:val="68"/>
          <w:szCs w:val="68"/>
        </w:rPr>
        <w:t xml:space="preserve">VOID·SPACE</w:t>
      </w:r>
    </w:p>
    <w:p>
      <w:pPr>
        <w:spacing w:after="600" w:before="120"/>
        <w:jc w:val="center"/>
      </w:pPr>
      <w:r>
        <w:rPr>
          <w:i/>
          <w:iCs/>
          <w:color w:val="4338CA"/>
          <w:sz w:val="24"/>
          <w:szCs w:val="24"/>
        </w:rPr>
        <w:t xml:space="preserve">AI-Enhanced, Multi-Tenant 3D Digital Asset Management &amp;
XR Publishing Platform — with Decentralized Storage and On-Chain Licensing</w:t>
      </w:r>
    </w:p>
    <w:p>
      <w:pPr>
        <w:spacing w:after="100" w:before="800"/>
        <w:jc w:val="center"/>
      </w:pPr>
      <w:r>
        <w:rPr>
          <w:b/>
          <w:bCs/>
          <w:color w:val="334155"/>
          <w:sz w:val="32"/>
          <w:szCs w:val="32"/>
        </w:rPr>
        <w:t xml:space="preserve">Software Requirements Specification</w:t>
      </w:r>
    </w:p>
    <w:p>
      <w:pPr>
        <w:spacing w:after="900" w:before="40"/>
        <w:jc w:val="center"/>
      </w:pPr>
      <w:r>
        <w:rPr>
          <w:color w:val="64748B"/>
          <w:sz w:val="22"/>
          <w:szCs w:val="22"/>
        </w:rPr>
        <w:t xml:space="preserve">Production Architecture Edition</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3200"/>
        <w:gridCol w:w="6150"/>
      </w:tblGrid>
      <w:tr>
        <w:trPr>
          <w:tblHeader/>
        </w:trPr>
        <w:tc>
          <w:tcPr>
            <w:tcW w:type="dxa" w:w="3200"/>
            <w:shd w:fill="1E1B4B" w:val="clear"/>
            <w:tcMar>
              <w:top w:type="dxa" w:w="80"/>
              <w:left w:type="dxa" w:w="100"/>
              <w:bottom w:type="dxa" w:w="80"/>
              <w:right w:type="dxa" w:w="100"/>
            </w:tcMar>
            <w:vAlign w:val="center"/>
          </w:tcPr>
          <w:p>
            <w:r>
              <w:rPr>
                <w:b/>
                <w:bCs/>
                <w:color w:val="FFFFFF"/>
                <w:sz w:val="19"/>
                <w:szCs w:val="19"/>
              </w:rPr>
              <w:t xml:space="preserve">Field</w:t>
            </w:r>
          </w:p>
        </w:tc>
        <w:tc>
          <w:tcPr>
            <w:tcW w:type="dxa" w:w="6150"/>
            <w:shd w:fill="1E1B4B" w:val="clear"/>
            <w:tcMar>
              <w:top w:type="dxa" w:w="80"/>
              <w:left w:type="dxa" w:w="100"/>
              <w:bottom w:type="dxa" w:w="80"/>
              <w:right w:type="dxa" w:w="100"/>
            </w:tcMar>
            <w:vAlign w:val="center"/>
          </w:tcPr>
          <w:p>
            <w:r>
              <w:rPr>
                <w:b/>
                <w:bCs/>
                <w:color w:val="FFFFFF"/>
                <w:sz w:val="19"/>
                <w:szCs w:val="19"/>
              </w:rPr>
              <w:t xml:space="preserve">Value</w:t>
            </w:r>
          </w:p>
        </w:tc>
      </w:tr>
      <w:tr>
        <w:tc>
          <w:tcPr>
            <w:tcW w:type="dxa" w:w="3200"/>
            <w:shd w:fill="FFFFFF" w:val="clear"/>
            <w:tcMar>
              <w:top w:type="dxa" w:w="80"/>
              <w:left w:type="dxa" w:w="100"/>
              <w:bottom w:type="dxa" w:w="80"/>
              <w:right w:type="dxa" w:w="100"/>
            </w:tcMar>
            <w:vAlign w:val="center"/>
          </w:tcPr>
          <w:p>
            <w:r>
              <w:rPr>
                <w:b w:val="false"/>
                <w:bCs w:val="false"/>
                <w:sz w:val="19"/>
                <w:szCs w:val="19"/>
              </w:rPr>
              <w:t xml:space="preserve">Document Code</w:t>
            </w:r>
          </w:p>
        </w:tc>
        <w:tc>
          <w:tcPr>
            <w:tcW w:type="dxa" w:w="6150"/>
            <w:shd w:fill="FFFFFF" w:val="clear"/>
            <w:tcMar>
              <w:top w:type="dxa" w:w="80"/>
              <w:left w:type="dxa" w:w="100"/>
              <w:bottom w:type="dxa" w:w="80"/>
              <w:right w:type="dxa" w:w="100"/>
            </w:tcMar>
            <w:vAlign w:val="center"/>
          </w:tcPr>
          <w:p>
            <w:r>
              <w:rPr>
                <w:b w:val="false"/>
                <w:bCs w:val="false"/>
                <w:sz w:val="19"/>
                <w:szCs w:val="19"/>
              </w:rPr>
              <w:t xml:space="preserve">VS-SRS-2.0</w:t>
            </w:r>
          </w:p>
        </w:tc>
      </w:tr>
      <w:tr>
        <w:tc>
          <w:tcPr>
            <w:tcW w:type="dxa" w:w="3200"/>
            <w:shd w:fill="F8FAFC" w:val="clear"/>
            <w:tcMar>
              <w:top w:type="dxa" w:w="80"/>
              <w:left w:type="dxa" w:w="100"/>
              <w:bottom w:type="dxa" w:w="80"/>
              <w:right w:type="dxa" w:w="100"/>
            </w:tcMar>
            <w:vAlign w:val="center"/>
          </w:tcPr>
          <w:p>
            <w:r>
              <w:rPr>
                <w:b w:val="false"/>
                <w:bCs w:val="false"/>
                <w:sz w:val="19"/>
                <w:szCs w:val="19"/>
              </w:rPr>
              <w:t xml:space="preserve">Version</w:t>
            </w:r>
          </w:p>
        </w:tc>
        <w:tc>
          <w:tcPr>
            <w:tcW w:type="dxa" w:w="6150"/>
            <w:shd w:fill="F8FAFC" w:val="clear"/>
            <w:tcMar>
              <w:top w:type="dxa" w:w="80"/>
              <w:left w:type="dxa" w:w="100"/>
              <w:bottom w:type="dxa" w:w="80"/>
              <w:right w:type="dxa" w:w="100"/>
            </w:tcMar>
            <w:vAlign w:val="center"/>
          </w:tcPr>
          <w:p>
            <w:r>
              <w:rPr>
                <w:b w:val="false"/>
                <w:bCs w:val="false"/>
                <w:sz w:val="19"/>
                <w:szCs w:val="19"/>
              </w:rPr>
              <w:t xml:space="preserve">2.0 (Production Architecture — supersedes VS-SRS-1.0 Baseline)</w:t>
            </w:r>
          </w:p>
        </w:tc>
      </w:tr>
      <w:tr>
        <w:tc>
          <w:tcPr>
            <w:tcW w:type="dxa" w:w="3200"/>
            <w:shd w:fill="FFFFFF" w:val="clear"/>
            <w:tcMar>
              <w:top w:type="dxa" w:w="80"/>
              <w:left w:type="dxa" w:w="100"/>
              <w:bottom w:type="dxa" w:w="80"/>
              <w:right w:type="dxa" w:w="100"/>
            </w:tcMar>
            <w:vAlign w:val="center"/>
          </w:tcPr>
          <w:p>
            <w:r>
              <w:rPr>
                <w:b w:val="false"/>
                <w:bCs w:val="false"/>
                <w:sz w:val="19"/>
                <w:szCs w:val="19"/>
              </w:rPr>
              <w:t xml:space="preserve">Date</w:t>
            </w:r>
          </w:p>
        </w:tc>
        <w:tc>
          <w:tcPr>
            <w:tcW w:type="dxa" w:w="6150"/>
            <w:shd w:fill="FFFFFF" w:val="clear"/>
            <w:tcMar>
              <w:top w:type="dxa" w:w="80"/>
              <w:left w:type="dxa" w:w="100"/>
              <w:bottom w:type="dxa" w:w="80"/>
              <w:right w:type="dxa" w:w="100"/>
            </w:tcMar>
            <w:vAlign w:val="center"/>
          </w:tcPr>
          <w:p>
            <w:r>
              <w:rPr>
                <w:b w:val="false"/>
                <w:bCs w:val="false"/>
                <w:sz w:val="19"/>
                <w:szCs w:val="19"/>
              </w:rPr>
              <w:t xml:space="preserve">September 2026</w:t>
            </w:r>
          </w:p>
        </w:tc>
      </w:tr>
      <w:tr>
        <w:tc>
          <w:tcPr>
            <w:tcW w:type="dxa" w:w="3200"/>
            <w:shd w:fill="F8FAFC" w:val="clear"/>
            <w:tcMar>
              <w:top w:type="dxa" w:w="80"/>
              <w:left w:type="dxa" w:w="100"/>
              <w:bottom w:type="dxa" w:w="80"/>
              <w:right w:type="dxa" w:w="100"/>
            </w:tcMar>
            <w:vAlign w:val="center"/>
          </w:tcPr>
          <w:p>
            <w:r>
              <w:rPr>
                <w:b w:val="false"/>
                <w:bCs w:val="false"/>
                <w:sz w:val="19"/>
                <w:szCs w:val="19"/>
              </w:rPr>
              <w:t xml:space="preserve">Prepared For</w:t>
            </w:r>
          </w:p>
        </w:tc>
        <w:tc>
          <w:tcPr>
            <w:tcW w:type="dxa" w:w="6150"/>
            <w:shd w:fill="F8FAFC" w:val="clear"/>
            <w:tcMar>
              <w:top w:type="dxa" w:w="80"/>
              <w:left w:type="dxa" w:w="100"/>
              <w:bottom w:type="dxa" w:w="80"/>
              <w:right w:type="dxa" w:w="100"/>
            </w:tcMar>
            <w:vAlign w:val="center"/>
          </w:tcPr>
          <w:p>
            <w:r>
              <w:rPr>
                <w:b w:val="false"/>
                <w:bCs w:val="false"/>
                <w:sz w:val="19"/>
                <w:szCs w:val="19"/>
              </w:rPr>
              <w:t xml:space="preserve">VOID·SPACE Engineering Program</w:t>
            </w:r>
          </w:p>
        </w:tc>
      </w:tr>
      <w:tr>
        <w:tc>
          <w:tcPr>
            <w:tcW w:type="dxa" w:w="3200"/>
            <w:shd w:fill="FFFFFF" w:val="clear"/>
            <w:tcMar>
              <w:top w:type="dxa" w:w="80"/>
              <w:left w:type="dxa" w:w="100"/>
              <w:bottom w:type="dxa" w:w="80"/>
              <w:right w:type="dxa" w:w="100"/>
            </w:tcMar>
            <w:vAlign w:val="center"/>
          </w:tcPr>
          <w:p>
            <w:r>
              <w:rPr>
                <w:b w:val="false"/>
                <w:bCs w:val="false"/>
                <w:sz w:val="19"/>
                <w:szCs w:val="19"/>
              </w:rPr>
              <w:t xml:space="preserve">Classification</w:t>
            </w:r>
          </w:p>
        </w:tc>
        <w:tc>
          <w:tcPr>
            <w:tcW w:type="dxa" w:w="6150"/>
            <w:shd w:fill="FFFFFF" w:val="clear"/>
            <w:tcMar>
              <w:top w:type="dxa" w:w="80"/>
              <w:left w:type="dxa" w:w="100"/>
              <w:bottom w:type="dxa" w:w="80"/>
              <w:right w:type="dxa" w:w="100"/>
            </w:tcMar>
            <w:vAlign w:val="center"/>
          </w:tcPr>
          <w:p>
            <w:r>
              <w:rPr>
                <w:b w:val="false"/>
                <w:bCs w:val="false"/>
                <w:sz w:val="19"/>
                <w:szCs w:val="19"/>
              </w:rPr>
              <w:t xml:space="preserve">Internal / Confidential</w:t>
            </w:r>
          </w:p>
        </w:tc>
      </w:tr>
      <w:tr>
        <w:tc>
          <w:tcPr>
            <w:tcW w:type="dxa" w:w="3200"/>
            <w:shd w:fill="F8FAFC" w:val="clear"/>
            <w:tcMar>
              <w:top w:type="dxa" w:w="80"/>
              <w:left w:type="dxa" w:w="100"/>
              <w:bottom w:type="dxa" w:w="80"/>
              <w:right w:type="dxa" w:w="100"/>
            </w:tcMar>
            <w:vAlign w:val="center"/>
          </w:tcPr>
          <w:p>
            <w:r>
              <w:rPr>
                <w:b w:val="false"/>
                <w:bCs w:val="false"/>
                <w:sz w:val="19"/>
                <w:szCs w:val="19"/>
              </w:rPr>
              <w:t xml:space="preserve">Primary Stack</w:t>
            </w:r>
          </w:p>
        </w:tc>
        <w:tc>
          <w:tcPr>
            <w:tcW w:type="dxa" w:w="6150"/>
            <w:shd w:fill="F8FAFC" w:val="clear"/>
            <w:tcMar>
              <w:top w:type="dxa" w:w="80"/>
              <w:left w:type="dxa" w:w="100"/>
              <w:bottom w:type="dxa" w:w="80"/>
              <w:right w:type="dxa" w:w="100"/>
            </w:tcMar>
            <w:vAlign w:val="center"/>
          </w:tcPr>
          <w:p>
            <w:r>
              <w:rPr>
                <w:b w:val="false"/>
                <w:bCs w:val="false"/>
                <w:sz w:val="19"/>
                <w:szCs w:val="19"/>
              </w:rPr>
              <w:t xml:space="preserve">Next.js + TypeScript (frontend) · Fastify + TypeScript (backend) · PostgreSQL · Redis · IPFS (Kubo) · Anvil/Foundry local EVM chain</w:t>
            </w:r>
          </w:p>
        </w:tc>
      </w:tr>
      <w:tr>
        <w:tc>
          <w:tcPr>
            <w:tcW w:type="dxa" w:w="3200"/>
            <w:shd w:fill="FFFFFF" w:val="clear"/>
            <w:tcMar>
              <w:top w:type="dxa" w:w="80"/>
              <w:left w:type="dxa" w:w="100"/>
              <w:bottom w:type="dxa" w:w="80"/>
              <w:right w:type="dxa" w:w="100"/>
            </w:tcMar>
            <w:vAlign w:val="center"/>
          </w:tcPr>
          <w:p>
            <w:r>
              <w:rPr>
                <w:b w:val="false"/>
                <w:bCs w:val="false"/>
                <w:sz w:val="19"/>
                <w:szCs w:val="19"/>
              </w:rPr>
              <w:t xml:space="preserve">Deployment Target (this phase)</w:t>
            </w:r>
          </w:p>
        </w:tc>
        <w:tc>
          <w:tcPr>
            <w:tcW w:type="dxa" w:w="6150"/>
            <w:shd w:fill="FFFFFF" w:val="clear"/>
            <w:tcMar>
              <w:top w:type="dxa" w:w="80"/>
              <w:left w:type="dxa" w:w="100"/>
              <w:bottom w:type="dxa" w:w="80"/>
              <w:right w:type="dxa" w:w="100"/>
            </w:tcMar>
            <w:vAlign w:val="center"/>
          </w:tcPr>
          <w:p>
            <w:r>
              <w:rPr>
                <w:b w:val="false"/>
                <w:bCs w:val="false"/>
                <w:sz w:val="19"/>
                <w:szCs w:val="19"/>
              </w:rPr>
              <w:t xml:space="preserve">Fully local, Docker-Compose-orchestrated development environment</w:t>
            </w:r>
          </w:p>
        </w:tc>
      </w:tr>
    </w:tbl>
    <w:p>
      <w:r>
        <w:br w:type="page"/>
      </w:r>
    </w:p>
    <w:p>
      <w:pPr>
        <w:pStyle w:val="Heading1"/>
        <w:pBdr>
          <w:bottom w:val="single" w:color="4338CA" w:sz="6" w:space="4"/>
        </w:pBdr>
        <w:spacing w:after="200" w:before="400"/>
      </w:pPr>
      <w:r>
        <w:rPr>
          <w:b/>
          <w:bCs/>
          <w:color w:val="1E1B4B"/>
          <w:sz w:val="30"/>
          <w:szCs w:val="30"/>
        </w:rPr>
        <w:t xml:space="preserve">1. Introduction</w:t>
      </w:r>
    </w:p>
    <w:p>
      <w:pPr>
        <w:pStyle w:val="Heading2"/>
        <w:spacing w:after="150" w:before="300"/>
      </w:pPr>
      <w:r>
        <w:rPr>
          <w:b/>
          <w:bCs/>
          <w:color w:val="4338CA"/>
          <w:sz w:val="25"/>
          <w:szCs w:val="25"/>
        </w:rPr>
        <w:t xml:space="preserve">1.1 Purpose</w:t>
      </w:r>
    </w:p>
    <w:p>
      <w:pPr>
        <w:spacing w:after="160" w:line="276"/>
      </w:pPr>
      <w:r>
        <w:rPr>
          <w:sz w:val="21"/>
          <w:szCs w:val="21"/>
        </w:rPr>
        <w:t xml:space="preserve">This Software Requirements Specification (SRS) defines the functional and non-functional requirements for VOID·SPACE v2.0, a production-grade, multi-tenant 3D Digital Asset Management (DAM) and XR publishing platform. It supersedes the v1.0 baseline (VS-SRS-1.0) by:</w:t>
      </w:r>
    </w:p>
    <w:p>
      <w:pPr>
        <w:pStyle w:val="ListParagraph"/>
        <w:numPr>
          <w:ilvl w:val="0"/>
          <w:numId w:val="2"/>
        </w:numPr>
        <w:spacing w:after="90" w:line="264"/>
      </w:pPr>
      <w:r>
        <w:rPr>
          <w:sz w:val="21"/>
          <w:szCs w:val="21"/>
        </w:rPr>
        <w:t xml:space="preserve">Replacing the illustrative stack with a concrete, production-oriented technology stack: a Next.js / TypeScript frontend and a Fastify / TypeScript backend, sharing types across an end-to-end TypeScript codebase.</w:t>
      </w:r>
    </w:p>
    <w:p>
      <w:pPr>
        <w:pStyle w:val="ListParagraph"/>
        <w:numPr>
          <w:ilvl w:val="0"/>
          <w:numId w:val="2"/>
        </w:numPr>
        <w:spacing w:after="90" w:line="264"/>
      </w:pPr>
      <w:r>
        <w:rPr>
          <w:sz w:val="21"/>
          <w:szCs w:val="21"/>
        </w:rPr>
        <w:t xml:space="preserve">Introducing organization-level multi-tenancy with a full role-based access control (RBAC) model, so the platform can serve multiple independent studios/organizations from one deployment.</w:t>
      </w:r>
    </w:p>
    <w:p>
      <w:pPr>
        <w:pStyle w:val="ListParagraph"/>
        <w:numPr>
          <w:ilvl w:val="0"/>
          <w:numId w:val="2"/>
        </w:numPr>
        <w:spacing w:after="90" w:line="264"/>
      </w:pPr>
      <w:r>
        <w:rPr>
          <w:sz w:val="21"/>
          <w:szCs w:val="21"/>
        </w:rPr>
        <w:t xml:space="preserve">Introducing decentralized, content-addressed asset storage on IPFS, and an on-chain licensing and provenance subsystem running on a locally-hosted EVM chain (Anvil/Foundry) — giving every approved asset an immutable, verifiable license record without requiring any public blockchain, testnet faucet, or paid RPC provider.</w:t>
      </w:r>
    </w:p>
    <w:p>
      <w:pPr>
        <w:pStyle w:val="ListParagraph"/>
        <w:numPr>
          <w:ilvl w:val="0"/>
          <w:numId w:val="2"/>
        </w:numPr>
        <w:spacing w:after="90" w:line="264"/>
      </w:pPr>
      <w:r>
        <w:rPr>
          <w:sz w:val="21"/>
          <w:szCs w:val="21"/>
        </w:rPr>
        <w:t xml:space="preserve">Formalizing a fully containerized local development environment (Docker Compose) so the entire system — web app, API, workers, database, cache, IPFS node, and blockchain — runs end-to-end on a single developer machine with zero mandatory external cloud dependency.</w:t>
      </w:r>
    </w:p>
    <w:p>
      <w:pPr>
        <w:spacing w:after="160" w:line="276"/>
      </w:pPr>
      <w:r>
        <w:rPr>
          <w:sz w:val="21"/>
          <w:szCs w:val="21"/>
        </w:rPr>
        <w:t xml:space="preserve">This document is written in accordance with the structure recommended by ISO/IEC/IEEE 29148:2018 and is the authoritative reference for design, implementation, testing, and acceptance of the system.</w:t>
      </w:r>
    </w:p>
    <w:p>
      <w:pPr>
        <w:pStyle w:val="Heading2"/>
        <w:spacing w:after="150" w:before="300"/>
      </w:pPr>
      <w:r>
        <w:rPr>
          <w:b/>
          <w:bCs/>
          <w:color w:val="4338CA"/>
          <w:sz w:val="25"/>
          <w:szCs w:val="25"/>
        </w:rPr>
        <w:t xml:space="preserve">1.2 Document Conventions</w:t>
      </w:r>
    </w:p>
    <w:p>
      <w:pPr>
        <w:spacing w:after="160" w:line="276"/>
      </w:pPr>
      <w:r>
        <w:rPr>
          <w:sz w:val="21"/>
          <w:szCs w:val="21"/>
        </w:rPr>
        <w:t xml:space="preserve">Functional requirements are labelled FR-&lt;module&gt;.&lt;sequence&gt; (e.g., FR-3.2). Non-functional requirements are labelled NFR-&lt;category&gt;.&lt;sequence&gt;. Priority is expressed as High / Medium / Low, where High denotes a requirement necessary for the Minimum Viable Product (MVP). The keywords MUST, SHOULD, and MAY are used per RFC 2119 conventions to indicate requirement strength. Wherever this revision selects one technology over a comparable alternative, the choice is marked with a shaded Design Decision callout and summarized in Appendix C for traceability.</w:t>
      </w:r>
    </w:p>
    <w:p>
      <w:pPr>
        <w:pStyle w:val="Heading2"/>
        <w:spacing w:after="150" w:before="300"/>
      </w:pPr>
      <w:r>
        <w:rPr>
          <w:b/>
          <w:bCs/>
          <w:color w:val="4338CA"/>
          <w:sz w:val="25"/>
          <w:szCs w:val="25"/>
        </w:rPr>
        <w:t xml:space="preserve">1.3 Intended Audience and Reading Suggestions</w:t>
      </w:r>
    </w:p>
    <w:p>
      <w:pPr>
        <w:spacing w:after="160" w:line="276"/>
      </w:pPr>
      <w:r>
        <w:rPr>
          <w:sz w:val="21"/>
          <w:szCs w:val="21"/>
        </w:rPr>
        <w:t xml:space="preserve">This document is intended for the project sponsor, the full-stack development team, the smart-contract/DevOps engineer, UI/UX designers, QA, and academic evaluators.</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3400"/>
        <w:gridCol w:w="5950"/>
      </w:tblGrid>
      <w:tr>
        <w:trPr>
          <w:tblHeader/>
        </w:trPr>
        <w:tc>
          <w:tcPr>
            <w:tcW w:type="dxa" w:w="3400"/>
            <w:shd w:fill="1E1B4B" w:val="clear"/>
            <w:tcMar>
              <w:top w:type="dxa" w:w="80"/>
              <w:left w:type="dxa" w:w="100"/>
              <w:bottom w:type="dxa" w:w="80"/>
              <w:right w:type="dxa" w:w="100"/>
            </w:tcMar>
            <w:vAlign w:val="center"/>
          </w:tcPr>
          <w:p>
            <w:r>
              <w:rPr>
                <w:b/>
                <w:bCs/>
                <w:color w:val="FFFFFF"/>
                <w:sz w:val="19"/>
                <w:szCs w:val="19"/>
              </w:rPr>
              <w:t xml:space="preserve">Role</w:t>
            </w:r>
          </w:p>
        </w:tc>
        <w:tc>
          <w:tcPr>
            <w:tcW w:type="dxa" w:w="5950"/>
            <w:shd w:fill="1E1B4B" w:val="clear"/>
            <w:tcMar>
              <w:top w:type="dxa" w:w="80"/>
              <w:left w:type="dxa" w:w="100"/>
              <w:bottom w:type="dxa" w:w="80"/>
              <w:right w:type="dxa" w:w="100"/>
            </w:tcMar>
            <w:vAlign w:val="center"/>
          </w:tcPr>
          <w:p>
            <w:r>
              <w:rPr>
                <w:b/>
                <w:bCs/>
                <w:color w:val="FFFFFF"/>
                <w:sz w:val="19"/>
                <w:szCs w:val="19"/>
              </w:rPr>
              <w:t xml:space="preserve">Recommended Reading</w:t>
            </w:r>
          </w:p>
        </w:tc>
      </w:tr>
      <w:tr>
        <w:tc>
          <w:tcPr>
            <w:tcW w:type="dxa" w:w="3400"/>
            <w:shd w:fill="FFFFFF" w:val="clear"/>
            <w:tcMar>
              <w:top w:type="dxa" w:w="80"/>
              <w:left w:type="dxa" w:w="100"/>
              <w:bottom w:type="dxa" w:w="80"/>
              <w:right w:type="dxa" w:w="100"/>
            </w:tcMar>
            <w:vAlign w:val="center"/>
          </w:tcPr>
          <w:p>
            <w:r>
              <w:rPr>
                <w:b w:val="false"/>
                <w:bCs w:val="false"/>
                <w:sz w:val="19"/>
                <w:szCs w:val="19"/>
              </w:rPr>
              <w:t xml:space="preserve">Project sponsor / evaluator</w:t>
            </w:r>
          </w:p>
        </w:tc>
        <w:tc>
          <w:tcPr>
            <w:tcW w:type="dxa" w:w="5950"/>
            <w:shd w:fill="FFFFFF" w:val="clear"/>
            <w:tcMar>
              <w:top w:type="dxa" w:w="80"/>
              <w:left w:type="dxa" w:w="100"/>
              <w:bottom w:type="dxa" w:w="80"/>
              <w:right w:type="dxa" w:w="100"/>
            </w:tcMar>
            <w:vAlign w:val="center"/>
          </w:tcPr>
          <w:p>
            <w:r>
              <w:rPr>
                <w:b w:val="false"/>
                <w:bCs w:val="false"/>
                <w:sz w:val="19"/>
                <w:szCs w:val="19"/>
              </w:rPr>
              <w:t xml:space="preserve">Sections 1–2, 9 (executive scope and architecture summary)</w:t>
            </w:r>
          </w:p>
        </w:tc>
      </w:tr>
      <w:tr>
        <w:tc>
          <w:tcPr>
            <w:tcW w:type="dxa" w:w="3400"/>
            <w:shd w:fill="F8FAFC" w:val="clear"/>
            <w:tcMar>
              <w:top w:type="dxa" w:w="80"/>
              <w:left w:type="dxa" w:w="100"/>
              <w:bottom w:type="dxa" w:w="80"/>
              <w:right w:type="dxa" w:w="100"/>
            </w:tcMar>
            <w:vAlign w:val="center"/>
          </w:tcPr>
          <w:p>
            <w:r>
              <w:rPr>
                <w:b w:val="false"/>
                <w:bCs w:val="false"/>
                <w:sz w:val="19"/>
                <w:szCs w:val="19"/>
              </w:rPr>
              <w:t xml:space="preserve">Frontend engineers</w:t>
            </w:r>
          </w:p>
        </w:tc>
        <w:tc>
          <w:tcPr>
            <w:tcW w:type="dxa" w:w="5950"/>
            <w:shd w:fill="F8FAFC" w:val="clear"/>
            <w:tcMar>
              <w:top w:type="dxa" w:w="80"/>
              <w:left w:type="dxa" w:w="100"/>
              <w:bottom w:type="dxa" w:w="80"/>
              <w:right w:type="dxa" w:w="100"/>
            </w:tcMar>
            <w:vAlign w:val="center"/>
          </w:tcPr>
          <w:p>
            <w:r>
              <w:rPr>
                <w:b w:val="false"/>
                <w:bCs w:val="false"/>
                <w:sz w:val="19"/>
                <w:szCs w:val="19"/>
              </w:rPr>
              <w:t xml:space="preserve">Sections 2–4, 6.1, 6.4 (features, UI interfaces, REST API)</w:t>
            </w:r>
          </w:p>
        </w:tc>
      </w:tr>
      <w:tr>
        <w:tc>
          <w:tcPr>
            <w:tcW w:type="dxa" w:w="3400"/>
            <w:shd w:fill="FFFFFF" w:val="clear"/>
            <w:tcMar>
              <w:top w:type="dxa" w:w="80"/>
              <w:left w:type="dxa" w:w="100"/>
              <w:bottom w:type="dxa" w:w="80"/>
              <w:right w:type="dxa" w:w="100"/>
            </w:tcMar>
            <w:vAlign w:val="center"/>
          </w:tcPr>
          <w:p>
            <w:r>
              <w:rPr>
                <w:b w:val="false"/>
                <w:bCs w:val="false"/>
                <w:sz w:val="19"/>
                <w:szCs w:val="19"/>
              </w:rPr>
              <w:t xml:space="preserve">Backend / API engineers</w:t>
            </w:r>
          </w:p>
        </w:tc>
        <w:tc>
          <w:tcPr>
            <w:tcW w:type="dxa" w:w="5950"/>
            <w:shd w:fill="FFFFFF" w:val="clear"/>
            <w:tcMar>
              <w:top w:type="dxa" w:w="80"/>
              <w:left w:type="dxa" w:w="100"/>
              <w:bottom w:type="dxa" w:w="80"/>
              <w:right w:type="dxa" w:w="100"/>
            </w:tcMar>
            <w:vAlign w:val="center"/>
          </w:tcPr>
          <w:p>
            <w:r>
              <w:rPr>
                <w:b w:val="false"/>
                <w:bCs w:val="false"/>
                <w:sz w:val="19"/>
                <w:szCs w:val="19"/>
              </w:rPr>
              <w:t xml:space="preserve">Sections 3–6, 8 (architecture, all FRs, data model, NFRs)</w:t>
            </w:r>
          </w:p>
        </w:tc>
      </w:tr>
      <w:tr>
        <w:tc>
          <w:tcPr>
            <w:tcW w:type="dxa" w:w="3400"/>
            <w:shd w:fill="F8FAFC" w:val="clear"/>
            <w:tcMar>
              <w:top w:type="dxa" w:w="80"/>
              <w:left w:type="dxa" w:w="100"/>
              <w:bottom w:type="dxa" w:w="80"/>
              <w:right w:type="dxa" w:w="100"/>
            </w:tcMar>
            <w:vAlign w:val="center"/>
          </w:tcPr>
          <w:p>
            <w:r>
              <w:rPr>
                <w:b w:val="false"/>
                <w:bCs w:val="false"/>
                <w:sz w:val="19"/>
                <w:szCs w:val="19"/>
              </w:rPr>
              <w:t xml:space="preserve">Smart-contract / blockchain engineer</w:t>
            </w:r>
          </w:p>
        </w:tc>
        <w:tc>
          <w:tcPr>
            <w:tcW w:type="dxa" w:w="5950"/>
            <w:shd w:fill="F8FAFC" w:val="clear"/>
            <w:tcMar>
              <w:top w:type="dxa" w:w="80"/>
              <w:left w:type="dxa" w:w="100"/>
              <w:bottom w:type="dxa" w:w="80"/>
              <w:right w:type="dxa" w:w="100"/>
            </w:tcMar>
            <w:vAlign w:val="center"/>
          </w:tcPr>
          <w:p>
            <w:r>
              <w:rPr>
                <w:b w:val="false"/>
                <w:bCs w:val="false"/>
                <w:sz w:val="19"/>
                <w:szCs w:val="19"/>
              </w:rPr>
              <w:t xml:space="preserve">Sections 3.9, 4.9, 6.5, 9.3</w:t>
            </w:r>
          </w:p>
        </w:tc>
      </w:tr>
      <w:tr>
        <w:tc>
          <w:tcPr>
            <w:tcW w:type="dxa" w:w="3400"/>
            <w:shd w:fill="FFFFFF" w:val="clear"/>
            <w:tcMar>
              <w:top w:type="dxa" w:w="80"/>
              <w:left w:type="dxa" w:w="100"/>
              <w:bottom w:type="dxa" w:w="80"/>
              <w:right w:type="dxa" w:w="100"/>
            </w:tcMar>
            <w:vAlign w:val="center"/>
          </w:tcPr>
          <w:p>
            <w:r>
              <w:rPr>
                <w:b w:val="false"/>
                <w:bCs w:val="false"/>
                <w:sz w:val="19"/>
                <w:szCs w:val="19"/>
              </w:rPr>
              <w:t xml:space="preserve">DevOps / local environment owner</w:t>
            </w:r>
          </w:p>
        </w:tc>
        <w:tc>
          <w:tcPr>
            <w:tcW w:type="dxa" w:w="5950"/>
            <w:shd w:fill="FFFFFF" w:val="clear"/>
            <w:tcMar>
              <w:top w:type="dxa" w:w="80"/>
              <w:left w:type="dxa" w:w="100"/>
              <w:bottom w:type="dxa" w:w="80"/>
              <w:right w:type="dxa" w:w="100"/>
            </w:tcMar>
            <w:vAlign w:val="center"/>
          </w:tcPr>
          <w:p>
            <w:r>
              <w:rPr>
                <w:b w:val="false"/>
                <w:bCs w:val="false"/>
                <w:sz w:val="19"/>
                <w:szCs w:val="19"/>
              </w:rPr>
              <w:t xml:space="preserve">Sections 3.11, 9</w:t>
            </w:r>
          </w:p>
        </w:tc>
      </w:tr>
      <w:tr>
        <w:tc>
          <w:tcPr>
            <w:tcW w:type="dxa" w:w="3400"/>
            <w:shd w:fill="F8FAFC" w:val="clear"/>
            <w:tcMar>
              <w:top w:type="dxa" w:w="80"/>
              <w:left w:type="dxa" w:w="100"/>
              <w:bottom w:type="dxa" w:w="80"/>
              <w:right w:type="dxa" w:w="100"/>
            </w:tcMar>
            <w:vAlign w:val="center"/>
          </w:tcPr>
          <w:p>
            <w:r>
              <w:rPr>
                <w:b w:val="false"/>
                <w:bCs w:val="false"/>
                <w:sz w:val="19"/>
                <w:szCs w:val="19"/>
              </w:rPr>
              <w:t xml:space="preserve">QA</w:t>
            </w:r>
          </w:p>
        </w:tc>
        <w:tc>
          <w:tcPr>
            <w:tcW w:type="dxa" w:w="5950"/>
            <w:shd w:fill="F8FAFC" w:val="clear"/>
            <w:tcMar>
              <w:top w:type="dxa" w:w="80"/>
              <w:left w:type="dxa" w:w="100"/>
              <w:bottom w:type="dxa" w:w="80"/>
              <w:right w:type="dxa" w:w="100"/>
            </w:tcMar>
            <w:vAlign w:val="center"/>
          </w:tcPr>
          <w:p>
            <w:r>
              <w:rPr>
                <w:b w:val="false"/>
                <w:bCs w:val="false"/>
                <w:sz w:val="19"/>
                <w:szCs w:val="19"/>
              </w:rPr>
              <w:t xml:space="preserve">Sections 4, 6.4, 7, Appendix A (traceability matrix)</w:t>
            </w:r>
          </w:p>
        </w:tc>
      </w:tr>
    </w:tbl>
    <w:p>
      <w:pPr>
        <w:spacing w:after="220"/>
      </w:pPr>
    </w:p>
    <w:p>
      <w:pPr>
        <w:pStyle w:val="Heading2"/>
        <w:spacing w:after="150" w:before="300"/>
      </w:pPr>
      <w:r>
        <w:rPr>
          <w:b/>
          <w:bCs/>
          <w:color w:val="4338CA"/>
          <w:sz w:val="25"/>
          <w:szCs w:val="25"/>
        </w:rPr>
        <w:t xml:space="preserve">1.4 Project Scope</w:t>
      </w:r>
    </w:p>
    <w:p>
      <w:pPr>
        <w:spacing w:after="160" w:line="276"/>
      </w:pPr>
      <w:r>
        <w:rPr>
          <w:sz w:val="21"/>
          <w:szCs w:val="21"/>
        </w:rPr>
        <w:t xml:space="preserve">VOID·SPACE provides an end-to-end, multi-tenant workflow for 3D asset lifecycle management: ingestion (manual upload or import from third-party libraries), automated AI-assisted classification and description via the Claude API, human-in-the-loop review and approval, in-browser 3D preview, decentralized storage on IPFS, on-chain license issuance, and publishing of approved assets to an XR training platform (EoN Reality). The system exposes both a browser-based UI and a documented, versioned REST API for programmatic integration.</w:t>
      </w:r>
    </w:p>
    <w:p>
      <w:pPr>
        <w:spacing w:after="160" w:line="276"/>
      </w:pPr>
      <w:r>
        <w:rPr>
          <w:b/>
          <w:bCs/>
          <w:sz w:val="21"/>
          <w:szCs w:val="21"/>
        </w:rPr>
        <w:t xml:space="preserve">In scope for this release:</w:t>
      </w:r>
    </w:p>
    <w:p>
      <w:pPr>
        <w:pStyle w:val="ListParagraph"/>
        <w:numPr>
          <w:ilvl w:val="0"/>
          <w:numId w:val="2"/>
        </w:numPr>
        <w:spacing w:after="90" w:line="264"/>
      </w:pPr>
      <w:r>
        <w:rPr>
          <w:sz w:val="21"/>
          <w:szCs w:val="21"/>
        </w:rPr>
        <w:t xml:space="preserve">Multi-tenant organizations with role-based access control (SuperAdmin, TenantAdmin, Creator, Assessor, Developer, Viewer).</w:t>
      </w:r>
    </w:p>
    <w:p>
      <w:pPr>
        <w:pStyle w:val="ListParagraph"/>
        <w:numPr>
          <w:ilvl w:val="0"/>
          <w:numId w:val="2"/>
        </w:numPr>
        <w:spacing w:after="90" w:line="264"/>
      </w:pPr>
      <w:r>
        <w:rPr>
          <w:sz w:val="21"/>
          <w:szCs w:val="21"/>
        </w:rPr>
        <w:t xml:space="preserve">3D asset upload, versioning, AI-assisted metadata, human review, and 3D preview.</w:t>
      </w:r>
    </w:p>
    <w:p>
      <w:pPr>
        <w:pStyle w:val="ListParagraph"/>
        <w:numPr>
          <w:ilvl w:val="0"/>
          <w:numId w:val="2"/>
        </w:numPr>
        <w:spacing w:after="90" w:line="264"/>
      </w:pPr>
      <w:r>
        <w:rPr>
          <w:sz w:val="21"/>
          <w:szCs w:val="21"/>
        </w:rPr>
        <w:t xml:space="preserve">IPFS-based content-addressed storage for original and optimized asset binaries.</w:t>
      </w:r>
    </w:p>
    <w:p>
      <w:pPr>
        <w:pStyle w:val="ListParagraph"/>
        <w:numPr>
          <w:ilvl w:val="0"/>
          <w:numId w:val="2"/>
        </w:numPr>
        <w:spacing w:after="90" w:line="264"/>
      </w:pPr>
      <w:r>
        <w:rPr>
          <w:sz w:val="21"/>
          <w:szCs w:val="21"/>
        </w:rPr>
        <w:t xml:space="preserve">A locally-hosted EVM blockchain (Anvil) with a Solidity licensing/provenance smart contract, no public chain or real funds involved.</w:t>
      </w:r>
    </w:p>
    <w:p>
      <w:pPr>
        <w:pStyle w:val="ListParagraph"/>
        <w:numPr>
          <w:ilvl w:val="0"/>
          <w:numId w:val="2"/>
        </w:numPr>
        <w:spacing w:after="90" w:line="264"/>
      </w:pPr>
      <w:r>
        <w:rPr>
          <w:sz w:val="21"/>
          <w:szCs w:val="21"/>
        </w:rPr>
        <w:t xml:space="preserve">A fully containerized local development stack (Docker Compose) reproducing every backing service.</w:t>
      </w:r>
    </w:p>
    <w:p>
      <w:pPr>
        <w:spacing w:after="160" w:line="276"/>
      </w:pPr>
      <w:r>
        <w:rPr>
          <w:b/>
          <w:bCs/>
          <w:sz w:val="21"/>
          <w:szCs w:val="21"/>
        </w:rPr>
        <w:t xml:space="preserve">Out of scope for the current release:</w:t>
      </w:r>
    </w:p>
    <w:p>
      <w:pPr>
        <w:pStyle w:val="ListParagraph"/>
        <w:numPr>
          <w:ilvl w:val="0"/>
          <w:numId w:val="2"/>
        </w:numPr>
        <w:spacing w:after="90" w:line="264"/>
      </w:pPr>
      <w:r>
        <w:rPr>
          <w:sz w:val="21"/>
          <w:szCs w:val="21"/>
        </w:rPr>
        <w:t xml:space="preserve">Real-time multi-user co-editing of 3D models and in-browser mesh editing.</w:t>
      </w:r>
    </w:p>
    <w:p>
      <w:pPr>
        <w:pStyle w:val="ListParagraph"/>
        <w:numPr>
          <w:ilvl w:val="0"/>
          <w:numId w:val="2"/>
        </w:numPr>
        <w:spacing w:after="90" w:line="264"/>
      </w:pPr>
      <w:r>
        <w:rPr>
          <w:sz w:val="21"/>
          <w:szCs w:val="21"/>
        </w:rPr>
        <w:t xml:space="preserve">Native mobile applications.</w:t>
      </w:r>
    </w:p>
    <w:p>
      <w:pPr>
        <w:pStyle w:val="ListParagraph"/>
        <w:numPr>
          <w:ilvl w:val="0"/>
          <w:numId w:val="2"/>
        </w:numPr>
        <w:spacing w:after="90" w:line="264"/>
      </w:pPr>
      <w:r>
        <w:rPr>
          <w:sz w:val="21"/>
          <w:szCs w:val="21"/>
        </w:rPr>
        <w:t xml:space="preserve">Deployment to a public/mainnet blockchain, cryptocurrency payments, or cross-chain bridging.</w:t>
      </w:r>
    </w:p>
    <w:p>
      <w:pPr>
        <w:pStyle w:val="ListParagraph"/>
        <w:numPr>
          <w:ilvl w:val="0"/>
          <w:numId w:val="2"/>
        </w:numPr>
        <w:spacing w:after="90" w:line="264"/>
      </w:pPr>
      <w:r>
        <w:rPr>
          <w:sz w:val="21"/>
          <w:szCs w:val="21"/>
        </w:rPr>
        <w:t xml:space="preserve">Multi-region / multi-cloud production deployment topology (addressed only at a design-constraint level in Section 9.4).</w:t>
      </w:r>
    </w:p>
    <w:p>
      <w:pPr>
        <w:pStyle w:val="Heading2"/>
        <w:spacing w:after="150" w:before="300"/>
      </w:pPr>
      <w:r>
        <w:rPr>
          <w:b/>
          <w:bCs/>
          <w:color w:val="4338CA"/>
          <w:sz w:val="25"/>
          <w:szCs w:val="25"/>
        </w:rPr>
        <w:t xml:space="preserve">1.5 Definitions, Acronyms, and Abbreviations</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2300"/>
        <w:gridCol w:w="7050"/>
      </w:tblGrid>
      <w:tr>
        <w:trPr>
          <w:tblHeader/>
        </w:trPr>
        <w:tc>
          <w:tcPr>
            <w:tcW w:type="dxa" w:w="2300"/>
            <w:shd w:fill="1E1B4B" w:val="clear"/>
            <w:tcMar>
              <w:top w:type="dxa" w:w="80"/>
              <w:left w:type="dxa" w:w="100"/>
              <w:bottom w:type="dxa" w:w="80"/>
              <w:right w:type="dxa" w:w="100"/>
            </w:tcMar>
            <w:vAlign w:val="center"/>
          </w:tcPr>
          <w:p>
            <w:r>
              <w:rPr>
                <w:b/>
                <w:bCs/>
                <w:color w:val="FFFFFF"/>
                <w:sz w:val="19"/>
                <w:szCs w:val="19"/>
              </w:rPr>
              <w:t xml:space="preserve">Term</w:t>
            </w:r>
          </w:p>
        </w:tc>
        <w:tc>
          <w:tcPr>
            <w:tcW w:type="dxa" w:w="7050"/>
            <w:shd w:fill="1E1B4B" w:val="clear"/>
            <w:tcMar>
              <w:top w:type="dxa" w:w="80"/>
              <w:left w:type="dxa" w:w="100"/>
              <w:bottom w:type="dxa" w:w="80"/>
              <w:right w:type="dxa" w:w="100"/>
            </w:tcMar>
            <w:vAlign w:val="center"/>
          </w:tcPr>
          <w:p>
            <w:r>
              <w:rPr>
                <w:b/>
                <w:bCs/>
                <w:color w:val="FFFFFF"/>
                <w:sz w:val="19"/>
                <w:szCs w:val="19"/>
              </w:rPr>
              <w:t xml:space="preserve">Definition</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DAM</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Digital Asset Management — systems and processes for organizing digital media.</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glTF / GLB</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GL Transmission Format — a royalty-free, runtime-efficient 3D asset format; .glb is its binary container.</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XR</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Extended Reality — an umbrella term covering AR, VR, and MR experiences.</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JWT</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JSON Web Token — a compact, signed token used for stateless authentication.</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RBAC</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Role-Based Access Control.</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Tenant / Organization</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An isolated customer workspace within the platform; all data is scoped to exactly one tenant.</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RLS</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Row-Level Security — a PostgreSQL feature that restricts which rows a query can see/modify based on session context (used here to enforce tenant isolation).</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IPFS</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InterPlanetary File System — a peer-to-peer, content-addressed storage network.</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Kubo</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The reference Go implementation of an IPFS node (formerly go-ipfs); run locally in this project via Docker.</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CID</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Content Identifier — the cryptographic hash-based address of a piece of content on IPFS; changes if the content changes.</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Pinning</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Instructing an IPFS node to retain and continue serving a given CID rather than letting it be garbage-collected.</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EVM</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Ethereum Virtual Machine — the execution environment smart contracts run in.</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Anvil</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A local, fast EVM development chain shipped with the Foundry toolkit; used here in place of a public testnet.</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Foundry</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A Solidity development toolchain (forge, cast, anvil) used to write, test, and deploy the licensing smart contract.</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Solidity</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The smart-contract programming language used for the EVM.</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ERC-721</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The Ethereum standard for non-fungible tokens (NFTs); used here to represent a unique, transferable asset license.</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SIWE</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Sign-In with Ethereum (EIP-4361) — a standard for wallet-based authentication, offered as an optional login method.</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Managed / Custodial Wallet</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A blockchain wallet whose private key is generated and held server-side on a user's behalf, so the user does not need a browser extension to use on-chain features.</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BullMQ</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A Redis-backed job/queue library for Node.js used for all asynchronous background processing.</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Fastify</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A fast, schema-based Node.js web framework used for the REST API backend.</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Prisma</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A type-safe Node.js/TypeScript ORM used for the PostgreSQL data layer.</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Monorepo / Turborepo</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A single repository containing multiple applications and shared packages, built and cached with Turborepo.</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Claude API</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Anthropic's hosted large language model API (Messages endpoint), used here for AI-assisted content classification.</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Polycount</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The number of polygons in a 3D mesh; a key metric for XR performance budgets.</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CC0</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Creative Commons Zero — a public-domain-equivalent content license.</w:t>
            </w:r>
          </w:p>
        </w:tc>
      </w:tr>
      <w:tr>
        <w:tc>
          <w:tcPr>
            <w:tcW w:type="dxa" w:w="2300"/>
            <w:shd w:fill="F8FAFC" w:val="clear"/>
            <w:tcMar>
              <w:top w:type="dxa" w:w="80"/>
              <w:left w:type="dxa" w:w="100"/>
              <w:bottom w:type="dxa" w:w="80"/>
              <w:right w:type="dxa" w:w="100"/>
            </w:tcMar>
            <w:vAlign w:val="center"/>
          </w:tcPr>
          <w:p>
            <w:r>
              <w:rPr>
                <w:b w:val="false"/>
                <w:bCs w:val="false"/>
                <w:sz w:val="19"/>
                <w:szCs w:val="19"/>
              </w:rPr>
              <w:t xml:space="preserve">Assessor</w:t>
            </w:r>
          </w:p>
        </w:tc>
        <w:tc>
          <w:tcPr>
            <w:tcW w:type="dxa" w:w="7050"/>
            <w:shd w:fill="F8FAFC" w:val="clear"/>
            <w:tcMar>
              <w:top w:type="dxa" w:w="80"/>
              <w:left w:type="dxa" w:w="100"/>
              <w:bottom w:type="dxa" w:w="80"/>
              <w:right w:type="dxa" w:w="100"/>
            </w:tcMar>
            <w:vAlign w:val="center"/>
          </w:tcPr>
          <w:p>
            <w:r>
              <w:rPr>
                <w:b w:val="false"/>
                <w:bCs w:val="false"/>
                <w:sz w:val="19"/>
                <w:szCs w:val="19"/>
              </w:rPr>
              <w:t xml:space="preserve">The platform role responsible for reviewing and approving/rejecting submitted assets.</w:t>
            </w:r>
          </w:p>
        </w:tc>
      </w:tr>
      <w:tr>
        <w:tc>
          <w:tcPr>
            <w:tcW w:type="dxa" w:w="2300"/>
            <w:shd w:fill="FFFFFF" w:val="clear"/>
            <w:tcMar>
              <w:top w:type="dxa" w:w="80"/>
              <w:left w:type="dxa" w:w="100"/>
              <w:bottom w:type="dxa" w:w="80"/>
              <w:right w:type="dxa" w:w="100"/>
            </w:tcMar>
            <w:vAlign w:val="center"/>
          </w:tcPr>
          <w:p>
            <w:r>
              <w:rPr>
                <w:b w:val="false"/>
                <w:bCs w:val="false"/>
                <w:sz w:val="19"/>
                <w:szCs w:val="19"/>
              </w:rPr>
              <w:t xml:space="preserve">Creator</w:t>
            </w:r>
          </w:p>
        </w:tc>
        <w:tc>
          <w:tcPr>
            <w:tcW w:type="dxa" w:w="7050"/>
            <w:shd w:fill="FFFFFF" w:val="clear"/>
            <w:tcMar>
              <w:top w:type="dxa" w:w="80"/>
              <w:left w:type="dxa" w:w="100"/>
              <w:bottom w:type="dxa" w:w="80"/>
              <w:right w:type="dxa" w:w="100"/>
            </w:tcMar>
            <w:vAlign w:val="center"/>
          </w:tcPr>
          <w:p>
            <w:r>
              <w:rPr>
                <w:b w:val="false"/>
                <w:bCs w:val="false"/>
                <w:sz w:val="19"/>
                <w:szCs w:val="19"/>
              </w:rPr>
              <w:t xml:space="preserve">The platform role responsible for producing and submitting 3D assets.</w:t>
            </w:r>
          </w:p>
        </w:tc>
      </w:tr>
    </w:tbl>
    <w:p>
      <w:pPr>
        <w:spacing w:after="220"/>
      </w:pPr>
    </w:p>
    <w:p>
      <w:pPr>
        <w:pStyle w:val="Heading2"/>
        <w:spacing w:after="150" w:before="300"/>
      </w:pPr>
      <w:r>
        <w:rPr>
          <w:b/>
          <w:bCs/>
          <w:color w:val="4338CA"/>
          <w:sz w:val="25"/>
          <w:szCs w:val="25"/>
        </w:rPr>
        <w:t xml:space="preserve">1.6 References</w:t>
      </w:r>
    </w:p>
    <w:p>
      <w:pPr>
        <w:pStyle w:val="ListParagraph"/>
        <w:numPr>
          <w:ilvl w:val="0"/>
          <w:numId w:val="2"/>
        </w:numPr>
        <w:spacing w:after="90" w:line="264"/>
      </w:pPr>
      <w:r>
        <w:rPr>
          <w:sz w:val="21"/>
          <w:szCs w:val="21"/>
        </w:rPr>
        <w:t xml:space="preserve">ISO/IEC/IEEE 29148:2018 — Systems and software engineering — Life cycle processes — Requirements engineering.</w:t>
      </w:r>
    </w:p>
    <w:p>
      <w:pPr>
        <w:pStyle w:val="ListParagraph"/>
        <w:numPr>
          <w:ilvl w:val="0"/>
          <w:numId w:val="2"/>
        </w:numPr>
        <w:spacing w:after="90" w:line="264"/>
      </w:pPr>
      <w:r>
        <w:rPr>
          <w:sz w:val="21"/>
          <w:szCs w:val="21"/>
        </w:rPr>
        <w:t xml:space="preserve">Khronos Group, glTF 2.0 Specification.</w:t>
      </w:r>
    </w:p>
    <w:p>
      <w:pPr>
        <w:pStyle w:val="ListParagraph"/>
        <w:numPr>
          <w:ilvl w:val="0"/>
          <w:numId w:val="2"/>
        </w:numPr>
        <w:spacing w:after="90" w:line="264"/>
      </w:pPr>
      <w:r>
        <w:rPr>
          <w:sz w:val="21"/>
          <w:szCs w:val="21"/>
        </w:rPr>
        <w:t xml:space="preserve">Anthropic, Claude API Reference (Messages endpoint), docs.claude.com.</w:t>
      </w:r>
    </w:p>
    <w:p>
      <w:pPr>
        <w:pStyle w:val="ListParagraph"/>
        <w:numPr>
          <w:ilvl w:val="0"/>
          <w:numId w:val="2"/>
        </w:numPr>
        <w:spacing w:after="90" w:line="264"/>
      </w:pPr>
      <w:r>
        <w:rPr>
          <w:sz w:val="21"/>
          <w:szCs w:val="21"/>
        </w:rPr>
        <w:t xml:space="preserve">OWASP Application Security Verification Standard (ASVS) v4.0.</w:t>
      </w:r>
    </w:p>
    <w:p>
      <w:pPr>
        <w:pStyle w:val="ListParagraph"/>
        <w:numPr>
          <w:ilvl w:val="0"/>
          <w:numId w:val="2"/>
        </w:numPr>
        <w:spacing w:after="90" w:line="264"/>
      </w:pPr>
      <w:r>
        <w:rPr>
          <w:sz w:val="21"/>
          <w:szCs w:val="21"/>
        </w:rPr>
        <w:t xml:space="preserve">RFC 7519 — JSON Web Token (JWT).</w:t>
      </w:r>
    </w:p>
    <w:p>
      <w:pPr>
        <w:pStyle w:val="ListParagraph"/>
        <w:numPr>
          <w:ilvl w:val="0"/>
          <w:numId w:val="2"/>
        </w:numPr>
        <w:spacing w:after="90" w:line="264"/>
      </w:pPr>
      <w:r>
        <w:rPr>
          <w:sz w:val="21"/>
          <w:szCs w:val="21"/>
        </w:rPr>
        <w:t xml:space="preserve">EIP-721 — Non-Fungible Token Standard.</w:t>
      </w:r>
    </w:p>
    <w:p>
      <w:pPr>
        <w:pStyle w:val="ListParagraph"/>
        <w:numPr>
          <w:ilvl w:val="0"/>
          <w:numId w:val="2"/>
        </w:numPr>
        <w:spacing w:after="90" w:line="264"/>
      </w:pPr>
      <w:r>
        <w:rPr>
          <w:sz w:val="21"/>
          <w:szCs w:val="21"/>
        </w:rPr>
        <w:t xml:space="preserve">EIP-4361 — Sign-In with Ethereum.</w:t>
      </w:r>
    </w:p>
    <w:p>
      <w:pPr>
        <w:pStyle w:val="ListParagraph"/>
        <w:numPr>
          <w:ilvl w:val="0"/>
          <w:numId w:val="2"/>
        </w:numPr>
        <w:spacing w:after="90" w:line="264"/>
      </w:pPr>
      <w:r>
        <w:rPr>
          <w:sz w:val="21"/>
          <w:szCs w:val="21"/>
        </w:rPr>
        <w:t xml:space="preserve">Foundry Book — foundry-sh.github.io (forge / anvil / cast reference).</w:t>
      </w:r>
    </w:p>
    <w:p>
      <w:pPr>
        <w:pStyle w:val="ListParagraph"/>
        <w:numPr>
          <w:ilvl w:val="0"/>
          <w:numId w:val="2"/>
        </w:numPr>
        <w:spacing w:after="90" w:line="264"/>
      </w:pPr>
      <w:r>
        <w:rPr>
          <w:sz w:val="21"/>
          <w:szCs w:val="21"/>
        </w:rPr>
        <w:t xml:space="preserve">IPFS / Kubo documentation — docs.ipfs.tech.</w:t>
      </w:r>
    </w:p>
    <w:p>
      <w:pPr>
        <w:pStyle w:val="ListParagraph"/>
        <w:numPr>
          <w:ilvl w:val="0"/>
          <w:numId w:val="2"/>
        </w:numPr>
        <w:spacing w:after="90" w:line="264"/>
      </w:pPr>
      <w:r>
        <w:rPr>
          <w:sz w:val="21"/>
          <w:szCs w:val="21"/>
        </w:rPr>
        <w:t xml:space="preserve">Fastify documentation — fastify.dev.</w:t>
      </w:r>
    </w:p>
    <w:p>
      <w:pPr>
        <w:pStyle w:val="ListParagraph"/>
        <w:numPr>
          <w:ilvl w:val="0"/>
          <w:numId w:val="2"/>
        </w:numPr>
        <w:spacing w:after="90" w:line="264"/>
      </w:pPr>
      <w:r>
        <w:rPr>
          <w:sz w:val="21"/>
          <w:szCs w:val="21"/>
        </w:rPr>
        <w:t xml:space="preserve">Prisma documentation — prisma.io/docs.</w:t>
      </w:r>
    </w:p>
    <w:p>
      <w:pPr>
        <w:pStyle w:val="ListParagraph"/>
        <w:numPr>
          <w:ilvl w:val="0"/>
          <w:numId w:val="2"/>
        </w:numPr>
        <w:spacing w:after="90" w:line="264"/>
      </w:pPr>
      <w:r>
        <w:rPr>
          <w:sz w:val="21"/>
          <w:szCs w:val="21"/>
        </w:rPr>
        <w:t xml:space="preserve">Next.js documentation — nextjs.org/docs.</w:t>
      </w:r>
    </w:p>
    <w:p>
      <w:r>
        <w:br w:type="page"/>
      </w:r>
    </w:p>
    <w:p>
      <w:pPr>
        <w:pStyle w:val="Heading1"/>
        <w:pBdr>
          <w:bottom w:val="single" w:color="4338CA" w:sz="6" w:space="4"/>
        </w:pBdr>
        <w:spacing w:after="200" w:before="400"/>
      </w:pPr>
      <w:r>
        <w:rPr>
          <w:b/>
          <w:bCs/>
          <w:color w:val="1E1B4B"/>
          <w:sz w:val="30"/>
          <w:szCs w:val="30"/>
        </w:rPr>
        <w:t xml:space="preserve">2. Overall Description</w:t>
      </w:r>
    </w:p>
    <w:p>
      <w:pPr>
        <w:pStyle w:val="Heading2"/>
        <w:spacing w:after="150" w:before="300"/>
      </w:pPr>
      <w:r>
        <w:rPr>
          <w:b/>
          <w:bCs/>
          <w:color w:val="4338CA"/>
          <w:sz w:val="25"/>
          <w:szCs w:val="25"/>
        </w:rPr>
        <w:t xml:space="preserve">2.1 Product Perspective</w:t>
      </w:r>
    </w:p>
    <w:p>
      <w:pPr>
        <w:spacing w:after="160" w:line="276"/>
      </w:pPr>
      <w:r>
        <w:rPr>
          <w:sz w:val="21"/>
          <w:szCs w:val="21"/>
        </w:rPr>
        <w:t xml:space="preserve">VOID·SPACE v2.0 is a new, self-contained, multi-service product composed of a Next.js browser client, a Fastify REST API, a background job-processing tier, a PostgreSQL relational store, a Redis cache/queue, an IPFS content-addressed storage node, and a locally-hosted EVM blockchain running a licensing smart contract — together with integrations to external services: the Anthropic Claude API for AI-assisted content intelligence, Sketchfab and Poly Pizza for third-party asset import, Blender for headless format conversion, Meshy AI for generative 3D content, and EoN Reality as the downstream XR consumption platform. Every first-party service is containerized so the full system can be brought up with a single command on a developer laptop. Figure 1 illustrates the system in its operating context; Section 3 details the architecture.</w:t>
      </w:r>
    </w:p>
    <w:p>
      <w:pPr>
        <w:spacing w:after="80" w:before="120"/>
        <w:jc w:val="center"/>
      </w:pPr>
      <w:r>
        <w:drawing>
          <wp:inline distT="0" distB="0" distL="0" distR="0">
            <wp:extent cx="576072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46120"/>
                    </a:xfrm>
                    <a:prstGeom prst="rect">
                      <a:avLst/>
                    </a:prstGeom>
                  </pic:spPr>
                </pic:pic>
              </a:graphicData>
            </a:graphic>
          </wp:inline>
        </w:drawing>
      </w:r>
    </w:p>
    <w:p>
      <w:pPr>
        <w:spacing w:after="240"/>
        <w:jc w:val="center"/>
      </w:pPr>
      <w:r>
        <w:rPr>
          <w:i/>
          <w:iCs/>
          <w:color w:val="64748B"/>
          <w:sz w:val="19"/>
          <w:szCs w:val="19"/>
        </w:rPr>
        <w:t xml:space="preserve">Figure 1 — System Context and High-Level Architecture</w:t>
      </w:r>
    </w:p>
    <w:p>
      <w:pPr>
        <w:pStyle w:val="Heading2"/>
        <w:spacing w:after="150" w:before="300"/>
      </w:pPr>
      <w:r>
        <w:rPr>
          <w:b/>
          <w:bCs/>
          <w:color w:val="4338CA"/>
          <w:sz w:val="25"/>
          <w:szCs w:val="25"/>
        </w:rPr>
        <w:t xml:space="preserve">2.2 Product Functions</w:t>
      </w:r>
    </w:p>
    <w:p>
      <w:pPr>
        <w:pStyle w:val="ListParagraph"/>
        <w:numPr>
          <w:ilvl w:val="0"/>
          <w:numId w:val="2"/>
        </w:numPr>
        <w:spacing w:after="90" w:line="264"/>
      </w:pPr>
      <w:r>
        <w:rPr>
          <w:sz w:val="21"/>
          <w:szCs w:val="21"/>
        </w:rPr>
        <w:t xml:space="preserve">Multi-tenant workspaces with organization-scoped data isolation and self-service tenant onboarding.</w:t>
      </w:r>
    </w:p>
    <w:p>
      <w:pPr>
        <w:pStyle w:val="ListParagraph"/>
        <w:numPr>
          <w:ilvl w:val="0"/>
          <w:numId w:val="2"/>
        </w:numPr>
        <w:spacing w:after="90" w:line="264"/>
      </w:pPr>
      <w:r>
        <w:rPr>
          <w:sz w:val="21"/>
          <w:szCs w:val="21"/>
        </w:rPr>
        <w:t xml:space="preserve">Secure, role-based authentication (email/password, Google SSO, and optional wallet-based Sign-In with Ethereum).</w:t>
      </w:r>
    </w:p>
    <w:p>
      <w:pPr>
        <w:pStyle w:val="ListParagraph"/>
        <w:numPr>
          <w:ilvl w:val="0"/>
          <w:numId w:val="2"/>
        </w:numPr>
        <w:spacing w:after="90" w:line="264"/>
      </w:pPr>
      <w:r>
        <w:rPr>
          <w:sz w:val="21"/>
          <w:szCs w:val="21"/>
        </w:rPr>
        <w:t xml:space="preserve">Fine-grained role-based access control across six user classes.</w:t>
      </w:r>
    </w:p>
    <w:p>
      <w:pPr>
        <w:pStyle w:val="ListParagraph"/>
        <w:numPr>
          <w:ilvl w:val="0"/>
          <w:numId w:val="2"/>
        </w:numPr>
        <w:spacing w:after="90" w:line="264"/>
      </w:pPr>
      <w:r>
        <w:rPr>
          <w:sz w:val="21"/>
          <w:szCs w:val="21"/>
        </w:rPr>
        <w:t xml:space="preserve">Upload and metadata tagging of 3D assets in common interchange formats, with full version history.</w:t>
      </w:r>
    </w:p>
    <w:p>
      <w:pPr>
        <w:pStyle w:val="ListParagraph"/>
        <w:numPr>
          <w:ilvl w:val="0"/>
          <w:numId w:val="2"/>
        </w:numPr>
        <w:spacing w:after="90" w:line="264"/>
      </w:pPr>
      <w:r>
        <w:rPr>
          <w:sz w:val="21"/>
          <w:szCs w:val="21"/>
        </w:rPr>
        <w:t xml:space="preserve">Automated AI-generated tags, descriptions, and quality flags via the Claude API.</w:t>
      </w:r>
    </w:p>
    <w:p>
      <w:pPr>
        <w:pStyle w:val="ListParagraph"/>
        <w:numPr>
          <w:ilvl w:val="0"/>
          <w:numId w:val="2"/>
        </w:numPr>
        <w:spacing w:after="90" w:line="264"/>
      </w:pPr>
      <w:r>
        <w:rPr>
          <w:sz w:val="21"/>
          <w:szCs w:val="21"/>
        </w:rPr>
        <w:t xml:space="preserve">Human-in-the-loop review workflow with approve / reject / request-revision decisions and threaded comments.</w:t>
      </w:r>
    </w:p>
    <w:p>
      <w:pPr>
        <w:pStyle w:val="ListParagraph"/>
        <w:numPr>
          <w:ilvl w:val="0"/>
          <w:numId w:val="2"/>
        </w:numPr>
        <w:spacing w:after="90" w:line="264"/>
      </w:pPr>
      <w:r>
        <w:rPr>
          <w:sz w:val="21"/>
          <w:szCs w:val="21"/>
        </w:rPr>
        <w:t xml:space="preserve">Live, in-browser 3D preview (WebGL / React Three Fiber) for both grid thumbnails and detailed inspection.</w:t>
      </w:r>
    </w:p>
    <w:p>
      <w:pPr>
        <w:pStyle w:val="ListParagraph"/>
        <w:numPr>
          <w:ilvl w:val="0"/>
          <w:numId w:val="2"/>
        </w:numPr>
        <w:spacing w:after="90" w:line="264"/>
      </w:pPr>
      <w:r>
        <w:rPr>
          <w:sz w:val="21"/>
          <w:szCs w:val="21"/>
        </w:rPr>
        <w:t xml:space="preserve">Search and import of free/CC0 assets from Sketchfab and Poly Pizza.</w:t>
      </w:r>
    </w:p>
    <w:p>
      <w:pPr>
        <w:pStyle w:val="ListParagraph"/>
        <w:numPr>
          <w:ilvl w:val="0"/>
          <w:numId w:val="2"/>
        </w:numPr>
        <w:spacing w:after="90" w:line="264"/>
      </w:pPr>
      <w:r>
        <w:rPr>
          <w:sz w:val="21"/>
          <w:szCs w:val="21"/>
        </w:rPr>
        <w:t xml:space="preserve">Headless Blender export/optimization pipeline for XR polycount budgets.</w:t>
      </w:r>
    </w:p>
    <w:p>
      <w:pPr>
        <w:pStyle w:val="ListParagraph"/>
        <w:numPr>
          <w:ilvl w:val="0"/>
          <w:numId w:val="2"/>
        </w:numPr>
        <w:spacing w:after="90" w:line="264"/>
      </w:pPr>
      <w:r>
        <w:rPr>
          <w:sz w:val="21"/>
          <w:szCs w:val="21"/>
        </w:rPr>
        <w:t xml:space="preserve">Content-addressed, decentralized storage of asset binaries on IPFS, with pinning and gateway caching.</w:t>
      </w:r>
    </w:p>
    <w:p>
      <w:pPr>
        <w:pStyle w:val="ListParagraph"/>
        <w:numPr>
          <w:ilvl w:val="0"/>
          <w:numId w:val="2"/>
        </w:numPr>
        <w:spacing w:after="90" w:line="264"/>
      </w:pPr>
      <w:r>
        <w:rPr>
          <w:sz w:val="21"/>
          <w:szCs w:val="21"/>
        </w:rPr>
        <w:t xml:space="preserve">On-chain issuance of a non-fungible license token for every published asset, recording provenance, approver, and license terms immutably on a local EVM chain.</w:t>
      </w:r>
    </w:p>
    <w:p>
      <w:pPr>
        <w:pStyle w:val="ListParagraph"/>
        <w:numPr>
          <w:ilvl w:val="0"/>
          <w:numId w:val="2"/>
        </w:numPr>
        <w:spacing w:after="90" w:line="264"/>
      </w:pPr>
      <w:r>
        <w:rPr>
          <w:sz w:val="21"/>
          <w:szCs w:val="21"/>
        </w:rPr>
        <w:t xml:space="preserve">Publishing of approved, licensed assets into EoN Reality XR training modules.</w:t>
      </w:r>
    </w:p>
    <w:p>
      <w:pPr>
        <w:pStyle w:val="ListParagraph"/>
        <w:numPr>
          <w:ilvl w:val="0"/>
          <w:numId w:val="2"/>
        </w:numPr>
        <w:spacing w:after="90" w:line="264"/>
      </w:pPr>
      <w:r>
        <w:rPr>
          <w:sz w:val="21"/>
          <w:szCs w:val="21"/>
        </w:rPr>
        <w:t xml:space="preserve">A documented, versioned REST API with scoped API-key authentication for third-party integration.</w:t>
      </w:r>
    </w:p>
    <w:p>
      <w:pPr>
        <w:pStyle w:val="ListParagraph"/>
        <w:numPr>
          <w:ilvl w:val="0"/>
          <w:numId w:val="2"/>
        </w:numPr>
        <w:spacing w:after="90" w:line="264"/>
      </w:pPr>
      <w:r>
        <w:rPr>
          <w:sz w:val="21"/>
          <w:szCs w:val="21"/>
        </w:rPr>
        <w:t xml:space="preserve">In-app notifications and a full, queryable audit trail of every state-changing action.</w:t>
      </w:r>
    </w:p>
    <w:p>
      <w:pPr>
        <w:pStyle w:val="ListParagraph"/>
        <w:numPr>
          <w:ilvl w:val="0"/>
          <w:numId w:val="2"/>
        </w:numPr>
        <w:spacing w:after="90" w:line="264"/>
      </w:pPr>
      <w:r>
        <w:rPr>
          <w:sz w:val="21"/>
          <w:szCs w:val="21"/>
        </w:rPr>
        <w:t xml:space="preserve">Admin console for tenant, user, role, and platform configuration management.</w:t>
      </w:r>
    </w:p>
    <w:p>
      <w:pPr>
        <w:pStyle w:val="Heading2"/>
        <w:spacing w:after="150" w:before="300"/>
      </w:pPr>
      <w:r>
        <w:rPr>
          <w:b/>
          <w:bCs/>
          <w:color w:val="4338CA"/>
          <w:sz w:val="25"/>
          <w:szCs w:val="25"/>
        </w:rPr>
        <w:t xml:space="preserve">2.3 User Classes and Characteristics</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1550"/>
        <w:gridCol w:w="5900"/>
        <w:gridCol w:w="1900"/>
      </w:tblGrid>
      <w:tr>
        <w:trPr>
          <w:tblHeader/>
        </w:trPr>
        <w:tc>
          <w:tcPr>
            <w:tcW w:type="dxa" w:w="1550"/>
            <w:shd w:fill="1E1B4B" w:val="clear"/>
            <w:tcMar>
              <w:top w:type="dxa" w:w="80"/>
              <w:left w:type="dxa" w:w="100"/>
              <w:bottom w:type="dxa" w:w="80"/>
              <w:right w:type="dxa" w:w="100"/>
            </w:tcMar>
            <w:vAlign w:val="center"/>
          </w:tcPr>
          <w:p>
            <w:r>
              <w:rPr>
                <w:b/>
                <w:bCs/>
                <w:color w:val="FFFFFF"/>
                <w:sz w:val="19"/>
                <w:szCs w:val="19"/>
              </w:rPr>
              <w:t xml:space="preserve">User Class</w:t>
            </w:r>
          </w:p>
        </w:tc>
        <w:tc>
          <w:tcPr>
            <w:tcW w:type="dxa" w:w="5900"/>
            <w:shd w:fill="1E1B4B" w:val="clear"/>
            <w:tcMar>
              <w:top w:type="dxa" w:w="80"/>
              <w:left w:type="dxa" w:w="100"/>
              <w:bottom w:type="dxa" w:w="80"/>
              <w:right w:type="dxa" w:w="100"/>
            </w:tcMar>
            <w:vAlign w:val="center"/>
          </w:tcPr>
          <w:p>
            <w:r>
              <w:rPr>
                <w:b/>
                <w:bCs/>
                <w:color w:val="FFFFFF"/>
                <w:sz w:val="19"/>
                <w:szCs w:val="19"/>
              </w:rPr>
              <w:t xml:space="preserve">Description</w:t>
            </w:r>
          </w:p>
        </w:tc>
        <w:tc>
          <w:tcPr>
            <w:tcW w:type="dxa" w:w="1900"/>
            <w:shd w:fill="1E1B4B" w:val="clear"/>
            <w:tcMar>
              <w:top w:type="dxa" w:w="80"/>
              <w:left w:type="dxa" w:w="100"/>
              <w:bottom w:type="dxa" w:w="80"/>
              <w:right w:type="dxa" w:w="100"/>
            </w:tcMar>
            <w:vAlign w:val="center"/>
          </w:tcPr>
          <w:p>
            <w:r>
              <w:rPr>
                <w:b/>
                <w:bCs/>
                <w:color w:val="FFFFFF"/>
                <w:sz w:val="19"/>
                <w:szCs w:val="19"/>
              </w:rPr>
              <w:t xml:space="preserve">Technical Proficiency</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SuperAdmin</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Platform-level operator; manages tenants, global configuration, and platform health. Not scoped to a single tenant.</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High — platform engineering background</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TenantAdmin</w:t>
            </w:r>
          </w:p>
        </w:tc>
        <w:tc>
          <w:tcPr>
            <w:tcW w:type="dxa" w:w="5900"/>
            <w:shd w:fill="F8FAFC" w:val="clear"/>
            <w:tcMar>
              <w:top w:type="dxa" w:w="80"/>
              <w:left w:type="dxa" w:w="100"/>
              <w:bottom w:type="dxa" w:w="80"/>
              <w:right w:type="dxa" w:w="100"/>
            </w:tcMar>
            <w:vAlign w:val="center"/>
          </w:tcPr>
          <w:p>
            <w:r>
              <w:rPr>
                <w:b w:val="false"/>
                <w:bCs w:val="false"/>
                <w:sz w:val="19"/>
                <w:szCs w:val="19"/>
              </w:rPr>
              <w:t xml:space="preserve">Manages a single organization: its users, role assignments, API keys, and tenant settings.</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Moderate to high</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Creator</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Produces or sources 3D assets, uploads them with metadata, and tracks their review status.</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Moderate — familiar with 3D tools (e.g., Blender)</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Assessor</w:t>
            </w:r>
          </w:p>
        </w:tc>
        <w:tc>
          <w:tcPr>
            <w:tcW w:type="dxa" w:w="5900"/>
            <w:shd w:fill="F8FAFC" w:val="clear"/>
            <w:tcMar>
              <w:top w:type="dxa" w:w="80"/>
              <w:left w:type="dxa" w:w="100"/>
              <w:bottom w:type="dxa" w:w="80"/>
              <w:right w:type="dxa" w:w="100"/>
            </w:tcMar>
            <w:vAlign w:val="center"/>
          </w:tcPr>
          <w:p>
            <w:r>
              <w:rPr>
                <w:b w:val="false"/>
                <w:bCs w:val="false"/>
                <w:sz w:val="19"/>
                <w:szCs w:val="19"/>
              </w:rPr>
              <w:t xml:space="preserve">Reviews submitted assets against quality/XR-readiness criteria and approves, rejects, or requests revisions.</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Moderate to high — domain expertise in XR/3D pipelines</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Developer</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Consumes the REST API programmatically to integrate VOID·SPACE into external pipelines or tools.</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High — software engineering background</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Viewer</w:t>
            </w:r>
          </w:p>
        </w:tc>
        <w:tc>
          <w:tcPr>
            <w:tcW w:type="dxa" w:w="5900"/>
            <w:shd w:fill="F8FAFC" w:val="clear"/>
            <w:tcMar>
              <w:top w:type="dxa" w:w="80"/>
              <w:left w:type="dxa" w:w="100"/>
              <w:bottom w:type="dxa" w:w="80"/>
              <w:right w:type="dxa" w:w="100"/>
            </w:tcMar>
            <w:vAlign w:val="center"/>
          </w:tcPr>
          <w:p>
            <w:r>
              <w:rPr>
                <w:b w:val="false"/>
                <w:bCs w:val="false"/>
                <w:sz w:val="19"/>
                <w:szCs w:val="19"/>
              </w:rPr>
              <w:t xml:space="preserve">Read-only access to a tenant's published/approved asset catalog (e.g., stakeholders, auditors).</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Low to moderate</w:t>
            </w:r>
          </w:p>
        </w:tc>
      </w:tr>
    </w:tbl>
    <w:p>
      <w:pPr>
        <w:spacing w:after="220"/>
      </w:pPr>
    </w:p>
    <w:p>
      <w:pPr>
        <w:pStyle w:val="Heading2"/>
        <w:spacing w:after="150" w:before="300"/>
      </w:pPr>
      <w:r>
        <w:rPr>
          <w:b/>
          <w:bCs/>
          <w:color w:val="4338CA"/>
          <w:sz w:val="25"/>
          <w:szCs w:val="25"/>
        </w:rPr>
        <w:t xml:space="preserve">2.4 Operating Environment</w:t>
      </w:r>
    </w:p>
    <w:p>
      <w:pPr>
        <w:pStyle w:val="ListParagraph"/>
        <w:numPr>
          <w:ilvl w:val="0"/>
          <w:numId w:val="2"/>
        </w:numPr>
        <w:spacing w:after="90" w:line="264"/>
      </w:pPr>
      <w:r>
        <w:rPr>
          <w:sz w:val="21"/>
          <w:szCs w:val="21"/>
        </w:rPr>
        <w:t xml:space="preserve">Client: any evergreen desktop browser with WebGL 2 support (Chrome, Edge, Firefox, Safari).</w:t>
      </w:r>
    </w:p>
    <w:p>
      <w:pPr>
        <w:pStyle w:val="ListParagraph"/>
        <w:numPr>
          <w:ilvl w:val="0"/>
          <w:numId w:val="2"/>
        </w:numPr>
        <w:spacing w:after="90" w:line="264"/>
      </w:pPr>
      <w:r>
        <w:rPr>
          <w:sz w:val="21"/>
          <w:szCs w:val="21"/>
        </w:rPr>
        <w:t xml:space="preserve">Development host: any machine (Linux, macOS, or Windows + WSL2) capable of running Docker and Docker Compose, with Node.js 20 LTS and pnpm for scripts run outside containers.</w:t>
      </w:r>
    </w:p>
    <w:p>
      <w:pPr>
        <w:pStyle w:val="ListParagraph"/>
        <w:numPr>
          <w:ilvl w:val="0"/>
          <w:numId w:val="2"/>
        </w:numPr>
        <w:spacing w:after="90" w:line="264"/>
      </w:pPr>
      <w:r>
        <w:rPr>
          <w:sz w:val="21"/>
          <w:szCs w:val="21"/>
        </w:rPr>
        <w:t xml:space="preserve">All first-party backing services (Postgres, Redis, IPFS, Anvil, the API, and the workers) run as Docker containers defined in a single docker-compose.yml — no service needs to be installed natively.</w:t>
      </w:r>
    </w:p>
    <w:p>
      <w:pPr>
        <w:pStyle w:val="ListParagraph"/>
        <w:numPr>
          <w:ilvl w:val="0"/>
          <w:numId w:val="2"/>
        </w:numPr>
        <w:spacing w:after="90" w:line="264"/>
      </w:pPr>
      <w:r>
        <w:rPr>
          <w:sz w:val="21"/>
          <w:szCs w:val="21"/>
        </w:rPr>
        <w:t xml:space="preserve">Outbound network access is required only for the optional external integrations (api.anthropic.com, sketchfab.com, poly.pizza, Meshy AI, EoN Reality); the core upload → review → publish → license workflow functions fully offline against the local stack.</w:t>
      </w:r>
    </w:p>
    <w:p>
      <w:pPr>
        <w:pStyle w:val="Heading2"/>
        <w:spacing w:after="150" w:before="300"/>
      </w:pPr>
      <w:r>
        <w:rPr>
          <w:b/>
          <w:bCs/>
          <w:color w:val="4338CA"/>
          <w:sz w:val="25"/>
          <w:szCs w:val="25"/>
        </w:rPr>
        <w:t xml:space="preserve">2.5 Design and Implementation Constraints</w:t>
      </w:r>
    </w:p>
    <w:p>
      <w:pPr>
        <w:pStyle w:val="ListParagraph"/>
        <w:numPr>
          <w:ilvl w:val="0"/>
          <w:numId w:val="2"/>
        </w:numPr>
        <w:spacing w:after="90" w:line="264"/>
      </w:pPr>
      <w:r>
        <w:rPr>
          <w:sz w:val="21"/>
          <w:szCs w:val="21"/>
        </w:rPr>
        <w:t xml:space="preserve">Uploaded files are restricted to .glb, .gltf, .obj, .fbx, .stl, and .blend, with a 200 MB size ceiling per asset.</w:t>
      </w:r>
    </w:p>
    <w:p>
      <w:pPr>
        <w:pStyle w:val="ListParagraph"/>
        <w:numPr>
          <w:ilvl w:val="0"/>
          <w:numId w:val="2"/>
        </w:numPr>
        <w:spacing w:after="90" w:line="264"/>
      </w:pPr>
      <w:r>
        <w:rPr>
          <w:sz w:val="21"/>
          <w:szCs w:val="21"/>
        </w:rPr>
        <w:t xml:space="preserve">All AI-assisted content generation MUST be reviewable and overridable by a human assessor before publication (no fully-automated approval).</w:t>
      </w:r>
    </w:p>
    <w:p>
      <w:pPr>
        <w:pStyle w:val="ListParagraph"/>
        <w:numPr>
          <w:ilvl w:val="0"/>
          <w:numId w:val="2"/>
        </w:numPr>
        <w:spacing w:after="90" w:line="264"/>
      </w:pPr>
      <w:r>
        <w:rPr>
          <w:sz w:val="21"/>
          <w:szCs w:val="21"/>
        </w:rPr>
        <w:t xml:space="preserve">Authentication tokens (JWT) MUST be short-lived (access token ≤ 15 minutes) with a rotating refresh token, and MUST be delivered only via httpOnly, Secure, SameSite=Lax cookies — never persisted in browser local/session storage.</w:t>
      </w:r>
    </w:p>
    <w:p>
      <w:pPr>
        <w:pStyle w:val="ListParagraph"/>
        <w:numPr>
          <w:ilvl w:val="0"/>
          <w:numId w:val="2"/>
        </w:numPr>
        <w:spacing w:after="90" w:line="264"/>
      </w:pPr>
      <w:r>
        <w:rPr>
          <w:sz w:val="21"/>
          <w:szCs w:val="21"/>
        </w:rPr>
        <w:t xml:space="preserve">The system MUST degrade gracefully (asset upload/review still functions) if the Claude API, IPFS, the local blockchain, or any third-party tool integration is unavailable.</w:t>
      </w:r>
    </w:p>
    <w:p>
      <w:pPr>
        <w:pStyle w:val="ListParagraph"/>
        <w:numPr>
          <w:ilvl w:val="0"/>
          <w:numId w:val="2"/>
        </w:numPr>
        <w:spacing w:after="90" w:line="264"/>
      </w:pPr>
      <w:r>
        <w:rPr>
          <w:sz w:val="21"/>
          <w:szCs w:val="21"/>
        </w:rPr>
        <w:t xml:space="preserve">Every database row that carries tenant-scoped data MUST include a tenant_id and MUST be protected by a PostgreSQL Row-Level Security policy in addition to application-layer checks (defense in depth).</w:t>
      </w:r>
    </w:p>
    <w:p>
      <w:pPr>
        <w:pStyle w:val="ListParagraph"/>
        <w:numPr>
          <w:ilvl w:val="0"/>
          <w:numId w:val="2"/>
        </w:numPr>
        <w:spacing w:after="90" w:line="264"/>
      </w:pPr>
      <w:r>
        <w:rPr>
          <w:sz w:val="21"/>
          <w:szCs w:val="21"/>
        </w:rPr>
        <w:t xml:space="preserve">The blockchain subsystem MUST run against a local, ephemeral or optionally-persisted Anvil chain for this phase; no code path may assume the existence of a public network, real funds, or a paid RPC provider.</w:t>
      </w:r>
    </w:p>
    <w:p>
      <w:pPr>
        <w:pStyle w:val="ListParagraph"/>
        <w:numPr>
          <w:ilvl w:val="0"/>
          <w:numId w:val="2"/>
        </w:numPr>
        <w:spacing w:after="90" w:line="264"/>
      </w:pPr>
      <w:r>
        <w:rPr>
          <w:sz w:val="21"/>
          <w:szCs w:val="21"/>
        </w:rPr>
        <w:t xml:space="preserve">All inter-service calls within the Docker network use internal service names; only Nginx is exposed to the host, minimizing the local attack surface.</w:t>
      </w:r>
    </w:p>
    <w:p>
      <w:pPr>
        <w:pStyle w:val="Heading2"/>
        <w:spacing w:after="150" w:before="300"/>
      </w:pPr>
      <w:r>
        <w:rPr>
          <w:b/>
          <w:bCs/>
          <w:color w:val="4338CA"/>
          <w:sz w:val="25"/>
          <w:szCs w:val="25"/>
        </w:rPr>
        <w:t xml:space="preserve">2.6 User Documentation</w:t>
      </w:r>
    </w:p>
    <w:p>
      <w:pPr>
        <w:spacing w:after="160" w:line="276"/>
      </w:pPr>
      <w:r>
        <w:rPr>
          <w:sz w:val="21"/>
          <w:szCs w:val="21"/>
        </w:rPr>
        <w:t xml:space="preserve">The system ships with an in-app API Documentation tab (generated from the OpenAPI schema) covering all REST endpoints with request/response examples, an in-app Smart Contract reference for the licensing contract's public functions and events, plus this SRS, a companion Software Design Document (VS-SDD-2.0), and a README covering one-command local bootstrap.</w:t>
      </w:r>
    </w:p>
    <w:p>
      <w:pPr>
        <w:pStyle w:val="Heading2"/>
        <w:spacing w:after="150" w:before="300"/>
      </w:pPr>
      <w:r>
        <w:rPr>
          <w:b/>
          <w:bCs/>
          <w:color w:val="4338CA"/>
          <w:sz w:val="25"/>
          <w:szCs w:val="25"/>
        </w:rPr>
        <w:t xml:space="preserve">2.7 Assumptions and Dependencies</w:t>
      </w:r>
    </w:p>
    <w:p>
      <w:pPr>
        <w:pStyle w:val="ListParagraph"/>
        <w:numPr>
          <w:ilvl w:val="0"/>
          <w:numId w:val="2"/>
        </w:numPr>
        <w:spacing w:after="90" w:line="264"/>
      </w:pPr>
      <w:r>
        <w:rPr>
          <w:sz w:val="21"/>
          <w:szCs w:val="21"/>
        </w:rPr>
        <w:t xml:space="preserve">Assumes creators have legal rights to upload the 3D content they submit.</w:t>
      </w:r>
    </w:p>
    <w:p>
      <w:pPr>
        <w:pStyle w:val="ListParagraph"/>
        <w:numPr>
          <w:ilvl w:val="0"/>
          <w:numId w:val="2"/>
        </w:numPr>
        <w:spacing w:after="90" w:line="264"/>
      </w:pPr>
      <w:r>
        <w:rPr>
          <w:sz w:val="21"/>
          <w:szCs w:val="21"/>
        </w:rPr>
        <w:t xml:space="preserve">Assumes continued availability and API stability of Anthropic Claude, Sketchfab, Poly Pizza, Meshy AI, and EoN Reality endpoints for the optional integrations; none of these are required for core local operation.</w:t>
      </w:r>
    </w:p>
    <w:p>
      <w:pPr>
        <w:pStyle w:val="ListParagraph"/>
        <w:numPr>
          <w:ilvl w:val="0"/>
          <w:numId w:val="2"/>
        </w:numPr>
        <w:spacing w:after="90" w:line="264"/>
      </w:pPr>
      <w:r>
        <w:rPr>
          <w:sz w:val="21"/>
          <w:szCs w:val="21"/>
        </w:rPr>
        <w:t xml:space="preserve">Assumes assessors are trained on the organization's XR polycount and quality standards.</w:t>
      </w:r>
    </w:p>
    <w:p>
      <w:pPr>
        <w:pStyle w:val="ListParagraph"/>
        <w:numPr>
          <w:ilvl w:val="0"/>
          <w:numId w:val="2"/>
        </w:numPr>
        <w:spacing w:after="90" w:line="264"/>
      </w:pPr>
      <w:r>
        <w:rPr>
          <w:sz w:val="21"/>
          <w:szCs w:val="21"/>
        </w:rPr>
        <w:t xml:space="preserve">Assumes the local Anvil chain is treated as a development/test instrument: its state can be reset (e.g., on container recreation) unless the developer explicitly mounts a persistent volume for its state file, and no economic value is attached to any token minted on it.</w:t>
      </w:r>
    </w:p>
    <w:p>
      <w:pPr>
        <w:pStyle w:val="ListParagraph"/>
        <w:numPr>
          <w:ilvl w:val="0"/>
          <w:numId w:val="2"/>
        </w:numPr>
        <w:spacing w:after="90" w:line="264"/>
      </w:pPr>
      <w:r>
        <w:rPr>
          <w:sz w:val="21"/>
          <w:szCs w:val="21"/>
        </w:rPr>
        <w:t xml:space="preserve">Assumes the local IPFS node is the system of record for asset content during development; a future phase may add a remote pinning service (e.g., Pinata/Web3.Storage) for production durability without changing the application-layer storage interface.</w:t>
      </w:r>
    </w:p>
    <w:p>
      <w:r>
        <w:br w:type="page"/>
      </w:r>
    </w:p>
    <w:p>
      <w:pPr>
        <w:pStyle w:val="Heading1"/>
        <w:pBdr>
          <w:bottom w:val="single" w:color="4338CA" w:sz="6" w:space="4"/>
        </w:pBdr>
        <w:spacing w:after="200" w:before="400"/>
      </w:pPr>
      <w:r>
        <w:rPr>
          <w:b/>
          <w:bCs/>
          <w:color w:val="1E1B4B"/>
          <w:sz w:val="30"/>
          <w:szCs w:val="30"/>
        </w:rPr>
        <w:t xml:space="preserve">3. System Architecture &amp; Technology Stack</w:t>
      </w:r>
    </w:p>
    <w:p>
      <w:pPr>
        <w:spacing w:after="160" w:line="276"/>
      </w:pPr>
      <w:r>
        <w:rPr>
          <w:sz w:val="21"/>
          <w:szCs w:val="21"/>
        </w:rPr>
        <w:t xml:space="preserve">This section is new in v2.0 and defines the concrete technology stack, the reasoning behind each major selection, and how the system is composed and run locally. Every choice below optimizes for two things the requester prioritized: (a) a genuinely production-shaped architecture — typed end-to-end, service-oriented, horizontally scalable — and (b) the ability to run the entire stack, blockchain included, on a single laptop with no external accounts, paid RPC endpoints, or cloud dependency.</w:t>
      </w:r>
    </w:p>
    <w:p>
      <w:pPr>
        <w:pStyle w:val="Heading2"/>
        <w:spacing w:after="150" w:before="300"/>
      </w:pPr>
      <w:r>
        <w:rPr>
          <w:b/>
          <w:bCs/>
          <w:color w:val="4338CA"/>
          <w:sz w:val="25"/>
          <w:szCs w:val="25"/>
        </w:rPr>
        <w:t xml:space="preserve">3.1 Architectural Style &amp; Rationale</w:t>
      </w:r>
    </w:p>
    <w:p>
      <w:pPr>
        <w:spacing w:after="160" w:line="276"/>
      </w:pPr>
      <w:r>
        <w:rPr>
          <w:sz w:val="21"/>
          <w:szCs w:val="21"/>
        </w:rPr>
        <w:t xml:space="preserve">VOID·SPACE is built as a typed, API-first, service-oriented monorepo:</w:t>
      </w:r>
    </w:p>
    <w:p>
      <w:pPr>
        <w:pStyle w:val="ListParagraph"/>
        <w:numPr>
          <w:ilvl w:val="0"/>
          <w:numId w:val="2"/>
        </w:numPr>
        <w:spacing w:after="90" w:line="264"/>
      </w:pPr>
      <w:r>
        <w:rPr>
          <w:sz w:val="21"/>
          <w:szCs w:val="21"/>
        </w:rPr>
        <w:t xml:space="preserve">The Next.js frontend never talks to the database, IPFS, or the blockchain directly — every operation goes through the Fastify REST API, which is the single source of truth for authorization, tenancy enforcement, and business rules.</w:t>
      </w:r>
    </w:p>
    <w:p>
      <w:pPr>
        <w:pStyle w:val="ListParagraph"/>
        <w:numPr>
          <w:ilvl w:val="0"/>
          <w:numId w:val="2"/>
        </w:numPr>
        <w:spacing w:after="90" w:line="264"/>
      </w:pPr>
      <w:r>
        <w:rPr>
          <w:sz w:val="21"/>
          <w:szCs w:val="21"/>
        </w:rPr>
        <w:t xml:space="preserve">Slow or unreliable work (AI enrichment, Blender conversion, IPFS pinning, blockchain transactions, outbound notifications) is never done inline in an HTTP request/response cycle. It is enqueued to BullMQ and executed by a separate worker process, keeping the API responsive and making the constraint in Section 2.5 ("AI enrichment must not block upload") structural rather than a convention.</w:t>
      </w:r>
    </w:p>
    <w:p>
      <w:pPr>
        <w:pStyle w:val="ListParagraph"/>
        <w:numPr>
          <w:ilvl w:val="0"/>
          <w:numId w:val="2"/>
        </w:numPr>
        <w:spacing w:after="90" w:line="264"/>
      </w:pPr>
      <w:r>
        <w:rPr>
          <w:sz w:val="21"/>
          <w:szCs w:val="21"/>
        </w:rPr>
        <w:t xml:space="preserve">The API is schema-first: every route declares a JSON Schema (via Fastify) which simultaneously (1) validates input, (2) documents the endpoint in the generated OpenAPI spec, and (3) generates a typed client consumed by the Next.js app — eliminating an entire class of frontend/backend contract drift without needing a separate framework like tRPC.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F59E0B" w:sz="4"/>
              <w:left w:val="single" w:color="F59E0B" w:sz="16"/>
              <w:bottom w:val="single" w:color="F59E0B" w:sz="4"/>
              <w:right w:val="single" w:color="F59E0B" w:sz="4"/>
            </w:tcBorders>
            <w:shd w:fill="FEF9E7" w:val="clear"/>
            <w:tcMar>
              <w:top w:type="dxa" w:w="140"/>
              <w:left w:type="dxa" w:w="180"/>
              <w:bottom w:type="dxa" w:w="140"/>
              <w:right w:type="dxa" w:w="180"/>
            </w:tcMar>
          </w:tcPr>
          <w:p>
            <w:pPr>
              <w:spacing w:after="60"/>
            </w:pPr>
            <w:r>
              <w:rPr>
                <w:b/>
                <w:bCs/>
                <w:color w:val="92400E"/>
                <w:sz w:val="20"/>
                <w:szCs w:val="20"/>
              </w:rPr>
              <w:t xml:space="preserve">Design Decision — Fastify vs. NestJS / Express / tRPC</w:t>
            </w:r>
          </w:p>
          <w:p>
            <w:pPr>
              <w:spacing w:after="0"/>
            </w:pPr>
            <w:r>
              <w:rPr>
                <w:color w:val="78350F"/>
                <w:sz w:val="20"/>
                <w:szCs w:val="20"/>
              </w:rPr>
              <w:t xml:space="preserve">Fastify was chosen for the REST backend because it is explicitly requested, has first-class TypeScript and JSON-Schema support, very low request overhead (important once AI/IPFS/chain calls are layered on top), and a mature plugin ecosystem (@fastify/jwt, @fastify/multipart, @fastify/rate-limit, @fastify/swagger, @fastify/cors) that covers every cross-cutting concern this system needs without a heavier framework like NestJS. A plain REST + OpenAPI contract (rather than tRPC) was kept because the API must also be consumed by external Developer-role integrators (FR-12), who need a language-agnostic, versioned contract, not a TypeScript-only RPC layer.</w:t>
            </w:r>
          </w:p>
        </w:tc>
      </w:tr>
    </w:tbl>
    <w:p>
      <w:pPr>
        <w:spacing w:after="220"/>
      </w:pPr>
    </w:p>
    <w:p>
      <w:pPr>
        <w:pStyle w:val="Heading2"/>
        <w:spacing w:after="150" w:before="300"/>
      </w:pPr>
      <w:r>
        <w:rPr>
          <w:b/>
          <w:bCs/>
          <w:color w:val="4338CA"/>
          <w:sz w:val="25"/>
          <w:szCs w:val="25"/>
        </w:rPr>
        <w:t xml:space="preserve">3.2 Technology Stack Summary</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2000"/>
        <w:gridCol w:w="3550"/>
        <w:gridCol w:w="3800"/>
      </w:tblGrid>
      <w:tr>
        <w:trPr>
          <w:tblHeader/>
        </w:trPr>
        <w:tc>
          <w:tcPr>
            <w:tcW w:type="dxa" w:w="2000"/>
            <w:shd w:fill="1E1B4B" w:val="clear"/>
            <w:tcMar>
              <w:top w:type="dxa" w:w="80"/>
              <w:left w:type="dxa" w:w="100"/>
              <w:bottom w:type="dxa" w:w="80"/>
              <w:right w:type="dxa" w:w="100"/>
            </w:tcMar>
            <w:vAlign w:val="center"/>
          </w:tcPr>
          <w:p>
            <w:r>
              <w:rPr>
                <w:b/>
                <w:bCs/>
                <w:color w:val="FFFFFF"/>
                <w:sz w:val="19"/>
                <w:szCs w:val="19"/>
              </w:rPr>
              <w:t xml:space="preserve">Layer</w:t>
            </w:r>
          </w:p>
        </w:tc>
        <w:tc>
          <w:tcPr>
            <w:tcW w:type="dxa" w:w="3550"/>
            <w:shd w:fill="1E1B4B" w:val="clear"/>
            <w:tcMar>
              <w:top w:type="dxa" w:w="80"/>
              <w:left w:type="dxa" w:w="100"/>
              <w:bottom w:type="dxa" w:w="80"/>
              <w:right w:type="dxa" w:w="100"/>
            </w:tcMar>
            <w:vAlign w:val="center"/>
          </w:tcPr>
          <w:p>
            <w:r>
              <w:rPr>
                <w:b/>
                <w:bCs/>
                <w:color w:val="FFFFFF"/>
                <w:sz w:val="19"/>
                <w:szCs w:val="19"/>
              </w:rPr>
              <w:t xml:space="preserve">Technology</w:t>
            </w:r>
          </w:p>
        </w:tc>
        <w:tc>
          <w:tcPr>
            <w:tcW w:type="dxa" w:w="3800"/>
            <w:shd w:fill="1E1B4B" w:val="clear"/>
            <w:tcMar>
              <w:top w:type="dxa" w:w="80"/>
              <w:left w:type="dxa" w:w="100"/>
              <w:bottom w:type="dxa" w:w="80"/>
              <w:right w:type="dxa" w:w="100"/>
            </w:tcMar>
            <w:vAlign w:val="center"/>
          </w:tcPr>
          <w:p>
            <w:r>
              <w:rPr>
                <w:b/>
                <w:bCs/>
                <w:color w:val="FFFFFF"/>
                <w:sz w:val="19"/>
                <w:szCs w:val="19"/>
              </w:rPr>
              <w:t xml:space="preserve">Purpose</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Frontend framework</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Next.js 14+ (App Router), TypeScript, React 18</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Server + client components, routing, SSR for dashboards, streaming.</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UI system</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Tailwind CSS, shadcn/ui, Radix primitives, lucide-react icons</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Accessible, themeable component system; fast to extend.</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3D rendering</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Three.js via React Three Fiber (@react-three/fiber, @react-three/drei)</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glTF/GLB loading, orbit controls, thumbnail + full viewer.</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Client data/state</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TanStack Query (server cache) + Zustand (UI/local state)</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Cache, retries, and optimistic updates for API data; lightweight client state.</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Forms/validation</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React Hook Form + Zod (schema shared with backend where practical)</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Type-safe forms with the same validation shapes used server-side.</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Backend framework</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Fastify 4, TypeScript, Node.js 20 LTS</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REST API, JSON-Schema validation, plugin ecosystem.</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ORM / data access</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Prisma</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Type-safe PostgreSQL access, migrations, schema-as-code.</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Primary database</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PostgreSQL 16</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Relational store of record; native Row-Level Security for tenancy.</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Cache &amp; queue backing store</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Redis 7</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TanStack-Query-adjacent server caching, rate-limit counters, BullMQ backend.</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Background jobs</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BullMQ (Redis-backed)</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AI enrichment, Blender jobs, IPFS pinning, chain transactions, notifications.</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Decentralized storage</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IPFS — Kubo node (local, containerized)</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Content-addressed storage of original + optimized asset binaries.</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Blockchain runtime</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Anvil (Foundry) — local EVM chain</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Fast, resettable local chain; no public network or real funds.</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Smart contracts</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Solidity ^0.8.24, developed/tested with Foundry (forge)</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AssetLicenseRegistry (ERC-721) for licensing &amp; provenance.</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Chain client libraries</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viem (backend + frontend), wagmi (optional wallet UI)</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Type-safe contract calls, ABI-typed reads/writes.</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Auth</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Custom JWT (access + refresh) issuance in Fastify, @fastify/jwt, httpOnly cookies; Google OAuth2; optional SIWE</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Stateless, scoped, short-lived tokens; no tokens in browser storage.</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API documentation</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@fastify/swagger + @fastify/swagger-ui → OpenAPI 3.1</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Always-current, in-app API reference; generates the typed FE client.</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Reverse proxy / edge</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Nginx</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TLS termination, rate limiting, static asset and IPFS gateway caching.</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Containerization</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Docker + Docker Compose</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One-command local bring-up of every service, see Section 3.11.</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Monorepo tooling</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pnpm workspaces + Turborepo</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Shared TypeScript types/config across apps; incremental, cached builds.</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Testing</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Vitest/Jest (unit), Supertest (API), Playwright (E2E), Forge tests (contracts)</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Coverage across every layer, see Section 9.5.</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Observability</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pino structured logging, correlation IDs per request/job</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Local-first observability without a hosted APM dependency.</w:t>
            </w:r>
          </w:p>
        </w:tc>
      </w:tr>
    </w:tbl>
    <w:p>
      <w:pPr>
        <w:spacing w:after="220"/>
      </w:pPr>
    </w:p>
    <w:p>
      <w:pPr>
        <w:pStyle w:val="Heading2"/>
        <w:spacing w:after="150" w:before="300"/>
      </w:pPr>
      <w:r>
        <w:rPr>
          <w:b/>
          <w:bCs/>
          <w:color w:val="4338CA"/>
          <w:sz w:val="25"/>
          <w:szCs w:val="25"/>
        </w:rPr>
        <w:t xml:space="preserve">3.3 High-Level Architecture Diagram</w:t>
      </w:r>
    </w:p>
    <w:p>
      <w:pPr>
        <w:spacing w:after="160" w:line="276"/>
      </w:pPr>
      <w:r>
        <w:rPr>
          <w:sz w:val="21"/>
          <w:szCs w:val="21"/>
        </w:rPr>
        <w:t xml:space="preserve">The diagram below (duplicated from Figure 1 for reference alongside the stack description) shows the four architectural layers — client, edge, application, and data/storage — plus the external integrations that remain optional and independently degradable per NFR-REL.1.</w:t>
      </w:r>
    </w:p>
    <w:p>
      <w:pPr>
        <w:spacing w:after="80" w:before="120"/>
        <w:jc w:val="center"/>
      </w:pPr>
      <w:r>
        <w:drawing>
          <wp:inline distT="0" distB="0" distL="0" distR="0">
            <wp:extent cx="576072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46120"/>
                    </a:xfrm>
                    <a:prstGeom prst="rect">
                      <a:avLst/>
                    </a:prstGeom>
                  </pic:spPr>
                </pic:pic>
              </a:graphicData>
            </a:graphic>
          </wp:inline>
        </w:drawing>
      </w:r>
    </w:p>
    <w:p>
      <w:pPr>
        <w:spacing w:after="240"/>
        <w:jc w:val="center"/>
      </w:pPr>
      <w:r>
        <w:rPr>
          <w:i/>
          <w:iCs/>
          <w:color w:val="64748B"/>
          <w:sz w:val="19"/>
          <w:szCs w:val="19"/>
        </w:rPr>
        <w:t xml:space="preserve">Figure 2 — Layered Architecture (Client · Edge · Application · Data/Storage · External)</w:t>
      </w:r>
    </w:p>
    <w:p>
      <w:pPr>
        <w:pStyle w:val="Heading2"/>
        <w:spacing w:after="150" w:before="300"/>
      </w:pPr>
      <w:r>
        <w:rPr>
          <w:b/>
          <w:bCs/>
          <w:color w:val="4338CA"/>
          <w:sz w:val="25"/>
          <w:szCs w:val="25"/>
        </w:rPr>
        <w:t xml:space="preserve">3.4 Monorepo &amp; Project Structure</w:t>
      </w:r>
    </w:p>
    <w:p>
      <w:pPr>
        <w:spacing w:after="160" w:line="276"/>
      </w:pPr>
      <w:r>
        <w:rPr>
          <w:sz w:val="21"/>
          <w:szCs w:val="21"/>
        </w:rPr>
        <w:t xml:space="preserve">A pnpm + Turborepo monorepo keeps the frontend, backend, worker, and smart-contract code together with strict shared typing:</w:t>
      </w:r>
    </w:p>
    <w:p>
      <w:pPr>
        <w:spacing w:after="200"/>
      </w:pPr>
      <w:r>
        <w:rPr>
          <w:rFonts w:ascii="Consolas" w:cs="Consolas" w:eastAsia="Consolas" w:hAnsi="Consolas"/>
          <w:color w:val="1E293B"/>
          <w:sz w:val="18"/>
          <w:szCs w:val="18"/>
        </w:rPr>
        <w:t xml:space="preserve">void-space/</w:t>
      </w:r>
      <w:r>
        <w:rPr>
          <w:rFonts w:ascii="Consolas" w:cs="Consolas" w:eastAsia="Consolas" w:hAnsi="Consolas"/>
          <w:color w:val="1E293B"/>
          <w:sz w:val="18"/>
          <w:szCs w:val="18"/>
        </w:rPr>
        <w:br/>
        <w:t xml:space="preserve">├─ apps/</w:t>
      </w:r>
      <w:r>
        <w:rPr>
          <w:rFonts w:ascii="Consolas" w:cs="Consolas" w:eastAsia="Consolas" w:hAnsi="Consolas"/>
          <w:color w:val="1E293B"/>
          <w:sz w:val="18"/>
          <w:szCs w:val="18"/>
        </w:rPr>
        <w:br/>
        <w:t xml:space="preserve">│  ├─ web/            # Next.js 14 (TypeScript) — Creator/Assessor/Admin UI</w:t>
      </w:r>
      <w:r>
        <w:rPr>
          <w:rFonts w:ascii="Consolas" w:cs="Consolas" w:eastAsia="Consolas" w:hAnsi="Consolas"/>
          <w:color w:val="1E293B"/>
          <w:sz w:val="18"/>
          <w:szCs w:val="18"/>
        </w:rPr>
        <w:br/>
        <w:t xml:space="preserve">│  ├─ api/             # Fastify (TypeScript) — REST API (/api/v1)</w:t>
      </w:r>
      <w:r>
        <w:rPr>
          <w:rFonts w:ascii="Consolas" w:cs="Consolas" w:eastAsia="Consolas" w:hAnsi="Consolas"/>
          <w:color w:val="1E293B"/>
          <w:sz w:val="18"/>
          <w:szCs w:val="18"/>
        </w:rPr>
        <w:br/>
        <w:t xml:space="preserve">│  └─ worker/          # BullMQ worker processes (AI, Blender, IPFS, chain, notify)</w:t>
      </w:r>
      <w:r>
        <w:rPr>
          <w:rFonts w:ascii="Consolas" w:cs="Consolas" w:eastAsia="Consolas" w:hAnsi="Consolas"/>
          <w:color w:val="1E293B"/>
          <w:sz w:val="18"/>
          <w:szCs w:val="18"/>
        </w:rPr>
        <w:br/>
        <w:t xml:space="preserve">├─ packages/</w:t>
      </w:r>
      <w:r>
        <w:rPr>
          <w:rFonts w:ascii="Consolas" w:cs="Consolas" w:eastAsia="Consolas" w:hAnsi="Consolas"/>
          <w:color w:val="1E293B"/>
          <w:sz w:val="18"/>
          <w:szCs w:val="18"/>
        </w:rPr>
        <w:br/>
        <w:t xml:space="preserve">│  ├─ db/               # Prisma schema, migrations, generated client</w:t>
      </w:r>
      <w:r>
        <w:rPr>
          <w:rFonts w:ascii="Consolas" w:cs="Consolas" w:eastAsia="Consolas" w:hAnsi="Consolas"/>
          <w:color w:val="1E293B"/>
          <w:sz w:val="18"/>
          <w:szCs w:val="18"/>
        </w:rPr>
        <w:br/>
        <w:t xml:space="preserve">│  ├─ contracts/        # Foundry: AssetLicenseRegistry.sol + tests + deploy</w:t>
      </w:r>
      <w:r>
        <w:rPr>
          <w:rFonts w:ascii="Consolas" w:cs="Consolas" w:eastAsia="Consolas" w:hAnsi="Consolas"/>
          <w:color w:val="1E293B"/>
          <w:sz w:val="18"/>
          <w:szCs w:val="18"/>
        </w:rPr>
        <w:br/>
        <w:t xml:space="preserve">│  ├─ types/            # Shared TS types/DTOs/Zod schemas used by web + api + worker</w:t>
      </w:r>
      <w:r>
        <w:rPr>
          <w:rFonts w:ascii="Consolas" w:cs="Consolas" w:eastAsia="Consolas" w:hAnsi="Consolas"/>
          <w:color w:val="1E293B"/>
          <w:sz w:val="18"/>
          <w:szCs w:val="18"/>
        </w:rPr>
        <w:br/>
        <w:t xml:space="preserve">│  ├─ ui/               # Shared shadcn/ui-based component library</w:t>
      </w:r>
      <w:r>
        <w:rPr>
          <w:rFonts w:ascii="Consolas" w:cs="Consolas" w:eastAsia="Consolas" w:hAnsi="Consolas"/>
          <w:color w:val="1E293B"/>
          <w:sz w:val="18"/>
          <w:szCs w:val="18"/>
        </w:rPr>
        <w:br/>
        <w:t xml:space="preserve">│  └─ config/           # Shared ESLint / TSConfig / Tailwind config</w:t>
      </w:r>
      <w:r>
        <w:rPr>
          <w:rFonts w:ascii="Consolas" w:cs="Consolas" w:eastAsia="Consolas" w:hAnsi="Consolas"/>
          <w:color w:val="1E293B"/>
          <w:sz w:val="18"/>
          <w:szCs w:val="18"/>
        </w:rPr>
        <w:br/>
        <w:t xml:space="preserve">├─ docker/               # Dockerfiles for api, worker, web, nginx.conf</w:t>
      </w:r>
      <w:r>
        <w:rPr>
          <w:rFonts w:ascii="Consolas" w:cs="Consolas" w:eastAsia="Consolas" w:hAnsi="Consolas"/>
          <w:color w:val="1E293B"/>
          <w:sz w:val="18"/>
          <w:szCs w:val="18"/>
        </w:rPr>
        <w:br/>
        <w:t xml:space="preserve">├─ docker-compose.yml    # Full local stack (see Section 3.11 / 9)</w:t>
      </w:r>
      <w:r>
        <w:rPr>
          <w:rFonts w:ascii="Consolas" w:cs="Consolas" w:eastAsia="Consolas" w:hAnsi="Consolas"/>
          <w:color w:val="1E293B"/>
          <w:sz w:val="18"/>
          <w:szCs w:val="18"/>
        </w:rPr>
        <w:br/>
        <w:t xml:space="preserve">├─ turbo.json</w:t>
      </w:r>
      <w:r>
        <w:rPr>
          <w:rFonts w:ascii="Consolas" w:cs="Consolas" w:eastAsia="Consolas" w:hAnsi="Consolas"/>
          <w:color w:val="1E293B"/>
          <w:sz w:val="18"/>
          <w:szCs w:val="18"/>
        </w:rPr>
        <w:br/>
        <w:t xml:space="preserve">└─ pnpm-workspace.yaml</w:t>
      </w:r>
    </w:p>
    <w:p>
      <w:pPr>
        <w:pStyle w:val="Heading2"/>
        <w:spacing w:after="150" w:before="300"/>
      </w:pPr>
      <w:r>
        <w:rPr>
          <w:b/>
          <w:bCs/>
          <w:color w:val="4338CA"/>
          <w:sz w:val="25"/>
          <w:szCs w:val="25"/>
        </w:rPr>
        <w:t xml:space="preserve">3.5 Multi-Tenancy Strategy</w:t>
      </w:r>
    </w:p>
    <w:p>
      <w:pPr>
        <w:spacing w:after="160" w:line="276"/>
      </w:pPr>
      <w:r>
        <w:rPr>
          <w:sz w:val="21"/>
          <w:szCs w:val="21"/>
        </w:rPr>
        <w:t xml:space="preserve">VOID·SPACE uses a shared-database, shared-schema multi-tenancy model: every tenant-scoped table carries a tenant_id column, and every request is resolved to exactly one tenant before any query runs.</w:t>
      </w:r>
    </w:p>
    <w:p>
      <w:pPr>
        <w:pStyle w:val="ListParagraph"/>
        <w:numPr>
          <w:ilvl w:val="0"/>
          <w:numId w:val="2"/>
        </w:numPr>
        <w:spacing w:after="90" w:line="264"/>
      </w:pPr>
      <w:r>
        <w:rPr>
          <w:sz w:val="21"/>
          <w:szCs w:val="21"/>
        </w:rPr>
        <w:t xml:space="preserve">Tenant resolution: the authenticated JWT carries a tenant_id claim (set at login, or selected via a workspace switcher for users who belong to multiple tenants). A Fastify preHandler hook reads this claim and sets it as the active Postgres session variable (app.current_tenant_id) for the duration of the request.</w:t>
      </w:r>
    </w:p>
    <w:p>
      <w:pPr>
        <w:pStyle w:val="ListParagraph"/>
        <w:numPr>
          <w:ilvl w:val="0"/>
          <w:numId w:val="2"/>
        </w:numPr>
        <w:spacing w:after="90" w:line="264"/>
      </w:pPr>
      <w:r>
        <w:rPr>
          <w:sz w:val="21"/>
          <w:szCs w:val="21"/>
        </w:rPr>
        <w:t xml:space="preserve">Defense in depth: PostgreSQL Row-Level Security policies on every tenant-scoped table enforce tenant_id = current_setting('app.current_tenant_id')::uuid at the database level, so a query missing a WHERE clause (an application bug) still cannot leak cross-tenant rows.</w:t>
      </w:r>
    </w:p>
    <w:p>
      <w:pPr>
        <w:pStyle w:val="ListParagraph"/>
        <w:numPr>
          <w:ilvl w:val="0"/>
          <w:numId w:val="2"/>
        </w:numPr>
        <w:spacing w:after="90" w:line="264"/>
      </w:pPr>
      <w:r>
        <w:rPr>
          <w:sz w:val="21"/>
          <w:szCs w:val="21"/>
        </w:rPr>
        <w:t xml:space="preserve">SuperAdmin bypass: SuperAdmin requests run under a separate, explicitly-audited database role that is permitted to bypass RLS for platform administration only, never for asset or review data.</w:t>
      </w:r>
    </w:p>
    <w:p>
      <w:pPr>
        <w:pStyle w:val="ListParagraph"/>
        <w:numPr>
          <w:ilvl w:val="0"/>
          <w:numId w:val="2"/>
        </w:numPr>
        <w:spacing w:after="90" w:line="264"/>
      </w:pPr>
      <w:r>
        <w:rPr>
          <w:sz w:val="21"/>
          <w:szCs w:val="21"/>
        </w:rPr>
        <w:t xml:space="preserve">Onboarding: a new tenant is created via a self-service signup flow (FR-1) that provisions the Tenant row, the first TenantAdmin user, and a default role set in a single transaction.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F59E0B" w:sz="4"/>
              <w:left w:val="single" w:color="F59E0B" w:sz="16"/>
              <w:bottom w:val="single" w:color="F59E0B" w:sz="4"/>
              <w:right w:val="single" w:color="F59E0B" w:sz="4"/>
            </w:tcBorders>
            <w:shd w:fill="FEF9E7" w:val="clear"/>
            <w:tcMar>
              <w:top w:type="dxa" w:w="140"/>
              <w:left w:type="dxa" w:w="180"/>
              <w:bottom w:type="dxa" w:w="140"/>
              <w:right w:type="dxa" w:w="180"/>
            </w:tcMar>
          </w:tcPr>
          <w:p>
            <w:pPr>
              <w:spacing w:after="60"/>
            </w:pPr>
            <w:r>
              <w:rPr>
                <w:b/>
                <w:bCs/>
                <w:color w:val="92400E"/>
                <w:sz w:val="20"/>
                <w:szCs w:val="20"/>
              </w:rPr>
              <w:t xml:space="preserve">Design Decision — Shared-schema RLS vs. schema-per-tenant / database-per-tenant</w:t>
            </w:r>
          </w:p>
          <w:p>
            <w:pPr>
              <w:spacing w:after="0"/>
            </w:pPr>
            <w:r>
              <w:rPr>
                <w:color w:val="78350F"/>
                <w:sz w:val="20"/>
                <w:szCs w:val="20"/>
              </w:rPr>
              <w:t xml:space="preserve">Schema-per-tenant or database-per-tenant would slow every migration and local reset to a crawl and complicates the "single docker compose up" goal. Shared-schema with Postgres RLS gives strong isolation guarantees with one schema, one migration path, and trivial local seeding — the right tradeoff for both development speed and a realistic production path (RLS scales to many thousands of tenants before per-tenant infrastructure is warranted).</w:t>
            </w:r>
          </w:p>
        </w:tc>
      </w:tr>
    </w:tbl>
    <w:p>
      <w:pPr>
        <w:spacing w:after="220"/>
      </w:pPr>
    </w:p>
    <w:p>
      <w:pPr>
        <w:pStyle w:val="Heading2"/>
        <w:spacing w:after="150" w:before="300"/>
      </w:pPr>
      <w:r>
        <w:rPr>
          <w:b/>
          <w:bCs/>
          <w:color w:val="4338CA"/>
          <w:sz w:val="25"/>
          <w:szCs w:val="25"/>
        </w:rPr>
        <w:t xml:space="preserve">3.6 Role-Based Access Control (RBAC) Model</w:t>
      </w:r>
    </w:p>
    <w:p>
      <w:pPr>
        <w:spacing w:after="160" w:line="276"/>
      </w:pPr>
      <w:r>
        <w:rPr>
          <w:sz w:val="21"/>
          <w:szCs w:val="21"/>
        </w:rPr>
        <w:t xml:space="preserve">Access control is modeled as Role → Permission, with roles assignable per user per tenant (a user can hold different roles in different tenants). Permissions are enforced both in the Fastify route layer (a preHandler checks the required permission against the caller's role) and reflected in the Next.js UI (hiding actions the caller cannot perform).</w:t>
      </w:r>
    </w:p>
    <w:tbl>
      <w:tblPr>
        <w:tblW w:type="dxa" w:w="9650"/>
        <w:tblBorders>
          <w:top w:val="single" w:color="CBD5E1" w:sz="2"/>
          <w:left w:val="single" w:color="CBD5E1" w:sz="2"/>
          <w:bottom w:val="single" w:color="CBD5E1" w:sz="2"/>
          <w:right w:val="single" w:color="CBD5E1" w:sz="2"/>
          <w:insideH w:val="single" w:color="E2E8F0" w:sz="2"/>
          <w:insideV w:val="single" w:color="E2E8F0" w:sz="2"/>
        </w:tblBorders>
      </w:tblPr>
      <w:tblGrid>
        <w:gridCol w:w="2600"/>
        <w:gridCol w:w="1300"/>
        <w:gridCol w:w="1300"/>
        <w:gridCol w:w="1050"/>
        <w:gridCol w:w="1100"/>
        <w:gridCol w:w="1250"/>
        <w:gridCol w:w="1050"/>
      </w:tblGrid>
      <w:tr>
        <w:trPr>
          <w:tblHeader/>
        </w:trPr>
        <w:tc>
          <w:tcPr>
            <w:tcW w:type="dxa" w:w="2600"/>
            <w:shd w:fill="1E1B4B" w:val="clear"/>
            <w:tcMar>
              <w:top w:type="dxa" w:w="80"/>
              <w:left w:type="dxa" w:w="100"/>
              <w:bottom w:type="dxa" w:w="80"/>
              <w:right w:type="dxa" w:w="100"/>
            </w:tcMar>
            <w:vAlign w:val="center"/>
          </w:tcPr>
          <w:p>
            <w:r>
              <w:rPr>
                <w:b/>
                <w:bCs/>
                <w:color w:val="FFFFFF"/>
                <w:sz w:val="19"/>
                <w:szCs w:val="19"/>
              </w:rPr>
              <w:t xml:space="preserve">Permission</w:t>
            </w:r>
          </w:p>
        </w:tc>
        <w:tc>
          <w:tcPr>
            <w:tcW w:type="dxa" w:w="1300"/>
            <w:shd w:fill="1E1B4B" w:val="clear"/>
            <w:tcMar>
              <w:top w:type="dxa" w:w="80"/>
              <w:left w:type="dxa" w:w="100"/>
              <w:bottom w:type="dxa" w:w="80"/>
              <w:right w:type="dxa" w:w="100"/>
            </w:tcMar>
            <w:vAlign w:val="center"/>
          </w:tcPr>
          <w:p>
            <w:r>
              <w:rPr>
                <w:b/>
                <w:bCs/>
                <w:color w:val="FFFFFF"/>
                <w:sz w:val="19"/>
                <w:szCs w:val="19"/>
              </w:rPr>
              <w:t xml:space="preserve">SuperAdmin</w:t>
            </w:r>
          </w:p>
        </w:tc>
        <w:tc>
          <w:tcPr>
            <w:tcW w:type="dxa" w:w="1300"/>
            <w:shd w:fill="1E1B4B" w:val="clear"/>
            <w:tcMar>
              <w:top w:type="dxa" w:w="80"/>
              <w:left w:type="dxa" w:w="100"/>
              <w:bottom w:type="dxa" w:w="80"/>
              <w:right w:type="dxa" w:w="100"/>
            </w:tcMar>
            <w:vAlign w:val="center"/>
          </w:tcPr>
          <w:p>
            <w:r>
              <w:rPr>
                <w:b/>
                <w:bCs/>
                <w:color w:val="FFFFFF"/>
                <w:sz w:val="19"/>
                <w:szCs w:val="19"/>
              </w:rPr>
              <w:t xml:space="preserve">TenantAdmin</w:t>
            </w:r>
          </w:p>
        </w:tc>
        <w:tc>
          <w:tcPr>
            <w:tcW w:type="dxa" w:w="1050"/>
            <w:shd w:fill="1E1B4B" w:val="clear"/>
            <w:tcMar>
              <w:top w:type="dxa" w:w="80"/>
              <w:left w:type="dxa" w:w="100"/>
              <w:bottom w:type="dxa" w:w="80"/>
              <w:right w:type="dxa" w:w="100"/>
            </w:tcMar>
            <w:vAlign w:val="center"/>
          </w:tcPr>
          <w:p>
            <w:r>
              <w:rPr>
                <w:b/>
                <w:bCs/>
                <w:color w:val="FFFFFF"/>
                <w:sz w:val="19"/>
                <w:szCs w:val="19"/>
              </w:rPr>
              <w:t xml:space="preserve">Creator</w:t>
            </w:r>
          </w:p>
        </w:tc>
        <w:tc>
          <w:tcPr>
            <w:tcW w:type="dxa" w:w="1100"/>
            <w:shd w:fill="1E1B4B" w:val="clear"/>
            <w:tcMar>
              <w:top w:type="dxa" w:w="80"/>
              <w:left w:type="dxa" w:w="100"/>
              <w:bottom w:type="dxa" w:w="80"/>
              <w:right w:type="dxa" w:w="100"/>
            </w:tcMar>
            <w:vAlign w:val="center"/>
          </w:tcPr>
          <w:p>
            <w:r>
              <w:rPr>
                <w:b/>
                <w:bCs/>
                <w:color w:val="FFFFFF"/>
                <w:sz w:val="19"/>
                <w:szCs w:val="19"/>
              </w:rPr>
              <w:t xml:space="preserve">Assessor</w:t>
            </w:r>
          </w:p>
        </w:tc>
        <w:tc>
          <w:tcPr>
            <w:tcW w:type="dxa" w:w="1250"/>
            <w:shd w:fill="1E1B4B" w:val="clear"/>
            <w:tcMar>
              <w:top w:type="dxa" w:w="80"/>
              <w:left w:type="dxa" w:w="100"/>
              <w:bottom w:type="dxa" w:w="80"/>
              <w:right w:type="dxa" w:w="100"/>
            </w:tcMar>
            <w:vAlign w:val="center"/>
          </w:tcPr>
          <w:p>
            <w:r>
              <w:rPr>
                <w:b/>
                <w:bCs/>
                <w:color w:val="FFFFFF"/>
                <w:sz w:val="19"/>
                <w:szCs w:val="19"/>
              </w:rPr>
              <w:t xml:space="preserve">Developer</w:t>
            </w:r>
          </w:p>
        </w:tc>
        <w:tc>
          <w:tcPr>
            <w:tcW w:type="dxa" w:w="1050"/>
            <w:shd w:fill="1E1B4B" w:val="clear"/>
            <w:tcMar>
              <w:top w:type="dxa" w:w="80"/>
              <w:left w:type="dxa" w:w="100"/>
              <w:bottom w:type="dxa" w:w="80"/>
              <w:right w:type="dxa" w:w="100"/>
            </w:tcMar>
            <w:vAlign w:val="center"/>
          </w:tcPr>
          <w:p>
            <w:r>
              <w:rPr>
                <w:b/>
                <w:bCs/>
                <w:color w:val="FFFFFF"/>
                <w:sz w:val="19"/>
                <w:szCs w:val="19"/>
              </w:rPr>
              <w:t xml:space="preserve">Viewer</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Manage tenants (create/suspend)</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1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2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Manage tenant users &amp; roles</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1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2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Upload / edit own assets</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1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2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Delete own unpublished assets</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1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2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View review queue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1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2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Approve / reject / request revision</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1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2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Publish approved asset (mint license + push to EoN)</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1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2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Create/rotate API keys</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1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2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Call REST API (scoped)</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1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2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read-only</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View published catalog</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1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2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050"/>
            <w:shd w:fill="F8FAFC" w:val="clear"/>
            <w:tcMar>
              <w:top w:type="dxa" w:w="80"/>
              <w:left w:type="dxa" w:w="100"/>
              <w:bottom w:type="dxa" w:w="80"/>
              <w:right w:type="dxa" w:w="100"/>
            </w:tcMar>
            <w:vAlign w:val="center"/>
          </w:tcPr>
          <w:p>
            <w:r>
              <w:rPr>
                <w:b w:val="false"/>
                <w:bCs w:val="false"/>
                <w:sz w:val="19"/>
                <w:szCs w:val="19"/>
              </w:rPr>
              <w:t xml:space="preserve">✔</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View tenant audit log</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1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2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050"/>
            <w:shd w:fill="FFFFFF" w:val="clear"/>
            <w:tcMar>
              <w:top w:type="dxa" w:w="80"/>
              <w:left w:type="dxa" w:w="100"/>
              <w:bottom w:type="dxa" w:w="80"/>
              <w:right w:type="dxa" w:w="100"/>
            </w:tcMar>
            <w:vAlign w:val="center"/>
          </w:tcPr>
          <w:p>
            <w:r>
              <w:rPr>
                <w:b w:val="false"/>
                <w:bCs w:val="false"/>
                <w:sz w:val="19"/>
                <w:szCs w:val="19"/>
              </w:rPr>
              <w:t xml:space="preserve">—</w:t>
            </w:r>
          </w:p>
        </w:tc>
      </w:tr>
    </w:tbl>
    <w:p>
      <w:pPr>
        <w:spacing w:after="220"/>
      </w:pPr>
    </w:p>
    <w:p>
      <w:pPr>
        <w:pStyle w:val="Heading2"/>
        <w:spacing w:after="150" w:before="300"/>
      </w:pPr>
      <w:r>
        <w:rPr>
          <w:b/>
          <w:bCs/>
          <w:color w:val="4338CA"/>
          <w:sz w:val="25"/>
          <w:szCs w:val="25"/>
        </w:rPr>
        <w:t xml:space="preserve">3.7 Authentication &amp; Session Strategy</w:t>
      </w:r>
    </w:p>
    <w:p>
      <w:pPr>
        <w:pStyle w:val="ListParagraph"/>
        <w:numPr>
          <w:ilvl w:val="0"/>
          <w:numId w:val="2"/>
        </w:numPr>
        <w:spacing w:after="90" w:line="264"/>
      </w:pPr>
      <w:r>
        <w:rPr>
          <w:sz w:val="21"/>
          <w:szCs w:val="21"/>
        </w:rPr>
        <w:t xml:space="preserve">Primary flow: email/password (bcrypt-hashed) or Google OAuth2 SSO produces a short-lived JWT access token (≤ 15 min) and a longer-lived, rotating refresh token, both set as httpOnly, Secure, SameSite=Lax cookies — never exposed to client-side JavaScript, satisfying the constraint in Section 2.5.</w:t>
      </w:r>
    </w:p>
    <w:p>
      <w:pPr>
        <w:pStyle w:val="ListParagraph"/>
        <w:numPr>
          <w:ilvl w:val="0"/>
          <w:numId w:val="2"/>
        </w:numPr>
        <w:spacing w:after="90" w:line="264"/>
      </w:pPr>
      <w:r>
        <w:rPr>
          <w:sz w:val="21"/>
          <w:szCs w:val="21"/>
        </w:rPr>
        <w:t xml:space="preserve">Every JWT is scoped with role, tenant_id, and a permission set; Fastify validates signature, expiry, and scope on every request; expired/malformed tokens return HTTP 401, insufficiently-scoped requests return HTTP 403.</w:t>
      </w:r>
    </w:p>
    <w:p>
      <w:pPr>
        <w:pStyle w:val="ListParagraph"/>
        <w:numPr>
          <w:ilvl w:val="0"/>
          <w:numId w:val="2"/>
        </w:numPr>
        <w:spacing w:after="90" w:line="264"/>
      </w:pPr>
      <w:r>
        <w:rPr>
          <w:sz w:val="21"/>
          <w:szCs w:val="21"/>
        </w:rPr>
        <w:t xml:space="preserve">Machine-to-machine access (Developer role) uses long-lived API keys (shown once, stored hashed) exchanged for short-lived bearer tokens via POST /api/v1/auth/token.</w:t>
      </w:r>
    </w:p>
    <w:p>
      <w:pPr>
        <w:pStyle w:val="ListParagraph"/>
        <w:numPr>
          <w:ilvl w:val="0"/>
          <w:numId w:val="2"/>
        </w:numPr>
        <w:spacing w:after="90" w:line="264"/>
      </w:pPr>
      <w:r>
        <w:rPr>
          <w:sz w:val="21"/>
          <w:szCs w:val="21"/>
        </w:rPr>
        <w:t xml:space="preserve">Optional Sign-In with Ethereum (SIWE): a user may link a wallet address to their account and authenticate by signing a nonce; this is additive (used later for on-chain identity, e.g., confirming who a minted license belongs to) and never replaces the primary login for users who don't use it.</w:t>
      </w:r>
    </w:p>
    <w:p>
      <w:pPr>
        <w:pStyle w:val="Heading2"/>
        <w:spacing w:after="150" w:before="300"/>
      </w:pPr>
      <w:r>
        <w:rPr>
          <w:b/>
          <w:bCs/>
          <w:color w:val="4338CA"/>
          <w:sz w:val="25"/>
          <w:szCs w:val="25"/>
        </w:rPr>
        <w:t xml:space="preserve">3.8 Decentralized Storage Strategy (IPFS)</w:t>
      </w:r>
    </w:p>
    <w:p>
      <w:pPr>
        <w:spacing w:after="160" w:line="276"/>
      </w:pPr>
      <w:r>
        <w:rPr>
          <w:sz w:val="21"/>
          <w:szCs w:val="21"/>
        </w:rPr>
        <w:t xml:space="preserve">Asset binaries — the original upload and every Blender-optimized derivative — are stored as content on a local IPFS node (Kubo) rather than a traditional object store:</w:t>
      </w:r>
    </w:p>
    <w:p>
      <w:pPr>
        <w:pStyle w:val="ListParagraph"/>
        <w:numPr>
          <w:ilvl w:val="0"/>
          <w:numId w:val="2"/>
        </w:numPr>
        <w:spacing w:after="90" w:line="264"/>
      </w:pPr>
      <w:r>
        <w:rPr>
          <w:sz w:val="21"/>
          <w:szCs w:val="21"/>
        </w:rPr>
        <w:t xml:space="preserve">On upload, the API streams the file to the worker, which adds it to IPFS via the local node's HTTP API, receives a Content Identifier (CID), pins it (so it is retained rather than garbage-collected), and records the CID against the AssetVersion row in Postgres.</w:t>
      </w:r>
    </w:p>
    <w:p>
      <w:pPr>
        <w:pStyle w:val="ListParagraph"/>
        <w:numPr>
          <w:ilvl w:val="0"/>
          <w:numId w:val="2"/>
        </w:numPr>
        <w:spacing w:after="90" w:line="264"/>
      </w:pPr>
      <w:r>
        <w:rPr>
          <w:sz w:val="21"/>
          <w:szCs w:val="21"/>
        </w:rPr>
        <w:t xml:space="preserve">Retrieval goes through the Nginx layer, which proxies and caches reads from the local IPFS gateway (http://ipfs:8080/ipfs/&lt;cid&gt;), so repeated 3D-preview loads don't re-fetch from IPFS on every request.</w:t>
      </w:r>
    </w:p>
    <w:p>
      <w:pPr>
        <w:pStyle w:val="ListParagraph"/>
        <w:numPr>
          <w:ilvl w:val="0"/>
          <w:numId w:val="2"/>
        </w:numPr>
        <w:spacing w:after="90" w:line="264"/>
      </w:pPr>
      <w:r>
        <w:rPr>
          <w:sz w:val="21"/>
          <w:szCs w:val="21"/>
        </w:rPr>
        <w:t xml:space="preserve">Because IPFS addressing is content-based, the CID itself is a tamper-evident fingerprint of the asset — any modification produces a different CID, which is exactly the property the licensing contract (Section 3.9) anchors on-chain.</w:t>
      </w:r>
    </w:p>
    <w:p>
      <w:pPr>
        <w:pStyle w:val="ListParagraph"/>
        <w:numPr>
          <w:ilvl w:val="0"/>
          <w:numId w:val="2"/>
        </w:numPr>
        <w:spacing w:after="90" w:line="264"/>
      </w:pPr>
      <w:r>
        <w:rPr>
          <w:sz w:val="21"/>
          <w:szCs w:val="21"/>
        </w:rPr>
        <w:t xml:space="preserve">The interface between the application and storage is a small internal StorageService abstraction, so a future production phase can add a remote pinning service (Pinata, Web3.Storage, or a dedicated cluster) purely as configuration, without touching business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F59E0B" w:sz="4"/>
              <w:left w:val="single" w:color="F59E0B" w:sz="16"/>
              <w:bottom w:val="single" w:color="F59E0B" w:sz="4"/>
              <w:right w:val="single" w:color="F59E0B" w:sz="4"/>
            </w:tcBorders>
            <w:shd w:fill="FEF9E7" w:val="clear"/>
            <w:tcMar>
              <w:top w:type="dxa" w:w="140"/>
              <w:left w:type="dxa" w:w="180"/>
              <w:bottom w:type="dxa" w:w="140"/>
              <w:right w:type="dxa" w:w="180"/>
            </w:tcMar>
          </w:tcPr>
          <w:p>
            <w:pPr>
              <w:spacing w:after="60"/>
            </w:pPr>
            <w:r>
              <w:rPr>
                <w:b/>
                <w:bCs/>
                <w:color w:val="92400E"/>
                <w:sz w:val="20"/>
                <w:szCs w:val="20"/>
              </w:rPr>
              <w:t xml:space="preserve">Design Decision — Local IPFS node vs. S3/MinIO-only storage</w:t>
            </w:r>
          </w:p>
          <w:p>
            <w:pPr>
              <w:spacing w:after="0"/>
            </w:pPr>
            <w:r>
              <w:rPr>
                <w:color w:val="78350F"/>
                <w:sz w:val="20"/>
                <w:szCs w:val="20"/>
              </w:rPr>
              <w:t xml:space="preserve">The requester specifically asked for IPFS-based asset storage with blockchain-backed licensing. A single local Kubo container fully satisfies this for development and demonstration: it gives real content-addressed CIDs that can be minted on-chain, with no dependency on a public gateway or a paid pinning service. Large-file read latency through IPFS is mitigated by the Nginx gateway cache (NFR-PERF.4).</w:t>
            </w:r>
          </w:p>
        </w:tc>
      </w:tr>
    </w:tbl>
    <w:p>
      <w:r>
        <w:br w:type="page"/>
      </w:r>
    </w:p>
    <w:p>
      <w:pPr>
        <w:pStyle w:val="Heading2"/>
        <w:spacing w:after="150" w:before="300"/>
      </w:pPr>
      <w:r>
        <w:rPr>
          <w:b/>
          <w:bCs/>
          <w:color w:val="4338CA"/>
          <w:sz w:val="25"/>
          <w:szCs w:val="25"/>
        </w:rPr>
        <w:t xml:space="preserve">3.9 Blockchain / Licensing Subsystem</w:t>
      </w:r>
    </w:p>
    <w:p>
      <w:pPr>
        <w:spacing w:after="160" w:line="276"/>
      </w:pPr>
      <w:r>
        <w:rPr>
          <w:sz w:val="21"/>
          <w:szCs w:val="21"/>
        </w:rPr>
        <w:t xml:space="preserve">Every approved-and-published asset receives an on-chain, non-fungible License token that anchors its provenance (who approved it, when, and which exact content-hash it covers) without relying on any public blockchain or real cryptocurrency.</w:t>
      </w:r>
    </w:p>
    <w:p>
      <w:pPr>
        <w:pStyle w:val="Heading3"/>
        <w:spacing w:after="100" w:before="220"/>
      </w:pPr>
      <w:r>
        <w:rPr>
          <w:b/>
          <w:bCs/>
          <w:color w:val="334155"/>
          <w:sz w:val="22"/>
          <w:szCs w:val="22"/>
        </w:rPr>
        <w:t xml:space="preserve">3.9.1 Local Chain</w:t>
      </w:r>
    </w:p>
    <w:p>
      <w:pPr>
        <w:pStyle w:val="ListParagraph"/>
        <w:numPr>
          <w:ilvl w:val="0"/>
          <w:numId w:val="2"/>
        </w:numPr>
        <w:spacing w:after="90" w:line="264"/>
      </w:pPr>
      <w:r>
        <w:rPr>
          <w:sz w:val="21"/>
          <w:szCs w:val="21"/>
        </w:rPr>
        <w:t xml:space="preserve">Anvil (part of the Foundry toolkit) runs as a Docker container, exposing a standard JSON-RPC endpoint on the internal Docker network. It starts pre-funded with test accounts — there is never a need for a faucet, a paid RPC provider, or real ETH.</w:t>
      </w:r>
    </w:p>
    <w:p>
      <w:pPr>
        <w:pStyle w:val="ListParagraph"/>
        <w:numPr>
          <w:ilvl w:val="0"/>
          <w:numId w:val="2"/>
        </w:numPr>
        <w:spacing w:after="90" w:line="264"/>
      </w:pPr>
      <w:r>
        <w:rPr>
          <w:sz w:val="21"/>
          <w:szCs w:val="21"/>
        </w:rPr>
        <w:t xml:space="preserve">By default the chain is ephemeral (reset on container recreation), matching a development workflow; docker-compose.yml exposes a commented-out option to mount Anvil's state to a volume (--state-interval / --dump-state) for developers who want persistence across restarts.</w:t>
      </w:r>
    </w:p>
    <w:p>
      <w:pPr>
        <w:pStyle w:val="Heading3"/>
        <w:spacing w:after="100" w:before="220"/>
      </w:pPr>
      <w:r>
        <w:rPr>
          <w:b/>
          <w:bCs/>
          <w:color w:val="334155"/>
          <w:sz w:val="22"/>
          <w:szCs w:val="22"/>
        </w:rPr>
        <w:t xml:space="preserve">3.9.2 Smart Contract: AssetLicenseRegistry.sol</w:t>
      </w:r>
    </w:p>
    <w:p>
      <w:pPr>
        <w:spacing w:after="160" w:line="276"/>
      </w:pPr>
      <w:r>
        <w:rPr>
          <w:sz w:val="21"/>
          <w:szCs w:val="21"/>
        </w:rPr>
        <w:t xml:space="preserve">An ERC-721 contract, developed and tested with Foundry (forge test), deployed to Anvil automatically on stack startup (Section 9.3):</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4550"/>
        <w:gridCol w:w="4800"/>
      </w:tblGrid>
      <w:tr>
        <w:trPr>
          <w:tblHeader/>
        </w:trPr>
        <w:tc>
          <w:tcPr>
            <w:tcW w:type="dxa" w:w="4550"/>
            <w:shd w:fill="1E1B4B" w:val="clear"/>
            <w:tcMar>
              <w:top w:type="dxa" w:w="80"/>
              <w:left w:type="dxa" w:w="100"/>
              <w:bottom w:type="dxa" w:w="80"/>
              <w:right w:type="dxa" w:w="100"/>
            </w:tcMar>
            <w:vAlign w:val="center"/>
          </w:tcPr>
          <w:p>
            <w:r>
              <w:rPr>
                <w:b/>
                <w:bCs/>
                <w:color w:val="FFFFFF"/>
                <w:sz w:val="19"/>
                <w:szCs w:val="19"/>
              </w:rPr>
              <w:t xml:space="preserve">Element</w:t>
            </w:r>
          </w:p>
        </w:tc>
        <w:tc>
          <w:tcPr>
            <w:tcW w:type="dxa" w:w="4800"/>
            <w:shd w:fill="1E1B4B" w:val="clear"/>
            <w:tcMar>
              <w:top w:type="dxa" w:w="80"/>
              <w:left w:type="dxa" w:w="100"/>
              <w:bottom w:type="dxa" w:w="80"/>
              <w:right w:type="dxa" w:w="100"/>
            </w:tcMar>
            <w:vAlign w:val="center"/>
          </w:tcPr>
          <w:p>
            <w:r>
              <w:rPr>
                <w:b/>
                <w:bCs/>
                <w:color w:val="FFFFFF"/>
                <w:sz w:val="19"/>
                <w:szCs w:val="19"/>
              </w:rPr>
              <w:t xml:space="preserve">Description</w:t>
            </w:r>
          </w:p>
        </w:tc>
      </w:tr>
      <w:tr>
        <w:tc>
          <w:tcPr>
            <w:tcW w:type="dxa" w:w="4550"/>
            <w:shd w:fill="FFFFFF" w:val="clear"/>
            <w:tcMar>
              <w:top w:type="dxa" w:w="80"/>
              <w:left w:type="dxa" w:w="100"/>
              <w:bottom w:type="dxa" w:w="80"/>
              <w:right w:type="dxa" w:w="100"/>
            </w:tcMar>
            <w:vAlign w:val="center"/>
          </w:tcPr>
          <w:p>
            <w:r>
              <w:rPr>
                <w:b w:val="false"/>
                <w:bCs w:val="false"/>
                <w:sz w:val="19"/>
                <w:szCs w:val="19"/>
              </w:rPr>
              <w:t xml:space="preserve">mintLicense(address to, string assetId, string ipfsCid, string licenseTermsHash)</w:t>
            </w:r>
          </w:p>
        </w:tc>
        <w:tc>
          <w:tcPr>
            <w:tcW w:type="dxa" w:w="4800"/>
            <w:shd w:fill="FFFFFF" w:val="clear"/>
            <w:tcMar>
              <w:top w:type="dxa" w:w="80"/>
              <w:left w:type="dxa" w:w="100"/>
              <w:bottom w:type="dxa" w:w="80"/>
              <w:right w:type="dxa" w:w="100"/>
            </w:tcMar>
            <w:vAlign w:val="center"/>
          </w:tcPr>
          <w:p>
            <w:r>
              <w:rPr>
                <w:b w:val="false"/>
                <w:bCs w:val="false"/>
                <w:sz w:val="19"/>
                <w:szCs w:val="19"/>
              </w:rPr>
              <w:t xml:space="preserve">Restricted to an on-chain "publisher" role held by the platform's service signer; called by the worker only after a human Assessor has approved and confirmed publish (FR-6.6 / FR-9.2). Mints one ERC-721 token representing the license.</w:t>
            </w:r>
          </w:p>
        </w:tc>
      </w:tr>
      <w:tr>
        <w:tc>
          <w:tcPr>
            <w:tcW w:type="dxa" w:w="4550"/>
            <w:shd w:fill="F8FAFC" w:val="clear"/>
            <w:tcMar>
              <w:top w:type="dxa" w:w="80"/>
              <w:left w:type="dxa" w:w="100"/>
              <w:bottom w:type="dxa" w:w="80"/>
              <w:right w:type="dxa" w:w="100"/>
            </w:tcMar>
            <w:vAlign w:val="center"/>
          </w:tcPr>
          <w:p>
            <w:r>
              <w:rPr>
                <w:b w:val="false"/>
                <w:bCs w:val="false"/>
                <w:sz w:val="19"/>
                <w:szCs w:val="19"/>
              </w:rPr>
              <w:t xml:space="preserve">tokenURI(uint256 tokenId)</w:t>
            </w:r>
          </w:p>
        </w:tc>
        <w:tc>
          <w:tcPr>
            <w:tcW w:type="dxa" w:w="4800"/>
            <w:shd w:fill="F8FAFC" w:val="clear"/>
            <w:tcMar>
              <w:top w:type="dxa" w:w="80"/>
              <w:left w:type="dxa" w:w="100"/>
              <w:bottom w:type="dxa" w:w="80"/>
              <w:right w:type="dxa" w:w="100"/>
            </w:tcMar>
            <w:vAlign w:val="center"/>
          </w:tcPr>
          <w:p>
            <w:r>
              <w:rPr>
                <w:b w:val="false"/>
                <w:bCs w:val="false"/>
                <w:sz w:val="19"/>
                <w:szCs w:val="19"/>
              </w:rPr>
              <w:t xml:space="preserve">Returns an ipfs:// URI pointing to a JSON metadata document (also stored on IPFS) containing the asset name, CID, license type, approving Assessor, and timestamp.</w:t>
            </w:r>
          </w:p>
        </w:tc>
      </w:tr>
      <w:tr>
        <w:tc>
          <w:tcPr>
            <w:tcW w:type="dxa" w:w="4550"/>
            <w:shd w:fill="FFFFFF" w:val="clear"/>
            <w:tcMar>
              <w:top w:type="dxa" w:w="80"/>
              <w:left w:type="dxa" w:w="100"/>
              <w:bottom w:type="dxa" w:w="80"/>
              <w:right w:type="dxa" w:w="100"/>
            </w:tcMar>
            <w:vAlign w:val="center"/>
          </w:tcPr>
          <w:p>
            <w:r>
              <w:rPr>
                <w:b w:val="false"/>
                <w:bCs w:val="false"/>
                <w:sz w:val="19"/>
                <w:szCs w:val="19"/>
              </w:rPr>
              <w:t xml:space="preserve">revokeLicense(uint256 tokenId, string reason)</w:t>
            </w:r>
          </w:p>
        </w:tc>
        <w:tc>
          <w:tcPr>
            <w:tcW w:type="dxa" w:w="4800"/>
            <w:shd w:fill="FFFFFF" w:val="clear"/>
            <w:tcMar>
              <w:top w:type="dxa" w:w="80"/>
              <w:left w:type="dxa" w:w="100"/>
              <w:bottom w:type="dxa" w:w="80"/>
              <w:right w:type="dxa" w:w="100"/>
            </w:tcMar>
            <w:vAlign w:val="center"/>
          </w:tcPr>
          <w:p>
            <w:r>
              <w:rPr>
                <w:b w:val="false"/>
                <w:bCs w:val="false"/>
                <w:sz w:val="19"/>
                <w:szCs w:val="19"/>
              </w:rPr>
              <w:t xml:space="preserve">Restricted function allowing a TenantAdmin (via the platform signer) to mark a license revoked (e.g., a takedown) without deleting the historical record — implemented as a status flag plus event, not a burn, to preserve the audit trail.</w:t>
            </w:r>
          </w:p>
        </w:tc>
      </w:tr>
      <w:tr>
        <w:tc>
          <w:tcPr>
            <w:tcW w:type="dxa" w:w="4550"/>
            <w:shd w:fill="F8FAFC" w:val="clear"/>
            <w:tcMar>
              <w:top w:type="dxa" w:w="80"/>
              <w:left w:type="dxa" w:w="100"/>
              <w:bottom w:type="dxa" w:w="80"/>
              <w:right w:type="dxa" w:w="100"/>
            </w:tcMar>
            <w:vAlign w:val="center"/>
          </w:tcPr>
          <w:p>
            <w:r>
              <w:rPr>
                <w:b w:val="false"/>
                <w:bCs w:val="false"/>
                <w:sz w:val="19"/>
                <w:szCs w:val="19"/>
              </w:rPr>
              <w:t xml:space="preserve">Event: LicenseMinted(tokenId, assetId, ipfsCid, approver, timestamp)</w:t>
            </w:r>
          </w:p>
        </w:tc>
        <w:tc>
          <w:tcPr>
            <w:tcW w:type="dxa" w:w="4800"/>
            <w:shd w:fill="F8FAFC" w:val="clear"/>
            <w:tcMar>
              <w:top w:type="dxa" w:w="80"/>
              <w:left w:type="dxa" w:w="100"/>
              <w:bottom w:type="dxa" w:w="80"/>
              <w:right w:type="dxa" w:w="100"/>
            </w:tcMar>
            <w:vAlign w:val="center"/>
          </w:tcPr>
          <w:p>
            <w:r>
              <w:rPr>
                <w:b w:val="false"/>
                <w:bCs w:val="false"/>
                <w:sz w:val="19"/>
                <w:szCs w:val="19"/>
              </w:rPr>
              <w:t xml:space="preserve">Indexed event the worker listens for to confirm on-chain finality before marking the asset 'published' in Postgres.</w:t>
            </w:r>
          </w:p>
        </w:tc>
      </w:tr>
      <w:tr>
        <w:tc>
          <w:tcPr>
            <w:tcW w:type="dxa" w:w="4550"/>
            <w:shd w:fill="FFFFFF" w:val="clear"/>
            <w:tcMar>
              <w:top w:type="dxa" w:w="80"/>
              <w:left w:type="dxa" w:w="100"/>
              <w:bottom w:type="dxa" w:w="80"/>
              <w:right w:type="dxa" w:w="100"/>
            </w:tcMar>
            <w:vAlign w:val="center"/>
          </w:tcPr>
          <w:p>
            <w:r>
              <w:rPr>
                <w:b w:val="false"/>
                <w:bCs w:val="false"/>
                <w:sz w:val="19"/>
                <w:szCs w:val="19"/>
              </w:rPr>
              <w:t xml:space="preserve">Event: LicenseRevoked(tokenId, reason, timestamp)</w:t>
            </w:r>
          </w:p>
        </w:tc>
        <w:tc>
          <w:tcPr>
            <w:tcW w:type="dxa" w:w="4800"/>
            <w:shd w:fill="FFFFFF" w:val="clear"/>
            <w:tcMar>
              <w:top w:type="dxa" w:w="80"/>
              <w:left w:type="dxa" w:w="100"/>
              <w:bottom w:type="dxa" w:w="80"/>
              <w:right w:type="dxa" w:w="100"/>
            </w:tcMar>
            <w:vAlign w:val="center"/>
          </w:tcPr>
          <w:p>
            <w:r>
              <w:rPr>
                <w:b w:val="false"/>
                <w:bCs w:val="false"/>
                <w:sz w:val="19"/>
                <w:szCs w:val="19"/>
              </w:rPr>
              <w:t xml:space="preserve">Emitted on revocation; consumed to update Postgres and notify stakeholders.</w:t>
            </w:r>
          </w:p>
        </w:tc>
      </w:tr>
    </w:tbl>
    <w:p>
      <w:pPr>
        <w:spacing w:after="220"/>
      </w:pPr>
    </w:p>
    <w:p>
      <w:pPr>
        <w:pStyle w:val="Heading3"/>
        <w:spacing w:after="100" w:before="220"/>
      </w:pPr>
      <w:r>
        <w:rPr>
          <w:b/>
          <w:bCs/>
          <w:color w:val="334155"/>
          <w:sz w:val="22"/>
          <w:szCs w:val="22"/>
        </w:rPr>
        <w:t xml:space="preserve">3.9.3 Wallets: Managed by Default, Wallet-Connect Optional</w:t>
      </w:r>
    </w:p>
    <w:p>
      <w:pPr>
        <w:pStyle w:val="ListParagraph"/>
        <w:numPr>
          <w:ilvl w:val="0"/>
          <w:numId w:val="2"/>
        </w:numPr>
        <w:spacing w:after="90" w:line="264"/>
      </w:pPr>
      <w:r>
        <w:rPr>
          <w:sz w:val="21"/>
          <w:szCs w:val="21"/>
        </w:rPr>
        <w:t xml:space="preserve">To keep the primary workflow fast and require no browser extension, the platform generates and custodies a deterministic per-tenant "publisher" wallet server-side (derived from a root seed held only by the backend), used to sign all mintLicense/revokeLicense transactions issued by workers on the Assessor's behalf.</w:t>
      </w:r>
    </w:p>
    <w:p>
      <w:pPr>
        <w:pStyle w:val="ListParagraph"/>
        <w:numPr>
          <w:ilvl w:val="0"/>
          <w:numId w:val="2"/>
        </w:numPr>
        <w:spacing w:after="90" w:line="264"/>
      </w:pPr>
      <w:r>
        <w:rPr>
          <w:sz w:val="21"/>
          <w:szCs w:val="21"/>
        </w:rPr>
        <w:t xml:space="preserve">Creators/Assessors may optionally link an external wallet (MetaMask, via wagmi) for identity purposes (SIWE login, or to be the 'to' recipient of a minted license); this is additive and never blocks the core approve-and-publish flow if the user has no wallet.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F59E0B" w:sz="4"/>
              <w:left w:val="single" w:color="F59E0B" w:sz="16"/>
              <w:bottom w:val="single" w:color="F59E0B" w:sz="4"/>
              <w:right w:val="single" w:color="F59E0B" w:sz="4"/>
            </w:tcBorders>
            <w:shd w:fill="FEF9E7" w:val="clear"/>
            <w:tcMar>
              <w:top w:type="dxa" w:w="140"/>
              <w:left w:type="dxa" w:w="180"/>
              <w:bottom w:type="dxa" w:w="140"/>
              <w:right w:type="dxa" w:w="180"/>
            </w:tcMar>
          </w:tcPr>
          <w:p>
            <w:pPr>
              <w:spacing w:after="60"/>
            </w:pPr>
            <w:r>
              <w:rPr>
                <w:b/>
                <w:bCs/>
                <w:color w:val="92400E"/>
                <w:sz w:val="20"/>
                <w:szCs w:val="20"/>
              </w:rPr>
              <w:t xml:space="preserve">Design Decision — Managed/custodial signer vs. requiring every user to run a wallet</w:t>
            </w:r>
          </w:p>
          <w:p>
            <w:pPr>
              <w:spacing w:after="0"/>
            </w:pPr>
            <w:r>
              <w:rPr>
                <w:color w:val="78350F"/>
                <w:sz w:val="20"/>
                <w:szCs w:val="20"/>
              </w:rPr>
              <w:t xml:space="preserve">Requiring every Creator/Assessor to install and fund a wallet would slow the workflow the requester explicitly wants sped up, and adds a real UX barrier for non-crypto-native reviewers. A server-held signer per tenant lets the licensing/provenance guarantee (immutable on-chain record) exist without user-facing wallet friction, while still allowing power users to bring their own wallet for the recipient address or for SIWE login.</w:t>
            </w:r>
          </w:p>
        </w:tc>
      </w:tr>
    </w:tbl>
    <w:p>
      <w:pPr>
        <w:spacing w:after="220"/>
      </w:pPr>
    </w:p>
    <w:p>
      <w:pPr>
        <w:pStyle w:val="Heading3"/>
        <w:spacing w:after="100" w:before="220"/>
      </w:pPr>
      <w:r>
        <w:rPr>
          <w:b/>
          <w:bCs/>
          <w:color w:val="334155"/>
          <w:sz w:val="22"/>
          <w:szCs w:val="22"/>
        </w:rPr>
        <w:t xml:space="preserve">3.9.4 Chain Interaction Layer</w:t>
      </w:r>
    </w:p>
    <w:p>
      <w:pPr>
        <w:spacing w:after="160" w:line="276"/>
      </w:pPr>
      <w:r>
        <w:rPr>
          <w:sz w:val="21"/>
          <w:szCs w:val="21"/>
        </w:rPr>
        <w:t xml:space="preserve">The worker and API use viem (a type-safe TypeScript Ethereum library) generated against the contract's ABI (produced by forge build), giving compile-time-checked contract calls from TypeScript — no hand-written ABI encoding. The frontend uses the same generated ABI/types purely for read-only display (e.g., showing a license's on-chain transaction hash and a link to a local block explorer).</w:t>
      </w:r>
    </w:p>
    <w:p>
      <w:pPr>
        <w:pStyle w:val="Heading2"/>
        <w:spacing w:after="150" w:before="300"/>
      </w:pPr>
      <w:r>
        <w:rPr>
          <w:b/>
          <w:bCs/>
          <w:color w:val="4338CA"/>
          <w:sz w:val="25"/>
          <w:szCs w:val="25"/>
        </w:rPr>
        <w:t xml:space="preserve">3.10 Asynchronous Job Processing</w:t>
      </w:r>
    </w:p>
    <w:p>
      <w:pPr>
        <w:spacing w:after="160" w:line="276"/>
      </w:pPr>
      <w:r>
        <w:rPr>
          <w:sz w:val="21"/>
          <w:szCs w:val="21"/>
        </w:rPr>
        <w:t xml:space="preserve">All non-trivial or externally-dependent work is modeled as a BullMQ job so the API remains fast and the system degrades gracefully per NFR-REL.1:</w:t>
      </w:r>
    </w:p>
    <w:tbl>
      <w:tblPr>
        <w:tblW w:type="dxa" w:w="9400"/>
        <w:tblBorders>
          <w:top w:val="single" w:color="CBD5E1" w:sz="2"/>
          <w:left w:val="single" w:color="CBD5E1" w:sz="2"/>
          <w:bottom w:val="single" w:color="CBD5E1" w:sz="2"/>
          <w:right w:val="single" w:color="CBD5E1" w:sz="2"/>
          <w:insideH w:val="single" w:color="E2E8F0" w:sz="2"/>
          <w:insideV w:val="single" w:color="E2E8F0" w:sz="2"/>
        </w:tblBorders>
      </w:tblPr>
      <w:tblGrid>
        <w:gridCol w:w="1550"/>
        <w:gridCol w:w="1750"/>
        <w:gridCol w:w="3800"/>
        <w:gridCol w:w="2300"/>
      </w:tblGrid>
      <w:tr>
        <w:trPr>
          <w:tblHeader/>
        </w:trPr>
        <w:tc>
          <w:tcPr>
            <w:tcW w:type="dxa" w:w="1550"/>
            <w:shd w:fill="1E1B4B" w:val="clear"/>
            <w:tcMar>
              <w:top w:type="dxa" w:w="80"/>
              <w:left w:type="dxa" w:w="100"/>
              <w:bottom w:type="dxa" w:w="80"/>
              <w:right w:type="dxa" w:w="100"/>
            </w:tcMar>
            <w:vAlign w:val="center"/>
          </w:tcPr>
          <w:p>
            <w:r>
              <w:rPr>
                <w:b/>
                <w:bCs/>
                <w:color w:val="FFFFFF"/>
                <w:sz w:val="19"/>
                <w:szCs w:val="19"/>
              </w:rPr>
              <w:t xml:space="preserve">Queue</w:t>
            </w:r>
          </w:p>
        </w:tc>
        <w:tc>
          <w:tcPr>
            <w:tcW w:type="dxa" w:w="1750"/>
            <w:shd w:fill="1E1B4B" w:val="clear"/>
            <w:tcMar>
              <w:top w:type="dxa" w:w="80"/>
              <w:left w:type="dxa" w:w="100"/>
              <w:bottom w:type="dxa" w:w="80"/>
              <w:right w:type="dxa" w:w="100"/>
            </w:tcMar>
            <w:vAlign w:val="center"/>
          </w:tcPr>
          <w:p>
            <w:r>
              <w:rPr>
                <w:b/>
                <w:bCs/>
                <w:color w:val="FFFFFF"/>
                <w:sz w:val="19"/>
                <w:szCs w:val="19"/>
              </w:rPr>
              <w:t xml:space="preserve">Triggered by</w:t>
            </w:r>
          </w:p>
        </w:tc>
        <w:tc>
          <w:tcPr>
            <w:tcW w:type="dxa" w:w="3800"/>
            <w:shd w:fill="1E1B4B" w:val="clear"/>
            <w:tcMar>
              <w:top w:type="dxa" w:w="80"/>
              <w:left w:type="dxa" w:w="100"/>
              <w:bottom w:type="dxa" w:w="80"/>
              <w:right w:type="dxa" w:w="100"/>
            </w:tcMar>
            <w:vAlign w:val="center"/>
          </w:tcPr>
          <w:p>
            <w:r>
              <w:rPr>
                <w:b/>
                <w:bCs/>
                <w:color w:val="FFFFFF"/>
                <w:sz w:val="19"/>
                <w:szCs w:val="19"/>
              </w:rPr>
              <w:t xml:space="preserve">Work performed</w:t>
            </w:r>
          </w:p>
        </w:tc>
        <w:tc>
          <w:tcPr>
            <w:tcW w:type="dxa" w:w="2300"/>
            <w:shd w:fill="1E1B4B" w:val="clear"/>
            <w:tcMar>
              <w:top w:type="dxa" w:w="80"/>
              <w:left w:type="dxa" w:w="100"/>
              <w:bottom w:type="dxa" w:w="80"/>
              <w:right w:type="dxa" w:w="100"/>
            </w:tcMar>
            <w:vAlign w:val="center"/>
          </w:tcPr>
          <w:p>
            <w:r>
              <w:rPr>
                <w:b/>
                <w:bCs/>
                <w:color w:val="FFFFFF"/>
                <w:sz w:val="19"/>
                <w:szCs w:val="19"/>
              </w:rPr>
              <w:t xml:space="preserve">Retry policy</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ai-enrichment</w:t>
            </w:r>
          </w:p>
        </w:tc>
        <w:tc>
          <w:tcPr>
            <w:tcW w:type="dxa" w:w="1750"/>
            <w:shd w:fill="FFFFFF" w:val="clear"/>
            <w:tcMar>
              <w:top w:type="dxa" w:w="80"/>
              <w:left w:type="dxa" w:w="100"/>
              <w:bottom w:type="dxa" w:w="80"/>
              <w:right w:type="dxa" w:w="100"/>
            </w:tcMar>
            <w:vAlign w:val="center"/>
          </w:tcPr>
          <w:p>
            <w:r>
              <w:rPr>
                <w:b w:val="false"/>
                <w:bCs w:val="false"/>
                <w:sz w:val="19"/>
                <w:szCs w:val="19"/>
              </w:rPr>
              <w:t xml:space="preserve">Asset upload / re-submission</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Calls Claude API for tags/description/quality flags; validates against JSON schema.</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1 automatic retry with a stricter prompt, then flagged needs_manual_review.</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ipfs-pin</w:t>
            </w:r>
          </w:p>
        </w:tc>
        <w:tc>
          <w:tcPr>
            <w:tcW w:type="dxa" w:w="1750"/>
            <w:shd w:fill="F8FAFC" w:val="clear"/>
            <w:tcMar>
              <w:top w:type="dxa" w:w="80"/>
              <w:left w:type="dxa" w:w="100"/>
              <w:bottom w:type="dxa" w:w="80"/>
              <w:right w:type="dxa" w:w="100"/>
            </w:tcMar>
            <w:vAlign w:val="center"/>
          </w:tcPr>
          <w:p>
            <w:r>
              <w:rPr>
                <w:b w:val="false"/>
                <w:bCs w:val="false"/>
                <w:sz w:val="19"/>
                <w:szCs w:val="19"/>
              </w:rPr>
              <w:t xml:space="preserve">Asset upload; Blender optimization output</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Adds file to local IPFS, pins CID, stores it on the AssetVersion row.</w:t>
            </w:r>
          </w:p>
        </w:tc>
        <w:tc>
          <w:tcPr>
            <w:tcW w:type="dxa" w:w="2300"/>
            <w:shd w:fill="F8FAFC" w:val="clear"/>
            <w:tcMar>
              <w:top w:type="dxa" w:w="80"/>
              <w:left w:type="dxa" w:w="100"/>
              <w:bottom w:type="dxa" w:w="80"/>
              <w:right w:type="dxa" w:w="100"/>
            </w:tcMar>
            <w:vAlign w:val="center"/>
          </w:tcPr>
          <w:p>
            <w:r>
              <w:rPr>
                <w:b w:val="false"/>
                <w:bCs w:val="false"/>
                <w:sz w:val="19"/>
                <w:szCs w:val="19"/>
              </w:rPr>
              <w:t xml:space="preserve">3 retries, exponential backoff.</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blender-optimize</w:t>
            </w:r>
          </w:p>
        </w:tc>
        <w:tc>
          <w:tcPr>
            <w:tcW w:type="dxa" w:w="1750"/>
            <w:shd w:fill="FFFFFF" w:val="clear"/>
            <w:tcMar>
              <w:top w:type="dxa" w:w="80"/>
              <w:left w:type="dxa" w:w="100"/>
              <w:bottom w:type="dxa" w:w="80"/>
              <w:right w:type="dxa" w:w="100"/>
            </w:tcMar>
            <w:vAlign w:val="center"/>
          </w:tcPr>
          <w:p>
            <w:r>
              <w:rPr>
                <w:b w:val="false"/>
                <w:bCs w:val="false"/>
                <w:sz w:val="19"/>
                <w:szCs w:val="19"/>
              </w:rPr>
              <w:t xml:space="preserve">Creator- or Assessor-triggered optimization request</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Runs headless Blender in its own container to convert/optimize a .blend source and re-enqueues ipfs-pin for the output.</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1 retry; failure surfaces in the job-status UI.</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chain-license</w:t>
            </w:r>
          </w:p>
        </w:tc>
        <w:tc>
          <w:tcPr>
            <w:tcW w:type="dxa" w:w="1750"/>
            <w:shd w:fill="F8FAFC" w:val="clear"/>
            <w:tcMar>
              <w:top w:type="dxa" w:w="80"/>
              <w:left w:type="dxa" w:w="100"/>
              <w:bottom w:type="dxa" w:w="80"/>
              <w:right w:type="dxa" w:w="100"/>
            </w:tcMar>
            <w:vAlign w:val="center"/>
          </w:tcPr>
          <w:p>
            <w:r>
              <w:rPr>
                <w:b w:val="false"/>
                <w:bCs w:val="false"/>
                <w:sz w:val="19"/>
                <w:szCs w:val="19"/>
              </w:rPr>
              <w:t xml:space="preserve">Assessor confirms Publish on an approved asset</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Calls mintLicense on AssetLicenseRegistry via the tenant's managed signer; waits for confirmation event.</w:t>
            </w:r>
          </w:p>
        </w:tc>
        <w:tc>
          <w:tcPr>
            <w:tcW w:type="dxa" w:w="2300"/>
            <w:shd w:fill="F8FAFC" w:val="clear"/>
            <w:tcMar>
              <w:top w:type="dxa" w:w="80"/>
              <w:left w:type="dxa" w:w="100"/>
              <w:bottom w:type="dxa" w:w="80"/>
              <w:right w:type="dxa" w:w="100"/>
            </w:tcMar>
            <w:vAlign w:val="center"/>
          </w:tcPr>
          <w:p>
            <w:r>
              <w:rPr>
                <w:b w:val="false"/>
                <w:bCs w:val="false"/>
                <w:sz w:val="19"/>
                <w:szCs w:val="19"/>
              </w:rPr>
              <w:t xml:space="preserve">3 retries, exponential backoff; failure keeps status at 'approved' (never silently 'published').</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xr-publish</w:t>
            </w:r>
          </w:p>
        </w:tc>
        <w:tc>
          <w:tcPr>
            <w:tcW w:type="dxa" w:w="1750"/>
            <w:shd w:fill="FFFFFF" w:val="clear"/>
            <w:tcMar>
              <w:top w:type="dxa" w:w="80"/>
              <w:left w:type="dxa" w:w="100"/>
              <w:bottom w:type="dxa" w:w="80"/>
              <w:right w:type="dxa" w:w="100"/>
            </w:tcMar>
            <w:vAlign w:val="center"/>
          </w:tcPr>
          <w:p>
            <w:r>
              <w:rPr>
                <w:b w:val="false"/>
                <w:bCs w:val="false"/>
                <w:sz w:val="19"/>
                <w:szCs w:val="19"/>
              </w:rPr>
              <w:t xml:space="preserve">Successful chain-license job</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Calls the EoN Reality API with the asset manifest + license reference; stores the returned module URL.</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3 retries, exponential backoff.</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notify</w:t>
            </w:r>
          </w:p>
        </w:tc>
        <w:tc>
          <w:tcPr>
            <w:tcW w:type="dxa" w:w="1750"/>
            <w:shd w:fill="F8FAFC" w:val="clear"/>
            <w:tcMar>
              <w:top w:type="dxa" w:w="80"/>
              <w:left w:type="dxa" w:w="100"/>
              <w:bottom w:type="dxa" w:w="80"/>
              <w:right w:type="dxa" w:w="100"/>
            </w:tcMar>
            <w:vAlign w:val="center"/>
          </w:tcPr>
          <w:p>
            <w:r>
              <w:rPr>
                <w:b w:val="false"/>
                <w:bCs w:val="false"/>
                <w:sz w:val="19"/>
                <w:szCs w:val="19"/>
              </w:rPr>
              <w:t xml:space="preserve">Any status transition</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Writes an in-app notification and, if configured, calls an outbound webhook.</w:t>
            </w:r>
          </w:p>
        </w:tc>
        <w:tc>
          <w:tcPr>
            <w:tcW w:type="dxa" w:w="2300"/>
            <w:shd w:fill="F8FAFC" w:val="clear"/>
            <w:tcMar>
              <w:top w:type="dxa" w:w="80"/>
              <w:left w:type="dxa" w:w="100"/>
              <w:bottom w:type="dxa" w:w="80"/>
              <w:right w:type="dxa" w:w="100"/>
            </w:tcMar>
            <w:vAlign w:val="center"/>
          </w:tcPr>
          <w:p>
            <w:r>
              <w:rPr>
                <w:b w:val="false"/>
                <w:bCs w:val="false"/>
                <w:sz w:val="19"/>
                <w:szCs w:val="19"/>
              </w:rPr>
              <w:t xml:space="preserve">Best-effort, 1 retry.</w:t>
            </w:r>
          </w:p>
        </w:tc>
      </w:tr>
    </w:tbl>
    <w:p>
      <w:pPr>
        <w:spacing w:after="220"/>
      </w:pPr>
    </w:p>
    <w:p>
      <w:pPr>
        <w:spacing w:after="160" w:line="276"/>
      </w:pPr>
      <w:r>
        <w:rPr>
          <w:sz w:val="21"/>
          <w:szCs w:val="21"/>
        </w:rPr>
        <w:t xml:space="preserve">Every job exposes status via GET /api/v1/jobs/{id} (queued, active, completed, failed, with error detail), satisfying the original SRS's requirement for asynchronous job-status polling (see FR-6.5) and extending it uniformly to every background operation in the system.</w:t>
      </w:r>
    </w:p>
    <w:p>
      <w:pPr>
        <w:pStyle w:val="Heading2"/>
        <w:spacing w:after="150" w:before="300"/>
      </w:pPr>
      <w:r>
        <w:rPr>
          <w:b/>
          <w:bCs/>
          <w:color w:val="4338CA"/>
          <w:sz w:val="25"/>
          <w:szCs w:val="25"/>
        </w:rPr>
        <w:t xml:space="preserve">3.11 Local Development Environment (Overview)</w:t>
      </w:r>
    </w:p>
    <w:p>
      <w:pPr>
        <w:spacing w:after="160" w:line="276"/>
      </w:pPr>
      <w:r>
        <w:rPr>
          <w:sz w:val="21"/>
          <w:szCs w:val="21"/>
        </w:rPr>
        <w:t xml:space="preserve">The full stack is defined in one docker-compose.yml; a complete service-by-service breakdown (images, ports, volumes, health checks) is provided in Section 9. In summary, pnpm dev:up brings up: nginx, web (Next.js), api (Fastify), worker (BullMQ), postgres, redis, ipfs (Kubo), and anvil, plus a one-shot deploy-contracts container that runs forge script to deploy AssetLicenseRegistry.sol to Anvil and writes its address into a shared .env consumed by api/worker/web.</w:t>
      </w:r>
    </w:p>
    <w:p>
      <w:r>
        <w:br w:type="page"/>
      </w:r>
    </w:p>
    <w:p>
      <w:pPr>
        <w:pStyle w:val="Heading1"/>
        <w:pBdr>
          <w:bottom w:val="single" w:color="4338CA" w:sz="6" w:space="4"/>
        </w:pBdr>
        <w:spacing w:after="200" w:before="400"/>
      </w:pPr>
      <w:r>
        <w:rPr>
          <w:b/>
          <w:bCs/>
          <w:color w:val="1E1B4B"/>
          <w:sz w:val="30"/>
          <w:szCs w:val="30"/>
        </w:rPr>
        <w:t xml:space="preserve">4. System Features (Functional Requirements)</w:t>
      </w:r>
    </w:p>
    <w:p>
      <w:pPr>
        <w:spacing w:after="160" w:line="276"/>
      </w:pPr>
      <w:r>
        <w:rPr>
          <w:sz w:val="21"/>
          <w:szCs w:val="21"/>
        </w:rPr>
        <w:t xml:space="preserve">This section enumerates functional requirements grouped by capability module. Each requirement is uniquely identified and independently testable. Modules 1, 8, 9, 11, 13, and 14 are new in v2.0; the remainder extend the v1.0 modules to fit the production architecture in Section 3.</w:t>
      </w:r>
    </w:p>
    <w:p>
      <w:pPr>
        <w:pStyle w:val="Heading2"/>
        <w:spacing w:after="150" w:before="300"/>
      </w:pPr>
      <w:r>
        <w:rPr>
          <w:b/>
          <w:bCs/>
          <w:color w:val="4338CA"/>
          <w:sz w:val="25"/>
          <w:szCs w:val="25"/>
        </w:rPr>
        <w:t xml:space="preserve">4.1 Tenant &amp; Organization Management</w:t>
      </w:r>
    </w:p>
    <w:p>
      <w:pPr>
        <w:spacing w:after="100" w:line="264"/>
      </w:pPr>
      <w:r>
        <w:rPr>
          <w:i/>
          <w:iCs/>
          <w:color w:val="475569"/>
          <w:sz w:val="21"/>
          <w:szCs w:val="21"/>
        </w:rPr>
        <w:t xml:space="preserve">The system shall support self-service creation of isolated tenant workspaces and their ongoing administration.</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FR-1.1  </w:t>
      </w:r>
      <w:r>
        <w:rPr>
          <w:sz w:val="21"/>
          <w:szCs w:val="21"/>
        </w:rPr>
        <w:t xml:space="preserve">The system MUST allow a new user to create a Tenant (Organization) via a signup flow, becoming its first TenantAdmin.</w:t>
      </w:r>
    </w:p>
    <w:p>
      <w:pPr>
        <w:spacing w:after="110" w:line="264"/>
        <w:ind w:left="260"/>
      </w:pPr>
      <w:r>
        <w:rPr>
          <w:b/>
          <w:bCs/>
          <w:color w:val="4338CA"/>
          <w:sz w:val="21"/>
          <w:szCs w:val="21"/>
        </w:rPr>
        <w:t xml:space="preserve">FR-1.2  </w:t>
      </w:r>
      <w:r>
        <w:rPr>
          <w:sz w:val="21"/>
          <w:szCs w:val="21"/>
        </w:rPr>
        <w:t xml:space="preserve">The system MUST allow a TenantAdmin to invite additional users to the tenant by email, assigning an initial role.</w:t>
      </w:r>
    </w:p>
    <w:p>
      <w:pPr>
        <w:spacing w:after="110" w:line="264"/>
        <w:ind w:left="260"/>
      </w:pPr>
      <w:r>
        <w:rPr>
          <w:b/>
          <w:bCs/>
          <w:color w:val="4338CA"/>
          <w:sz w:val="21"/>
          <w:szCs w:val="21"/>
        </w:rPr>
        <w:t xml:space="preserve">FR-1.3  </w:t>
      </w:r>
      <w:r>
        <w:rPr>
          <w:sz w:val="21"/>
          <w:szCs w:val="21"/>
        </w:rPr>
        <w:t xml:space="preserve">The system MUST allow a TenantAdmin to change a user's role or remove a user from the tenant, subject to Section 3.6's permission matrix.</w:t>
      </w:r>
    </w:p>
    <w:p>
      <w:pPr>
        <w:spacing w:after="110" w:line="264"/>
        <w:ind w:left="260"/>
      </w:pPr>
      <w:r>
        <w:rPr>
          <w:b/>
          <w:bCs/>
          <w:color w:val="4338CA"/>
          <w:sz w:val="21"/>
          <w:szCs w:val="21"/>
        </w:rPr>
        <w:t xml:space="preserve">FR-1.4  </w:t>
      </w:r>
      <w:r>
        <w:rPr>
          <w:sz w:val="21"/>
          <w:szCs w:val="21"/>
        </w:rPr>
        <w:t xml:space="preserve">The system MUST allow a user who belongs to more than one tenant to switch the active tenant context, re-issuing a JWT scoped to the newly selected tenant.</w:t>
      </w:r>
    </w:p>
    <w:p>
      <w:pPr>
        <w:spacing w:after="110" w:line="264"/>
        <w:ind w:left="260"/>
      </w:pPr>
      <w:r>
        <w:rPr>
          <w:b/>
          <w:bCs/>
          <w:color w:val="4338CA"/>
          <w:sz w:val="21"/>
          <w:szCs w:val="21"/>
        </w:rPr>
        <w:t xml:space="preserve">FR-1.5  </w:t>
      </w:r>
      <w:r>
        <w:rPr>
          <w:sz w:val="21"/>
          <w:szCs w:val="21"/>
        </w:rPr>
        <w:t xml:space="preserve">The system MUST allow a SuperAdmin to suspend or reinstate a tenant, immediately blocking or restoring all API access for that tenant's users.</w:t>
      </w:r>
    </w:p>
    <w:p>
      <w:pPr>
        <w:spacing w:after="110" w:line="264"/>
        <w:ind w:left="260"/>
      </w:pPr>
      <w:r>
        <w:rPr>
          <w:b/>
          <w:bCs/>
          <w:color w:val="4338CA"/>
          <w:sz w:val="21"/>
          <w:szCs w:val="21"/>
        </w:rPr>
        <w:t xml:space="preserve">FR-1.6  </w:t>
      </w:r>
      <w:r>
        <w:rPr>
          <w:sz w:val="21"/>
          <w:szCs w:val="21"/>
        </w:rPr>
        <w:t xml:space="preserve">The system MUST enforce that no query, whether initiated by UI or API, can return rows belonging to a tenant other than the caller's active tenant (see NFR-SEC.5).</w:t>
      </w:r>
    </w:p>
    <w:p>
      <w:pPr>
        <w:pStyle w:val="Heading2"/>
        <w:spacing w:after="150" w:before="300"/>
      </w:pPr>
      <w:r>
        <w:rPr>
          <w:b/>
          <w:bCs/>
          <w:color w:val="4338CA"/>
          <w:sz w:val="25"/>
          <w:szCs w:val="25"/>
        </w:rPr>
        <w:t xml:space="preserve">4.2 Authentication &amp; Access Control</w:t>
      </w:r>
    </w:p>
    <w:p>
      <w:pPr>
        <w:spacing w:after="100" w:line="264"/>
      </w:pPr>
      <w:r>
        <w:rPr>
          <w:i/>
          <w:iCs/>
          <w:color w:val="475569"/>
          <w:sz w:val="21"/>
          <w:szCs w:val="21"/>
        </w:rPr>
        <w:t xml:space="preserve">The system shall provide secure, role-scoped access for all six user classes, plus token-based access for external API clients.</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FR-2.1  </w:t>
      </w:r>
      <w:r>
        <w:rPr>
          <w:sz w:val="21"/>
          <w:szCs w:val="21"/>
        </w:rPr>
        <w:t xml:space="preserve">The system MUST authenticate users via email/password with salted, hashed (bcrypt) credential storage.</w:t>
      </w:r>
    </w:p>
    <w:p>
      <w:pPr>
        <w:spacing w:after="110" w:line="264"/>
        <w:ind w:left="260"/>
      </w:pPr>
      <w:r>
        <w:rPr>
          <w:b/>
          <w:bCs/>
          <w:color w:val="4338CA"/>
          <w:sz w:val="21"/>
          <w:szCs w:val="21"/>
        </w:rPr>
        <w:t xml:space="preserve">FR-2.2  </w:t>
      </w:r>
      <w:r>
        <w:rPr>
          <w:sz w:val="21"/>
          <w:szCs w:val="21"/>
        </w:rPr>
        <w:t xml:space="preserve">The system MUST support Google SSO login, provisioning a new account on first sign-in and prompting for tenant selection/creation.</w:t>
      </w:r>
    </w:p>
    <w:p>
      <w:pPr>
        <w:spacing w:after="110" w:line="264"/>
        <w:ind w:left="260"/>
      </w:pPr>
      <w:r>
        <w:rPr>
          <w:b/>
          <w:bCs/>
          <w:color w:val="4338CA"/>
          <w:sz w:val="21"/>
          <w:szCs w:val="21"/>
        </w:rPr>
        <w:t xml:space="preserve">FR-2.3  </w:t>
      </w:r>
      <w:r>
        <w:rPr>
          <w:sz w:val="21"/>
          <w:szCs w:val="21"/>
        </w:rPr>
        <w:t xml:space="preserve">The system MUST issue a short-lived (≤15 min) JWT access token and a rotating refresh token, both delivered as httpOnly, Secure, SameSite cookies, scoped to the user's role, tenant, and permission set.</w:t>
      </w:r>
    </w:p>
    <w:p>
      <w:pPr>
        <w:spacing w:after="110" w:line="264"/>
        <w:ind w:left="260"/>
      </w:pPr>
      <w:r>
        <w:rPr>
          <w:b/>
          <w:bCs/>
          <w:color w:val="4338CA"/>
          <w:sz w:val="21"/>
          <w:szCs w:val="21"/>
        </w:rPr>
        <w:t xml:space="preserve">FR-2.4  </w:t>
      </w:r>
      <w:r>
        <w:rPr>
          <w:sz w:val="21"/>
          <w:szCs w:val="21"/>
        </w:rPr>
        <w:t xml:space="preserve">The system MUST reject expired or malformed tokens with HTTP 401, and insufficiently-scoped requests with HTTP 403.</w:t>
      </w:r>
    </w:p>
    <w:p>
      <w:pPr>
        <w:spacing w:after="110" w:line="264"/>
        <w:ind w:left="260"/>
      </w:pPr>
      <w:r>
        <w:rPr>
          <w:b/>
          <w:bCs/>
          <w:color w:val="4338CA"/>
          <w:sz w:val="21"/>
          <w:szCs w:val="21"/>
        </w:rPr>
        <w:t xml:space="preserve">FR-2.5  </w:t>
      </w:r>
      <w:r>
        <w:rPr>
          <w:sz w:val="21"/>
          <w:szCs w:val="21"/>
        </w:rPr>
        <w:t xml:space="preserve">The system MUST support issuance of API-key-based tokens for machine-to-machine access (POST /api/v1/auth/token), scoped to the Developer role's permissions.</w:t>
      </w:r>
    </w:p>
    <w:p>
      <w:pPr>
        <w:spacing w:after="110" w:line="264"/>
        <w:ind w:left="260"/>
      </w:pPr>
      <w:r>
        <w:rPr>
          <w:b/>
          <w:bCs/>
          <w:color w:val="4338CA"/>
          <w:sz w:val="21"/>
          <w:szCs w:val="21"/>
        </w:rPr>
        <w:t xml:space="preserve">FR-2.6  </w:t>
      </w:r>
      <w:r>
        <w:rPr>
          <w:sz w:val="21"/>
          <w:szCs w:val="21"/>
        </w:rPr>
        <w:t xml:space="preserve">The system SHOULD support optional wallet-based authentication (Sign-In with Ethereum) as an additional login method linked to an existing account, never as the sole login method.</w:t>
      </w:r>
    </w:p>
    <w:p>
      <w:pPr>
        <w:spacing w:after="110" w:line="264"/>
        <w:ind w:left="260"/>
      </w:pPr>
      <w:r>
        <w:rPr>
          <w:b/>
          <w:bCs/>
          <w:color w:val="4338CA"/>
          <w:sz w:val="21"/>
          <w:szCs w:val="21"/>
        </w:rPr>
        <w:t xml:space="preserve">FR-2.7  </w:t>
      </w:r>
      <w:r>
        <w:rPr>
          <w:sz w:val="21"/>
          <w:szCs w:val="21"/>
        </w:rPr>
        <w:t xml:space="preserve">The system MUST invalidate all refresh tokens for a user upon password change, role change, or tenant suspension.</w:t>
      </w:r>
    </w:p>
    <w:p>
      <w:pPr>
        <w:pStyle w:val="Heading2"/>
        <w:spacing w:after="150" w:before="300"/>
      </w:pPr>
      <w:r>
        <w:rPr>
          <w:b/>
          <w:bCs/>
          <w:color w:val="4338CA"/>
          <w:sz w:val="25"/>
          <w:szCs w:val="25"/>
        </w:rPr>
        <w:t xml:space="preserve">4.3 Asset Upload &amp; Management</w:t>
      </w:r>
    </w:p>
    <w:p>
      <w:pPr>
        <w:spacing w:after="100" w:line="264"/>
      </w:pPr>
      <w:r>
        <w:rPr>
          <w:i/>
          <w:iCs/>
          <w:color w:val="475569"/>
          <w:sz w:val="21"/>
          <w:szCs w:val="21"/>
        </w:rPr>
        <w:t xml:space="preserve">Creators shall be able to submit new 3D assets with descriptive metadata, track versions, and manage their own asset library within their tenant.</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FR-3.1  </w:t>
      </w:r>
      <w:r>
        <w:rPr>
          <w:sz w:val="21"/>
          <w:szCs w:val="21"/>
        </w:rPr>
        <w:t xml:space="preserve">The system MUST accept file uploads in .glb, .gltf, .obj, .fbx, .stl, or .blend format up to 200 MB, streamed directly to the ipfs-pin job queue (Section 3.10).</w:t>
      </w:r>
    </w:p>
    <w:p>
      <w:pPr>
        <w:spacing w:after="110" w:line="264"/>
        <w:ind w:left="260"/>
      </w:pPr>
      <w:r>
        <w:rPr>
          <w:b/>
          <w:bCs/>
          <w:color w:val="4338CA"/>
          <w:sz w:val="21"/>
          <w:szCs w:val="21"/>
        </w:rPr>
        <w:t xml:space="preserve">FR-3.2  </w:t>
      </w:r>
      <w:r>
        <w:rPr>
          <w:sz w:val="21"/>
          <w:szCs w:val="21"/>
        </w:rPr>
        <w:t xml:space="preserve">The system MUST require Name and Category, and SHOULD accept free-text Tags and a Source Tool designation at upload time.</w:t>
      </w:r>
    </w:p>
    <w:p>
      <w:pPr>
        <w:spacing w:after="110" w:line="264"/>
        <w:ind w:left="260"/>
      </w:pPr>
      <w:r>
        <w:rPr>
          <w:b/>
          <w:bCs/>
          <w:color w:val="4338CA"/>
          <w:sz w:val="21"/>
          <w:szCs w:val="21"/>
        </w:rPr>
        <w:t xml:space="preserve">FR-3.3  </w:t>
      </w:r>
      <w:r>
        <w:rPr>
          <w:sz w:val="21"/>
          <w:szCs w:val="21"/>
        </w:rPr>
        <w:t xml:space="preserve">The system MUST default newly uploaded assets to 'pending' status when submitted for review, or 'draft' when saved without submission.</w:t>
      </w:r>
    </w:p>
    <w:p>
      <w:pPr>
        <w:spacing w:after="110" w:line="264"/>
        <w:ind w:left="260"/>
      </w:pPr>
      <w:r>
        <w:rPr>
          <w:b/>
          <w:bCs/>
          <w:color w:val="4338CA"/>
          <w:sz w:val="21"/>
          <w:szCs w:val="21"/>
        </w:rPr>
        <w:t xml:space="preserve">FR-3.4  </w:t>
      </w:r>
      <w:r>
        <w:rPr>
          <w:sz w:val="21"/>
          <w:szCs w:val="21"/>
        </w:rPr>
        <w:t xml:space="preserve">The system MUST record every re-upload of a given asset as a new AssetVersion with its own IPFS CID, preserving prior versions and their review history.</w:t>
      </w:r>
    </w:p>
    <w:p>
      <w:pPr>
        <w:spacing w:after="110" w:line="264"/>
        <w:ind w:left="260"/>
      </w:pPr>
      <w:r>
        <w:rPr>
          <w:b/>
          <w:bCs/>
          <w:color w:val="4338CA"/>
          <w:sz w:val="21"/>
          <w:szCs w:val="21"/>
        </w:rPr>
        <w:t xml:space="preserve">FR-3.5  </w:t>
      </w:r>
      <w:r>
        <w:rPr>
          <w:sz w:val="21"/>
          <w:szCs w:val="21"/>
        </w:rPr>
        <w:t xml:space="preserve">The system MUST allow a Creator to view, filter, and search their own asset list by name, status, and tag, scoped to the active tenant.</w:t>
      </w:r>
    </w:p>
    <w:p>
      <w:pPr>
        <w:spacing w:after="110" w:line="264"/>
        <w:ind w:left="260"/>
      </w:pPr>
      <w:r>
        <w:rPr>
          <w:b/>
          <w:bCs/>
          <w:color w:val="4338CA"/>
          <w:sz w:val="21"/>
          <w:szCs w:val="21"/>
        </w:rPr>
        <w:t xml:space="preserve">FR-3.6  </w:t>
      </w:r>
      <w:r>
        <w:rPr>
          <w:sz w:val="21"/>
          <w:szCs w:val="21"/>
        </w:rPr>
        <w:t xml:space="preserve">The system MUST allow a Creator to delete their own assets that have not yet been published; publishing (FR-9) MUST be irreversible in the UI (a takedown instead calls FR-9.5).</w:t>
      </w:r>
    </w:p>
    <w:p>
      <w:pPr>
        <w:pStyle w:val="Heading2"/>
        <w:spacing w:after="150" w:before="300"/>
      </w:pPr>
      <w:r>
        <w:rPr>
          <w:b/>
          <w:bCs/>
          <w:color w:val="4338CA"/>
          <w:sz w:val="25"/>
          <w:szCs w:val="25"/>
        </w:rPr>
        <w:t xml:space="preserve">4.4 Review &amp; Approval Workflow</w:t>
      </w:r>
    </w:p>
    <w:p>
      <w:pPr>
        <w:spacing w:after="100" w:line="264"/>
      </w:pPr>
      <w:r>
        <w:rPr>
          <w:i/>
          <w:iCs/>
          <w:color w:val="475569"/>
          <w:sz w:val="21"/>
          <w:szCs w:val="21"/>
        </w:rPr>
        <w:t xml:space="preserve">Assessors shall be able to evaluate pending assets and record an approval decision with feedback, scoped to their tenant.</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FR-4.1  </w:t>
      </w:r>
      <w:r>
        <w:rPr>
          <w:sz w:val="21"/>
          <w:szCs w:val="21"/>
        </w:rPr>
        <w:t xml:space="preserve">The system MUST present Assessors with a queue of all assets in 'pending' status within their tenant, ordered by submission time.</w:t>
      </w:r>
    </w:p>
    <w:p>
      <w:pPr>
        <w:spacing w:after="110" w:line="264"/>
        <w:ind w:left="260"/>
      </w:pPr>
      <w:r>
        <w:rPr>
          <w:b/>
          <w:bCs/>
          <w:color w:val="4338CA"/>
          <w:sz w:val="21"/>
          <w:szCs w:val="21"/>
        </w:rPr>
        <w:t xml:space="preserve">FR-4.2  </w:t>
      </w:r>
      <w:r>
        <w:rPr>
          <w:sz w:val="21"/>
          <w:szCs w:val="21"/>
        </w:rPr>
        <w:t xml:space="preserve">The system MUST allow an Assessor to transition an asset to 'approved', 'rejected', or 'revision' with a required comment for 'rejected'/'revision' and an optional comment for 'approved'.</w:t>
      </w:r>
    </w:p>
    <w:p>
      <w:pPr>
        <w:spacing w:after="110" w:line="264"/>
        <w:ind w:left="260"/>
      </w:pPr>
      <w:r>
        <w:rPr>
          <w:b/>
          <w:bCs/>
          <w:color w:val="4338CA"/>
          <w:sz w:val="21"/>
          <w:szCs w:val="21"/>
        </w:rPr>
        <w:t xml:space="preserve">FR-4.3  </w:t>
      </w:r>
      <w:r>
        <w:rPr>
          <w:sz w:val="21"/>
          <w:szCs w:val="21"/>
        </w:rPr>
        <w:t xml:space="preserve">The system MUST restrict status-change actions to users holding the Assessor (or higher) role within that asset's tenant.</w:t>
      </w:r>
    </w:p>
    <w:p>
      <w:pPr>
        <w:spacing w:after="110" w:line="264"/>
        <w:ind w:left="260"/>
      </w:pPr>
      <w:r>
        <w:rPr>
          <w:b/>
          <w:bCs/>
          <w:color w:val="4338CA"/>
          <w:sz w:val="21"/>
          <w:szCs w:val="21"/>
        </w:rPr>
        <w:t xml:space="preserve">FR-4.4  </w:t>
      </w:r>
      <w:r>
        <w:rPr>
          <w:sz w:val="21"/>
          <w:szCs w:val="21"/>
        </w:rPr>
        <w:t xml:space="preserve">The system MUST notify (in-app, via FR-11) the originating Creator when the status of one of their assets changes.</w:t>
      </w:r>
    </w:p>
    <w:p>
      <w:pPr>
        <w:spacing w:after="110" w:line="264"/>
        <w:ind w:left="260"/>
      </w:pPr>
      <w:r>
        <w:rPr>
          <w:b/>
          <w:bCs/>
          <w:color w:val="4338CA"/>
          <w:sz w:val="21"/>
          <w:szCs w:val="21"/>
        </w:rPr>
        <w:t xml:space="preserve">FR-4.5  </w:t>
      </w:r>
      <w:r>
        <w:rPr>
          <w:sz w:val="21"/>
          <w:szCs w:val="21"/>
        </w:rPr>
        <w:t xml:space="preserve">The system SHOULD surface AI-suggested tags/description (Section 4.7) inline in the review queue to accelerate assessment.</w:t>
      </w:r>
    </w:p>
    <w:p>
      <w:pPr>
        <w:spacing w:after="110" w:line="264"/>
        <w:ind w:left="260"/>
      </w:pPr>
      <w:r>
        <w:rPr>
          <w:b/>
          <w:bCs/>
          <w:color w:val="4338CA"/>
          <w:sz w:val="21"/>
          <w:szCs w:val="21"/>
        </w:rPr>
        <w:t xml:space="preserve">FR-4.6  </w:t>
      </w:r>
      <w:r>
        <w:rPr>
          <w:sz w:val="21"/>
          <w:szCs w:val="21"/>
        </w:rPr>
        <w:t xml:space="preserve">The system MUST support threaded comments on an asset's review history, visible to the Creator and any Assessor in the tenant.</w:t>
      </w:r>
    </w:p>
    <w:p>
      <w:pPr>
        <w:pStyle w:val="Heading2"/>
        <w:spacing w:after="150" w:before="300"/>
      </w:pPr>
      <w:r>
        <w:rPr>
          <w:b/>
          <w:bCs/>
          <w:color w:val="4338CA"/>
          <w:sz w:val="25"/>
          <w:szCs w:val="25"/>
        </w:rPr>
        <w:t xml:space="preserve">4.5 3D Preview &amp; Visualization</w:t>
      </w:r>
    </w:p>
    <w:p>
      <w:pPr>
        <w:spacing w:after="100" w:line="264"/>
      </w:pPr>
      <w:r>
        <w:rPr>
          <w:i/>
          <w:iCs/>
          <w:color w:val="475569"/>
          <w:sz w:val="21"/>
          <w:szCs w:val="21"/>
        </w:rPr>
        <w:t xml:space="preserve">Both roles shall be able to visually inspect assets without leaving the browser.</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FR-5.1  </w:t>
      </w:r>
      <w:r>
        <w:rPr>
          <w:sz w:val="21"/>
          <w:szCs w:val="21"/>
        </w:rPr>
        <w:t xml:space="preserve">The system MUST render a live, rotating thumbnail preview for each asset card using WebGL (React Three Fiber), streamed from the IPFS gateway cache.</w:t>
      </w:r>
    </w:p>
    <w:p>
      <w:pPr>
        <w:spacing w:after="110" w:line="264"/>
        <w:ind w:left="260"/>
      </w:pPr>
      <w:r>
        <w:rPr>
          <w:b/>
          <w:bCs/>
          <w:color w:val="4338CA"/>
          <w:sz w:val="21"/>
          <w:szCs w:val="21"/>
        </w:rPr>
        <w:t xml:space="preserve">FR-5.2  </w:t>
      </w:r>
      <w:r>
        <w:rPr>
          <w:sz w:val="21"/>
          <w:szCs w:val="21"/>
        </w:rPr>
        <w:t xml:space="preserve">The system MUST provide a full-screen, mouse-orbit-controlled 3D viewer for detailed inspection, supporting glTF/GLB natively and other formats via on-the-fly server-side conversion where feasible.</w:t>
      </w:r>
    </w:p>
    <w:p>
      <w:pPr>
        <w:spacing w:after="110" w:line="264"/>
        <w:ind w:left="260"/>
      </w:pPr>
      <w:r>
        <w:rPr>
          <w:b/>
          <w:bCs/>
          <w:color w:val="4338CA"/>
          <w:sz w:val="21"/>
          <w:szCs w:val="21"/>
        </w:rPr>
        <w:t xml:space="preserve">FR-5.3  </w:t>
      </w:r>
      <w:r>
        <w:rPr>
          <w:sz w:val="21"/>
          <w:szCs w:val="21"/>
        </w:rPr>
        <w:t xml:space="preserve">The system SHOULD display asset metadata (polycount, format, tags, status, current IPFS CID) alongside the 3D viewer.</w:t>
      </w:r>
    </w:p>
    <w:p>
      <w:pPr>
        <w:pStyle w:val="Heading2"/>
        <w:spacing w:after="150" w:before="300"/>
      </w:pPr>
      <w:r>
        <w:rPr>
          <w:b/>
          <w:bCs/>
          <w:color w:val="4338CA"/>
          <w:sz w:val="25"/>
          <w:szCs w:val="25"/>
        </w:rPr>
        <w:t xml:space="preserve">4.6 Third-Party Tool Integrations</w:t>
      </w:r>
    </w:p>
    <w:p>
      <w:pPr>
        <w:spacing w:after="100" w:line="264"/>
      </w:pPr>
      <w:r>
        <w:rPr>
          <w:i/>
          <w:iCs/>
          <w:color w:val="475569"/>
          <w:sz w:val="21"/>
          <w:szCs w:val="21"/>
        </w:rPr>
        <w:t xml:space="preserve">The system shall allow sourcing of supplementary 3D content from established free/open libraries and tools.</w:t>
      </w:r>
    </w:p>
    <w:p>
      <w:pPr>
        <w:spacing w:after="140" w:before="60"/>
      </w:pPr>
      <w:r>
        <w:rPr>
          <w:b/>
          <w:bCs/>
          <w:color w:val="64748B"/>
          <w:sz w:val="20"/>
          <w:szCs w:val="20"/>
        </w:rPr>
        <w:t xml:space="preserve">Priority: </w:t>
      </w:r>
      <w:r>
        <w:rPr>
          <w:b/>
          <w:bCs/>
          <w:color w:val="B45309"/>
          <w:sz w:val="20"/>
          <w:szCs w:val="20"/>
        </w:rPr>
        <w:t xml:space="preserve">Medium</w:t>
      </w:r>
    </w:p>
    <w:p>
      <w:pPr>
        <w:spacing w:after="110" w:line="264"/>
        <w:ind w:left="260"/>
      </w:pPr>
      <w:r>
        <w:rPr>
          <w:b/>
          <w:bCs/>
          <w:color w:val="4338CA"/>
          <w:sz w:val="21"/>
          <w:szCs w:val="21"/>
        </w:rPr>
        <w:t xml:space="preserve">FR-6.1  </w:t>
      </w:r>
      <w:r>
        <w:rPr>
          <w:sz w:val="21"/>
          <w:szCs w:val="21"/>
        </w:rPr>
        <w:t xml:space="preserve">The system MUST provide a search interface against the Sketchfab API filtered by license and polygon count.</w:t>
      </w:r>
    </w:p>
    <w:p>
      <w:pPr>
        <w:spacing w:after="110" w:line="264"/>
        <w:ind w:left="260"/>
      </w:pPr>
      <w:r>
        <w:rPr>
          <w:b/>
          <w:bCs/>
          <w:color w:val="4338CA"/>
          <w:sz w:val="21"/>
          <w:szCs w:val="21"/>
        </w:rPr>
        <w:t xml:space="preserve">FR-6.2  </w:t>
      </w:r>
      <w:r>
        <w:rPr>
          <w:sz w:val="21"/>
          <w:szCs w:val="21"/>
        </w:rPr>
        <w:t xml:space="preserve">The system MUST provide a search interface against the Poly Pizza API filtered by keyword, category, and triangle count.</w:t>
      </w:r>
    </w:p>
    <w:p>
      <w:pPr>
        <w:spacing w:after="110" w:line="264"/>
        <w:ind w:left="260"/>
      </w:pPr>
      <w:r>
        <w:rPr>
          <w:b/>
          <w:bCs/>
          <w:color w:val="4338CA"/>
          <w:sz w:val="21"/>
          <w:szCs w:val="21"/>
        </w:rPr>
        <w:t xml:space="preserve">FR-6.3  </w:t>
      </w:r>
      <w:r>
        <w:rPr>
          <w:sz w:val="21"/>
          <w:szCs w:val="21"/>
        </w:rPr>
        <w:t xml:space="preserve">The system MUST support triggering a headless Blender export/optimization job (blender-optimize queue) from a .blend source file.</w:t>
      </w:r>
    </w:p>
    <w:p>
      <w:pPr>
        <w:spacing w:after="110" w:line="264"/>
        <w:ind w:left="260"/>
      </w:pPr>
      <w:r>
        <w:rPr>
          <w:b/>
          <w:bCs/>
          <w:color w:val="4338CA"/>
          <w:sz w:val="21"/>
          <w:szCs w:val="21"/>
        </w:rPr>
        <w:t xml:space="preserve">FR-6.4  </w:t>
      </w:r>
      <w:r>
        <w:rPr>
          <w:sz w:val="21"/>
          <w:szCs w:val="21"/>
        </w:rPr>
        <w:t xml:space="preserve">The system SHOULD support text-to-3D generation requests via the Meshy AI API.</w:t>
      </w:r>
    </w:p>
    <w:p>
      <w:pPr>
        <w:spacing w:after="110" w:line="264"/>
        <w:ind w:left="260"/>
      </w:pPr>
      <w:r>
        <w:rPr>
          <w:b/>
          <w:bCs/>
          <w:color w:val="4338CA"/>
          <w:sz w:val="21"/>
          <w:szCs w:val="21"/>
        </w:rPr>
        <w:t xml:space="preserve">FR-6.5  </w:t>
      </w:r>
      <w:r>
        <w:rPr>
          <w:sz w:val="21"/>
          <w:szCs w:val="21"/>
        </w:rPr>
        <w:t xml:space="preserve">The system MUST expose asynchronous job status polling (GET /api/v1/jobs/{id}) for all long-running tool operations.</w:t>
      </w:r>
    </w:p>
    <w:p>
      <w:pPr>
        <w:pStyle w:val="Heading2"/>
        <w:spacing w:after="150" w:before="300"/>
      </w:pPr>
      <w:r>
        <w:rPr>
          <w:b/>
          <w:bCs/>
          <w:color w:val="4338CA"/>
          <w:sz w:val="25"/>
          <w:szCs w:val="25"/>
        </w:rPr>
        <w:t xml:space="preserve">4.7 AI-Assisted Content Intelligence (Claude API)</w:t>
      </w:r>
    </w:p>
    <w:p>
      <w:pPr>
        <w:spacing w:after="100" w:line="264"/>
      </w:pPr>
      <w:r>
        <w:rPr>
          <w:i/>
          <w:iCs/>
          <w:color w:val="475569"/>
          <w:sz w:val="21"/>
          <w:szCs w:val="21"/>
        </w:rPr>
        <w:t xml:space="preserve">Upon ingestion of a new asset, the system shall automatically invoke the Claude API to generate candidate metadata and a review-support summary, reducing manual tagging effort and giving Assessors a consistent, explainable starting point for their decision.</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FR-7.1  </w:t>
      </w:r>
      <w:r>
        <w:rPr>
          <w:sz w:val="21"/>
          <w:szCs w:val="21"/>
        </w:rPr>
        <w:t xml:space="preserve">The system MUST, upon successful asset upload, enqueue an ai-enrichment job that sends the asset's filename, category, and any Creator-supplied tags to the Claude API (Messages endpoint) requesting a structured JSON response.</w:t>
      </w:r>
    </w:p>
    <w:p>
      <w:pPr>
        <w:spacing w:after="110" w:line="264"/>
        <w:ind w:left="260"/>
      </w:pPr>
      <w:r>
        <w:rPr>
          <w:b/>
          <w:bCs/>
          <w:color w:val="4338CA"/>
          <w:sz w:val="21"/>
          <w:szCs w:val="21"/>
        </w:rPr>
        <w:t xml:space="preserve">FR-7.2  </w:t>
      </w:r>
      <w:r>
        <w:rPr>
          <w:sz w:val="21"/>
          <w:szCs w:val="21"/>
        </w:rPr>
        <w:t xml:space="preserve">The Claude API response MUST be constrained, via system-prompt instruction, to a fixed JSON schema: {suggested_tags[], suggested_description, quality_flags[], confidence}.</w:t>
      </w:r>
    </w:p>
    <w:p>
      <w:pPr>
        <w:spacing w:after="110" w:line="264"/>
        <w:ind w:left="260"/>
      </w:pPr>
      <w:r>
        <w:rPr>
          <w:b/>
          <w:bCs/>
          <w:color w:val="4338CA"/>
          <w:sz w:val="21"/>
          <w:szCs w:val="21"/>
        </w:rPr>
        <w:t xml:space="preserve">FR-7.3  </w:t>
      </w:r>
      <w:r>
        <w:rPr>
          <w:sz w:val="21"/>
          <w:szCs w:val="21"/>
        </w:rPr>
        <w:t xml:space="preserve">The system MUST validate the returned JSON against the expected schema and, on failure, retry once with a stricter instruction before marking the asset needs_manual_review.</w:t>
      </w:r>
    </w:p>
    <w:p>
      <w:pPr>
        <w:spacing w:after="110" w:line="264"/>
        <w:ind w:left="260"/>
      </w:pPr>
      <w:r>
        <w:rPr>
          <w:b/>
          <w:bCs/>
          <w:color w:val="4338CA"/>
          <w:sz w:val="21"/>
          <w:szCs w:val="21"/>
        </w:rPr>
        <w:t xml:space="preserve">FR-7.4  </w:t>
      </w:r>
      <w:r>
        <w:rPr>
          <w:sz w:val="21"/>
          <w:szCs w:val="21"/>
        </w:rPr>
        <w:t xml:space="preserve">The system MUST persist AI-generated suggestions separately from Creator-authored metadata (never silently overwrite Creator input).</w:t>
      </w:r>
    </w:p>
    <w:p>
      <w:pPr>
        <w:spacing w:after="110" w:line="264"/>
        <w:ind w:left="260"/>
      </w:pPr>
      <w:r>
        <w:rPr>
          <w:b/>
          <w:bCs/>
          <w:color w:val="4338CA"/>
          <w:sz w:val="21"/>
          <w:szCs w:val="21"/>
        </w:rPr>
        <w:t xml:space="preserve">FR-7.5  </w:t>
      </w:r>
      <w:r>
        <w:rPr>
          <w:sz w:val="21"/>
          <w:szCs w:val="21"/>
        </w:rPr>
        <w:t xml:space="preserve">The system MUST display AI-suggested tags/description to the Assessor as clearly-labelled suggestions, not as authoritative fact, and MUST allow one-click accept or edit.</w:t>
      </w:r>
    </w:p>
    <w:p>
      <w:pPr>
        <w:spacing w:after="110" w:line="264"/>
        <w:ind w:left="260"/>
      </w:pPr>
      <w:r>
        <w:rPr>
          <w:b/>
          <w:bCs/>
          <w:color w:val="4338CA"/>
          <w:sz w:val="21"/>
          <w:szCs w:val="21"/>
        </w:rPr>
        <w:t xml:space="preserve">FR-7.6  </w:t>
      </w:r>
      <w:r>
        <w:rPr>
          <w:sz w:val="21"/>
          <w:szCs w:val="21"/>
        </w:rPr>
        <w:t xml:space="preserve">The system MUST NOT permit an asset to reach 'approved' status purely on AI output — a human Assessor decision is always required.</w:t>
      </w:r>
    </w:p>
    <w:p>
      <w:pPr>
        <w:spacing w:after="110" w:line="264"/>
        <w:ind w:left="260"/>
      </w:pPr>
      <w:r>
        <w:rPr>
          <w:b/>
          <w:bCs/>
          <w:color w:val="4338CA"/>
          <w:sz w:val="21"/>
          <w:szCs w:val="21"/>
        </w:rPr>
        <w:t xml:space="preserve">FR-7.7  </w:t>
      </w:r>
      <w:r>
        <w:rPr>
          <w:sz w:val="21"/>
          <w:szCs w:val="21"/>
        </w:rPr>
        <w:t xml:space="preserve">The system SHOULD log model version, prompt template version, and response latency for each AI enrichment call to the audit log (Section 4.13) to support auditability.</w:t>
      </w:r>
    </w:p>
    <w:p>
      <w:pPr>
        <w:pStyle w:val="Heading2"/>
        <w:spacing w:after="150" w:before="300"/>
      </w:pPr>
      <w:r>
        <w:rPr>
          <w:b/>
          <w:bCs/>
          <w:color w:val="4338CA"/>
          <w:sz w:val="25"/>
          <w:szCs w:val="25"/>
        </w:rPr>
        <w:t xml:space="preserve">4.8 Decentralized Storage &amp; Content Addressing (IPFS)</w:t>
      </w:r>
    </w:p>
    <w:p>
      <w:pPr>
        <w:spacing w:after="100" w:line="264"/>
      </w:pPr>
      <w:r>
        <w:rPr>
          <w:i/>
          <w:iCs/>
          <w:color w:val="475569"/>
          <w:sz w:val="21"/>
          <w:szCs w:val="21"/>
        </w:rPr>
        <w:t xml:space="preserve">All asset binaries shall be stored as content-addressed data on the local IPFS network rather than as opaque server-managed files.</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FR-8.1  </w:t>
      </w:r>
      <w:r>
        <w:rPr>
          <w:sz w:val="21"/>
          <w:szCs w:val="21"/>
        </w:rPr>
        <w:t xml:space="preserve">The system MUST add every uploaded asset file and every Blender-optimized derivative to the local IPFS node and record the resulting CID against its AssetVersion.</w:t>
      </w:r>
    </w:p>
    <w:p>
      <w:pPr>
        <w:spacing w:after="110" w:line="264"/>
        <w:ind w:left="260"/>
      </w:pPr>
      <w:r>
        <w:rPr>
          <w:b/>
          <w:bCs/>
          <w:color w:val="4338CA"/>
          <w:sz w:val="21"/>
          <w:szCs w:val="21"/>
        </w:rPr>
        <w:t xml:space="preserve">FR-8.2  </w:t>
      </w:r>
      <w:r>
        <w:rPr>
          <w:sz w:val="21"/>
          <w:szCs w:val="21"/>
        </w:rPr>
        <w:t xml:space="preserve">The system MUST pin every CID that is referenced by a non-deleted AssetVersion, and MUST unpin CIDs only when their owning AssetVersion is permanently deleted by its Creator (FR-3.6) or superseded and explicitly purged by a TenantAdmin.</w:t>
      </w:r>
    </w:p>
    <w:p>
      <w:pPr>
        <w:spacing w:after="110" w:line="264"/>
        <w:ind w:left="260"/>
      </w:pPr>
      <w:r>
        <w:rPr>
          <w:b/>
          <w:bCs/>
          <w:color w:val="4338CA"/>
          <w:sz w:val="21"/>
          <w:szCs w:val="21"/>
        </w:rPr>
        <w:t xml:space="preserve">FR-8.3  </w:t>
      </w:r>
      <w:r>
        <w:rPr>
          <w:sz w:val="21"/>
          <w:szCs w:val="21"/>
        </w:rPr>
        <w:t xml:space="preserve">The system MUST serve asset content to the browser through the Nginx IPFS-gateway cache rather than exposing the IPFS node directly to the client.</w:t>
      </w:r>
    </w:p>
    <w:p>
      <w:pPr>
        <w:spacing w:after="110" w:line="264"/>
        <w:ind w:left="260"/>
      </w:pPr>
      <w:r>
        <w:rPr>
          <w:b/>
          <w:bCs/>
          <w:color w:val="4338CA"/>
          <w:sz w:val="21"/>
          <w:szCs w:val="21"/>
        </w:rPr>
        <w:t xml:space="preserve">FR-8.4  </w:t>
      </w:r>
      <w:r>
        <w:rPr>
          <w:sz w:val="21"/>
          <w:szCs w:val="21"/>
        </w:rPr>
        <w:t xml:space="preserve">The system MUST display an asset's current CID in its metadata panel and MUST allow copying it for external verification against the IPFS network.</w:t>
      </w:r>
    </w:p>
    <w:p>
      <w:pPr>
        <w:spacing w:after="110" w:line="264"/>
        <w:ind w:left="260"/>
      </w:pPr>
      <w:r>
        <w:rPr>
          <w:b/>
          <w:bCs/>
          <w:color w:val="4338CA"/>
          <w:sz w:val="21"/>
          <w:szCs w:val="21"/>
        </w:rPr>
        <w:t xml:space="preserve">FR-8.5  </w:t>
      </w:r>
      <w:r>
        <w:rPr>
          <w:sz w:val="21"/>
          <w:szCs w:val="21"/>
        </w:rPr>
        <w:t xml:space="preserve">The system MUST treat an IPFS add/pin failure as a retryable job failure (Section 3.10) and MUST NOT mark an asset 'pending' for review until its CID is successfully pinned.</w:t>
      </w:r>
    </w:p>
    <w:p>
      <w:pPr>
        <w:pStyle w:val="Heading2"/>
        <w:spacing w:after="150" w:before="300"/>
      </w:pPr>
      <w:r>
        <w:rPr>
          <w:b/>
          <w:bCs/>
          <w:color w:val="4338CA"/>
          <w:sz w:val="25"/>
          <w:szCs w:val="25"/>
        </w:rPr>
        <w:t xml:space="preserve">4.9 Blockchain Licensing &amp; Provenance</w:t>
      </w:r>
    </w:p>
    <w:p>
      <w:pPr>
        <w:spacing w:after="100" w:line="264"/>
      </w:pPr>
      <w:r>
        <w:rPr>
          <w:i/>
          <w:iCs/>
          <w:color w:val="475569"/>
          <w:sz w:val="21"/>
          <w:szCs w:val="21"/>
        </w:rPr>
        <w:t xml:space="preserve">Every published asset shall receive an immutable, on-chain license record, giving downstream consumers and auditors a verifiable link between an approval decision and the exact asset content it covers.</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FR-9.1  </w:t>
      </w:r>
      <w:r>
        <w:rPr>
          <w:sz w:val="21"/>
          <w:szCs w:val="21"/>
        </w:rPr>
        <w:t xml:space="preserve">The system MUST allow an Assessor to trigger Publish only on an asset whose status is 'approved' (see FR-10.1).</w:t>
      </w:r>
    </w:p>
    <w:p>
      <w:pPr>
        <w:spacing w:after="110" w:line="264"/>
        <w:ind w:left="260"/>
      </w:pPr>
      <w:r>
        <w:rPr>
          <w:b/>
          <w:bCs/>
          <w:color w:val="4338CA"/>
          <w:sz w:val="21"/>
          <w:szCs w:val="21"/>
        </w:rPr>
        <w:t xml:space="preserve">FR-9.2  </w:t>
      </w:r>
      <w:r>
        <w:rPr>
          <w:sz w:val="21"/>
          <w:szCs w:val="21"/>
        </w:rPr>
        <w:t xml:space="preserve">Upon Publish, the system MUST enqueue a chain-license job that calls mintLicense on AssetLicenseRegistry.sol via the tenant's managed signer, passing the asset's current CID and a hash of its license terms.</w:t>
      </w:r>
    </w:p>
    <w:p>
      <w:pPr>
        <w:spacing w:after="110" w:line="264"/>
        <w:ind w:left="260"/>
      </w:pPr>
      <w:r>
        <w:rPr>
          <w:b/>
          <w:bCs/>
          <w:color w:val="4338CA"/>
          <w:sz w:val="21"/>
          <w:szCs w:val="21"/>
        </w:rPr>
        <w:t xml:space="preserve">FR-9.3  </w:t>
      </w:r>
      <w:r>
        <w:rPr>
          <w:sz w:val="21"/>
          <w:szCs w:val="21"/>
        </w:rPr>
        <w:t xml:space="preserve">The system MUST wait for the LicenseMinted event/transaction confirmation before marking the asset 'published', and MUST surface the resulting tokenId and transaction hash in the asset's detail view.</w:t>
      </w:r>
    </w:p>
    <w:p>
      <w:pPr>
        <w:spacing w:after="110" w:line="264"/>
        <w:ind w:left="260"/>
      </w:pPr>
      <w:r>
        <w:rPr>
          <w:b/>
          <w:bCs/>
          <w:color w:val="4338CA"/>
          <w:sz w:val="21"/>
          <w:szCs w:val="21"/>
        </w:rPr>
        <w:t xml:space="preserve">FR-9.4  </w:t>
      </w:r>
      <w:r>
        <w:rPr>
          <w:sz w:val="21"/>
          <w:szCs w:val="21"/>
        </w:rPr>
        <w:t xml:space="preserve">The system MUST NOT allow an asset's underlying file to be modified after a license has been minted for its current version; a new upload MUST create a new AssetVersion and, if published, a new license.</w:t>
      </w:r>
    </w:p>
    <w:p>
      <w:pPr>
        <w:spacing w:after="110" w:line="264"/>
        <w:ind w:left="260"/>
      </w:pPr>
      <w:r>
        <w:rPr>
          <w:b/>
          <w:bCs/>
          <w:color w:val="4338CA"/>
          <w:sz w:val="21"/>
          <w:szCs w:val="21"/>
        </w:rPr>
        <w:t xml:space="preserve">FR-9.5  </w:t>
      </w:r>
      <w:r>
        <w:rPr>
          <w:sz w:val="21"/>
          <w:szCs w:val="21"/>
        </w:rPr>
        <w:t xml:space="preserve">The system MUST allow a TenantAdmin to request revocation of a published asset's license (calling revokeLicense), which flags the license revoked on-chain and in the UI without deleting its history.</w:t>
      </w:r>
    </w:p>
    <w:p>
      <w:pPr>
        <w:spacing w:after="110" w:line="264"/>
        <w:ind w:left="260"/>
      </w:pPr>
      <w:r>
        <w:rPr>
          <w:b/>
          <w:bCs/>
          <w:color w:val="4338CA"/>
          <w:sz w:val="21"/>
          <w:szCs w:val="21"/>
        </w:rPr>
        <w:t xml:space="preserve">FR-9.6  </w:t>
      </w:r>
      <w:r>
        <w:rPr>
          <w:sz w:val="21"/>
          <w:szCs w:val="21"/>
        </w:rPr>
        <w:t xml:space="preserve">The system MUST persist every chain interaction's transaction hash, block number, and gas used to the audit log (Section 4.13) for verifiability.</w:t>
      </w:r>
    </w:p>
    <w:p>
      <w:pPr>
        <w:spacing w:after="110" w:line="264"/>
        <w:ind w:left="260"/>
      </w:pPr>
      <w:r>
        <w:rPr>
          <w:b/>
          <w:bCs/>
          <w:color w:val="4338CA"/>
          <w:sz w:val="21"/>
          <w:szCs w:val="21"/>
        </w:rPr>
        <w:t xml:space="preserve">FR-9.7  </w:t>
      </w:r>
      <w:r>
        <w:rPr>
          <w:sz w:val="21"/>
          <w:szCs w:val="21"/>
        </w:rPr>
        <w:t xml:space="preserve">The system SHOULD provide a link from each license record to a local block-explorer view (or a simple in-app transaction inspector) showing the underlying Anvil transaction.</w:t>
      </w:r>
    </w:p>
    <w:p>
      <w:pPr>
        <w:pStyle w:val="Heading2"/>
        <w:spacing w:after="150" w:before="300"/>
      </w:pPr>
      <w:r>
        <w:rPr>
          <w:b/>
          <w:bCs/>
          <w:color w:val="4338CA"/>
          <w:sz w:val="25"/>
          <w:szCs w:val="25"/>
        </w:rPr>
        <w:t xml:space="preserve">4.10 XR Publishing (EoN Reality)</w:t>
      </w:r>
    </w:p>
    <w:p>
      <w:pPr>
        <w:spacing w:after="100" w:line="264"/>
      </w:pPr>
      <w:r>
        <w:rPr>
          <w:i/>
          <w:iCs/>
          <w:color w:val="475569"/>
          <w:sz w:val="21"/>
          <w:szCs w:val="21"/>
        </w:rPr>
        <w:t xml:space="preserve">Licensed assets shall be publishable into the downstream XR training platform.</w:t>
      </w:r>
    </w:p>
    <w:p>
      <w:pPr>
        <w:spacing w:after="140" w:before="60"/>
      </w:pPr>
      <w:r>
        <w:rPr>
          <w:b/>
          <w:bCs/>
          <w:color w:val="64748B"/>
          <w:sz w:val="20"/>
          <w:szCs w:val="20"/>
        </w:rPr>
        <w:t xml:space="preserve">Priority: </w:t>
      </w:r>
      <w:r>
        <w:rPr>
          <w:b/>
          <w:bCs/>
          <w:color w:val="B45309"/>
          <w:sz w:val="20"/>
          <w:szCs w:val="20"/>
        </w:rPr>
        <w:t xml:space="preserve">Medium</w:t>
      </w:r>
    </w:p>
    <w:p>
      <w:pPr>
        <w:spacing w:after="110" w:line="264"/>
        <w:ind w:left="260"/>
      </w:pPr>
      <w:r>
        <w:rPr>
          <w:b/>
          <w:bCs/>
          <w:color w:val="4338CA"/>
          <w:sz w:val="21"/>
          <w:szCs w:val="21"/>
        </w:rPr>
        <w:t xml:space="preserve">FR-10.1  </w:t>
      </w:r>
      <w:r>
        <w:rPr>
          <w:sz w:val="21"/>
          <w:szCs w:val="21"/>
        </w:rPr>
        <w:t xml:space="preserve">The system MUST allow the xr-publish job to call EoN Reality only after a license has been successfully minted for the asset (i.e., after FR-9.3).</w:t>
      </w:r>
    </w:p>
    <w:p>
      <w:pPr>
        <w:spacing w:after="110" w:line="264"/>
        <w:ind w:left="260"/>
      </w:pPr>
      <w:r>
        <w:rPr>
          <w:b/>
          <w:bCs/>
          <w:color w:val="4338CA"/>
          <w:sz w:val="21"/>
          <w:szCs w:val="21"/>
        </w:rPr>
        <w:t xml:space="preserve">FR-10.2  </w:t>
      </w:r>
      <w:r>
        <w:rPr>
          <w:sz w:val="21"/>
          <w:szCs w:val="21"/>
        </w:rPr>
        <w:t xml:space="preserve">The system MUST reject direct publish requests for non-approved assets with HTTP 409 Conflict.</w:t>
      </w:r>
    </w:p>
    <w:p>
      <w:pPr>
        <w:spacing w:after="110" w:line="264"/>
        <w:ind w:left="260"/>
      </w:pPr>
      <w:r>
        <w:rPr>
          <w:b/>
          <w:bCs/>
          <w:color w:val="4338CA"/>
          <w:sz w:val="21"/>
          <w:szCs w:val="21"/>
        </w:rPr>
        <w:t xml:space="preserve">FR-10.3  </w:t>
      </w:r>
      <w:r>
        <w:rPr>
          <w:sz w:val="21"/>
          <w:szCs w:val="21"/>
        </w:rPr>
        <w:t xml:space="preserve">The system MUST generate and return an XR manifest reference and module URL upon successful publish, storing both alongside the on-chain license reference.</w:t>
      </w:r>
    </w:p>
    <w:p>
      <w:pPr>
        <w:pStyle w:val="Heading2"/>
        <w:spacing w:after="150" w:before="300"/>
      </w:pPr>
      <w:r>
        <w:rPr>
          <w:b/>
          <w:bCs/>
          <w:color w:val="4338CA"/>
          <w:sz w:val="25"/>
          <w:szCs w:val="25"/>
        </w:rPr>
        <w:t xml:space="preserve">4.11 Notifications</w:t>
      </w:r>
    </w:p>
    <w:p>
      <w:pPr>
        <w:spacing w:after="100" w:line="264"/>
      </w:pPr>
      <w:r>
        <w:rPr>
          <w:i/>
          <w:iCs/>
          <w:color w:val="475569"/>
          <w:sz w:val="21"/>
          <w:szCs w:val="21"/>
        </w:rPr>
        <w:t xml:space="preserve">Users shall be kept informed of state changes relevant to their role without needing to poll.</w:t>
      </w:r>
    </w:p>
    <w:p>
      <w:pPr>
        <w:spacing w:after="140" w:before="60"/>
      </w:pPr>
      <w:r>
        <w:rPr>
          <w:b/>
          <w:bCs/>
          <w:color w:val="64748B"/>
          <w:sz w:val="20"/>
          <w:szCs w:val="20"/>
        </w:rPr>
        <w:t xml:space="preserve">Priority: </w:t>
      </w:r>
      <w:r>
        <w:rPr>
          <w:b/>
          <w:bCs/>
          <w:color w:val="B45309"/>
          <w:sz w:val="20"/>
          <w:szCs w:val="20"/>
        </w:rPr>
        <w:t xml:space="preserve">Medium</w:t>
      </w:r>
    </w:p>
    <w:p>
      <w:pPr>
        <w:spacing w:after="110" w:line="264"/>
        <w:ind w:left="260"/>
      </w:pPr>
      <w:r>
        <w:rPr>
          <w:b/>
          <w:bCs/>
          <w:color w:val="4338CA"/>
          <w:sz w:val="21"/>
          <w:szCs w:val="21"/>
        </w:rPr>
        <w:t xml:space="preserve">FR-11.1  </w:t>
      </w:r>
      <w:r>
        <w:rPr>
          <w:sz w:val="21"/>
          <w:szCs w:val="21"/>
        </w:rPr>
        <w:t xml:space="preserve">The system MUST create an in-app notification for the Creator when their asset's status changes (submitted, needs_manual_review, approved, rejected, revision, published).</w:t>
      </w:r>
    </w:p>
    <w:p>
      <w:pPr>
        <w:spacing w:after="110" w:line="264"/>
        <w:ind w:left="260"/>
      </w:pPr>
      <w:r>
        <w:rPr>
          <w:b/>
          <w:bCs/>
          <w:color w:val="4338CA"/>
          <w:sz w:val="21"/>
          <w:szCs w:val="21"/>
        </w:rPr>
        <w:t xml:space="preserve">FR-11.2  </w:t>
      </w:r>
      <w:r>
        <w:rPr>
          <w:sz w:val="21"/>
          <w:szCs w:val="21"/>
        </w:rPr>
        <w:t xml:space="preserve">The system MUST create an in-app notification for Assessors when a new asset enters the 'pending' queue.</w:t>
      </w:r>
    </w:p>
    <w:p>
      <w:pPr>
        <w:spacing w:after="110" w:line="264"/>
        <w:ind w:left="260"/>
      </w:pPr>
      <w:r>
        <w:rPr>
          <w:b/>
          <w:bCs/>
          <w:color w:val="4338CA"/>
          <w:sz w:val="21"/>
          <w:szCs w:val="21"/>
        </w:rPr>
        <w:t xml:space="preserve">FR-11.3  </w:t>
      </w:r>
      <w:r>
        <w:rPr>
          <w:sz w:val="21"/>
          <w:szCs w:val="21"/>
        </w:rPr>
        <w:t xml:space="preserve">The system MUST allow a user to mark notifications as read and MUST show an unread count in the UI header.</w:t>
      </w:r>
    </w:p>
    <w:p>
      <w:pPr>
        <w:spacing w:after="110" w:line="264"/>
        <w:ind w:left="260"/>
      </w:pPr>
      <w:r>
        <w:rPr>
          <w:b/>
          <w:bCs/>
          <w:color w:val="4338CA"/>
          <w:sz w:val="21"/>
          <w:szCs w:val="21"/>
        </w:rPr>
        <w:t xml:space="preserve">FR-11.4  </w:t>
      </w:r>
      <w:r>
        <w:rPr>
          <w:sz w:val="21"/>
          <w:szCs w:val="21"/>
        </w:rPr>
        <w:t xml:space="preserve">The system SHOULD support an optional outbound webhook per tenant, firing on the same events as FR-11.1/11.2, for external integration.</w:t>
      </w:r>
    </w:p>
    <w:p>
      <w:pPr>
        <w:pStyle w:val="Heading2"/>
        <w:spacing w:after="150" w:before="300"/>
      </w:pPr>
      <w:r>
        <w:rPr>
          <w:b/>
          <w:bCs/>
          <w:color w:val="4338CA"/>
          <w:sz w:val="25"/>
          <w:szCs w:val="25"/>
        </w:rPr>
        <w:t xml:space="preserve">4.12 Developer / API Access</w:t>
      </w:r>
    </w:p>
    <w:p>
      <w:pPr>
        <w:spacing w:after="100" w:line="264"/>
      </w:pPr>
      <w:r>
        <w:rPr>
          <w:i/>
          <w:iCs/>
          <w:color w:val="475569"/>
          <w:sz w:val="21"/>
          <w:szCs w:val="21"/>
        </w:rPr>
        <w:t xml:space="preserve">External systems shall be able to integrate with VOID·SPACE programmatically.</w:t>
      </w:r>
    </w:p>
    <w:p>
      <w:pPr>
        <w:spacing w:after="140" w:before="60"/>
      </w:pPr>
      <w:r>
        <w:rPr>
          <w:b/>
          <w:bCs/>
          <w:color w:val="64748B"/>
          <w:sz w:val="20"/>
          <w:szCs w:val="20"/>
        </w:rPr>
        <w:t xml:space="preserve">Priority: </w:t>
      </w:r>
      <w:r>
        <w:rPr>
          <w:b/>
          <w:bCs/>
          <w:color w:val="B45309"/>
          <w:sz w:val="20"/>
          <w:szCs w:val="20"/>
        </w:rPr>
        <w:t xml:space="preserve">Medium</w:t>
      </w:r>
    </w:p>
    <w:p>
      <w:pPr>
        <w:spacing w:after="110" w:line="264"/>
        <w:ind w:left="260"/>
      </w:pPr>
      <w:r>
        <w:rPr>
          <w:b/>
          <w:bCs/>
          <w:color w:val="4338CA"/>
          <w:sz w:val="21"/>
          <w:szCs w:val="21"/>
        </w:rPr>
        <w:t xml:space="preserve">FR-12.1  </w:t>
      </w:r>
      <w:r>
        <w:rPr>
          <w:sz w:val="21"/>
          <w:szCs w:val="21"/>
        </w:rPr>
        <w:t xml:space="preserve">The system MUST expose a versioned REST API under /api/v1/ covering tenancy, authentication, assets, tools, jobs, review, licensing, and publishing (see Section 6.4).</w:t>
      </w:r>
    </w:p>
    <w:p>
      <w:pPr>
        <w:spacing w:after="110" w:line="264"/>
        <w:ind w:left="260"/>
      </w:pPr>
      <w:r>
        <w:rPr>
          <w:b/>
          <w:bCs/>
          <w:color w:val="4338CA"/>
          <w:sz w:val="21"/>
          <w:szCs w:val="21"/>
        </w:rPr>
        <w:t xml:space="preserve">FR-12.2  </w:t>
      </w:r>
      <w:r>
        <w:rPr>
          <w:sz w:val="21"/>
          <w:szCs w:val="21"/>
        </w:rPr>
        <w:t xml:space="preserve">The system MUST provide an in-app, always-current API reference (generated from the OpenAPI schema) with example requests/responses.</w:t>
      </w:r>
    </w:p>
    <w:p>
      <w:pPr>
        <w:spacing w:after="110" w:line="264"/>
        <w:ind w:left="260"/>
      </w:pPr>
      <w:r>
        <w:rPr>
          <w:b/>
          <w:bCs/>
          <w:color w:val="4338CA"/>
          <w:sz w:val="21"/>
          <w:szCs w:val="21"/>
        </w:rPr>
        <w:t xml:space="preserve">FR-12.3  </w:t>
      </w:r>
      <w:r>
        <w:rPr>
          <w:sz w:val="21"/>
          <w:szCs w:val="21"/>
        </w:rPr>
        <w:t xml:space="preserve">The system MUST allow API key creation, copy (once, at creation), and rotation from the developer-facing dashboard, scoped to the Developer role's tenant.</w:t>
      </w:r>
    </w:p>
    <w:p>
      <w:pPr>
        <w:spacing w:after="110" w:line="264"/>
        <w:ind w:left="260"/>
      </w:pPr>
      <w:r>
        <w:rPr>
          <w:b/>
          <w:bCs/>
          <w:color w:val="4338CA"/>
          <w:sz w:val="21"/>
          <w:szCs w:val="21"/>
        </w:rPr>
        <w:t xml:space="preserve">FR-12.4  </w:t>
      </w:r>
      <w:r>
        <w:rPr>
          <w:sz w:val="21"/>
          <w:szCs w:val="21"/>
        </w:rPr>
        <w:t xml:space="preserve">The system MUST rate-limit API-key-authenticated requests per key, returning HTTP 429 with a Retry-After header when exceeded.</w:t>
      </w:r>
    </w:p>
    <w:p>
      <w:pPr>
        <w:pStyle w:val="Heading2"/>
        <w:spacing w:after="150" w:before="300"/>
      </w:pPr>
      <w:r>
        <w:rPr>
          <w:b/>
          <w:bCs/>
          <w:color w:val="4338CA"/>
          <w:sz w:val="25"/>
          <w:szCs w:val="25"/>
        </w:rPr>
        <w:t xml:space="preserve">4.13 Audit Log &amp; Compliance Trail</w:t>
      </w:r>
    </w:p>
    <w:p>
      <w:pPr>
        <w:spacing w:after="100" w:line="264"/>
      </w:pPr>
      <w:r>
        <w:rPr>
          <w:i/>
          <w:iCs/>
          <w:color w:val="475569"/>
          <w:sz w:val="21"/>
          <w:szCs w:val="21"/>
        </w:rPr>
        <w:t xml:space="preserve">Every state-changing action shall be recorded in an immutable, queryable audit trail scoped to the tenant.</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FR-13.1  </w:t>
      </w:r>
      <w:r>
        <w:rPr>
          <w:sz w:val="21"/>
          <w:szCs w:val="21"/>
        </w:rPr>
        <w:t xml:space="preserve">The system MUST record an AuditLog entry for every authentication event, role change, asset status transition, chain transaction, and publish/revocation action, including actor, timestamp, and before/after state.</w:t>
      </w:r>
    </w:p>
    <w:p>
      <w:pPr>
        <w:spacing w:after="110" w:line="264"/>
        <w:ind w:left="260"/>
      </w:pPr>
      <w:r>
        <w:rPr>
          <w:b/>
          <w:bCs/>
          <w:color w:val="4338CA"/>
          <w:sz w:val="21"/>
          <w:szCs w:val="21"/>
        </w:rPr>
        <w:t xml:space="preserve">FR-13.2  </w:t>
      </w:r>
      <w:r>
        <w:rPr>
          <w:sz w:val="21"/>
          <w:szCs w:val="21"/>
        </w:rPr>
        <w:t xml:space="preserve">The system MUST allow a TenantAdmin to view and filter their tenant's audit log by actor, entity, and date range.</w:t>
      </w:r>
    </w:p>
    <w:p>
      <w:pPr>
        <w:spacing w:after="110" w:line="264"/>
        <w:ind w:left="260"/>
      </w:pPr>
      <w:r>
        <w:rPr>
          <w:b/>
          <w:bCs/>
          <w:color w:val="4338CA"/>
          <w:sz w:val="21"/>
          <w:szCs w:val="21"/>
        </w:rPr>
        <w:t xml:space="preserve">FR-13.3  </w:t>
      </w:r>
      <w:r>
        <w:rPr>
          <w:sz w:val="21"/>
          <w:szCs w:val="21"/>
        </w:rPr>
        <w:t xml:space="preserve">The system MUST prevent update or deletion of AuditLog rows via the application layer (append-only at the database-permission level).</w:t>
      </w:r>
    </w:p>
    <w:p>
      <w:pPr>
        <w:pStyle w:val="Heading2"/>
        <w:spacing w:after="150" w:before="300"/>
      </w:pPr>
      <w:r>
        <w:rPr>
          <w:b/>
          <w:bCs/>
          <w:color w:val="4338CA"/>
          <w:sz w:val="25"/>
          <w:szCs w:val="25"/>
        </w:rPr>
        <w:t xml:space="preserve">4.14 Admin &amp; Platform Configuration</w:t>
      </w:r>
    </w:p>
    <w:p>
      <w:pPr>
        <w:spacing w:after="100" w:line="264"/>
      </w:pPr>
      <w:r>
        <w:rPr>
          <w:i/>
          <w:iCs/>
          <w:color w:val="475569"/>
          <w:sz w:val="21"/>
          <w:szCs w:val="21"/>
        </w:rPr>
        <w:t xml:space="preserve">Platform and tenant administrators shall be able to manage configuration without direct database access.</w:t>
      </w:r>
    </w:p>
    <w:p>
      <w:pPr>
        <w:spacing w:after="140" w:before="60"/>
      </w:pPr>
      <w:r>
        <w:rPr>
          <w:b/>
          <w:bCs/>
          <w:color w:val="64748B"/>
          <w:sz w:val="20"/>
          <w:szCs w:val="20"/>
        </w:rPr>
        <w:t xml:space="preserve">Priority: </w:t>
      </w:r>
      <w:r>
        <w:rPr>
          <w:b/>
          <w:bCs/>
          <w:color w:val="B45309"/>
          <w:sz w:val="20"/>
          <w:szCs w:val="20"/>
        </w:rPr>
        <w:t xml:space="preserve">Medium</w:t>
      </w:r>
    </w:p>
    <w:p>
      <w:pPr>
        <w:spacing w:after="110" w:line="264"/>
        <w:ind w:left="260"/>
      </w:pPr>
      <w:r>
        <w:rPr>
          <w:b/>
          <w:bCs/>
          <w:color w:val="4338CA"/>
          <w:sz w:val="21"/>
          <w:szCs w:val="21"/>
        </w:rPr>
        <w:t xml:space="preserve">FR-14.1  </w:t>
      </w:r>
      <w:r>
        <w:rPr>
          <w:sz w:val="21"/>
          <w:szCs w:val="21"/>
        </w:rPr>
        <w:t xml:space="preserve">The system MUST provide a SuperAdmin console listing all tenants with status, user count, and asset count, supporting suspend/reinstate (FR-1.5).</w:t>
      </w:r>
    </w:p>
    <w:p>
      <w:pPr>
        <w:spacing w:after="110" w:line="264"/>
        <w:ind w:left="260"/>
      </w:pPr>
      <w:r>
        <w:rPr>
          <w:b/>
          <w:bCs/>
          <w:color w:val="4338CA"/>
          <w:sz w:val="21"/>
          <w:szCs w:val="21"/>
        </w:rPr>
        <w:t xml:space="preserve">FR-14.2  </w:t>
      </w:r>
      <w:r>
        <w:rPr>
          <w:sz w:val="21"/>
          <w:szCs w:val="21"/>
        </w:rPr>
        <w:t xml:space="preserve">The system MUST provide a TenantAdmin console for managing users, roles, API keys, and webhook configuration (FR-11.4) within their tenant.</w:t>
      </w:r>
    </w:p>
    <w:p>
      <w:pPr>
        <w:spacing w:after="110" w:line="264"/>
        <w:ind w:left="260"/>
      </w:pPr>
      <w:r>
        <w:rPr>
          <w:b/>
          <w:bCs/>
          <w:color w:val="4338CA"/>
          <w:sz w:val="21"/>
          <w:szCs w:val="21"/>
        </w:rPr>
        <w:t xml:space="preserve">FR-14.3  </w:t>
      </w:r>
      <w:r>
        <w:rPr>
          <w:sz w:val="21"/>
          <w:szCs w:val="21"/>
        </w:rPr>
        <w:t xml:space="preserve">The system SHOULD allow a TenantAdmin to configure tenant-level defaults (e.g., default polycount budget, required metadata fields) applied at upload time.</w:t>
      </w:r>
    </w:p>
    <w:p>
      <w:pPr>
        <w:pStyle w:val="Heading2"/>
        <w:spacing w:after="150" w:before="300"/>
      </w:pPr>
      <w:r>
        <w:rPr>
          <w:b/>
          <w:bCs/>
          <w:color w:val="4338CA"/>
          <w:sz w:val="25"/>
          <w:szCs w:val="25"/>
        </w:rPr>
        <w:t xml:space="preserve">4.15 Use Case Overview</w:t>
      </w:r>
    </w:p>
    <w:p>
      <w:pPr>
        <w:spacing w:after="160" w:line="276"/>
      </w:pPr>
      <w:r>
        <w:rPr>
          <w:sz w:val="21"/>
          <w:szCs w:val="21"/>
        </w:rPr>
        <w:t xml:space="preserve">The core actors are Creator, Assessor, TenantAdmin, SuperAdmin, External Developer, and the System itself (acting autonomously for AI enrichment and background jobs). Figure 3 in the companion SDD (VS-SDD-2.0) provides the full UML use-case diagram; Section 4.16 below lists a representative sample directly traceable to the functional requirements above.</w:t>
      </w:r>
    </w:p>
    <w:p>
      <w:pPr>
        <w:pStyle w:val="Heading2"/>
        <w:spacing w:after="150" w:before="300"/>
      </w:pPr>
      <w:r>
        <w:rPr>
          <w:b/>
          <w:bCs/>
          <w:color w:val="4338CA"/>
          <w:sz w:val="25"/>
          <w:szCs w:val="25"/>
        </w:rPr>
        <w:t xml:space="preserve">4.16 Use Case Descriptions (Representative Sample)</w:t>
      </w:r>
    </w:p>
    <w:tbl>
      <w:tblPr>
        <w:tblW w:type="dxa" w:w="835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1300"/>
        <w:gridCol w:w="1700"/>
        <w:gridCol w:w="3450"/>
      </w:tblGrid>
      <w:tr>
        <w:trPr>
          <w:tblHeader/>
        </w:trPr>
        <w:tc>
          <w:tcPr>
            <w:tcW w:type="dxa" w:w="1900"/>
            <w:shd w:fill="1E1B4B" w:val="clear"/>
            <w:tcMar>
              <w:top w:type="dxa" w:w="80"/>
              <w:left w:type="dxa" w:w="100"/>
              <w:bottom w:type="dxa" w:w="80"/>
              <w:right w:type="dxa" w:w="100"/>
            </w:tcMar>
            <w:vAlign w:val="center"/>
          </w:tcPr>
          <w:p>
            <w:r>
              <w:rPr>
                <w:b/>
                <w:bCs/>
                <w:color w:val="FFFFFF"/>
                <w:sz w:val="19"/>
                <w:szCs w:val="19"/>
              </w:rPr>
              <w:t xml:space="preserve">Use Case</w:t>
            </w:r>
          </w:p>
        </w:tc>
        <w:tc>
          <w:tcPr>
            <w:tcW w:type="dxa" w:w="1300"/>
            <w:shd w:fill="1E1B4B" w:val="clear"/>
            <w:tcMar>
              <w:top w:type="dxa" w:w="80"/>
              <w:left w:type="dxa" w:w="100"/>
              <w:bottom w:type="dxa" w:w="80"/>
              <w:right w:type="dxa" w:w="100"/>
            </w:tcMar>
            <w:vAlign w:val="center"/>
          </w:tcPr>
          <w:p>
            <w:r>
              <w:rPr>
                <w:b/>
                <w:bCs/>
                <w:color w:val="FFFFFF"/>
                <w:sz w:val="19"/>
                <w:szCs w:val="19"/>
              </w:rPr>
              <w:t xml:space="preserve">Actor(s)</w:t>
            </w:r>
          </w:p>
        </w:tc>
        <w:tc>
          <w:tcPr>
            <w:tcW w:type="dxa" w:w="1700"/>
            <w:shd w:fill="1E1B4B" w:val="clear"/>
            <w:tcMar>
              <w:top w:type="dxa" w:w="80"/>
              <w:left w:type="dxa" w:w="100"/>
              <w:bottom w:type="dxa" w:w="80"/>
              <w:right w:type="dxa" w:w="100"/>
            </w:tcMar>
            <w:vAlign w:val="center"/>
          </w:tcPr>
          <w:p>
            <w:r>
              <w:rPr>
                <w:b/>
                <w:bCs/>
                <w:color w:val="FFFFFF"/>
                <w:sz w:val="19"/>
                <w:szCs w:val="19"/>
              </w:rPr>
              <w:t xml:space="preserve">Preconditions</w:t>
            </w:r>
          </w:p>
        </w:tc>
        <w:tc>
          <w:tcPr>
            <w:tcW w:type="dxa" w:w="3450"/>
            <w:shd w:fill="1E1B4B" w:val="clear"/>
            <w:tcMar>
              <w:top w:type="dxa" w:w="80"/>
              <w:left w:type="dxa" w:w="100"/>
              <w:bottom w:type="dxa" w:w="80"/>
              <w:right w:type="dxa" w:w="100"/>
            </w:tcMar>
            <w:vAlign w:val="center"/>
          </w:tcPr>
          <w:p>
            <w:r>
              <w:rPr>
                <w:b/>
                <w:bCs/>
                <w:color w:val="FFFFFF"/>
                <w:sz w:val="19"/>
                <w:szCs w:val="19"/>
              </w:rPr>
              <w:t xml:space="preserve">Main Flow (Summary)</w:t>
            </w:r>
          </w:p>
        </w:tc>
      </w:tr>
      <w:tr>
        <w:tc>
          <w:tcPr>
            <w:tcW w:type="dxa" w:w="1900"/>
            <w:shd w:fill="FFFFFF" w:val="clear"/>
            <w:tcMar>
              <w:top w:type="dxa" w:w="80"/>
              <w:left w:type="dxa" w:w="100"/>
              <w:bottom w:type="dxa" w:w="80"/>
              <w:right w:type="dxa" w:w="100"/>
            </w:tcMar>
            <w:vAlign w:val="center"/>
          </w:tcPr>
          <w:p>
            <w:r>
              <w:rPr>
                <w:b w:val="false"/>
                <w:bCs w:val="false"/>
                <w:sz w:val="19"/>
                <w:szCs w:val="19"/>
              </w:rPr>
              <w:t xml:space="preserve">UC-01 Create Tenant</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New User</w:t>
            </w:r>
          </w:p>
        </w:tc>
        <w:tc>
          <w:tcPr>
            <w:tcW w:type="dxa" w:w="1700"/>
            <w:shd w:fill="FFFFFF" w:val="clear"/>
            <w:tcMar>
              <w:top w:type="dxa" w:w="80"/>
              <w:left w:type="dxa" w:w="100"/>
              <w:bottom w:type="dxa" w:w="80"/>
              <w:right w:type="dxa" w:w="100"/>
            </w:tcMar>
            <w:vAlign w:val="center"/>
          </w:tcPr>
          <w:p>
            <w:r>
              <w:rPr>
                <w:b w:val="false"/>
                <w:bCs w:val="false"/>
                <w:sz w:val="19"/>
                <w:szCs w:val="19"/>
              </w:rPr>
              <w:t xml:space="preserve">None (unauthenticated)</w:t>
            </w:r>
          </w:p>
        </w:tc>
        <w:tc>
          <w:tcPr>
            <w:tcW w:type="dxa" w:w="3450"/>
            <w:shd w:fill="FFFFFF" w:val="clear"/>
            <w:tcMar>
              <w:top w:type="dxa" w:w="80"/>
              <w:left w:type="dxa" w:w="100"/>
              <w:bottom w:type="dxa" w:w="80"/>
              <w:right w:type="dxa" w:w="100"/>
            </w:tcMar>
            <w:vAlign w:val="center"/>
          </w:tcPr>
          <w:p>
            <w:r>
              <w:rPr>
                <w:b w:val="false"/>
                <w:bCs w:val="false"/>
                <w:sz w:val="19"/>
                <w:szCs w:val="19"/>
              </w:rPr>
              <w:t xml:space="preserve">Enter org name &amp; admin credentials → system creates Tenant + TenantAdmin user in one transaction → redirect to dashboard.</w:t>
            </w:r>
          </w:p>
        </w:tc>
      </w:tr>
      <w:tr>
        <w:tc>
          <w:tcPr>
            <w:tcW w:type="dxa" w:w="1900"/>
            <w:shd w:fill="F8FAFC" w:val="clear"/>
            <w:tcMar>
              <w:top w:type="dxa" w:w="80"/>
              <w:left w:type="dxa" w:w="100"/>
              <w:bottom w:type="dxa" w:w="80"/>
              <w:right w:type="dxa" w:w="100"/>
            </w:tcMar>
            <w:vAlign w:val="center"/>
          </w:tcPr>
          <w:p>
            <w:r>
              <w:rPr>
                <w:b w:val="false"/>
                <w:bCs w:val="false"/>
                <w:sz w:val="19"/>
                <w:szCs w:val="19"/>
              </w:rPr>
              <w:t xml:space="preserve">UC-02 Upload 3D Asset</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Creator</w:t>
            </w:r>
          </w:p>
        </w:tc>
        <w:tc>
          <w:tcPr>
            <w:tcW w:type="dxa" w:w="1700"/>
            <w:shd w:fill="F8FAFC" w:val="clear"/>
            <w:tcMar>
              <w:top w:type="dxa" w:w="80"/>
              <w:left w:type="dxa" w:w="100"/>
              <w:bottom w:type="dxa" w:w="80"/>
              <w:right w:type="dxa" w:w="100"/>
            </w:tcMar>
            <w:vAlign w:val="center"/>
          </w:tcPr>
          <w:p>
            <w:r>
              <w:rPr>
                <w:b w:val="false"/>
                <w:bCs w:val="false"/>
                <w:sz w:val="19"/>
                <w:szCs w:val="19"/>
              </w:rPr>
              <w:t xml:space="preserve">Authenticated session, active tenant</w:t>
            </w:r>
          </w:p>
        </w:tc>
        <w:tc>
          <w:tcPr>
            <w:tcW w:type="dxa" w:w="3450"/>
            <w:shd w:fill="F8FAFC" w:val="clear"/>
            <w:tcMar>
              <w:top w:type="dxa" w:w="80"/>
              <w:left w:type="dxa" w:w="100"/>
              <w:bottom w:type="dxa" w:w="80"/>
              <w:right w:type="dxa" w:w="100"/>
            </w:tcMar>
            <w:vAlign w:val="center"/>
          </w:tcPr>
          <w:p>
            <w:r>
              <w:rPr>
                <w:b w:val="false"/>
                <w:bCs w:val="false"/>
                <w:sz w:val="19"/>
                <w:szCs w:val="19"/>
              </w:rPr>
              <w:t xml:space="preserve">Select file → enter metadata → submit → system enqueues ipfs-pin and ai-enrichment jobs → asset becomes 'pending'.</w:t>
            </w:r>
          </w:p>
        </w:tc>
      </w:tr>
      <w:tr>
        <w:tc>
          <w:tcPr>
            <w:tcW w:type="dxa" w:w="1900"/>
            <w:shd w:fill="FFFFFF" w:val="clear"/>
            <w:tcMar>
              <w:top w:type="dxa" w:w="80"/>
              <w:left w:type="dxa" w:w="100"/>
              <w:bottom w:type="dxa" w:w="80"/>
              <w:right w:type="dxa" w:w="100"/>
            </w:tcMar>
            <w:vAlign w:val="center"/>
          </w:tcPr>
          <w:p>
            <w:r>
              <w:rPr>
                <w:b w:val="false"/>
                <w:bCs w:val="false"/>
                <w:sz w:val="19"/>
                <w:szCs w:val="19"/>
              </w:rPr>
              <w:t xml:space="preserve">UC-03 Approve / Reject / Revise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Assessor</w:t>
            </w:r>
          </w:p>
        </w:tc>
        <w:tc>
          <w:tcPr>
            <w:tcW w:type="dxa" w:w="1700"/>
            <w:shd w:fill="FFFFFF" w:val="clear"/>
            <w:tcMar>
              <w:top w:type="dxa" w:w="80"/>
              <w:left w:type="dxa" w:w="100"/>
              <w:bottom w:type="dxa" w:w="80"/>
              <w:right w:type="dxa" w:w="100"/>
            </w:tcMar>
            <w:vAlign w:val="center"/>
          </w:tcPr>
          <w:p>
            <w:r>
              <w:rPr>
                <w:b w:val="false"/>
                <w:bCs w:val="false"/>
                <w:sz w:val="19"/>
                <w:szCs w:val="19"/>
              </w:rPr>
              <w:t xml:space="preserve">Asset in 'pending' status</w:t>
            </w:r>
          </w:p>
        </w:tc>
        <w:tc>
          <w:tcPr>
            <w:tcW w:type="dxa" w:w="3450"/>
            <w:shd w:fill="FFFFFF" w:val="clear"/>
            <w:tcMar>
              <w:top w:type="dxa" w:w="80"/>
              <w:left w:type="dxa" w:w="100"/>
              <w:bottom w:type="dxa" w:w="80"/>
              <w:right w:type="dxa" w:w="100"/>
            </w:tcMar>
            <w:vAlign w:val="center"/>
          </w:tcPr>
          <w:p>
            <w:r>
              <w:rPr>
                <w:b w:val="false"/>
                <w:bCs w:val="false"/>
                <w:sz w:val="19"/>
                <w:szCs w:val="19"/>
              </w:rPr>
              <w:t xml:space="preserve">Open queue → inspect asset &amp; AI suggestions → record decision + comment → system updates status and notifies Creator (FR-11.1).</w:t>
            </w:r>
          </w:p>
        </w:tc>
      </w:tr>
      <w:tr>
        <w:tc>
          <w:tcPr>
            <w:tcW w:type="dxa" w:w="1900"/>
            <w:shd w:fill="F8FAFC" w:val="clear"/>
            <w:tcMar>
              <w:top w:type="dxa" w:w="80"/>
              <w:left w:type="dxa" w:w="100"/>
              <w:bottom w:type="dxa" w:w="80"/>
              <w:right w:type="dxa" w:w="100"/>
            </w:tcMar>
            <w:vAlign w:val="center"/>
          </w:tcPr>
          <w:p>
            <w:r>
              <w:rPr>
                <w:b w:val="false"/>
                <w:bCs w:val="false"/>
                <w:sz w:val="19"/>
                <w:szCs w:val="19"/>
              </w:rPr>
              <w:t xml:space="preserve">UC-04 Generate AI Tags</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System (triggered by UC-02/UC-03)</w:t>
            </w:r>
          </w:p>
        </w:tc>
        <w:tc>
          <w:tcPr>
            <w:tcW w:type="dxa" w:w="1700"/>
            <w:shd w:fill="F8FAFC" w:val="clear"/>
            <w:tcMar>
              <w:top w:type="dxa" w:w="80"/>
              <w:left w:type="dxa" w:w="100"/>
              <w:bottom w:type="dxa" w:w="80"/>
              <w:right w:type="dxa" w:w="100"/>
            </w:tcMar>
            <w:vAlign w:val="center"/>
          </w:tcPr>
          <w:p>
            <w:r>
              <w:rPr>
                <w:b w:val="false"/>
                <w:bCs w:val="false"/>
                <w:sz w:val="19"/>
                <w:szCs w:val="19"/>
              </w:rPr>
              <w:t xml:space="preserve">Asset's file successfully pinned to IPFS</w:t>
            </w:r>
          </w:p>
        </w:tc>
        <w:tc>
          <w:tcPr>
            <w:tcW w:type="dxa" w:w="3450"/>
            <w:shd w:fill="F8FAFC" w:val="clear"/>
            <w:tcMar>
              <w:top w:type="dxa" w:w="80"/>
              <w:left w:type="dxa" w:w="100"/>
              <w:bottom w:type="dxa" w:w="80"/>
              <w:right w:type="dxa" w:w="100"/>
            </w:tcMar>
            <w:vAlign w:val="center"/>
          </w:tcPr>
          <w:p>
            <w:r>
              <w:rPr>
                <w:b w:val="false"/>
                <w:bCs w:val="false"/>
                <w:sz w:val="19"/>
                <w:szCs w:val="19"/>
              </w:rPr>
              <w:t xml:space="preserve">Worker calls Claude API with structured prompt → validates JSON → stores suggestions → exposes via API/UI.</w:t>
            </w:r>
          </w:p>
        </w:tc>
      </w:tr>
      <w:tr>
        <w:tc>
          <w:tcPr>
            <w:tcW w:type="dxa" w:w="1900"/>
            <w:shd w:fill="FFFFFF" w:val="clear"/>
            <w:tcMar>
              <w:top w:type="dxa" w:w="80"/>
              <w:left w:type="dxa" w:w="100"/>
              <w:bottom w:type="dxa" w:w="80"/>
              <w:right w:type="dxa" w:w="100"/>
            </w:tcMar>
            <w:vAlign w:val="center"/>
          </w:tcPr>
          <w:p>
            <w:r>
              <w:rPr>
                <w:b w:val="false"/>
                <w:bCs w:val="false"/>
                <w:sz w:val="19"/>
                <w:szCs w:val="19"/>
              </w:rPr>
              <w:t xml:space="preserve">UC-05 Publish &amp; Mint License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Assessor</w:t>
            </w:r>
          </w:p>
        </w:tc>
        <w:tc>
          <w:tcPr>
            <w:tcW w:type="dxa" w:w="1700"/>
            <w:shd w:fill="FFFFFF" w:val="clear"/>
            <w:tcMar>
              <w:top w:type="dxa" w:w="80"/>
              <w:left w:type="dxa" w:w="100"/>
              <w:bottom w:type="dxa" w:w="80"/>
              <w:right w:type="dxa" w:w="100"/>
            </w:tcMar>
            <w:vAlign w:val="center"/>
          </w:tcPr>
          <w:p>
            <w:r>
              <w:rPr>
                <w:b w:val="false"/>
                <w:bCs w:val="false"/>
                <w:sz w:val="19"/>
                <w:szCs w:val="19"/>
              </w:rPr>
              <w:t xml:space="preserve">Asset status = 'approved'</w:t>
            </w:r>
          </w:p>
        </w:tc>
        <w:tc>
          <w:tcPr>
            <w:tcW w:type="dxa" w:w="3450"/>
            <w:shd w:fill="FFFFFF" w:val="clear"/>
            <w:tcMar>
              <w:top w:type="dxa" w:w="80"/>
              <w:left w:type="dxa" w:w="100"/>
              <w:bottom w:type="dxa" w:w="80"/>
              <w:right w:type="dxa" w:w="100"/>
            </w:tcMar>
            <w:vAlign w:val="center"/>
          </w:tcPr>
          <w:p>
            <w:r>
              <w:rPr>
                <w:b w:val="false"/>
                <w:bCs w:val="false"/>
                <w:sz w:val="19"/>
                <w:szCs w:val="19"/>
              </w:rPr>
              <w:t xml:space="preserve">Select asset → confirm publish → worker mints license on Anvil chain → waits for confirmation → publishes manifest to EoN Reality → status = 'published'.</w:t>
            </w:r>
          </w:p>
        </w:tc>
      </w:tr>
      <w:tr>
        <w:tc>
          <w:tcPr>
            <w:tcW w:type="dxa" w:w="1900"/>
            <w:shd w:fill="F8FAFC" w:val="clear"/>
            <w:tcMar>
              <w:top w:type="dxa" w:w="80"/>
              <w:left w:type="dxa" w:w="100"/>
              <w:bottom w:type="dxa" w:w="80"/>
              <w:right w:type="dxa" w:w="100"/>
            </w:tcMar>
            <w:vAlign w:val="center"/>
          </w:tcPr>
          <w:p>
            <w:r>
              <w:rPr>
                <w:b w:val="false"/>
                <w:bCs w:val="false"/>
                <w:sz w:val="19"/>
                <w:szCs w:val="19"/>
              </w:rPr>
              <w:t xml:space="preserve">UC-06 Consume REST API</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External Developer</w:t>
            </w:r>
          </w:p>
        </w:tc>
        <w:tc>
          <w:tcPr>
            <w:tcW w:type="dxa" w:w="1700"/>
            <w:shd w:fill="F8FAFC" w:val="clear"/>
            <w:tcMar>
              <w:top w:type="dxa" w:w="80"/>
              <w:left w:type="dxa" w:w="100"/>
              <w:bottom w:type="dxa" w:w="80"/>
              <w:right w:type="dxa" w:w="100"/>
            </w:tcMar>
            <w:vAlign w:val="center"/>
          </w:tcPr>
          <w:p>
            <w:r>
              <w:rPr>
                <w:b w:val="false"/>
                <w:bCs w:val="false"/>
                <w:sz w:val="19"/>
                <w:szCs w:val="19"/>
              </w:rPr>
              <w:t xml:space="preserve">Valid API key</w:t>
            </w:r>
          </w:p>
        </w:tc>
        <w:tc>
          <w:tcPr>
            <w:tcW w:type="dxa" w:w="3450"/>
            <w:shd w:fill="F8FAFC" w:val="clear"/>
            <w:tcMar>
              <w:top w:type="dxa" w:w="80"/>
              <w:left w:type="dxa" w:w="100"/>
              <w:bottom w:type="dxa" w:w="80"/>
              <w:right w:type="dxa" w:w="100"/>
            </w:tcMar>
            <w:vAlign w:val="center"/>
          </w:tcPr>
          <w:p>
            <w:r>
              <w:rPr>
                <w:b w:val="false"/>
                <w:bCs w:val="false"/>
                <w:sz w:val="19"/>
                <w:szCs w:val="19"/>
              </w:rPr>
              <w:t xml:space="preserve">Exchange API key for token → call scoped endpoints → receive JSON responses per documented OpenAPI schema.</w:t>
            </w:r>
          </w:p>
        </w:tc>
      </w:tr>
      <w:tr>
        <w:tc>
          <w:tcPr>
            <w:tcW w:type="dxa" w:w="1900"/>
            <w:shd w:fill="FFFFFF" w:val="clear"/>
            <w:tcMar>
              <w:top w:type="dxa" w:w="80"/>
              <w:left w:type="dxa" w:w="100"/>
              <w:bottom w:type="dxa" w:w="80"/>
              <w:right w:type="dxa" w:w="100"/>
            </w:tcMar>
            <w:vAlign w:val="center"/>
          </w:tcPr>
          <w:p>
            <w:r>
              <w:rPr>
                <w:b w:val="false"/>
                <w:bCs w:val="false"/>
                <w:sz w:val="19"/>
                <w:szCs w:val="19"/>
              </w:rPr>
              <w:t xml:space="preserve">UC-07 Manage Tenant Users</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TenantAdmin</w:t>
            </w:r>
          </w:p>
        </w:tc>
        <w:tc>
          <w:tcPr>
            <w:tcW w:type="dxa" w:w="1700"/>
            <w:shd w:fill="FFFFFF" w:val="clear"/>
            <w:tcMar>
              <w:top w:type="dxa" w:w="80"/>
              <w:left w:type="dxa" w:w="100"/>
              <w:bottom w:type="dxa" w:w="80"/>
              <w:right w:type="dxa" w:w="100"/>
            </w:tcMar>
            <w:vAlign w:val="center"/>
          </w:tcPr>
          <w:p>
            <w:r>
              <w:rPr>
                <w:b w:val="false"/>
                <w:bCs w:val="false"/>
                <w:sz w:val="19"/>
                <w:szCs w:val="19"/>
              </w:rPr>
              <w:t xml:space="preserve">Authenticated as TenantAdmin</w:t>
            </w:r>
          </w:p>
        </w:tc>
        <w:tc>
          <w:tcPr>
            <w:tcW w:type="dxa" w:w="3450"/>
            <w:shd w:fill="FFFFFF" w:val="clear"/>
            <w:tcMar>
              <w:top w:type="dxa" w:w="80"/>
              <w:left w:type="dxa" w:w="100"/>
              <w:bottom w:type="dxa" w:w="80"/>
              <w:right w:type="dxa" w:w="100"/>
            </w:tcMar>
            <w:vAlign w:val="center"/>
          </w:tcPr>
          <w:p>
            <w:r>
              <w:rPr>
                <w:b w:val="false"/>
                <w:bCs w:val="false"/>
                <w:sz w:val="19"/>
                <w:szCs w:val="19"/>
              </w:rPr>
              <w:t xml:space="preserve">Invite user by email → assign role → user accepts invite → gains scoped access per Section 3.6.</w:t>
            </w:r>
          </w:p>
        </w:tc>
      </w:tr>
      <w:tr>
        <w:tc>
          <w:tcPr>
            <w:tcW w:type="dxa" w:w="1900"/>
            <w:shd w:fill="F8FAFC" w:val="clear"/>
            <w:tcMar>
              <w:top w:type="dxa" w:w="80"/>
              <w:left w:type="dxa" w:w="100"/>
              <w:bottom w:type="dxa" w:w="80"/>
              <w:right w:type="dxa" w:w="100"/>
            </w:tcMar>
            <w:vAlign w:val="center"/>
          </w:tcPr>
          <w:p>
            <w:r>
              <w:rPr>
                <w:b w:val="false"/>
                <w:bCs w:val="false"/>
                <w:sz w:val="19"/>
                <w:szCs w:val="19"/>
              </w:rPr>
              <w:t xml:space="preserve">UC-08 Revoke a License</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TenantAdmin</w:t>
            </w:r>
          </w:p>
        </w:tc>
        <w:tc>
          <w:tcPr>
            <w:tcW w:type="dxa" w:w="1700"/>
            <w:shd w:fill="F8FAFC" w:val="clear"/>
            <w:tcMar>
              <w:top w:type="dxa" w:w="80"/>
              <w:left w:type="dxa" w:w="100"/>
              <w:bottom w:type="dxa" w:w="80"/>
              <w:right w:type="dxa" w:w="100"/>
            </w:tcMar>
            <w:vAlign w:val="center"/>
          </w:tcPr>
          <w:p>
            <w:r>
              <w:rPr>
                <w:b w:val="false"/>
                <w:bCs w:val="false"/>
                <w:sz w:val="19"/>
                <w:szCs w:val="19"/>
              </w:rPr>
              <w:t xml:space="preserve">Asset status = 'published'</w:t>
            </w:r>
          </w:p>
        </w:tc>
        <w:tc>
          <w:tcPr>
            <w:tcW w:type="dxa" w:w="3450"/>
            <w:shd w:fill="F8FAFC" w:val="clear"/>
            <w:tcMar>
              <w:top w:type="dxa" w:w="80"/>
              <w:left w:type="dxa" w:w="100"/>
              <w:bottom w:type="dxa" w:w="80"/>
              <w:right w:type="dxa" w:w="100"/>
            </w:tcMar>
            <w:vAlign w:val="center"/>
          </w:tcPr>
          <w:p>
            <w:r>
              <w:rPr>
                <w:b w:val="false"/>
                <w:bCs w:val="false"/>
                <w:sz w:val="19"/>
                <w:szCs w:val="19"/>
              </w:rPr>
              <w:t xml:space="preserve">Open asset → select Revoke → confirm reason → worker calls revokeLicense on-chain → status flagged revoked, audit-logged.</w:t>
            </w:r>
          </w:p>
        </w:tc>
      </w:tr>
      <w:tr>
        <w:tc>
          <w:tcPr>
            <w:tcW w:type="dxa" w:w="1900"/>
            <w:shd w:fill="FFFFFF" w:val="clear"/>
            <w:tcMar>
              <w:top w:type="dxa" w:w="80"/>
              <w:left w:type="dxa" w:w="100"/>
              <w:bottom w:type="dxa" w:w="80"/>
              <w:right w:type="dxa" w:w="100"/>
            </w:tcMar>
            <w:vAlign w:val="center"/>
          </w:tcPr>
          <w:p>
            <w:r>
              <w:rPr>
                <w:b w:val="false"/>
                <w:bCs w:val="false"/>
                <w:sz w:val="19"/>
                <w:szCs w:val="19"/>
              </w:rPr>
              <w:t xml:space="preserve">UC-09 Import from Sketchfab</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Creator</w:t>
            </w:r>
          </w:p>
        </w:tc>
        <w:tc>
          <w:tcPr>
            <w:tcW w:type="dxa" w:w="1700"/>
            <w:shd w:fill="FFFFFF" w:val="clear"/>
            <w:tcMar>
              <w:top w:type="dxa" w:w="80"/>
              <w:left w:type="dxa" w:w="100"/>
              <w:bottom w:type="dxa" w:w="80"/>
              <w:right w:type="dxa" w:w="100"/>
            </w:tcMar>
            <w:vAlign w:val="center"/>
          </w:tcPr>
          <w:p>
            <w:r>
              <w:rPr>
                <w:b w:val="false"/>
                <w:bCs w:val="false"/>
                <w:sz w:val="19"/>
                <w:szCs w:val="19"/>
              </w:rPr>
              <w:t xml:space="preserve">Authenticated session</w:t>
            </w:r>
          </w:p>
        </w:tc>
        <w:tc>
          <w:tcPr>
            <w:tcW w:type="dxa" w:w="3450"/>
            <w:shd w:fill="FFFFFF" w:val="clear"/>
            <w:tcMar>
              <w:top w:type="dxa" w:w="80"/>
              <w:left w:type="dxa" w:w="100"/>
              <w:bottom w:type="dxa" w:w="80"/>
              <w:right w:type="dxa" w:w="100"/>
            </w:tcMar>
            <w:vAlign w:val="center"/>
          </w:tcPr>
          <w:p>
            <w:r>
              <w:rPr>
                <w:b w:val="false"/>
                <w:bCs w:val="false"/>
                <w:sz w:val="19"/>
                <w:szCs w:val="19"/>
              </w:rPr>
              <w:t xml:space="preserve">Search Sketchfab by license/polycount → select result → system imports and stores it as a new draft asset with source attribution.</w:t>
            </w:r>
          </w:p>
        </w:tc>
      </w:tr>
    </w:tbl>
    <w:p>
      <w:pPr>
        <w:spacing w:after="220"/>
      </w:pPr>
    </w:p>
    <w:p>
      <w:r>
        <w:br w:type="page"/>
      </w:r>
    </w:p>
    <w:p>
      <w:pPr>
        <w:pStyle w:val="Heading1"/>
        <w:pBdr>
          <w:bottom w:val="single" w:color="4338CA" w:sz="6" w:space="4"/>
        </w:pBdr>
        <w:spacing w:after="200" w:before="400"/>
      </w:pPr>
      <w:r>
        <w:rPr>
          <w:b/>
          <w:bCs/>
          <w:color w:val="1E1B4B"/>
          <w:sz w:val="30"/>
          <w:szCs w:val="30"/>
        </w:rPr>
        <w:t xml:space="preserve">5. Data Model</w:t>
      </w:r>
    </w:p>
    <w:p>
      <w:pPr>
        <w:spacing w:after="160" w:line="276"/>
      </w:pPr>
      <w:r>
        <w:rPr>
          <w:sz w:val="21"/>
          <w:szCs w:val="21"/>
        </w:rPr>
        <w:t xml:space="preserve">This section is new in v2.0. It defines the core entities persisted in PostgreSQL (via Prisma) and their relationships. The companion SDD (VS-SDD-2.0) contains the full Prisma schema with column-level types, indexes, and RLS policy definitions.</w:t>
      </w:r>
    </w:p>
    <w:p>
      <w:pPr>
        <w:spacing w:after="80" w:before="120"/>
        <w:jc w:val="center"/>
      </w:pPr>
      <w:r>
        <w:drawing>
          <wp:inline distT="0" distB="0" distL="0" distR="0">
            <wp:extent cx="576072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017520"/>
                    </a:xfrm>
                    <a:prstGeom prst="rect">
                      <a:avLst/>
                    </a:prstGeom>
                  </pic:spPr>
                </pic:pic>
              </a:graphicData>
            </a:graphic>
          </wp:inline>
        </w:drawing>
      </w:r>
    </w:p>
    <w:p>
      <w:pPr>
        <w:spacing w:after="240"/>
        <w:jc w:val="center"/>
      </w:pPr>
      <w:r>
        <w:rPr>
          <w:i/>
          <w:iCs/>
          <w:color w:val="64748B"/>
          <w:sz w:val="19"/>
          <w:szCs w:val="19"/>
        </w:rPr>
        <w:t xml:space="preserve">Figure 3 — Simplified Entity-Relationship Diagram</w:t>
      </w:r>
    </w:p>
    <w:p>
      <w:pPr>
        <w:pStyle w:val="Heading2"/>
        <w:spacing w:after="150" w:before="300"/>
      </w:pPr>
      <w:r>
        <w:rPr>
          <w:b/>
          <w:bCs/>
          <w:color w:val="4338CA"/>
          <w:sz w:val="25"/>
          <w:szCs w:val="25"/>
        </w:rPr>
        <w:t xml:space="preserve">5.1 Core Entities</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4650"/>
        <w:gridCol w:w="3200"/>
      </w:tblGrid>
      <w:tr>
        <w:trPr>
          <w:tblHeader/>
        </w:trPr>
        <w:tc>
          <w:tcPr>
            <w:tcW w:type="dxa" w:w="1500"/>
            <w:shd w:fill="1E1B4B" w:val="clear"/>
            <w:tcMar>
              <w:top w:type="dxa" w:w="80"/>
              <w:left w:type="dxa" w:w="100"/>
              <w:bottom w:type="dxa" w:w="80"/>
              <w:right w:type="dxa" w:w="100"/>
            </w:tcMar>
            <w:vAlign w:val="center"/>
          </w:tcPr>
          <w:p>
            <w:r>
              <w:rPr>
                <w:b/>
                <w:bCs/>
                <w:color w:val="FFFFFF"/>
                <w:sz w:val="19"/>
                <w:szCs w:val="19"/>
              </w:rPr>
              <w:t xml:space="preserve">Entity</w:t>
            </w:r>
          </w:p>
        </w:tc>
        <w:tc>
          <w:tcPr>
            <w:tcW w:type="dxa" w:w="4650"/>
            <w:shd w:fill="1E1B4B" w:val="clear"/>
            <w:tcMar>
              <w:top w:type="dxa" w:w="80"/>
              <w:left w:type="dxa" w:w="100"/>
              <w:bottom w:type="dxa" w:w="80"/>
              <w:right w:type="dxa" w:w="100"/>
            </w:tcMar>
            <w:vAlign w:val="center"/>
          </w:tcPr>
          <w:p>
            <w:r>
              <w:rPr>
                <w:b/>
                <w:bCs/>
                <w:color w:val="FFFFFF"/>
                <w:sz w:val="19"/>
                <w:szCs w:val="19"/>
              </w:rPr>
              <w:t xml:space="preserve">Key Attributes</w:t>
            </w:r>
          </w:p>
        </w:tc>
        <w:tc>
          <w:tcPr>
            <w:tcW w:type="dxa" w:w="3200"/>
            <w:shd w:fill="1E1B4B" w:val="clear"/>
            <w:tcMar>
              <w:top w:type="dxa" w:w="80"/>
              <w:left w:type="dxa" w:w="100"/>
              <w:bottom w:type="dxa" w:w="80"/>
              <w:right w:type="dxa" w:w="100"/>
            </w:tcMar>
            <w:vAlign w:val="center"/>
          </w:tcPr>
          <w:p>
            <w:r>
              <w:rPr>
                <w:b/>
                <w:bCs/>
                <w:color w:val="FFFFFF"/>
                <w:sz w:val="19"/>
                <w:szCs w:val="19"/>
              </w:rPr>
              <w:t xml:space="preserve">Notes</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Tenant</w:t>
            </w:r>
          </w:p>
        </w:tc>
        <w:tc>
          <w:tcPr>
            <w:tcW w:type="dxa" w:w="4650"/>
            <w:shd w:fill="FFFFFF" w:val="clear"/>
            <w:tcMar>
              <w:top w:type="dxa" w:w="80"/>
              <w:left w:type="dxa" w:w="100"/>
              <w:bottom w:type="dxa" w:w="80"/>
              <w:right w:type="dxa" w:w="100"/>
            </w:tcMar>
            <w:vAlign w:val="center"/>
          </w:tcPr>
          <w:p>
            <w:r>
              <w:rPr>
                <w:b w:val="false"/>
                <w:bCs w:val="false"/>
                <w:sz w:val="19"/>
                <w:szCs w:val="19"/>
              </w:rPr>
              <w:t xml:space="preserve">id, name, slug, status (active/suspended), createdAt</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Root of tenant isolation; every tenant-scoped table carries tenantId.</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User</w:t>
            </w:r>
          </w:p>
        </w:tc>
        <w:tc>
          <w:tcPr>
            <w:tcW w:type="dxa" w:w="4650"/>
            <w:shd w:fill="F8FAFC" w:val="clear"/>
            <w:tcMar>
              <w:top w:type="dxa" w:w="80"/>
              <w:left w:type="dxa" w:w="100"/>
              <w:bottom w:type="dxa" w:w="80"/>
              <w:right w:type="dxa" w:w="100"/>
            </w:tcMar>
            <w:vAlign w:val="center"/>
          </w:tcPr>
          <w:p>
            <w:r>
              <w:rPr>
                <w:b w:val="false"/>
                <w:bCs w:val="false"/>
                <w:sz w:val="19"/>
                <w:szCs w:val="19"/>
              </w:rPr>
              <w:t xml:space="preserve">id, tenantId, email, passwordHash, googleId, walletAddress (nullable), createdAt</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A person may have rows across multiple tenants (one User row per tenant membership, or a UserTenant join — see SDD for the chosen normalization).</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Role</w:t>
            </w:r>
          </w:p>
        </w:tc>
        <w:tc>
          <w:tcPr>
            <w:tcW w:type="dxa" w:w="4650"/>
            <w:shd w:fill="FFFFFF" w:val="clear"/>
            <w:tcMar>
              <w:top w:type="dxa" w:w="80"/>
              <w:left w:type="dxa" w:w="100"/>
              <w:bottom w:type="dxa" w:w="80"/>
              <w:right w:type="dxa" w:w="100"/>
            </w:tcMar>
            <w:vAlign w:val="center"/>
          </w:tcPr>
          <w:p>
            <w:r>
              <w:rPr>
                <w:b w:val="false"/>
                <w:bCs w:val="false"/>
                <w:sz w:val="19"/>
                <w:szCs w:val="19"/>
              </w:rPr>
              <w:t xml:space="preserve">id, name (SuperAdmin/TenantAdmin/Creator/Assessor/Developer/Viewer)</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Fixed, platform-defined role set for this release; permissions are code-defined per Section 3.6, not end-user-editable.</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UserRole</w:t>
            </w:r>
          </w:p>
        </w:tc>
        <w:tc>
          <w:tcPr>
            <w:tcW w:type="dxa" w:w="4650"/>
            <w:shd w:fill="F8FAFC" w:val="clear"/>
            <w:tcMar>
              <w:top w:type="dxa" w:w="80"/>
              <w:left w:type="dxa" w:w="100"/>
              <w:bottom w:type="dxa" w:w="80"/>
              <w:right w:type="dxa" w:w="100"/>
            </w:tcMar>
            <w:vAlign w:val="center"/>
          </w:tcPr>
          <w:p>
            <w:r>
              <w:rPr>
                <w:b w:val="false"/>
                <w:bCs w:val="false"/>
                <w:sz w:val="19"/>
                <w:szCs w:val="19"/>
              </w:rPr>
              <w:t xml:space="preserve">userId, roleId, tenantId</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Join table; enforces one active role per user per tenant in this release.</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Wallet</w:t>
            </w:r>
          </w:p>
        </w:tc>
        <w:tc>
          <w:tcPr>
            <w:tcW w:type="dxa" w:w="4650"/>
            <w:shd w:fill="FFFFFF" w:val="clear"/>
            <w:tcMar>
              <w:top w:type="dxa" w:w="80"/>
              <w:left w:type="dxa" w:w="100"/>
              <w:bottom w:type="dxa" w:w="80"/>
              <w:right w:type="dxa" w:w="100"/>
            </w:tcMar>
            <w:vAlign w:val="center"/>
          </w:tcPr>
          <w:p>
            <w:r>
              <w:rPr>
                <w:b w:val="false"/>
                <w:bCs w:val="false"/>
                <w:sz w:val="19"/>
                <w:szCs w:val="19"/>
              </w:rPr>
              <w:t xml:space="preserve">id, userId (nullable), tenantId, address, type (managed/linked)</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A managed wallet belongs to a tenant (the publisher signer); a linked wallet belongs to a user (SIWE / recipient).</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Asset</w:t>
            </w:r>
          </w:p>
        </w:tc>
        <w:tc>
          <w:tcPr>
            <w:tcW w:type="dxa" w:w="4650"/>
            <w:shd w:fill="F8FAFC" w:val="clear"/>
            <w:tcMar>
              <w:top w:type="dxa" w:w="80"/>
              <w:left w:type="dxa" w:w="100"/>
              <w:bottom w:type="dxa" w:w="80"/>
              <w:right w:type="dxa" w:w="100"/>
            </w:tcMar>
            <w:vAlign w:val="center"/>
          </w:tcPr>
          <w:p>
            <w:r>
              <w:rPr>
                <w:b w:val="false"/>
                <w:bCs w:val="false"/>
                <w:sz w:val="19"/>
                <w:szCs w:val="19"/>
              </w:rPr>
              <w:t xml:space="preserve">id, tenantId, creatorId, name, category, tags[], status, currentVersionId, createdAt</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status ∈ {draft, pending, needs_manual_review, approved, rejected, revision, published}.</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AssetVersion</w:t>
            </w:r>
          </w:p>
        </w:tc>
        <w:tc>
          <w:tcPr>
            <w:tcW w:type="dxa" w:w="4650"/>
            <w:shd w:fill="FFFFFF" w:val="clear"/>
            <w:tcMar>
              <w:top w:type="dxa" w:w="80"/>
              <w:left w:type="dxa" w:w="100"/>
              <w:bottom w:type="dxa" w:w="80"/>
              <w:right w:type="dxa" w:w="100"/>
            </w:tcMar>
            <w:vAlign w:val="center"/>
          </w:tcPr>
          <w:p>
            <w:r>
              <w:rPr>
                <w:b w:val="false"/>
                <w:bCs w:val="false"/>
                <w:sz w:val="19"/>
                <w:szCs w:val="19"/>
              </w:rPr>
              <w:t xml:space="preserve">id, assetId, versionNumber, format, sizeBytes, polycount, ipfsCid, pinStatus, sourceTool, createdAt</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One row per upload; immutable once pinned and referenced by a review decision.</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AISuggestion</w:t>
            </w:r>
          </w:p>
        </w:tc>
        <w:tc>
          <w:tcPr>
            <w:tcW w:type="dxa" w:w="4650"/>
            <w:shd w:fill="F8FAFC" w:val="clear"/>
            <w:tcMar>
              <w:top w:type="dxa" w:w="80"/>
              <w:left w:type="dxa" w:w="100"/>
              <w:bottom w:type="dxa" w:w="80"/>
              <w:right w:type="dxa" w:w="100"/>
            </w:tcMar>
            <w:vAlign w:val="center"/>
          </w:tcPr>
          <w:p>
            <w:r>
              <w:rPr>
                <w:b w:val="false"/>
                <w:bCs w:val="false"/>
                <w:sz w:val="19"/>
                <w:szCs w:val="19"/>
              </w:rPr>
              <w:t xml:space="preserve">id, assetVersionId, suggestedTags[], suggestedDescription, qualityFlags[], confidence, modelVersion, promptVersion, latencyMs</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Never overwrites Creator-authored fields on Asset/AssetVersion (FR-7.4).</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ReviewDecision</w:t>
            </w:r>
          </w:p>
        </w:tc>
        <w:tc>
          <w:tcPr>
            <w:tcW w:type="dxa" w:w="4650"/>
            <w:shd w:fill="FFFFFF" w:val="clear"/>
            <w:tcMar>
              <w:top w:type="dxa" w:w="80"/>
              <w:left w:type="dxa" w:w="100"/>
              <w:bottom w:type="dxa" w:w="80"/>
              <w:right w:type="dxa" w:w="100"/>
            </w:tcMar>
            <w:vAlign w:val="center"/>
          </w:tcPr>
          <w:p>
            <w:r>
              <w:rPr>
                <w:b w:val="false"/>
                <w:bCs w:val="false"/>
                <w:sz w:val="19"/>
                <w:szCs w:val="19"/>
              </w:rPr>
              <w:t xml:space="preserve">id, assetId, assetVersionId, assessorId, decision (approved/rejected/revision), comment, createdAt</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One row per decision; full history retained.</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License</w:t>
            </w:r>
          </w:p>
        </w:tc>
        <w:tc>
          <w:tcPr>
            <w:tcW w:type="dxa" w:w="4650"/>
            <w:shd w:fill="F8FAFC" w:val="clear"/>
            <w:tcMar>
              <w:top w:type="dxa" w:w="80"/>
              <w:left w:type="dxa" w:w="100"/>
              <w:bottom w:type="dxa" w:w="80"/>
              <w:right w:type="dxa" w:w="100"/>
            </w:tcMar>
            <w:vAlign w:val="center"/>
          </w:tcPr>
          <w:p>
            <w:r>
              <w:rPr>
                <w:b w:val="false"/>
                <w:bCs w:val="false"/>
                <w:sz w:val="19"/>
                <w:szCs w:val="19"/>
              </w:rPr>
              <w:t xml:space="preserve">id, assetId, assetVersionId, tokenId, contractAddress, txHash, ipfsMetadataCid, status (active/revoked), mintedAt</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The on-chain licensing record's off-chain mirror, kept in sync via event listeners.</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APIKey</w:t>
            </w:r>
          </w:p>
        </w:tc>
        <w:tc>
          <w:tcPr>
            <w:tcW w:type="dxa" w:w="4650"/>
            <w:shd w:fill="FFFFFF" w:val="clear"/>
            <w:tcMar>
              <w:top w:type="dxa" w:w="80"/>
              <w:left w:type="dxa" w:w="100"/>
              <w:bottom w:type="dxa" w:w="80"/>
              <w:right w:type="dxa" w:w="100"/>
            </w:tcMar>
            <w:vAlign w:val="center"/>
          </w:tcPr>
          <w:p>
            <w:r>
              <w:rPr>
                <w:b w:val="false"/>
                <w:bCs w:val="false"/>
                <w:sz w:val="19"/>
                <w:szCs w:val="19"/>
              </w:rPr>
              <w:t xml:space="preserve">id, tenantId, userId, hashedKey, label, lastUsedAt, createdAt, revokedAt</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Raw key shown once at creation; only its hash is persisted.</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Notification</w:t>
            </w:r>
          </w:p>
        </w:tc>
        <w:tc>
          <w:tcPr>
            <w:tcW w:type="dxa" w:w="4650"/>
            <w:shd w:fill="F8FAFC" w:val="clear"/>
            <w:tcMar>
              <w:top w:type="dxa" w:w="80"/>
              <w:left w:type="dxa" w:w="100"/>
              <w:bottom w:type="dxa" w:w="80"/>
              <w:right w:type="dxa" w:w="100"/>
            </w:tcMar>
            <w:vAlign w:val="center"/>
          </w:tcPr>
          <w:p>
            <w:r>
              <w:rPr>
                <w:b w:val="false"/>
                <w:bCs w:val="false"/>
                <w:sz w:val="19"/>
                <w:szCs w:val="19"/>
              </w:rPr>
              <w:t xml:space="preserve">id, tenantId, userId, type, payload, readAt, createdAt</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Backs FR-11; optionally mirrored to an outbound webhook.</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AuditLog</w:t>
            </w:r>
          </w:p>
        </w:tc>
        <w:tc>
          <w:tcPr>
            <w:tcW w:type="dxa" w:w="4650"/>
            <w:shd w:fill="FFFFFF" w:val="clear"/>
            <w:tcMar>
              <w:top w:type="dxa" w:w="80"/>
              <w:left w:type="dxa" w:w="100"/>
              <w:bottom w:type="dxa" w:w="80"/>
              <w:right w:type="dxa" w:w="100"/>
            </w:tcMar>
            <w:vAlign w:val="center"/>
          </w:tcPr>
          <w:p>
            <w:r>
              <w:rPr>
                <w:b w:val="false"/>
                <w:bCs w:val="false"/>
                <w:sz w:val="19"/>
                <w:szCs w:val="19"/>
              </w:rPr>
              <w:t xml:space="preserve">id, tenantId, actorId, action, entityType, entityId, beforeState, afterState, createdAt</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Append-only (FR-13.3); indexed by tenantId + createdAt for the admin console.</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Job</w:t>
            </w:r>
          </w:p>
        </w:tc>
        <w:tc>
          <w:tcPr>
            <w:tcW w:type="dxa" w:w="4650"/>
            <w:shd w:fill="F8FAFC" w:val="clear"/>
            <w:tcMar>
              <w:top w:type="dxa" w:w="80"/>
              <w:left w:type="dxa" w:w="100"/>
              <w:bottom w:type="dxa" w:w="80"/>
              <w:right w:type="dxa" w:w="100"/>
            </w:tcMar>
            <w:vAlign w:val="center"/>
          </w:tcPr>
          <w:p>
            <w:r>
              <w:rPr>
                <w:b w:val="false"/>
                <w:bCs w:val="false"/>
                <w:sz w:val="19"/>
                <w:szCs w:val="19"/>
              </w:rPr>
              <w:t xml:space="preserve">id, queue, status, payload, result, error, attempts, createdAt, updatedAt</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Off-cache durable mirror of BullMQ job state for the polling API (Section 3.10).</w:t>
            </w:r>
          </w:p>
        </w:tc>
      </w:tr>
    </w:tbl>
    <w:p>
      <w:pPr>
        <w:spacing w:after="220"/>
      </w:pPr>
    </w:p>
    <w:p>
      <w:pPr>
        <w:pStyle w:val="Heading2"/>
        <w:spacing w:after="150" w:before="300"/>
      </w:pPr>
      <w:r>
        <w:rPr>
          <w:b/>
          <w:bCs/>
          <w:color w:val="4338CA"/>
          <w:sz w:val="25"/>
          <w:szCs w:val="25"/>
        </w:rPr>
        <w:t xml:space="preserve">5.2 Key Relationships</w:t>
      </w:r>
    </w:p>
    <w:p>
      <w:pPr>
        <w:pStyle w:val="ListParagraph"/>
        <w:numPr>
          <w:ilvl w:val="0"/>
          <w:numId w:val="2"/>
        </w:numPr>
        <w:spacing w:after="90" w:line="264"/>
      </w:pPr>
      <w:r>
        <w:rPr>
          <w:sz w:val="21"/>
          <w:szCs w:val="21"/>
        </w:rPr>
        <w:t xml:space="preserve">Tenant 1—* User, Tenant 1—* Asset: every tenant-scoped row is owned by exactly one tenant.</w:t>
      </w:r>
    </w:p>
    <w:p>
      <w:pPr>
        <w:pStyle w:val="ListParagraph"/>
        <w:numPr>
          <w:ilvl w:val="0"/>
          <w:numId w:val="2"/>
        </w:numPr>
        <w:spacing w:after="90" w:line="264"/>
      </w:pPr>
      <w:r>
        <w:rPr>
          <w:sz w:val="21"/>
          <w:szCs w:val="21"/>
        </w:rPr>
        <w:t xml:space="preserve">User *—* Role via UserRole, scoped per tenant, implementing the RBAC model in Section 3.6.</w:t>
      </w:r>
    </w:p>
    <w:p>
      <w:pPr>
        <w:pStyle w:val="ListParagraph"/>
        <w:numPr>
          <w:ilvl w:val="0"/>
          <w:numId w:val="2"/>
        </w:numPr>
        <w:spacing w:after="90" w:line="264"/>
      </w:pPr>
      <w:r>
        <w:rPr>
          <w:sz w:val="21"/>
          <w:szCs w:val="21"/>
        </w:rPr>
        <w:t xml:space="preserve">Asset 1—* AssetVersion: full version history is retained; Asset.currentVersionId always points at the latest.</w:t>
      </w:r>
    </w:p>
    <w:p>
      <w:pPr>
        <w:pStyle w:val="ListParagraph"/>
        <w:numPr>
          <w:ilvl w:val="0"/>
          <w:numId w:val="2"/>
        </w:numPr>
        <w:spacing w:after="90" w:line="264"/>
      </w:pPr>
      <w:r>
        <w:rPr>
          <w:sz w:val="21"/>
          <w:szCs w:val="21"/>
        </w:rPr>
        <w:t xml:space="preserve">AssetVersion 0..1 AISuggestion: enrichment is per-version, so re-uploading regenerates suggestions rather than mutating old ones.</w:t>
      </w:r>
    </w:p>
    <w:p>
      <w:pPr>
        <w:pStyle w:val="ListParagraph"/>
        <w:numPr>
          <w:ilvl w:val="0"/>
          <w:numId w:val="2"/>
        </w:numPr>
        <w:spacing w:after="90" w:line="264"/>
      </w:pPr>
      <w:r>
        <w:rPr>
          <w:sz w:val="21"/>
          <w:szCs w:val="21"/>
        </w:rPr>
        <w:t xml:space="preserve">Asset 0..* ReviewDecision: the full approve/reject/revision history is preserved even after an asset is eventually published.</w:t>
      </w:r>
    </w:p>
    <w:p>
      <w:pPr>
        <w:pStyle w:val="ListParagraph"/>
        <w:numPr>
          <w:ilvl w:val="0"/>
          <w:numId w:val="2"/>
        </w:numPr>
        <w:spacing w:after="90" w:line="264"/>
      </w:pPr>
      <w:r>
        <w:rPr>
          <w:sz w:val="21"/>
          <w:szCs w:val="21"/>
        </w:rPr>
        <w:t xml:space="preserve">Asset 0..1 License (active at a time), but historically multiple License rows may exist across versions/revocations — the current one is resolved via status = active.</w:t>
      </w:r>
    </w:p>
    <w:p>
      <w:pPr>
        <w:pStyle w:val="ListParagraph"/>
        <w:numPr>
          <w:ilvl w:val="0"/>
          <w:numId w:val="2"/>
        </w:numPr>
        <w:spacing w:after="90" w:line="264"/>
      </w:pPr>
      <w:r>
        <w:rPr>
          <w:sz w:val="21"/>
          <w:szCs w:val="21"/>
        </w:rPr>
        <w:t xml:space="preserve">User 0..1 Wallet (linked) and Tenant 1—1 Wallet (managed publisher signer).</w:t>
      </w:r>
    </w:p>
    <w:p>
      <w:pPr>
        <w:pStyle w:val="Heading2"/>
        <w:spacing w:after="150" w:before="300"/>
      </w:pPr>
      <w:r>
        <w:rPr>
          <w:b/>
          <w:bCs/>
          <w:color w:val="4338CA"/>
          <w:sz w:val="25"/>
          <w:szCs w:val="25"/>
        </w:rPr>
        <w:t xml:space="preserve">5.3 Row-Level Security Summary</w:t>
      </w:r>
    </w:p>
    <w:p>
      <w:pPr>
        <w:spacing w:after="160" w:line="276"/>
      </w:pPr>
      <w:r>
        <w:rPr>
          <w:sz w:val="21"/>
          <w:szCs w:val="21"/>
        </w:rPr>
        <w:t xml:space="preserve">Every table listed above except Tenant and Role carries a tenantId column and a corresponding Postgres RLS policy of the form USING (tenant_id = current_setting('app.current_tenant_id')::uuid). SuperAdmin operations run under a distinct, narrowly-scoped database role (Section 3.5) that is granted BYPASSRLS only on Tenant-level administrative tables, never on Asset, ReviewDecision, License, or AuditLog.</w:t>
      </w:r>
    </w:p>
    <w:p>
      <w:r>
        <w:br w:type="page"/>
      </w:r>
    </w:p>
    <w:p>
      <w:pPr>
        <w:pStyle w:val="Heading1"/>
        <w:pBdr>
          <w:bottom w:val="single" w:color="4338CA" w:sz="6" w:space="4"/>
        </w:pBdr>
        <w:spacing w:after="200" w:before="400"/>
      </w:pPr>
      <w:r>
        <w:rPr>
          <w:b/>
          <w:bCs/>
          <w:color w:val="1E1B4B"/>
          <w:sz w:val="30"/>
          <w:szCs w:val="30"/>
        </w:rPr>
        <w:t xml:space="preserve">6. External Interface Requirements</w:t>
      </w:r>
    </w:p>
    <w:p>
      <w:pPr>
        <w:pStyle w:val="Heading2"/>
        <w:spacing w:after="150" w:before="300"/>
      </w:pPr>
      <w:r>
        <w:rPr>
          <w:b/>
          <w:bCs/>
          <w:color w:val="4338CA"/>
          <w:sz w:val="25"/>
          <w:szCs w:val="25"/>
        </w:rPr>
        <w:t xml:space="preserve">6.1 User Interfaces</w:t>
      </w:r>
    </w:p>
    <w:p>
      <w:pPr>
        <w:pStyle w:val="ListParagraph"/>
        <w:numPr>
          <w:ilvl w:val="0"/>
          <w:numId w:val="2"/>
        </w:numPr>
        <w:spacing w:after="90" w:line="264"/>
      </w:pPr>
      <w:r>
        <w:rPr>
          <w:sz w:val="21"/>
          <w:szCs w:val="21"/>
        </w:rPr>
        <w:t xml:space="preserve">Role-aware login/signup screen with tenant creation, Google SSO, and an optional "Connect Wallet" affordance for SIWE.</w:t>
      </w:r>
    </w:p>
    <w:p>
      <w:pPr>
        <w:pStyle w:val="ListParagraph"/>
        <w:numPr>
          <w:ilvl w:val="0"/>
          <w:numId w:val="2"/>
        </w:numPr>
        <w:spacing w:after="90" w:line="264"/>
      </w:pPr>
      <w:r>
        <w:rPr>
          <w:sz w:val="21"/>
          <w:szCs w:val="21"/>
        </w:rPr>
        <w:t xml:space="preserve">Workspace switcher for users belonging to multiple tenants.</w:t>
      </w:r>
    </w:p>
    <w:p>
      <w:pPr>
        <w:pStyle w:val="ListParagraph"/>
        <w:numPr>
          <w:ilvl w:val="0"/>
          <w:numId w:val="2"/>
        </w:numPr>
        <w:spacing w:after="90" w:line="264"/>
      </w:pPr>
      <w:r>
        <w:rPr>
          <w:sz w:val="21"/>
          <w:szCs w:val="21"/>
        </w:rPr>
        <w:t xml:space="preserve">Dashboard with role-specific KPI cards (My Assets/Approved/Pending for Creators; Awaiting Review/Approved Total/Avg Review Time for Assessors; Tenant Users/Active API Keys/Licenses Minted for TenantAdmins).</w:t>
      </w:r>
    </w:p>
    <w:p>
      <w:pPr>
        <w:pStyle w:val="ListParagraph"/>
        <w:numPr>
          <w:ilvl w:val="0"/>
          <w:numId w:val="2"/>
        </w:numPr>
        <w:spacing w:after="90" w:line="264"/>
      </w:pPr>
      <w:r>
        <w:rPr>
          <w:sz w:val="21"/>
          <w:szCs w:val="21"/>
        </w:rPr>
        <w:t xml:space="preserve">Asset grid with live mini 3D previews, status pills, IPFS/on-chain badges, and quick actions.</w:t>
      </w:r>
    </w:p>
    <w:p>
      <w:pPr>
        <w:pStyle w:val="ListParagraph"/>
        <w:numPr>
          <w:ilvl w:val="0"/>
          <w:numId w:val="2"/>
        </w:numPr>
        <w:spacing w:after="90" w:line="264"/>
      </w:pPr>
      <w:r>
        <w:rPr>
          <w:sz w:val="21"/>
          <w:szCs w:val="21"/>
        </w:rPr>
        <w:t xml:space="preserve">Modal-based upload form (with drag-and-drop) and a full-screen 3D viewer with orbit controls.</w:t>
      </w:r>
    </w:p>
    <w:p>
      <w:pPr>
        <w:pStyle w:val="ListParagraph"/>
        <w:numPr>
          <w:ilvl w:val="0"/>
          <w:numId w:val="2"/>
        </w:numPr>
        <w:spacing w:after="90" w:line="264"/>
      </w:pPr>
      <w:r>
        <w:rPr>
          <w:sz w:val="21"/>
          <w:szCs w:val="21"/>
        </w:rPr>
        <w:t xml:space="preserve">Review queue with side-by-side AI-suggestion panel and decision controls.</w:t>
      </w:r>
    </w:p>
    <w:p>
      <w:pPr>
        <w:pStyle w:val="ListParagraph"/>
        <w:numPr>
          <w:ilvl w:val="0"/>
          <w:numId w:val="2"/>
        </w:numPr>
        <w:spacing w:after="90" w:line="264"/>
      </w:pPr>
      <w:r>
        <w:rPr>
          <w:sz w:val="21"/>
          <w:szCs w:val="21"/>
        </w:rPr>
        <w:t xml:space="preserve">Asset detail page showing full version history, review history, current IPFS CID, and — once published — the license tokenId, transaction hash, and EoN Reality module link.</w:t>
      </w:r>
    </w:p>
    <w:p>
      <w:pPr>
        <w:pStyle w:val="ListParagraph"/>
        <w:numPr>
          <w:ilvl w:val="0"/>
          <w:numId w:val="2"/>
        </w:numPr>
        <w:spacing w:after="90" w:line="264"/>
      </w:pPr>
      <w:r>
        <w:rPr>
          <w:sz w:val="21"/>
          <w:szCs w:val="21"/>
        </w:rPr>
        <w:t xml:space="preserve">Tool Integrations gallery (Sketchfab / Poly Pizza / Blender / Meshy) and an interactive, expandable API reference page generated from the OpenAPI schema.</w:t>
      </w:r>
    </w:p>
    <w:p>
      <w:pPr>
        <w:pStyle w:val="ListParagraph"/>
        <w:numPr>
          <w:ilvl w:val="0"/>
          <w:numId w:val="2"/>
        </w:numPr>
        <w:spacing w:after="90" w:line="264"/>
      </w:pPr>
      <w:r>
        <w:rPr>
          <w:sz w:val="21"/>
          <w:szCs w:val="21"/>
        </w:rPr>
        <w:t xml:space="preserve">Admin consoles: SuperAdmin tenant management; TenantAdmin user/role/API-key/webhook management and audit log viewer.</w:t>
      </w:r>
    </w:p>
    <w:p>
      <w:pPr>
        <w:pStyle w:val="ListParagraph"/>
        <w:numPr>
          <w:ilvl w:val="0"/>
          <w:numId w:val="2"/>
        </w:numPr>
        <w:spacing w:after="90" w:line="264"/>
      </w:pPr>
      <w:r>
        <w:rPr>
          <w:sz w:val="21"/>
          <w:szCs w:val="21"/>
        </w:rPr>
        <w:t xml:space="preserve">Notification bell with unread count and a notification center list.</w:t>
      </w:r>
    </w:p>
    <w:p>
      <w:pPr>
        <w:pStyle w:val="Heading2"/>
        <w:spacing w:after="150" w:before="300"/>
      </w:pPr>
      <w:r>
        <w:rPr>
          <w:b/>
          <w:bCs/>
          <w:color w:val="4338CA"/>
          <w:sz w:val="25"/>
          <w:szCs w:val="25"/>
        </w:rPr>
        <w:t xml:space="preserve">6.2 Hardware Interfaces</w:t>
      </w:r>
    </w:p>
    <w:p>
      <w:pPr>
        <w:spacing w:after="160" w:line="276"/>
      </w:pPr>
      <w:r>
        <w:rPr>
          <w:sz w:val="21"/>
          <w:szCs w:val="21"/>
        </w:rPr>
        <w:t xml:space="preserve">No dedicated hardware is required beyond a client device capable of WebGL 2 rendering. No server-side GPU is required for the current feature set (headless Blender export may optionally use GPU acceleration if available; Anvil and IPFS have no GPU requirement).</w:t>
      </w:r>
    </w:p>
    <w:p>
      <w:pPr>
        <w:pStyle w:val="Heading2"/>
        <w:spacing w:after="150" w:before="300"/>
      </w:pPr>
      <w:r>
        <w:rPr>
          <w:b/>
          <w:bCs/>
          <w:color w:val="4338CA"/>
          <w:sz w:val="25"/>
          <w:szCs w:val="25"/>
        </w:rPr>
        <w:t xml:space="preserve">6.3 Software Interfaces</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2600"/>
        <w:gridCol w:w="2900"/>
        <w:gridCol w:w="3850"/>
      </w:tblGrid>
      <w:tr>
        <w:trPr>
          <w:tblHeader/>
        </w:trPr>
        <w:tc>
          <w:tcPr>
            <w:tcW w:type="dxa" w:w="2600"/>
            <w:shd w:fill="1E1B4B" w:val="clear"/>
            <w:tcMar>
              <w:top w:type="dxa" w:w="80"/>
              <w:left w:type="dxa" w:w="100"/>
              <w:bottom w:type="dxa" w:w="80"/>
              <w:right w:type="dxa" w:w="100"/>
            </w:tcMar>
            <w:vAlign w:val="center"/>
          </w:tcPr>
          <w:p>
            <w:r>
              <w:rPr>
                <w:b/>
                <w:bCs/>
                <w:color w:val="FFFFFF"/>
                <w:sz w:val="19"/>
                <w:szCs w:val="19"/>
              </w:rPr>
              <w:t xml:space="preserve">External / Internal System</w:t>
            </w:r>
          </w:p>
        </w:tc>
        <w:tc>
          <w:tcPr>
            <w:tcW w:type="dxa" w:w="2900"/>
            <w:shd w:fill="1E1B4B" w:val="clear"/>
            <w:tcMar>
              <w:top w:type="dxa" w:w="80"/>
              <w:left w:type="dxa" w:w="100"/>
              <w:bottom w:type="dxa" w:w="80"/>
              <w:right w:type="dxa" w:w="100"/>
            </w:tcMar>
            <w:vAlign w:val="center"/>
          </w:tcPr>
          <w:p>
            <w:r>
              <w:rPr>
                <w:b/>
                <w:bCs/>
                <w:color w:val="FFFFFF"/>
                <w:sz w:val="19"/>
                <w:szCs w:val="19"/>
              </w:rPr>
              <w:t xml:space="preserve">Protocol</w:t>
            </w:r>
          </w:p>
        </w:tc>
        <w:tc>
          <w:tcPr>
            <w:tcW w:type="dxa" w:w="3850"/>
            <w:shd w:fill="1E1B4B" w:val="clear"/>
            <w:tcMar>
              <w:top w:type="dxa" w:w="80"/>
              <w:left w:type="dxa" w:w="100"/>
              <w:bottom w:type="dxa" w:w="80"/>
              <w:right w:type="dxa" w:w="100"/>
            </w:tcMar>
            <w:vAlign w:val="center"/>
          </w:tcPr>
          <w:p>
            <w:r>
              <w:rPr>
                <w:b/>
                <w:bCs/>
                <w:color w:val="FFFFFF"/>
                <w:sz w:val="19"/>
                <w:szCs w:val="19"/>
              </w:rPr>
              <w:t xml:space="preserve">Purpose</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Anthropic Claude API</w:t>
            </w:r>
          </w:p>
        </w:tc>
        <w:tc>
          <w:tcPr>
            <w:tcW w:type="dxa" w:w="2900"/>
            <w:shd w:fill="FFFFFF" w:val="clear"/>
            <w:tcMar>
              <w:top w:type="dxa" w:w="80"/>
              <w:left w:type="dxa" w:w="100"/>
              <w:bottom w:type="dxa" w:w="80"/>
              <w:right w:type="dxa" w:w="100"/>
            </w:tcMar>
            <w:vAlign w:val="center"/>
          </w:tcPr>
          <w:p>
            <w:r>
              <w:rPr>
                <w:b w:val="false"/>
                <w:bCs w:val="false"/>
                <w:sz w:val="19"/>
                <w:szCs w:val="19"/>
              </w:rPr>
              <w:t xml:space="preserve">HTTPS / JSON (Messages endpoint)</w:t>
            </w:r>
          </w:p>
        </w:tc>
        <w:tc>
          <w:tcPr>
            <w:tcW w:type="dxa" w:w="3850"/>
            <w:shd w:fill="FFFFFF" w:val="clear"/>
            <w:tcMar>
              <w:top w:type="dxa" w:w="80"/>
              <w:left w:type="dxa" w:w="100"/>
              <w:bottom w:type="dxa" w:w="80"/>
              <w:right w:type="dxa" w:w="100"/>
            </w:tcMar>
            <w:vAlign w:val="center"/>
          </w:tcPr>
          <w:p>
            <w:r>
              <w:rPr>
                <w:b w:val="false"/>
                <w:bCs w:val="false"/>
                <w:sz w:val="19"/>
                <w:szCs w:val="19"/>
              </w:rPr>
              <w:t xml:space="preserve">AI-assisted tag/description generation and review-support summaries.</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Sketchfab Data API v2</w:t>
            </w:r>
          </w:p>
        </w:tc>
        <w:tc>
          <w:tcPr>
            <w:tcW w:type="dxa" w:w="2900"/>
            <w:shd w:fill="F8FAFC" w:val="clear"/>
            <w:tcMar>
              <w:top w:type="dxa" w:w="80"/>
              <w:left w:type="dxa" w:w="100"/>
              <w:bottom w:type="dxa" w:w="80"/>
              <w:right w:type="dxa" w:w="100"/>
            </w:tcMar>
            <w:vAlign w:val="center"/>
          </w:tcPr>
          <w:p>
            <w:r>
              <w:rPr>
                <w:b w:val="false"/>
                <w:bCs w:val="false"/>
                <w:sz w:val="19"/>
                <w:szCs w:val="19"/>
              </w:rPr>
              <w:t xml:space="preserve">HTTPS / REST, OAuth2</w:t>
            </w:r>
          </w:p>
        </w:tc>
        <w:tc>
          <w:tcPr>
            <w:tcW w:type="dxa" w:w="3850"/>
            <w:shd w:fill="F8FAFC" w:val="clear"/>
            <w:tcMar>
              <w:top w:type="dxa" w:w="80"/>
              <w:left w:type="dxa" w:w="100"/>
              <w:bottom w:type="dxa" w:w="80"/>
              <w:right w:type="dxa" w:w="100"/>
            </w:tcMar>
            <w:vAlign w:val="center"/>
          </w:tcPr>
          <w:p>
            <w:r>
              <w:rPr>
                <w:b w:val="false"/>
                <w:bCs w:val="false"/>
                <w:sz w:val="19"/>
                <w:szCs w:val="19"/>
              </w:rPr>
              <w:t xml:space="preserve">Search and import of CC-licensed 3D models.</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Poly Pizza API</w:t>
            </w:r>
          </w:p>
        </w:tc>
        <w:tc>
          <w:tcPr>
            <w:tcW w:type="dxa" w:w="2900"/>
            <w:shd w:fill="FFFFFF" w:val="clear"/>
            <w:tcMar>
              <w:top w:type="dxa" w:w="80"/>
              <w:left w:type="dxa" w:w="100"/>
              <w:bottom w:type="dxa" w:w="80"/>
              <w:right w:type="dxa" w:w="100"/>
            </w:tcMar>
            <w:vAlign w:val="center"/>
          </w:tcPr>
          <w:p>
            <w:r>
              <w:rPr>
                <w:b w:val="false"/>
                <w:bCs w:val="false"/>
                <w:sz w:val="19"/>
                <w:szCs w:val="19"/>
              </w:rPr>
              <w:t xml:space="preserve">HTTPS / REST</w:t>
            </w:r>
          </w:p>
        </w:tc>
        <w:tc>
          <w:tcPr>
            <w:tcW w:type="dxa" w:w="3850"/>
            <w:shd w:fill="FFFFFF" w:val="clear"/>
            <w:tcMar>
              <w:top w:type="dxa" w:w="80"/>
              <w:left w:type="dxa" w:w="100"/>
              <w:bottom w:type="dxa" w:w="80"/>
              <w:right w:type="dxa" w:w="100"/>
            </w:tcMar>
            <w:vAlign w:val="center"/>
          </w:tcPr>
          <w:p>
            <w:r>
              <w:rPr>
                <w:b w:val="false"/>
                <w:bCs w:val="false"/>
                <w:sz w:val="19"/>
                <w:szCs w:val="19"/>
              </w:rPr>
              <w:t xml:space="preserve">Search and import of CC0 low-poly models.</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Blender (headless)</w:t>
            </w:r>
          </w:p>
        </w:tc>
        <w:tc>
          <w:tcPr>
            <w:tcW w:type="dxa" w:w="2900"/>
            <w:shd w:fill="F8FAFC" w:val="clear"/>
            <w:tcMar>
              <w:top w:type="dxa" w:w="80"/>
              <w:left w:type="dxa" w:w="100"/>
              <w:bottom w:type="dxa" w:w="80"/>
              <w:right w:type="dxa" w:w="100"/>
            </w:tcMar>
            <w:vAlign w:val="center"/>
          </w:tcPr>
          <w:p>
            <w:r>
              <w:rPr>
                <w:b w:val="false"/>
                <w:bCs w:val="false"/>
                <w:sz w:val="19"/>
                <w:szCs w:val="19"/>
              </w:rPr>
              <w:t xml:space="preserve">CLI / containerized local process</w:t>
            </w:r>
          </w:p>
        </w:tc>
        <w:tc>
          <w:tcPr>
            <w:tcW w:type="dxa" w:w="3850"/>
            <w:shd w:fill="F8FAFC" w:val="clear"/>
            <w:tcMar>
              <w:top w:type="dxa" w:w="80"/>
              <w:left w:type="dxa" w:w="100"/>
              <w:bottom w:type="dxa" w:w="80"/>
              <w:right w:type="dxa" w:w="100"/>
            </w:tcMar>
            <w:vAlign w:val="center"/>
          </w:tcPr>
          <w:p>
            <w:r>
              <w:rPr>
                <w:b w:val="false"/>
                <w:bCs w:val="false"/>
                <w:sz w:val="19"/>
                <w:szCs w:val="19"/>
              </w:rPr>
              <w:t xml:space="preserve">Format conversion and XR polycount optimization.</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Meshy AI API</w:t>
            </w:r>
          </w:p>
        </w:tc>
        <w:tc>
          <w:tcPr>
            <w:tcW w:type="dxa" w:w="2900"/>
            <w:shd w:fill="FFFFFF" w:val="clear"/>
            <w:tcMar>
              <w:top w:type="dxa" w:w="80"/>
              <w:left w:type="dxa" w:w="100"/>
              <w:bottom w:type="dxa" w:w="80"/>
              <w:right w:type="dxa" w:w="100"/>
            </w:tcMar>
            <w:vAlign w:val="center"/>
          </w:tcPr>
          <w:p>
            <w:r>
              <w:rPr>
                <w:b w:val="false"/>
                <w:bCs w:val="false"/>
                <w:sz w:val="19"/>
                <w:szCs w:val="19"/>
              </w:rPr>
              <w:t xml:space="preserve">HTTPS / REST</w:t>
            </w:r>
          </w:p>
        </w:tc>
        <w:tc>
          <w:tcPr>
            <w:tcW w:type="dxa" w:w="3850"/>
            <w:shd w:fill="FFFFFF" w:val="clear"/>
            <w:tcMar>
              <w:top w:type="dxa" w:w="80"/>
              <w:left w:type="dxa" w:w="100"/>
              <w:bottom w:type="dxa" w:w="80"/>
              <w:right w:type="dxa" w:w="100"/>
            </w:tcMar>
            <w:vAlign w:val="center"/>
          </w:tcPr>
          <w:p>
            <w:r>
              <w:rPr>
                <w:b w:val="false"/>
                <w:bCs w:val="false"/>
                <w:sz w:val="19"/>
                <w:szCs w:val="19"/>
              </w:rPr>
              <w:t xml:space="preserve">Text/image-to-3D generative model creation (optional).</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EoN Reality IVR Server API</w:t>
            </w:r>
          </w:p>
        </w:tc>
        <w:tc>
          <w:tcPr>
            <w:tcW w:type="dxa" w:w="2900"/>
            <w:shd w:fill="F8FAFC" w:val="clear"/>
            <w:tcMar>
              <w:top w:type="dxa" w:w="80"/>
              <w:left w:type="dxa" w:w="100"/>
              <w:bottom w:type="dxa" w:w="80"/>
              <w:right w:type="dxa" w:w="100"/>
            </w:tcMar>
            <w:vAlign w:val="center"/>
          </w:tcPr>
          <w:p>
            <w:r>
              <w:rPr>
                <w:b w:val="false"/>
                <w:bCs w:val="false"/>
                <w:sz w:val="19"/>
                <w:szCs w:val="19"/>
              </w:rPr>
              <w:t xml:space="preserve">HTTPS / REST</w:t>
            </w:r>
          </w:p>
        </w:tc>
        <w:tc>
          <w:tcPr>
            <w:tcW w:type="dxa" w:w="3850"/>
            <w:shd w:fill="F8FAFC" w:val="clear"/>
            <w:tcMar>
              <w:top w:type="dxa" w:w="80"/>
              <w:left w:type="dxa" w:w="100"/>
              <w:bottom w:type="dxa" w:w="80"/>
              <w:right w:type="dxa" w:w="100"/>
            </w:tcMar>
            <w:vAlign w:val="center"/>
          </w:tcPr>
          <w:p>
            <w:r>
              <w:rPr>
                <w:b w:val="false"/>
                <w:bCs w:val="false"/>
                <w:sz w:val="19"/>
                <w:szCs w:val="19"/>
              </w:rPr>
              <w:t xml:space="preserve">Publishing licensed assets into XR training modules.</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IPFS (Kubo) node</w:t>
            </w:r>
          </w:p>
        </w:tc>
        <w:tc>
          <w:tcPr>
            <w:tcW w:type="dxa" w:w="2900"/>
            <w:shd w:fill="FFFFFF" w:val="clear"/>
            <w:tcMar>
              <w:top w:type="dxa" w:w="80"/>
              <w:left w:type="dxa" w:w="100"/>
              <w:bottom w:type="dxa" w:w="80"/>
              <w:right w:type="dxa" w:w="100"/>
            </w:tcMar>
            <w:vAlign w:val="center"/>
          </w:tcPr>
          <w:p>
            <w:r>
              <w:rPr>
                <w:b w:val="false"/>
                <w:bCs w:val="false"/>
                <w:sz w:val="19"/>
                <w:szCs w:val="19"/>
              </w:rPr>
              <w:t xml:space="preserve">HTTP API (local, internal Docker network)</w:t>
            </w:r>
          </w:p>
        </w:tc>
        <w:tc>
          <w:tcPr>
            <w:tcW w:type="dxa" w:w="3850"/>
            <w:shd w:fill="FFFFFF" w:val="clear"/>
            <w:tcMar>
              <w:top w:type="dxa" w:w="80"/>
              <w:left w:type="dxa" w:w="100"/>
              <w:bottom w:type="dxa" w:w="80"/>
              <w:right w:type="dxa" w:w="100"/>
            </w:tcMar>
            <w:vAlign w:val="center"/>
          </w:tcPr>
          <w:p>
            <w:r>
              <w:rPr>
                <w:b w:val="false"/>
                <w:bCs w:val="false"/>
                <w:sz w:val="19"/>
                <w:szCs w:val="19"/>
              </w:rPr>
              <w:t xml:space="preserve">Content-addressed storage, pinning, and gateway retrieval of asset binaries.</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Anvil / AssetLicenseRegistry.sol</w:t>
            </w:r>
          </w:p>
        </w:tc>
        <w:tc>
          <w:tcPr>
            <w:tcW w:type="dxa" w:w="2900"/>
            <w:shd w:fill="F8FAFC" w:val="clear"/>
            <w:tcMar>
              <w:top w:type="dxa" w:w="80"/>
              <w:left w:type="dxa" w:w="100"/>
              <w:bottom w:type="dxa" w:w="80"/>
              <w:right w:type="dxa" w:w="100"/>
            </w:tcMar>
            <w:vAlign w:val="center"/>
          </w:tcPr>
          <w:p>
            <w:r>
              <w:rPr>
                <w:b w:val="false"/>
                <w:bCs w:val="false"/>
                <w:sz w:val="19"/>
                <w:szCs w:val="19"/>
              </w:rPr>
              <w:t xml:space="preserve">JSON-RPC (local EVM, internal Docker network)</w:t>
            </w:r>
          </w:p>
        </w:tc>
        <w:tc>
          <w:tcPr>
            <w:tcW w:type="dxa" w:w="3850"/>
            <w:shd w:fill="F8FAFC" w:val="clear"/>
            <w:tcMar>
              <w:top w:type="dxa" w:w="80"/>
              <w:left w:type="dxa" w:w="100"/>
              <w:bottom w:type="dxa" w:w="80"/>
              <w:right w:type="dxa" w:w="100"/>
            </w:tcMar>
            <w:vAlign w:val="center"/>
          </w:tcPr>
          <w:p>
            <w:r>
              <w:rPr>
                <w:b w:val="false"/>
                <w:bCs w:val="false"/>
                <w:sz w:val="19"/>
                <w:szCs w:val="19"/>
              </w:rPr>
              <w:t xml:space="preserve">Minting and revoking on-chain asset licenses.</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PostgreSQL</w:t>
            </w:r>
          </w:p>
        </w:tc>
        <w:tc>
          <w:tcPr>
            <w:tcW w:type="dxa" w:w="2900"/>
            <w:shd w:fill="FFFFFF" w:val="clear"/>
            <w:tcMar>
              <w:top w:type="dxa" w:w="80"/>
              <w:left w:type="dxa" w:w="100"/>
              <w:bottom w:type="dxa" w:w="80"/>
              <w:right w:type="dxa" w:w="100"/>
            </w:tcMar>
            <w:vAlign w:val="center"/>
          </w:tcPr>
          <w:p>
            <w:r>
              <w:rPr>
                <w:b w:val="false"/>
                <w:bCs w:val="false"/>
                <w:sz w:val="19"/>
                <w:szCs w:val="19"/>
              </w:rPr>
              <w:t xml:space="preserve">TCP / SQL (Prisma)</w:t>
            </w:r>
          </w:p>
        </w:tc>
        <w:tc>
          <w:tcPr>
            <w:tcW w:type="dxa" w:w="3850"/>
            <w:shd w:fill="FFFFFF" w:val="clear"/>
            <w:tcMar>
              <w:top w:type="dxa" w:w="80"/>
              <w:left w:type="dxa" w:w="100"/>
              <w:bottom w:type="dxa" w:w="80"/>
              <w:right w:type="dxa" w:w="100"/>
            </w:tcMar>
            <w:vAlign w:val="center"/>
          </w:tcPr>
          <w:p>
            <w:r>
              <w:rPr>
                <w:b w:val="false"/>
                <w:bCs w:val="false"/>
                <w:sz w:val="19"/>
                <w:szCs w:val="19"/>
              </w:rPr>
              <w:t xml:space="preserve">System of record for all relational data.</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Redis</w:t>
            </w:r>
          </w:p>
        </w:tc>
        <w:tc>
          <w:tcPr>
            <w:tcW w:type="dxa" w:w="2900"/>
            <w:shd w:fill="F8FAFC" w:val="clear"/>
            <w:tcMar>
              <w:top w:type="dxa" w:w="80"/>
              <w:left w:type="dxa" w:w="100"/>
              <w:bottom w:type="dxa" w:w="80"/>
              <w:right w:type="dxa" w:w="100"/>
            </w:tcMar>
            <w:vAlign w:val="center"/>
          </w:tcPr>
          <w:p>
            <w:r>
              <w:rPr>
                <w:b w:val="false"/>
                <w:bCs w:val="false"/>
                <w:sz w:val="19"/>
                <w:szCs w:val="19"/>
              </w:rPr>
              <w:t xml:space="preserve">TCP (RESP)</w:t>
            </w:r>
          </w:p>
        </w:tc>
        <w:tc>
          <w:tcPr>
            <w:tcW w:type="dxa" w:w="3850"/>
            <w:shd w:fill="F8FAFC" w:val="clear"/>
            <w:tcMar>
              <w:top w:type="dxa" w:w="80"/>
              <w:left w:type="dxa" w:w="100"/>
              <w:bottom w:type="dxa" w:w="80"/>
              <w:right w:type="dxa" w:w="100"/>
            </w:tcMar>
            <w:vAlign w:val="center"/>
          </w:tcPr>
          <w:p>
            <w:r>
              <w:rPr>
                <w:b w:val="false"/>
                <w:bCs w:val="false"/>
                <w:sz w:val="19"/>
                <w:szCs w:val="19"/>
              </w:rPr>
              <w:t xml:space="preserve">BullMQ queue backend, rate-limit counters, server-side caching.</w:t>
            </w:r>
          </w:p>
        </w:tc>
      </w:tr>
    </w:tbl>
    <w:p>
      <w:pPr>
        <w:spacing w:after="220"/>
      </w:pPr>
    </w:p>
    <w:p>
      <w:pPr>
        <w:pStyle w:val="Heading2"/>
        <w:spacing w:after="150" w:before="300"/>
      </w:pPr>
      <w:r>
        <w:rPr>
          <w:b/>
          <w:bCs/>
          <w:color w:val="4338CA"/>
          <w:sz w:val="25"/>
          <w:szCs w:val="25"/>
        </w:rPr>
        <w:t xml:space="preserve">6.4 REST API Overview (/api/v1)</w:t>
      </w:r>
    </w:p>
    <w:p>
      <w:pPr>
        <w:spacing w:after="160" w:line="276"/>
      </w:pPr>
      <w:r>
        <w:rPr>
          <w:sz w:val="21"/>
          <w:szCs w:val="21"/>
        </w:rPr>
        <w:t xml:space="preserve">The full contract is published in-app via OpenAPI (FR-12.2); the table below lists representative endpoints per resource group.</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3050"/>
        <w:gridCol w:w="3900"/>
        <w:gridCol w:w="2400"/>
      </w:tblGrid>
      <w:tr>
        <w:trPr>
          <w:tblHeader/>
        </w:trPr>
        <w:tc>
          <w:tcPr>
            <w:tcW w:type="dxa" w:w="3050"/>
            <w:shd w:fill="1E1B4B" w:val="clear"/>
            <w:tcMar>
              <w:top w:type="dxa" w:w="80"/>
              <w:left w:type="dxa" w:w="100"/>
              <w:bottom w:type="dxa" w:w="80"/>
              <w:right w:type="dxa" w:w="100"/>
            </w:tcMar>
            <w:vAlign w:val="center"/>
          </w:tcPr>
          <w:p>
            <w:r>
              <w:rPr>
                <w:b/>
                <w:bCs/>
                <w:color w:val="FFFFFF"/>
                <w:sz w:val="19"/>
                <w:szCs w:val="19"/>
              </w:rPr>
              <w:t xml:space="preserve">Method &amp; Path</w:t>
            </w:r>
          </w:p>
        </w:tc>
        <w:tc>
          <w:tcPr>
            <w:tcW w:type="dxa" w:w="3900"/>
            <w:shd w:fill="1E1B4B" w:val="clear"/>
            <w:tcMar>
              <w:top w:type="dxa" w:w="80"/>
              <w:left w:type="dxa" w:w="100"/>
              <w:bottom w:type="dxa" w:w="80"/>
              <w:right w:type="dxa" w:w="100"/>
            </w:tcMar>
            <w:vAlign w:val="center"/>
          </w:tcPr>
          <w:p>
            <w:r>
              <w:rPr>
                <w:b/>
                <w:bCs/>
                <w:color w:val="FFFFFF"/>
                <w:sz w:val="19"/>
                <w:szCs w:val="19"/>
              </w:rPr>
              <w:t xml:space="preserve">Description</w:t>
            </w:r>
          </w:p>
        </w:tc>
        <w:tc>
          <w:tcPr>
            <w:tcW w:type="dxa" w:w="2400"/>
            <w:shd w:fill="1E1B4B" w:val="clear"/>
            <w:tcMar>
              <w:top w:type="dxa" w:w="80"/>
              <w:left w:type="dxa" w:w="100"/>
              <w:bottom w:type="dxa" w:w="80"/>
              <w:right w:type="dxa" w:w="100"/>
            </w:tcMar>
            <w:vAlign w:val="center"/>
          </w:tcPr>
          <w:p>
            <w:r>
              <w:rPr>
                <w:b/>
                <w:bCs/>
                <w:color w:val="FFFFFF"/>
                <w:sz w:val="19"/>
                <w:szCs w:val="19"/>
              </w:rPr>
              <w:t xml:space="preserve">Auth</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POST /api/v1/auth/register</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Create a Tenant + first TenantAdmin, or join an existing tenant via invite token.</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None</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POST /api/v1/auth/login</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Email/password or SSO login; sets httpOnly access + refresh cookies.</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None</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POST /api/v1/auth/token</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Exchange an API key for a short-lived bearer token.</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API key</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POST /api/v1/auth/siwe</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Verify a signed SIWE message and link/authenticate a wallet.</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None / linking</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GET /api/v1/assets</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List/search/filter the caller's tenant's assets.</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JWT / bearer</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POST /api/v1/assets</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Upload a new asset (multipart), enqueues ipfs-pin + ai-enrichment.</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JWT (Creator+)</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GET /api/v1/assets/{id}</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Asset detail: versions, AI suggestions, review history, license.</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JWT / bearer</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POST /api/v1/assets/{id}/versions</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Upload a new version of an existing asset.</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JWT (Creator, owner)</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DELETE /api/v1/assets/{id}</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Delete an unpublished asset.</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JWT (Creator, owner)</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GET /api/v1/review/queue</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List pending assets for review.</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JWT (Assessor+)</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POST /api/v1/assets/{id}/decision</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Record approve/reject/revision with comment.</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JWT (Assessor+)</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POST /api/v1/assets/{id}/publish</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Trigger chain-license + xr-publish jobs.</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JWT (Assessor+)</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POST /api/v1/assets/{id}/revoke</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Revoke a published asset's license.</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JWT (TenantAdmin)</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GET /api/v1/licenses/{tokenId}</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On-chain license detail (tokenId, txHash, status).</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JWT / bearer</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POST /api/v1/tools/sketchfab/search</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Search and stage a Sketchfab import.</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JWT (Creator+)</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POST /api/v1/tools/blender/optimize</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Trigger a headless Blender optimization job.</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JWT (Creator+)</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GET /api/v1/jobs/{id}</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Poll status of any asynchronous job.</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JWT / bearer</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GET /api/v1/tenants/{id}/users</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List tenant users and roles.</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JWT (TenantAdmin)</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POST /api/v1/tenants/{id}/api-keys</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Create a new API key (returned once).</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JWT (TenantAdmin)</w:t>
            </w:r>
          </w:p>
        </w:tc>
      </w:tr>
      <w:tr>
        <w:tc>
          <w:tcPr>
            <w:tcW w:type="dxa" w:w="3050"/>
            <w:shd w:fill="F8FAFC" w:val="clear"/>
            <w:tcMar>
              <w:top w:type="dxa" w:w="80"/>
              <w:left w:type="dxa" w:w="100"/>
              <w:bottom w:type="dxa" w:w="80"/>
              <w:right w:type="dxa" w:w="100"/>
            </w:tcMar>
            <w:vAlign w:val="center"/>
          </w:tcPr>
          <w:p>
            <w:r>
              <w:rPr>
                <w:b w:val="false"/>
                <w:bCs w:val="false"/>
                <w:sz w:val="19"/>
                <w:szCs w:val="19"/>
              </w:rPr>
              <w:t xml:space="preserve">GET /api/v1/tenants/{id}/audit-log</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Query the tenant's audit trail.</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JWT (TenantAdmin)</w:t>
            </w:r>
          </w:p>
        </w:tc>
      </w:tr>
      <w:tr>
        <w:tc>
          <w:tcPr>
            <w:tcW w:type="dxa" w:w="3050"/>
            <w:shd w:fill="FFFFFF" w:val="clear"/>
            <w:tcMar>
              <w:top w:type="dxa" w:w="80"/>
              <w:left w:type="dxa" w:w="100"/>
              <w:bottom w:type="dxa" w:w="80"/>
              <w:right w:type="dxa" w:w="100"/>
            </w:tcMar>
            <w:vAlign w:val="center"/>
          </w:tcPr>
          <w:p>
            <w:r>
              <w:rPr>
                <w:b w:val="false"/>
                <w:bCs w:val="false"/>
                <w:sz w:val="19"/>
                <w:szCs w:val="19"/>
              </w:rPr>
              <w:t xml:space="preserve">GET /api/v1/admin/tenants</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List/suspend/reinstate tenants (platform-wide).</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JWT (SuperAdmin)</w:t>
            </w:r>
          </w:p>
        </w:tc>
      </w:tr>
    </w:tbl>
    <w:p>
      <w:pPr>
        <w:spacing w:after="220"/>
      </w:pPr>
    </w:p>
    <w:p>
      <w:pPr>
        <w:pStyle w:val="Heading2"/>
        <w:spacing w:after="150" w:before="300"/>
      </w:pPr>
      <w:r>
        <w:rPr>
          <w:b/>
          <w:bCs/>
          <w:color w:val="4338CA"/>
          <w:sz w:val="25"/>
          <w:szCs w:val="25"/>
        </w:rPr>
        <w:t xml:space="preserve">6.5 Smart Contract Interface</w:t>
      </w:r>
    </w:p>
    <w:p>
      <w:pPr>
        <w:spacing w:after="160" w:line="276"/>
      </w:pPr>
      <w:r>
        <w:rPr>
          <w:sz w:val="21"/>
          <w:szCs w:val="21"/>
        </w:rPr>
        <w:t xml:space="preserve">AssetLicenseRegistry.sol's public interface is summarized in Section 3.9.2 and reproduced in full, with the compiled ABI, in the in-app Smart Contract reference tab and in the companion SDD.</w:t>
      </w:r>
    </w:p>
    <w:p>
      <w:pPr>
        <w:pStyle w:val="Heading2"/>
        <w:spacing w:after="150" w:before="300"/>
      </w:pPr>
      <w:r>
        <w:rPr>
          <w:b/>
          <w:bCs/>
          <w:color w:val="4338CA"/>
          <w:sz w:val="25"/>
          <w:szCs w:val="25"/>
        </w:rPr>
        <w:t xml:space="preserve">6.6 Communications Interfaces</w:t>
      </w:r>
    </w:p>
    <w:p>
      <w:pPr>
        <w:pStyle w:val="ListParagraph"/>
        <w:numPr>
          <w:ilvl w:val="0"/>
          <w:numId w:val="2"/>
        </w:numPr>
        <w:spacing w:after="90" w:line="264"/>
      </w:pPr>
      <w:r>
        <w:rPr>
          <w:sz w:val="21"/>
          <w:szCs w:val="21"/>
        </w:rPr>
        <w:t xml:space="preserve">All client-server and server-to-third-party communication MUST use HTTPS/TLS 1.2+ (terminated at Nginx for local dev via a self-signed or mkcert certificate).</w:t>
      </w:r>
    </w:p>
    <w:p>
      <w:pPr>
        <w:pStyle w:val="ListParagraph"/>
        <w:numPr>
          <w:ilvl w:val="0"/>
          <w:numId w:val="2"/>
        </w:numPr>
        <w:spacing w:after="90" w:line="264"/>
      </w:pPr>
      <w:r>
        <w:rPr>
          <w:sz w:val="21"/>
          <w:szCs w:val="21"/>
        </w:rPr>
        <w:t xml:space="preserve">The REST API exchanges JSON payloads, with multipart/form-data used specifically for binary asset upload.</w:t>
      </w:r>
    </w:p>
    <w:p>
      <w:pPr>
        <w:pStyle w:val="ListParagraph"/>
        <w:numPr>
          <w:ilvl w:val="0"/>
          <w:numId w:val="2"/>
        </w:numPr>
        <w:spacing w:after="90" w:line="264"/>
      </w:pPr>
      <w:r>
        <w:rPr>
          <w:sz w:val="21"/>
          <w:szCs w:val="21"/>
        </w:rPr>
        <w:t xml:space="preserve">Internal service-to-service traffic (API ↔ Postgres/Redis/IPFS/Anvil, Worker ↔ same) stays on the private Docker network and is never exposed to the host beyond what Nginx forwards.</w:t>
      </w:r>
    </w:p>
    <w:p>
      <w:r>
        <w:br w:type="page"/>
      </w:r>
    </w:p>
    <w:p>
      <w:pPr>
        <w:pStyle w:val="Heading1"/>
        <w:pBdr>
          <w:bottom w:val="single" w:color="4338CA" w:sz="6" w:space="4"/>
        </w:pBdr>
        <w:spacing w:after="200" w:before="400"/>
      </w:pPr>
      <w:r>
        <w:rPr>
          <w:b/>
          <w:bCs/>
          <w:color w:val="1E1B4B"/>
          <w:sz w:val="30"/>
          <w:szCs w:val="30"/>
        </w:rPr>
        <w:t xml:space="preserve">7. Data Flow Overview</w:t>
      </w:r>
    </w:p>
    <w:p>
      <w:pPr>
        <w:spacing w:after="160" w:line="276"/>
      </w:pPr>
      <w:r>
        <w:rPr>
          <w:sz w:val="21"/>
          <w:szCs w:val="21"/>
        </w:rPr>
        <w:t xml:space="preserve">Figure 4 (reproduced from Section 2) traces the asset lifecycle end to end — from Creator upload through AI enrichment, human review, on-chain licensing, and XR publishing — and doubles as this release's Level-1 data flow narrative: each box is a system state, each edge a data-producing transition, and each of the five shaded processing stages (Ingest, Enrich, Review, License, Publish) maps directly to a module in Section 4.</w:t>
      </w:r>
    </w:p>
    <w:p>
      <w:pPr>
        <w:spacing w:after="80" w:before="120"/>
        <w:jc w:val="center"/>
      </w:pPr>
      <w:r>
        <w:drawing>
          <wp:inline distT="0" distB="0" distL="0" distR="0">
            <wp:extent cx="5760720" cy="1417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417320"/>
                    </a:xfrm>
                    <a:prstGeom prst="rect">
                      <a:avLst/>
                    </a:prstGeom>
                  </pic:spPr>
                </pic:pic>
              </a:graphicData>
            </a:graphic>
          </wp:inline>
        </w:drawing>
      </w:r>
    </w:p>
    <w:p>
      <w:pPr>
        <w:spacing w:after="240"/>
        <w:jc w:val="center"/>
      </w:pPr>
      <w:r>
        <w:rPr>
          <w:i/>
          <w:iCs/>
          <w:color w:val="64748B"/>
          <w:sz w:val="19"/>
          <w:szCs w:val="19"/>
        </w:rPr>
        <w:t xml:space="preserve">Figure 4 — Asset Lifecycle &amp; Data Flow (Draft → Published, with Revision Loop)</w:t>
      </w:r>
    </w:p>
    <w:p>
      <w:pPr>
        <w:pStyle w:val="Heading2"/>
        <w:spacing w:after="150" w:before="300"/>
      </w:pPr>
      <w:r>
        <w:rPr>
          <w:b/>
          <w:bCs/>
          <w:color w:val="4338CA"/>
          <w:sz w:val="25"/>
          <w:szCs w:val="25"/>
        </w:rPr>
        <w:t xml:space="preserve">7.1 Data Stores Touched Per Stage</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2500"/>
        <w:gridCol w:w="6850"/>
      </w:tblGrid>
      <w:tr>
        <w:trPr>
          <w:tblHeader/>
        </w:trPr>
        <w:tc>
          <w:tcPr>
            <w:tcW w:type="dxa" w:w="2500"/>
            <w:shd w:fill="1E1B4B" w:val="clear"/>
            <w:tcMar>
              <w:top w:type="dxa" w:w="80"/>
              <w:left w:type="dxa" w:w="100"/>
              <w:bottom w:type="dxa" w:w="80"/>
              <w:right w:type="dxa" w:w="100"/>
            </w:tcMar>
            <w:vAlign w:val="center"/>
          </w:tcPr>
          <w:p>
            <w:r>
              <w:rPr>
                <w:b/>
                <w:bCs/>
                <w:color w:val="FFFFFF"/>
                <w:sz w:val="19"/>
                <w:szCs w:val="19"/>
              </w:rPr>
              <w:t xml:space="preserve">Stage</w:t>
            </w:r>
          </w:p>
        </w:tc>
        <w:tc>
          <w:tcPr>
            <w:tcW w:type="dxa" w:w="6850"/>
            <w:shd w:fill="1E1B4B" w:val="clear"/>
            <w:tcMar>
              <w:top w:type="dxa" w:w="80"/>
              <w:left w:type="dxa" w:w="100"/>
              <w:bottom w:type="dxa" w:w="80"/>
              <w:right w:type="dxa" w:w="100"/>
            </w:tcMar>
            <w:vAlign w:val="center"/>
          </w:tcPr>
          <w:p>
            <w:r>
              <w:rPr>
                <w:b/>
                <w:bCs/>
                <w:color w:val="FFFFFF"/>
                <w:sz w:val="19"/>
                <w:szCs w:val="19"/>
              </w:rPr>
              <w:t xml:space="preserve">Primary Data Store(s) Written</w:t>
            </w:r>
          </w:p>
        </w:tc>
      </w:tr>
      <w:tr>
        <w:tc>
          <w:tcPr>
            <w:tcW w:type="dxa" w:w="2500"/>
            <w:shd w:fill="FFFFFF" w:val="clear"/>
            <w:tcMar>
              <w:top w:type="dxa" w:w="80"/>
              <w:left w:type="dxa" w:w="100"/>
              <w:bottom w:type="dxa" w:w="80"/>
              <w:right w:type="dxa" w:w="100"/>
            </w:tcMar>
            <w:vAlign w:val="center"/>
          </w:tcPr>
          <w:p>
            <w:r>
              <w:rPr>
                <w:b w:val="false"/>
                <w:bCs w:val="false"/>
                <w:sz w:val="19"/>
                <w:szCs w:val="19"/>
              </w:rPr>
              <w:t xml:space="preserve">Upload</w:t>
            </w:r>
          </w:p>
        </w:tc>
        <w:tc>
          <w:tcPr>
            <w:tcW w:type="dxa" w:w="6850"/>
            <w:shd w:fill="FFFFFF" w:val="clear"/>
            <w:tcMar>
              <w:top w:type="dxa" w:w="80"/>
              <w:left w:type="dxa" w:w="100"/>
              <w:bottom w:type="dxa" w:w="80"/>
              <w:right w:type="dxa" w:w="100"/>
            </w:tcMar>
            <w:vAlign w:val="center"/>
          </w:tcPr>
          <w:p>
            <w:r>
              <w:rPr>
                <w:b w:val="false"/>
                <w:bCs w:val="false"/>
                <w:sz w:val="19"/>
                <w:szCs w:val="19"/>
              </w:rPr>
              <w:t xml:space="preserve">PostgreSQL (Asset, AssetVersion rows) · IPFS (binary content, via ipfs-pin job)</w:t>
            </w:r>
          </w:p>
        </w:tc>
      </w:tr>
      <w:tr>
        <w:tc>
          <w:tcPr>
            <w:tcW w:type="dxa" w:w="2500"/>
            <w:shd w:fill="F8FAFC" w:val="clear"/>
            <w:tcMar>
              <w:top w:type="dxa" w:w="80"/>
              <w:left w:type="dxa" w:w="100"/>
              <w:bottom w:type="dxa" w:w="80"/>
              <w:right w:type="dxa" w:w="100"/>
            </w:tcMar>
            <w:vAlign w:val="center"/>
          </w:tcPr>
          <w:p>
            <w:r>
              <w:rPr>
                <w:b w:val="false"/>
                <w:bCs w:val="false"/>
                <w:sz w:val="19"/>
                <w:szCs w:val="19"/>
              </w:rPr>
              <w:t xml:space="preserve">AI Enrichment</w:t>
            </w:r>
          </w:p>
        </w:tc>
        <w:tc>
          <w:tcPr>
            <w:tcW w:type="dxa" w:w="6850"/>
            <w:shd w:fill="F8FAFC" w:val="clear"/>
            <w:tcMar>
              <w:top w:type="dxa" w:w="80"/>
              <w:left w:type="dxa" w:w="100"/>
              <w:bottom w:type="dxa" w:w="80"/>
              <w:right w:type="dxa" w:w="100"/>
            </w:tcMar>
            <w:vAlign w:val="center"/>
          </w:tcPr>
          <w:p>
            <w:r>
              <w:rPr>
                <w:b w:val="false"/>
                <w:bCs w:val="false"/>
                <w:sz w:val="19"/>
                <w:szCs w:val="19"/>
              </w:rPr>
              <w:t xml:space="preserve">PostgreSQL (AISuggestion) · Redis/BullMQ (job state)</w:t>
            </w:r>
          </w:p>
        </w:tc>
      </w:tr>
      <w:tr>
        <w:tc>
          <w:tcPr>
            <w:tcW w:type="dxa" w:w="2500"/>
            <w:shd w:fill="FFFFFF" w:val="clear"/>
            <w:tcMar>
              <w:top w:type="dxa" w:w="80"/>
              <w:left w:type="dxa" w:w="100"/>
              <w:bottom w:type="dxa" w:w="80"/>
              <w:right w:type="dxa" w:w="100"/>
            </w:tcMar>
            <w:vAlign w:val="center"/>
          </w:tcPr>
          <w:p>
            <w:r>
              <w:rPr>
                <w:b w:val="false"/>
                <w:bCs w:val="false"/>
                <w:sz w:val="19"/>
                <w:szCs w:val="19"/>
              </w:rPr>
              <w:t xml:space="preserve">Review</w:t>
            </w:r>
          </w:p>
        </w:tc>
        <w:tc>
          <w:tcPr>
            <w:tcW w:type="dxa" w:w="6850"/>
            <w:shd w:fill="FFFFFF" w:val="clear"/>
            <w:tcMar>
              <w:top w:type="dxa" w:w="80"/>
              <w:left w:type="dxa" w:w="100"/>
              <w:bottom w:type="dxa" w:w="80"/>
              <w:right w:type="dxa" w:w="100"/>
            </w:tcMar>
            <w:vAlign w:val="center"/>
          </w:tcPr>
          <w:p>
            <w:r>
              <w:rPr>
                <w:b w:val="false"/>
                <w:bCs w:val="false"/>
                <w:sz w:val="19"/>
                <w:szCs w:val="19"/>
              </w:rPr>
              <w:t xml:space="preserve">PostgreSQL (ReviewDecision, Notification, AuditLog)</w:t>
            </w:r>
          </w:p>
        </w:tc>
      </w:tr>
      <w:tr>
        <w:tc>
          <w:tcPr>
            <w:tcW w:type="dxa" w:w="2500"/>
            <w:shd w:fill="F8FAFC" w:val="clear"/>
            <w:tcMar>
              <w:top w:type="dxa" w:w="80"/>
              <w:left w:type="dxa" w:w="100"/>
              <w:bottom w:type="dxa" w:w="80"/>
              <w:right w:type="dxa" w:w="100"/>
            </w:tcMar>
            <w:vAlign w:val="center"/>
          </w:tcPr>
          <w:p>
            <w:r>
              <w:rPr>
                <w:b w:val="false"/>
                <w:bCs w:val="false"/>
                <w:sz w:val="19"/>
                <w:szCs w:val="19"/>
              </w:rPr>
              <w:t xml:space="preserve">Publish / License</w:t>
            </w:r>
          </w:p>
        </w:tc>
        <w:tc>
          <w:tcPr>
            <w:tcW w:type="dxa" w:w="6850"/>
            <w:shd w:fill="F8FAFC" w:val="clear"/>
            <w:tcMar>
              <w:top w:type="dxa" w:w="80"/>
              <w:left w:type="dxa" w:w="100"/>
              <w:bottom w:type="dxa" w:w="80"/>
              <w:right w:type="dxa" w:w="100"/>
            </w:tcMar>
            <w:vAlign w:val="center"/>
          </w:tcPr>
          <w:p>
            <w:r>
              <w:rPr>
                <w:b w:val="false"/>
                <w:bCs w:val="false"/>
                <w:sz w:val="19"/>
                <w:szCs w:val="19"/>
              </w:rPr>
              <w:t xml:space="preserve">PostgreSQL (License, AuditLog) · Anvil chain (ERC-721 token + event) · IPFS (license metadata JSON)</w:t>
            </w:r>
          </w:p>
        </w:tc>
      </w:tr>
      <w:tr>
        <w:tc>
          <w:tcPr>
            <w:tcW w:type="dxa" w:w="2500"/>
            <w:shd w:fill="FFFFFF" w:val="clear"/>
            <w:tcMar>
              <w:top w:type="dxa" w:w="80"/>
              <w:left w:type="dxa" w:w="100"/>
              <w:bottom w:type="dxa" w:w="80"/>
              <w:right w:type="dxa" w:w="100"/>
            </w:tcMar>
            <w:vAlign w:val="center"/>
          </w:tcPr>
          <w:p>
            <w:r>
              <w:rPr>
                <w:b w:val="false"/>
                <w:bCs w:val="false"/>
                <w:sz w:val="19"/>
                <w:szCs w:val="19"/>
              </w:rPr>
              <w:t xml:space="preserve">XR Publish</w:t>
            </w:r>
          </w:p>
        </w:tc>
        <w:tc>
          <w:tcPr>
            <w:tcW w:type="dxa" w:w="6850"/>
            <w:shd w:fill="FFFFFF" w:val="clear"/>
            <w:tcMar>
              <w:top w:type="dxa" w:w="80"/>
              <w:left w:type="dxa" w:w="100"/>
              <w:bottom w:type="dxa" w:w="80"/>
              <w:right w:type="dxa" w:w="100"/>
            </w:tcMar>
            <w:vAlign w:val="center"/>
          </w:tcPr>
          <w:p>
            <w:r>
              <w:rPr>
                <w:b w:val="false"/>
                <w:bCs w:val="false"/>
                <w:sz w:val="19"/>
                <w:szCs w:val="19"/>
              </w:rPr>
              <w:t xml:space="preserve">PostgreSQL (Asset.manifestUrl) · EoN Reality (external, via REST)</w:t>
            </w:r>
          </w:p>
        </w:tc>
      </w:tr>
    </w:tbl>
    <w:p>
      <w:pPr>
        <w:spacing w:after="220"/>
      </w:pPr>
    </w:p>
    <w:p>
      <w:r>
        <w:br w:type="page"/>
      </w:r>
    </w:p>
    <w:p>
      <w:pPr>
        <w:pStyle w:val="Heading1"/>
        <w:pBdr>
          <w:bottom w:val="single" w:color="4338CA" w:sz="6" w:space="4"/>
        </w:pBdr>
        <w:spacing w:after="200" w:before="400"/>
      </w:pPr>
      <w:r>
        <w:rPr>
          <w:b/>
          <w:bCs/>
          <w:color w:val="1E1B4B"/>
          <w:sz w:val="30"/>
          <w:szCs w:val="30"/>
        </w:rPr>
        <w:t xml:space="preserve">8. Non-Functional Requirements</w:t>
      </w:r>
    </w:p>
    <w:p>
      <w:pPr>
        <w:pStyle w:val="Heading2"/>
        <w:spacing w:after="150" w:before="300"/>
      </w:pPr>
      <w:r>
        <w:rPr>
          <w:b/>
          <w:bCs/>
          <w:color w:val="4338CA"/>
          <w:sz w:val="25"/>
          <w:szCs w:val="25"/>
        </w:rPr>
        <w:t xml:space="preserve">8.1 Performance</w:t>
      </w:r>
    </w:p>
    <w:p>
      <w:pPr>
        <w:pStyle w:val="ListParagraph"/>
        <w:numPr>
          <w:ilvl w:val="0"/>
          <w:numId w:val="2"/>
        </w:numPr>
        <w:spacing w:after="90" w:line="264"/>
      </w:pPr>
      <w:r>
        <w:rPr>
          <w:sz w:val="21"/>
          <w:szCs w:val="21"/>
        </w:rPr>
        <w:t xml:space="preserve">NFR-PERF.1 — 95th percentile API response time for GET /api/v1/assets MUST be under 400 ms for libraries up to 10,000 assets per tenant.</w:t>
      </w:r>
    </w:p>
    <w:p>
      <w:pPr>
        <w:pStyle w:val="ListParagraph"/>
        <w:numPr>
          <w:ilvl w:val="0"/>
          <w:numId w:val="2"/>
        </w:numPr>
        <w:spacing w:after="90" w:line="264"/>
      </w:pPr>
      <w:r>
        <w:rPr>
          <w:sz w:val="21"/>
          <w:szCs w:val="21"/>
        </w:rPr>
        <w:t xml:space="preserve">NFR-PERF.2 — 3D thumbnail previews MUST initialize within 1 second of card render on a mid-range laptop GPU, served through the Nginx IPFS gateway cache.</w:t>
      </w:r>
    </w:p>
    <w:p>
      <w:pPr>
        <w:pStyle w:val="ListParagraph"/>
        <w:numPr>
          <w:ilvl w:val="0"/>
          <w:numId w:val="2"/>
        </w:numPr>
        <w:spacing w:after="90" w:line="264"/>
      </w:pPr>
      <w:r>
        <w:rPr>
          <w:sz w:val="21"/>
          <w:szCs w:val="21"/>
        </w:rPr>
        <w:t xml:space="preserve">NFR-PERF.3 — Claude API enrichment MUST complete asynchronously and MUST NOT block the upload response (target: suggestions visible within 5–10 seconds).</w:t>
      </w:r>
    </w:p>
    <w:p>
      <w:pPr>
        <w:pStyle w:val="ListParagraph"/>
        <w:numPr>
          <w:ilvl w:val="0"/>
          <w:numId w:val="2"/>
        </w:numPr>
        <w:spacing w:after="90" w:line="264"/>
      </w:pPr>
      <w:r>
        <w:rPr>
          <w:sz w:val="21"/>
          <w:szCs w:val="21"/>
        </w:rPr>
        <w:t xml:space="preserve">NFR-PERF.4 — A repeated read of the same IPFS CID within its cache TTL MUST be served from the Nginx gateway cache rather than re-fetched from the IPFS node.</w:t>
      </w:r>
    </w:p>
    <w:p>
      <w:pPr>
        <w:pStyle w:val="ListParagraph"/>
        <w:numPr>
          <w:ilvl w:val="0"/>
          <w:numId w:val="2"/>
        </w:numPr>
        <w:spacing w:after="90" w:line="264"/>
      </w:pPr>
      <w:r>
        <w:rPr>
          <w:sz w:val="21"/>
          <w:szCs w:val="21"/>
        </w:rPr>
        <w:t xml:space="preserve">NFR-PERF.5 — A chain-license mint on the local Anvil chain MUST confirm within 5 seconds under normal local load (Anvil mines near-instantly by default).</w:t>
      </w:r>
    </w:p>
    <w:p>
      <w:pPr>
        <w:pStyle w:val="Heading2"/>
        <w:spacing w:after="150" w:before="300"/>
      </w:pPr>
      <w:r>
        <w:rPr>
          <w:b/>
          <w:bCs/>
          <w:color w:val="4338CA"/>
          <w:sz w:val="25"/>
          <w:szCs w:val="25"/>
        </w:rPr>
        <w:t xml:space="preserve">8.2 Security</w:t>
      </w:r>
    </w:p>
    <w:p>
      <w:pPr>
        <w:pStyle w:val="ListParagraph"/>
        <w:numPr>
          <w:ilvl w:val="0"/>
          <w:numId w:val="2"/>
        </w:numPr>
        <w:spacing w:after="90" w:line="264"/>
      </w:pPr>
      <w:r>
        <w:rPr>
          <w:sz w:val="21"/>
          <w:szCs w:val="21"/>
        </w:rPr>
        <w:t xml:space="preserve">NFR-SEC.1 — Passwords MUST be stored using a salted one-way hash (bcrypt, cost factor ≥ 12).</w:t>
      </w:r>
    </w:p>
    <w:p>
      <w:pPr>
        <w:pStyle w:val="ListParagraph"/>
        <w:numPr>
          <w:ilvl w:val="0"/>
          <w:numId w:val="2"/>
        </w:numPr>
        <w:spacing w:after="90" w:line="264"/>
      </w:pPr>
      <w:r>
        <w:rPr>
          <w:sz w:val="21"/>
          <w:szCs w:val="21"/>
        </w:rPr>
        <w:t xml:space="preserve">NFR-SEC.2 — All endpoints except authentication MUST require a valid bearer token; scope MUST be enforced per-route.</w:t>
      </w:r>
    </w:p>
    <w:p>
      <w:pPr>
        <w:pStyle w:val="ListParagraph"/>
        <w:numPr>
          <w:ilvl w:val="0"/>
          <w:numId w:val="2"/>
        </w:numPr>
        <w:spacing w:after="90" w:line="264"/>
      </w:pPr>
      <w:r>
        <w:rPr>
          <w:sz w:val="21"/>
          <w:szCs w:val="21"/>
        </w:rPr>
        <w:t xml:space="preserve">NFR-SEC.3 — File uploads MUST be validated by extension, MIME sniffing, and size before being queued for IPFS storage.</w:t>
      </w:r>
    </w:p>
    <w:p>
      <w:pPr>
        <w:pStyle w:val="ListParagraph"/>
        <w:numPr>
          <w:ilvl w:val="0"/>
          <w:numId w:val="2"/>
        </w:numPr>
        <w:spacing w:after="90" w:line="264"/>
      </w:pPr>
      <w:r>
        <w:rPr>
          <w:sz w:val="21"/>
          <w:szCs w:val="21"/>
        </w:rPr>
        <w:t xml:space="preserve">NFR-SEC.4 — Prompts sent to the Claude API MUST NOT include end-user credentials, tokens, or personally identifiable information beyond what is strictly necessary for classification (filename, category, tags).</w:t>
      </w:r>
    </w:p>
    <w:p>
      <w:pPr>
        <w:pStyle w:val="ListParagraph"/>
        <w:numPr>
          <w:ilvl w:val="0"/>
          <w:numId w:val="2"/>
        </w:numPr>
        <w:spacing w:after="90" w:line="264"/>
      </w:pPr>
      <w:r>
        <w:rPr>
          <w:sz w:val="21"/>
          <w:szCs w:val="21"/>
        </w:rPr>
        <w:t xml:space="preserve">NFR-SEC.5 — Every tenant-scoped table MUST be protected by a PostgreSQL RLS policy in addition to application-layer tenant checks (Section 3.5); a penetration test MUST include at least one cross-tenant access attempt per resource type.</w:t>
      </w:r>
    </w:p>
    <w:p>
      <w:pPr>
        <w:pStyle w:val="ListParagraph"/>
        <w:numPr>
          <w:ilvl w:val="0"/>
          <w:numId w:val="2"/>
        </w:numPr>
        <w:spacing w:after="90" w:line="264"/>
      </w:pPr>
      <w:r>
        <w:rPr>
          <w:sz w:val="21"/>
          <w:szCs w:val="21"/>
        </w:rPr>
        <w:t xml:space="preserve">NFR-SEC.6 — The tenant's managed blockchain signer's private key MUST never be exposed to the frontend, logged, or included in any API response.</w:t>
      </w:r>
    </w:p>
    <w:p>
      <w:pPr>
        <w:pStyle w:val="ListParagraph"/>
        <w:numPr>
          <w:ilvl w:val="0"/>
          <w:numId w:val="2"/>
        </w:numPr>
        <w:spacing w:after="90" w:line="264"/>
      </w:pPr>
      <w:r>
        <w:rPr>
          <w:sz w:val="21"/>
          <w:szCs w:val="21"/>
        </w:rPr>
        <w:t xml:space="preserve">NFR-SEC.7 — API keys MUST be stored only as salted hashes; the raw key MUST be shown to the user exactly once, at creation.</w:t>
      </w:r>
    </w:p>
    <w:p>
      <w:pPr>
        <w:pStyle w:val="Heading2"/>
        <w:spacing w:after="150" w:before="300"/>
      </w:pPr>
      <w:r>
        <w:rPr>
          <w:b/>
          <w:bCs/>
          <w:color w:val="4338CA"/>
          <w:sz w:val="25"/>
          <w:szCs w:val="25"/>
        </w:rPr>
        <w:t xml:space="preserve">8.3 Reliability &amp; Availability</w:t>
      </w:r>
    </w:p>
    <w:p>
      <w:pPr>
        <w:pStyle w:val="ListParagraph"/>
        <w:numPr>
          <w:ilvl w:val="0"/>
          <w:numId w:val="2"/>
        </w:numPr>
        <w:spacing w:after="90" w:line="264"/>
      </w:pPr>
      <w:r>
        <w:rPr>
          <w:sz w:val="21"/>
          <w:szCs w:val="21"/>
        </w:rPr>
        <w:t xml:space="preserve">NFR-REL.1 — Core upload/review workflows MUST remain functional if any single external integration (Claude, Sketchfab, EoN Reality, Meshy) is unavailable, degrading gracefully rather than failing the request.</w:t>
      </w:r>
    </w:p>
    <w:p>
      <w:pPr>
        <w:pStyle w:val="ListParagraph"/>
        <w:numPr>
          <w:ilvl w:val="0"/>
          <w:numId w:val="2"/>
        </w:numPr>
        <w:spacing w:after="90" w:line="264"/>
      </w:pPr>
      <w:r>
        <w:rPr>
          <w:sz w:val="21"/>
          <w:szCs w:val="21"/>
        </w:rPr>
        <w:t xml:space="preserve">NFR-REL.2 — Failed AI enrichment attempts MUST be retried at most once automatically, then flagged for manual attention rather than retried indefinitely.</w:t>
      </w:r>
    </w:p>
    <w:p>
      <w:pPr>
        <w:pStyle w:val="ListParagraph"/>
        <w:numPr>
          <w:ilvl w:val="0"/>
          <w:numId w:val="2"/>
        </w:numPr>
        <w:spacing w:after="90" w:line="264"/>
      </w:pPr>
      <w:r>
        <w:rPr>
          <w:sz w:val="21"/>
          <w:szCs w:val="21"/>
        </w:rPr>
        <w:t xml:space="preserve">NFR-REL.3 — A failed chain-license job MUST leave the asset's status unchanged at 'approved' (never a partial/ambiguous 'published') and MUST be retried per Section 3.10's policy before surfacing a manual-attention flag.</w:t>
      </w:r>
    </w:p>
    <w:p>
      <w:pPr>
        <w:pStyle w:val="ListParagraph"/>
        <w:numPr>
          <w:ilvl w:val="0"/>
          <w:numId w:val="2"/>
        </w:numPr>
        <w:spacing w:after="90" w:line="264"/>
      </w:pPr>
      <w:r>
        <w:rPr>
          <w:sz w:val="21"/>
          <w:szCs w:val="21"/>
        </w:rPr>
        <w:t xml:space="preserve">NFR-REL.4 — Local stack restart (docker compose restart) MUST NOT corrupt or orphan pinned IPFS content or Postgres data, given the documented named volumes in Section 9.2.</w:t>
      </w:r>
    </w:p>
    <w:p>
      <w:pPr>
        <w:pStyle w:val="Heading2"/>
        <w:spacing w:after="150" w:before="300"/>
      </w:pPr>
      <w:r>
        <w:rPr>
          <w:b/>
          <w:bCs/>
          <w:color w:val="4338CA"/>
          <w:sz w:val="25"/>
          <w:szCs w:val="25"/>
        </w:rPr>
        <w:t xml:space="preserve">8.4 Usability</w:t>
      </w:r>
    </w:p>
    <w:p>
      <w:pPr>
        <w:pStyle w:val="ListParagraph"/>
        <w:numPr>
          <w:ilvl w:val="0"/>
          <w:numId w:val="2"/>
        </w:numPr>
        <w:spacing w:after="90" w:line="264"/>
      </w:pPr>
      <w:r>
        <w:rPr>
          <w:sz w:val="21"/>
          <w:szCs w:val="21"/>
        </w:rPr>
        <w:t xml:space="preserve">NFR-USE.1 — First-time users MUST be able to complete an asset upload within 3 minutes without external instruction, aided by inline placeholders and a demo-credential hint.</w:t>
      </w:r>
    </w:p>
    <w:p>
      <w:pPr>
        <w:pStyle w:val="ListParagraph"/>
        <w:numPr>
          <w:ilvl w:val="0"/>
          <w:numId w:val="2"/>
        </w:numPr>
        <w:spacing w:after="90" w:line="264"/>
      </w:pPr>
      <w:r>
        <w:rPr>
          <w:sz w:val="21"/>
          <w:szCs w:val="21"/>
        </w:rPr>
        <w:t xml:space="preserve">NFR-USE.2 — AI-generated suggestions MUST be visually distinguished (labelling/iconography) from human-authored content at all times.</w:t>
      </w:r>
    </w:p>
    <w:p>
      <w:pPr>
        <w:pStyle w:val="ListParagraph"/>
        <w:numPr>
          <w:ilvl w:val="0"/>
          <w:numId w:val="2"/>
        </w:numPr>
        <w:spacing w:after="90" w:line="264"/>
      </w:pPr>
      <w:r>
        <w:rPr>
          <w:sz w:val="21"/>
          <w:szCs w:val="21"/>
        </w:rPr>
        <w:t xml:space="preserve">NFR-USE.3 — On-chain and IPFS state (CID, tokenId, tx hash) MUST be presented in plain-language labels with a copy affordance, not raw hex alone, so non-crypto-native Assessors are not blocked.</w:t>
      </w:r>
    </w:p>
    <w:p>
      <w:pPr>
        <w:pStyle w:val="Heading2"/>
        <w:spacing w:after="150" w:before="300"/>
      </w:pPr>
      <w:r>
        <w:rPr>
          <w:b/>
          <w:bCs/>
          <w:color w:val="4338CA"/>
          <w:sz w:val="25"/>
          <w:szCs w:val="25"/>
        </w:rPr>
        <w:t xml:space="preserve">8.5 Scalability</w:t>
      </w:r>
    </w:p>
    <w:p>
      <w:pPr>
        <w:pStyle w:val="ListParagraph"/>
        <w:numPr>
          <w:ilvl w:val="0"/>
          <w:numId w:val="2"/>
        </w:numPr>
        <w:spacing w:after="90" w:line="264"/>
      </w:pPr>
      <w:r>
        <w:rPr>
          <w:sz w:val="21"/>
          <w:szCs w:val="21"/>
        </w:rPr>
        <w:t xml:space="preserve">NFR-SCAL.1 — The multi-tenant data layer MUST support horizontal growth in tenant and asset count without a schema-per-tenant migration, per the RLS strategy in Section 3.5.</w:t>
      </w:r>
    </w:p>
    <w:p>
      <w:pPr>
        <w:pStyle w:val="ListParagraph"/>
        <w:numPr>
          <w:ilvl w:val="0"/>
          <w:numId w:val="2"/>
        </w:numPr>
        <w:spacing w:after="90" w:line="264"/>
      </w:pPr>
      <w:r>
        <w:rPr>
          <w:sz w:val="21"/>
          <w:szCs w:val="21"/>
        </w:rPr>
        <w:t xml:space="preserve">NFR-SCAL.2 — The AI enrichment, IPFS pinning, Blender optimization, and chain-license jobs MUST be modelled as asynchronous, independently scalable BullMQ queues, each with its own worker concurrency setting.</w:t>
      </w:r>
    </w:p>
    <w:p>
      <w:pPr>
        <w:pStyle w:val="ListParagraph"/>
        <w:numPr>
          <w:ilvl w:val="0"/>
          <w:numId w:val="2"/>
        </w:numPr>
        <w:spacing w:after="90" w:line="264"/>
      </w:pPr>
      <w:r>
        <w:rPr>
          <w:sz w:val="21"/>
          <w:szCs w:val="21"/>
        </w:rPr>
        <w:t xml:space="preserve">NFR-SCAL.3 — The IPFS storage interface (Section 3.8) MUST be swappable to a remote pinning service via configuration only, without application-layer code changes.</w:t>
      </w:r>
    </w:p>
    <w:p>
      <w:pPr>
        <w:pStyle w:val="Heading2"/>
        <w:spacing w:after="150" w:before="300"/>
      </w:pPr>
      <w:r>
        <w:rPr>
          <w:b/>
          <w:bCs/>
          <w:color w:val="4338CA"/>
          <w:sz w:val="25"/>
          <w:szCs w:val="25"/>
        </w:rPr>
        <w:t xml:space="preserve">8.6 Maintainability &amp; Portability</w:t>
      </w:r>
    </w:p>
    <w:p>
      <w:pPr>
        <w:pStyle w:val="ListParagraph"/>
        <w:numPr>
          <w:ilvl w:val="0"/>
          <w:numId w:val="2"/>
        </w:numPr>
        <w:spacing w:after="90" w:line="264"/>
      </w:pPr>
      <w:r>
        <w:rPr>
          <w:sz w:val="21"/>
          <w:szCs w:val="21"/>
        </w:rPr>
        <w:t xml:space="preserve">NFR-MAINT.1 — Business logic MUST be organized into independently testable service modules (Tenant, Auth, Assets, Review, Tools, AI Assistant, Storage, Licensing, Publishing, Notifications).</w:t>
      </w:r>
    </w:p>
    <w:p>
      <w:pPr>
        <w:pStyle w:val="ListParagraph"/>
        <w:numPr>
          <w:ilvl w:val="0"/>
          <w:numId w:val="2"/>
        </w:numPr>
        <w:spacing w:after="90" w:line="264"/>
      </w:pPr>
      <w:r>
        <w:rPr>
          <w:sz w:val="21"/>
          <w:szCs w:val="21"/>
        </w:rPr>
        <w:t xml:space="preserve">NFR-MAINT.2 — The system MUST run on any Docker-and-Compose-capable host (Linux, macOS, Windows+WSL2) with no proprietary OS dependencies.</w:t>
      </w:r>
    </w:p>
    <w:p>
      <w:pPr>
        <w:pStyle w:val="ListParagraph"/>
        <w:numPr>
          <w:ilvl w:val="0"/>
          <w:numId w:val="2"/>
        </w:numPr>
        <w:spacing w:after="90" w:line="264"/>
      </w:pPr>
      <w:r>
        <w:rPr>
          <w:sz w:val="21"/>
          <w:szCs w:val="21"/>
        </w:rPr>
        <w:t xml:space="preserve">NFR-MAINT.3 — Shared types between frontend, API, and worker MUST live in a single packages/types package to prevent contract drift (Section 3.4).</w:t>
      </w:r>
    </w:p>
    <w:p>
      <w:pPr>
        <w:pStyle w:val="Heading2"/>
        <w:spacing w:after="150" w:before="300"/>
      </w:pPr>
      <w:r>
        <w:rPr>
          <w:b/>
          <w:bCs/>
          <w:color w:val="4338CA"/>
          <w:sz w:val="25"/>
          <w:szCs w:val="25"/>
        </w:rPr>
        <w:t xml:space="preserve">8.7 Compliance</w:t>
      </w:r>
    </w:p>
    <w:p>
      <w:pPr>
        <w:pStyle w:val="ListParagraph"/>
        <w:numPr>
          <w:ilvl w:val="0"/>
          <w:numId w:val="2"/>
        </w:numPr>
        <w:spacing w:after="90" w:line="264"/>
      </w:pPr>
      <w:r>
        <w:rPr>
          <w:sz w:val="21"/>
          <w:szCs w:val="21"/>
        </w:rPr>
        <w:t xml:space="preserve">NFR-COMP.1 — Imported third-party assets MUST retain and display their source license (e.g., CC0, CC-BY) within asset metadata.</w:t>
      </w:r>
    </w:p>
    <w:p>
      <w:pPr>
        <w:pStyle w:val="ListParagraph"/>
        <w:numPr>
          <w:ilvl w:val="0"/>
          <w:numId w:val="2"/>
        </w:numPr>
        <w:spacing w:after="90" w:line="264"/>
      </w:pPr>
      <w:r>
        <w:rPr>
          <w:sz w:val="21"/>
          <w:szCs w:val="21"/>
        </w:rPr>
        <w:t xml:space="preserve">NFR-COMP.2 — Use of the Claude API MUST comply with Anthropic's Usage Policy, including not using generated output as the sole basis for a final approval decision (see FR-7.6).</w:t>
      </w:r>
    </w:p>
    <w:p>
      <w:pPr>
        <w:pStyle w:val="ListParagraph"/>
        <w:numPr>
          <w:ilvl w:val="0"/>
          <w:numId w:val="2"/>
        </w:numPr>
        <w:spacing w:after="90" w:line="264"/>
      </w:pPr>
      <w:r>
        <w:rPr>
          <w:sz w:val="21"/>
          <w:szCs w:val="21"/>
        </w:rPr>
        <w:t xml:space="preserve">NFR-COMP.3 — The audit log (Section 4.13) MUST be sufficient, in combination with the on-chain license record, to reconstruct who approved and published any given asset and when.</w:t>
      </w:r>
    </w:p>
    <w:p>
      <w:r>
        <w:br w:type="page"/>
      </w:r>
    </w:p>
    <w:p>
      <w:pPr>
        <w:pStyle w:val="Heading1"/>
        <w:pBdr>
          <w:bottom w:val="single" w:color="4338CA" w:sz="6" w:space="4"/>
        </w:pBdr>
        <w:spacing w:after="200" w:before="400"/>
      </w:pPr>
      <w:r>
        <w:rPr>
          <w:b/>
          <w:bCs/>
          <w:color w:val="1E1B4B"/>
          <w:sz w:val="30"/>
          <w:szCs w:val="30"/>
        </w:rPr>
        <w:t xml:space="preserve">9. Local Development &amp; Deployment Architecture</w:t>
      </w:r>
    </w:p>
    <w:p>
      <w:pPr>
        <w:spacing w:after="160" w:line="276"/>
      </w:pPr>
      <w:r>
        <w:rPr>
          <w:sz w:val="21"/>
          <w:szCs w:val="21"/>
        </w:rPr>
        <w:t xml:space="preserve">This section operationalizes Sections 3.10–3.11: everything needed to run VOID·SPACE end to end — application, database, cache, decentralized storage, and blockchain — on one machine.</w:t>
      </w:r>
    </w:p>
    <w:p>
      <w:pPr>
        <w:pStyle w:val="Heading2"/>
        <w:spacing w:after="150" w:before="300"/>
      </w:pPr>
      <w:r>
        <w:rPr>
          <w:b/>
          <w:bCs/>
          <w:color w:val="4338CA"/>
          <w:sz w:val="25"/>
          <w:szCs w:val="25"/>
        </w:rPr>
        <w:t xml:space="preserve">9.1 One-Command Bootstrap</w:t>
      </w:r>
    </w:p>
    <w:p>
      <w:pPr>
        <w:spacing w:after="160" w:line="276"/>
      </w:pPr>
      <w:r>
        <w:rPr>
          <w:sz w:val="21"/>
          <w:szCs w:val="21"/>
        </w:rPr>
        <w:t xml:space="preserve">A single script wraps the full bring-up sequence so the requester's goal of starting fast, locally, is a literal one-command experience:</w:t>
      </w:r>
    </w:p>
    <w:p>
      <w:pPr>
        <w:pStyle w:val="ListParagraph"/>
        <w:numPr>
          <w:ilvl w:val="0"/>
          <w:numId w:val="2"/>
        </w:numPr>
        <w:spacing w:after="90" w:line="264"/>
      </w:pPr>
      <w:r>
        <w:rPr>
          <w:sz w:val="21"/>
          <w:szCs w:val="21"/>
        </w:rPr>
        <w:t xml:space="preserve">pnpm install — installs all workspace dependencies.</w:t>
      </w:r>
    </w:p>
    <w:p>
      <w:pPr>
        <w:pStyle w:val="ListParagraph"/>
        <w:numPr>
          <w:ilvl w:val="0"/>
          <w:numId w:val="2"/>
        </w:numPr>
        <w:spacing w:after="90" w:line="264"/>
      </w:pPr>
      <w:r>
        <w:rPr>
          <w:sz w:val="21"/>
          <w:szCs w:val="21"/>
        </w:rPr>
        <w:t xml:space="preserve">pnpm dev:up (wraps docker compose up -d) — starts postgres, redis, ipfs, anvil, then runs Prisma migrations and the forge script that deploys AssetLicenseRegistry.sol to Anvil, writing its address into a shared .env.</w:t>
      </w:r>
    </w:p>
    <w:p>
      <w:pPr>
        <w:pStyle w:val="ListParagraph"/>
        <w:numPr>
          <w:ilvl w:val="0"/>
          <w:numId w:val="2"/>
        </w:numPr>
        <w:spacing w:after="90" w:line="264"/>
      </w:pPr>
      <w:r>
        <w:rPr>
          <w:sz w:val="21"/>
          <w:szCs w:val="21"/>
        </w:rPr>
        <w:t xml:space="preserve">pnpm dev — starts api, worker, and web in watch mode (either natively against the containerized backing services, or also containerized, per the developer's preference — both are supported by the compose file's profiles).</w:t>
      </w:r>
    </w:p>
    <w:p>
      <w:pPr>
        <w:pStyle w:val="ListParagraph"/>
        <w:numPr>
          <w:ilvl w:val="0"/>
          <w:numId w:val="2"/>
        </w:numPr>
        <w:spacing w:after="90" w:line="264"/>
      </w:pPr>
      <w:r>
        <w:rPr>
          <w:sz w:val="21"/>
          <w:szCs w:val="21"/>
        </w:rPr>
        <w:t xml:space="preserve">pnpm db:seed — seeds a demo tenant with a Creator, an Assessor, and a handful of sample assets in different statuses for immediate exploration.</w:t>
      </w:r>
    </w:p>
    <w:p>
      <w:pPr>
        <w:pStyle w:val="Heading2"/>
        <w:spacing w:after="150" w:before="300"/>
      </w:pPr>
      <w:r>
        <w:rPr>
          <w:b/>
          <w:bCs/>
          <w:color w:val="4338CA"/>
          <w:sz w:val="25"/>
          <w:szCs w:val="25"/>
        </w:rPr>
        <w:t xml:space="preserve">9.2 Docker Compose Service Inventory</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1600"/>
        <w:gridCol w:w="2700"/>
        <w:gridCol w:w="1900"/>
        <w:gridCol w:w="1300"/>
        <w:gridCol w:w="1850"/>
      </w:tblGrid>
      <w:tr>
        <w:trPr>
          <w:tblHeader/>
        </w:trPr>
        <w:tc>
          <w:tcPr>
            <w:tcW w:type="dxa" w:w="1600"/>
            <w:shd w:fill="1E1B4B" w:val="clear"/>
            <w:tcMar>
              <w:top w:type="dxa" w:w="80"/>
              <w:left w:type="dxa" w:w="100"/>
              <w:bottom w:type="dxa" w:w="80"/>
              <w:right w:type="dxa" w:w="100"/>
            </w:tcMar>
            <w:vAlign w:val="center"/>
          </w:tcPr>
          <w:p>
            <w:r>
              <w:rPr>
                <w:b/>
                <w:bCs/>
                <w:color w:val="FFFFFF"/>
                <w:sz w:val="19"/>
                <w:szCs w:val="19"/>
              </w:rPr>
              <w:t xml:space="preserve">Service</w:t>
            </w:r>
          </w:p>
        </w:tc>
        <w:tc>
          <w:tcPr>
            <w:tcW w:type="dxa" w:w="2700"/>
            <w:shd w:fill="1E1B4B" w:val="clear"/>
            <w:tcMar>
              <w:top w:type="dxa" w:w="80"/>
              <w:left w:type="dxa" w:w="100"/>
              <w:bottom w:type="dxa" w:w="80"/>
              <w:right w:type="dxa" w:w="100"/>
            </w:tcMar>
            <w:vAlign w:val="center"/>
          </w:tcPr>
          <w:p>
            <w:r>
              <w:rPr>
                <w:b/>
                <w:bCs/>
                <w:color w:val="FFFFFF"/>
                <w:sz w:val="19"/>
                <w:szCs w:val="19"/>
              </w:rPr>
              <w:t xml:space="preserve">Image / Build</w:t>
            </w:r>
          </w:p>
        </w:tc>
        <w:tc>
          <w:tcPr>
            <w:tcW w:type="dxa" w:w="1900"/>
            <w:shd w:fill="1E1B4B" w:val="clear"/>
            <w:tcMar>
              <w:top w:type="dxa" w:w="80"/>
              <w:left w:type="dxa" w:w="100"/>
              <w:bottom w:type="dxa" w:w="80"/>
              <w:right w:type="dxa" w:w="100"/>
            </w:tcMar>
            <w:vAlign w:val="center"/>
          </w:tcPr>
          <w:p>
            <w:r>
              <w:rPr>
                <w:b/>
                <w:bCs/>
                <w:color w:val="FFFFFF"/>
                <w:sz w:val="19"/>
                <w:szCs w:val="19"/>
              </w:rPr>
              <w:t xml:space="preserve">Exposed Port(s)</w:t>
            </w:r>
          </w:p>
        </w:tc>
        <w:tc>
          <w:tcPr>
            <w:tcW w:type="dxa" w:w="1300"/>
            <w:shd w:fill="1E1B4B" w:val="clear"/>
            <w:tcMar>
              <w:top w:type="dxa" w:w="80"/>
              <w:left w:type="dxa" w:w="100"/>
              <w:bottom w:type="dxa" w:w="80"/>
              <w:right w:type="dxa" w:w="100"/>
            </w:tcMar>
            <w:vAlign w:val="center"/>
          </w:tcPr>
          <w:p>
            <w:r>
              <w:rPr>
                <w:b/>
                <w:bCs/>
                <w:color w:val="FFFFFF"/>
                <w:sz w:val="19"/>
                <w:szCs w:val="19"/>
              </w:rPr>
              <w:t xml:space="preserve">Volume</w:t>
            </w:r>
          </w:p>
        </w:tc>
        <w:tc>
          <w:tcPr>
            <w:tcW w:type="dxa" w:w="1850"/>
            <w:shd w:fill="1E1B4B" w:val="clear"/>
            <w:tcMar>
              <w:top w:type="dxa" w:w="80"/>
              <w:left w:type="dxa" w:w="100"/>
              <w:bottom w:type="dxa" w:w="80"/>
              <w:right w:type="dxa" w:w="100"/>
            </w:tcMar>
            <w:vAlign w:val="center"/>
          </w:tcPr>
          <w:p>
            <w:r>
              <w:rPr>
                <w:b/>
                <w:bCs/>
                <w:color w:val="FFFFFF"/>
                <w:sz w:val="19"/>
                <w:szCs w:val="19"/>
              </w:rPr>
              <w:t xml:space="preserve">Purpose</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nginx</w:t>
            </w:r>
          </w:p>
        </w:tc>
        <w:tc>
          <w:tcPr>
            <w:tcW w:type="dxa" w:w="2700"/>
            <w:shd w:fill="FFFFFF" w:val="clear"/>
            <w:tcMar>
              <w:top w:type="dxa" w:w="80"/>
              <w:left w:type="dxa" w:w="100"/>
              <w:bottom w:type="dxa" w:w="80"/>
              <w:right w:type="dxa" w:w="100"/>
            </w:tcMar>
            <w:vAlign w:val="center"/>
          </w:tcPr>
          <w:p>
            <w:r>
              <w:rPr>
                <w:b w:val="false"/>
                <w:bCs w:val="false"/>
                <w:sz w:val="19"/>
                <w:szCs w:val="19"/>
              </w:rPr>
              <w:t xml:space="preserve">nginx:alpine (custom config)</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443 (host)</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850"/>
            <w:shd w:fill="FFFFFF" w:val="clear"/>
            <w:tcMar>
              <w:top w:type="dxa" w:w="80"/>
              <w:left w:type="dxa" w:w="100"/>
              <w:bottom w:type="dxa" w:w="80"/>
              <w:right w:type="dxa" w:w="100"/>
            </w:tcMar>
            <w:vAlign w:val="center"/>
          </w:tcPr>
          <w:p>
            <w:r>
              <w:rPr>
                <w:b w:val="false"/>
                <w:bCs w:val="false"/>
                <w:sz w:val="19"/>
                <w:szCs w:val="19"/>
              </w:rPr>
              <w:t xml:space="preserve">TLS termination, reverse proxy, IPFS gateway cache.</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web</w:t>
            </w:r>
          </w:p>
        </w:tc>
        <w:tc>
          <w:tcPr>
            <w:tcW w:type="dxa" w:w="2700"/>
            <w:shd w:fill="F8FAFC" w:val="clear"/>
            <w:tcMar>
              <w:top w:type="dxa" w:w="80"/>
              <w:left w:type="dxa" w:w="100"/>
              <w:bottom w:type="dxa" w:w="80"/>
              <w:right w:type="dxa" w:w="100"/>
            </w:tcMar>
            <w:vAlign w:val="center"/>
          </w:tcPr>
          <w:p>
            <w:r>
              <w:rPr>
                <w:b w:val="false"/>
                <w:bCs w:val="false"/>
                <w:sz w:val="19"/>
                <w:szCs w:val="19"/>
              </w:rPr>
              <w:t xml:space="preserve">build: docker/web.Dockerfile (Next.js)</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internal only (via nginx)</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850"/>
            <w:shd w:fill="F8FAFC" w:val="clear"/>
            <w:tcMar>
              <w:top w:type="dxa" w:w="80"/>
              <w:left w:type="dxa" w:w="100"/>
              <w:bottom w:type="dxa" w:w="80"/>
              <w:right w:type="dxa" w:w="100"/>
            </w:tcMar>
            <w:vAlign w:val="center"/>
          </w:tcPr>
          <w:p>
            <w:r>
              <w:rPr>
                <w:b w:val="false"/>
                <w:bCs w:val="false"/>
                <w:sz w:val="19"/>
                <w:szCs w:val="19"/>
              </w:rPr>
              <w:t xml:space="preserve">Frontend app.</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api</w:t>
            </w:r>
          </w:p>
        </w:tc>
        <w:tc>
          <w:tcPr>
            <w:tcW w:type="dxa" w:w="2700"/>
            <w:shd w:fill="FFFFFF" w:val="clear"/>
            <w:tcMar>
              <w:top w:type="dxa" w:w="80"/>
              <w:left w:type="dxa" w:w="100"/>
              <w:bottom w:type="dxa" w:w="80"/>
              <w:right w:type="dxa" w:w="100"/>
            </w:tcMar>
            <w:vAlign w:val="center"/>
          </w:tcPr>
          <w:p>
            <w:r>
              <w:rPr>
                <w:b w:val="false"/>
                <w:bCs w:val="false"/>
                <w:sz w:val="19"/>
                <w:szCs w:val="19"/>
              </w:rPr>
              <w:t xml:space="preserve">build: docker/api.Dockerfile (Fastify)</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internal only (via nginx)</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850"/>
            <w:shd w:fill="FFFFFF" w:val="clear"/>
            <w:tcMar>
              <w:top w:type="dxa" w:w="80"/>
              <w:left w:type="dxa" w:w="100"/>
              <w:bottom w:type="dxa" w:w="80"/>
              <w:right w:type="dxa" w:w="100"/>
            </w:tcMar>
            <w:vAlign w:val="center"/>
          </w:tcPr>
          <w:p>
            <w:r>
              <w:rPr>
                <w:b w:val="false"/>
                <w:bCs w:val="false"/>
                <w:sz w:val="19"/>
                <w:szCs w:val="19"/>
              </w:rPr>
              <w:t xml:space="preserve">REST API.</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worker</w:t>
            </w:r>
          </w:p>
        </w:tc>
        <w:tc>
          <w:tcPr>
            <w:tcW w:type="dxa" w:w="2700"/>
            <w:shd w:fill="F8FAFC" w:val="clear"/>
            <w:tcMar>
              <w:top w:type="dxa" w:w="80"/>
              <w:left w:type="dxa" w:w="100"/>
              <w:bottom w:type="dxa" w:w="80"/>
              <w:right w:type="dxa" w:w="100"/>
            </w:tcMar>
            <w:vAlign w:val="center"/>
          </w:tcPr>
          <w:p>
            <w:r>
              <w:rPr>
                <w:b w:val="false"/>
                <w:bCs w:val="false"/>
                <w:sz w:val="19"/>
                <w:szCs w:val="19"/>
              </w:rPr>
              <w:t xml:space="preserve">build: docker/worker.Dockerfile</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850"/>
            <w:shd w:fill="F8FAFC" w:val="clear"/>
            <w:tcMar>
              <w:top w:type="dxa" w:w="80"/>
              <w:left w:type="dxa" w:w="100"/>
              <w:bottom w:type="dxa" w:w="80"/>
              <w:right w:type="dxa" w:w="100"/>
            </w:tcMar>
            <w:vAlign w:val="center"/>
          </w:tcPr>
          <w:p>
            <w:r>
              <w:rPr>
                <w:b w:val="false"/>
                <w:bCs w:val="false"/>
                <w:sz w:val="19"/>
                <w:szCs w:val="19"/>
              </w:rPr>
              <w:t xml:space="preserve">BullMQ job processors.</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postgres</w:t>
            </w:r>
          </w:p>
        </w:tc>
        <w:tc>
          <w:tcPr>
            <w:tcW w:type="dxa" w:w="2700"/>
            <w:shd w:fill="FFFFFF" w:val="clear"/>
            <w:tcMar>
              <w:top w:type="dxa" w:w="80"/>
              <w:left w:type="dxa" w:w="100"/>
              <w:bottom w:type="dxa" w:w="80"/>
              <w:right w:type="dxa" w:w="100"/>
            </w:tcMar>
            <w:vAlign w:val="center"/>
          </w:tcPr>
          <w:p>
            <w:r>
              <w:rPr>
                <w:b w:val="false"/>
                <w:bCs w:val="false"/>
                <w:sz w:val="19"/>
                <w:szCs w:val="19"/>
              </w:rPr>
              <w:t xml:space="preserve">postgres:16-alpine</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5432 (dev only)</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pgdata</w:t>
            </w:r>
          </w:p>
        </w:tc>
        <w:tc>
          <w:tcPr>
            <w:tcW w:type="dxa" w:w="1850"/>
            <w:shd w:fill="FFFFFF" w:val="clear"/>
            <w:tcMar>
              <w:top w:type="dxa" w:w="80"/>
              <w:left w:type="dxa" w:w="100"/>
              <w:bottom w:type="dxa" w:w="80"/>
              <w:right w:type="dxa" w:w="100"/>
            </w:tcMar>
            <w:vAlign w:val="center"/>
          </w:tcPr>
          <w:p>
            <w:r>
              <w:rPr>
                <w:b w:val="false"/>
                <w:bCs w:val="false"/>
                <w:sz w:val="19"/>
                <w:szCs w:val="19"/>
              </w:rPr>
              <w:t xml:space="preserve">System of record.</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redis</w:t>
            </w:r>
          </w:p>
        </w:tc>
        <w:tc>
          <w:tcPr>
            <w:tcW w:type="dxa" w:w="2700"/>
            <w:shd w:fill="F8FAFC" w:val="clear"/>
            <w:tcMar>
              <w:top w:type="dxa" w:w="80"/>
              <w:left w:type="dxa" w:w="100"/>
              <w:bottom w:type="dxa" w:w="80"/>
              <w:right w:type="dxa" w:w="100"/>
            </w:tcMar>
            <w:vAlign w:val="center"/>
          </w:tcPr>
          <w:p>
            <w:r>
              <w:rPr>
                <w:b w:val="false"/>
                <w:bCs w:val="false"/>
                <w:sz w:val="19"/>
                <w:szCs w:val="19"/>
              </w:rPr>
              <w:t xml:space="preserve">redis:7-alpine</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6379 (dev only)</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redisdata</w:t>
            </w:r>
          </w:p>
        </w:tc>
        <w:tc>
          <w:tcPr>
            <w:tcW w:type="dxa" w:w="1850"/>
            <w:shd w:fill="F8FAFC" w:val="clear"/>
            <w:tcMar>
              <w:top w:type="dxa" w:w="80"/>
              <w:left w:type="dxa" w:w="100"/>
              <w:bottom w:type="dxa" w:w="80"/>
              <w:right w:type="dxa" w:w="100"/>
            </w:tcMar>
            <w:vAlign w:val="center"/>
          </w:tcPr>
          <w:p>
            <w:r>
              <w:rPr>
                <w:b w:val="false"/>
                <w:bCs w:val="false"/>
                <w:sz w:val="19"/>
                <w:szCs w:val="19"/>
              </w:rPr>
              <w:t xml:space="preserve">Queue backend + cache.</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ipfs</w:t>
            </w:r>
          </w:p>
        </w:tc>
        <w:tc>
          <w:tcPr>
            <w:tcW w:type="dxa" w:w="2700"/>
            <w:shd w:fill="FFFFFF" w:val="clear"/>
            <w:tcMar>
              <w:top w:type="dxa" w:w="80"/>
              <w:left w:type="dxa" w:w="100"/>
              <w:bottom w:type="dxa" w:w="80"/>
              <w:right w:type="dxa" w:w="100"/>
            </w:tcMar>
            <w:vAlign w:val="center"/>
          </w:tcPr>
          <w:p>
            <w:r>
              <w:rPr>
                <w:b w:val="false"/>
                <w:bCs w:val="false"/>
                <w:sz w:val="19"/>
                <w:szCs w:val="19"/>
              </w:rPr>
              <w:t xml:space="preserve">ipfs/kubo:latest</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5001 (API, internal), 8080 (gateway, internal)</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ipfsdata</w:t>
            </w:r>
          </w:p>
        </w:tc>
        <w:tc>
          <w:tcPr>
            <w:tcW w:type="dxa" w:w="1850"/>
            <w:shd w:fill="FFFFFF" w:val="clear"/>
            <w:tcMar>
              <w:top w:type="dxa" w:w="80"/>
              <w:left w:type="dxa" w:w="100"/>
              <w:bottom w:type="dxa" w:w="80"/>
              <w:right w:type="dxa" w:w="100"/>
            </w:tcMar>
            <w:vAlign w:val="center"/>
          </w:tcPr>
          <w:p>
            <w:r>
              <w:rPr>
                <w:b w:val="false"/>
                <w:bCs w:val="false"/>
                <w:sz w:val="19"/>
                <w:szCs w:val="19"/>
              </w:rPr>
              <w:t xml:space="preserve">Content-addressed asset storage.</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anvil</w:t>
            </w:r>
          </w:p>
        </w:tc>
        <w:tc>
          <w:tcPr>
            <w:tcW w:type="dxa" w:w="2700"/>
            <w:shd w:fill="F8FAFC" w:val="clear"/>
            <w:tcMar>
              <w:top w:type="dxa" w:w="80"/>
              <w:left w:type="dxa" w:w="100"/>
              <w:bottom w:type="dxa" w:w="80"/>
              <w:right w:type="dxa" w:w="100"/>
            </w:tcMar>
            <w:vAlign w:val="center"/>
          </w:tcPr>
          <w:p>
            <w:r>
              <w:rPr>
                <w:b w:val="false"/>
                <w:bCs w:val="false"/>
                <w:sz w:val="19"/>
                <w:szCs w:val="19"/>
              </w:rPr>
              <w:t xml:space="preserve">ghcr.io/foundry-rs/foundry (anvil)</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8545 (internal)</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optional: anvilstate</w:t>
            </w:r>
          </w:p>
        </w:tc>
        <w:tc>
          <w:tcPr>
            <w:tcW w:type="dxa" w:w="1850"/>
            <w:shd w:fill="F8FAFC" w:val="clear"/>
            <w:tcMar>
              <w:top w:type="dxa" w:w="80"/>
              <w:left w:type="dxa" w:w="100"/>
              <w:bottom w:type="dxa" w:w="80"/>
              <w:right w:type="dxa" w:w="100"/>
            </w:tcMar>
            <w:vAlign w:val="center"/>
          </w:tcPr>
          <w:p>
            <w:r>
              <w:rPr>
                <w:b w:val="false"/>
                <w:bCs w:val="false"/>
                <w:sz w:val="19"/>
                <w:szCs w:val="19"/>
              </w:rPr>
              <w:t xml:space="preserve">Local EVM chain.</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deploy-contracts</w:t>
            </w:r>
          </w:p>
        </w:tc>
        <w:tc>
          <w:tcPr>
            <w:tcW w:type="dxa" w:w="2700"/>
            <w:shd w:fill="FFFFFF" w:val="clear"/>
            <w:tcMar>
              <w:top w:type="dxa" w:w="80"/>
              <w:left w:type="dxa" w:w="100"/>
              <w:bottom w:type="dxa" w:w="80"/>
              <w:right w:type="dxa" w:w="100"/>
            </w:tcMar>
            <w:vAlign w:val="center"/>
          </w:tcPr>
          <w:p>
            <w:r>
              <w:rPr>
                <w:b w:val="false"/>
                <w:bCs w:val="false"/>
                <w:sz w:val="19"/>
                <w:szCs w:val="19"/>
              </w:rPr>
              <w:t xml:space="preserve">build: packages/contracts (one-shot)</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850"/>
            <w:shd w:fill="FFFFFF" w:val="clear"/>
            <w:tcMar>
              <w:top w:type="dxa" w:w="80"/>
              <w:left w:type="dxa" w:w="100"/>
              <w:bottom w:type="dxa" w:w="80"/>
              <w:right w:type="dxa" w:w="100"/>
            </w:tcMar>
            <w:vAlign w:val="center"/>
          </w:tcPr>
          <w:p>
            <w:r>
              <w:rPr>
                <w:b w:val="false"/>
                <w:bCs w:val="false"/>
                <w:sz w:val="19"/>
                <w:szCs w:val="19"/>
              </w:rPr>
              <w:t xml:space="preserve">forge script deploy of AssetLicenseRegistry.sol; exits after writing the deployed address.</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blender-runner</w:t>
            </w:r>
          </w:p>
        </w:tc>
        <w:tc>
          <w:tcPr>
            <w:tcW w:type="dxa" w:w="2700"/>
            <w:shd w:fill="F8FAFC" w:val="clear"/>
            <w:tcMar>
              <w:top w:type="dxa" w:w="80"/>
              <w:left w:type="dxa" w:w="100"/>
              <w:bottom w:type="dxa" w:w="80"/>
              <w:right w:type="dxa" w:w="100"/>
            </w:tcMar>
            <w:vAlign w:val="center"/>
          </w:tcPr>
          <w:p>
            <w:r>
              <w:rPr>
                <w:b w:val="false"/>
                <w:bCs w:val="false"/>
                <w:sz w:val="19"/>
                <w:szCs w:val="19"/>
              </w:rPr>
              <w:t xml:space="preserve">build: docker/blender.Dockerfile</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850"/>
            <w:shd w:fill="F8FAFC" w:val="clear"/>
            <w:tcMar>
              <w:top w:type="dxa" w:w="80"/>
              <w:left w:type="dxa" w:w="100"/>
              <w:bottom w:type="dxa" w:w="80"/>
              <w:right w:type="dxa" w:w="100"/>
            </w:tcMar>
            <w:vAlign w:val="center"/>
          </w:tcPr>
          <w:p>
            <w:r>
              <w:rPr>
                <w:b w:val="false"/>
                <w:bCs w:val="false"/>
                <w:sz w:val="19"/>
                <w:szCs w:val="19"/>
              </w:rPr>
              <w:t xml:space="preserve">Headless Blender invoked per blender-optimize job.</w:t>
            </w:r>
          </w:p>
        </w:tc>
      </w:tr>
    </w:tbl>
    <w:p>
      <w:pPr>
        <w:spacing w:after="220"/>
      </w:pPr>
    </w:p>
    <w:p>
      <w:pPr>
        <w:spacing w:after="160" w:line="276"/>
      </w:pPr>
      <w:r>
        <w:rPr>
          <w:sz w:val="21"/>
          <w:szCs w:val="21"/>
        </w:rPr>
        <w:t xml:space="preserve">Named volumes (pgdata, redisdata, ipfsdata) persist across docker compose down / up so local data, pinned assets, and job history survive a restart; anvilstate is opt-in and off by default so the chain resets to a clean slate on each bring-up unless the developer explicitly wants continuity.</w:t>
      </w:r>
    </w:p>
    <w:p>
      <w:pPr>
        <w:pStyle w:val="Heading2"/>
        <w:spacing w:after="150" w:before="300"/>
      </w:pPr>
      <w:r>
        <w:rPr>
          <w:b/>
          <w:bCs/>
          <w:color w:val="4338CA"/>
          <w:sz w:val="25"/>
          <w:szCs w:val="25"/>
        </w:rPr>
        <w:t xml:space="preserve">9.3 Contract Deployment Flow</w:t>
      </w:r>
    </w:p>
    <w:p>
      <w:pPr>
        <w:pStyle w:val="ListParagraph"/>
        <w:numPr>
          <w:ilvl w:val="0"/>
          <w:numId w:val="3"/>
        </w:numPr>
        <w:spacing w:after="90" w:line="264"/>
      </w:pPr>
      <w:r>
        <w:rPr>
          <w:sz w:val="21"/>
          <w:szCs w:val="21"/>
        </w:rPr>
        <w:t xml:space="preserve">anvil starts and becomes healthy (health check: JSON-RPC eth_blockNumber responds).</w:t>
      </w:r>
    </w:p>
    <w:p>
      <w:pPr>
        <w:pStyle w:val="ListParagraph"/>
        <w:numPr>
          <w:ilvl w:val="0"/>
          <w:numId w:val="3"/>
        </w:numPr>
        <w:spacing w:after="90" w:line="264"/>
      </w:pPr>
      <w:r>
        <w:rPr>
          <w:sz w:val="21"/>
          <w:szCs w:val="21"/>
        </w:rPr>
        <w:t xml:space="preserve">deploy-contracts waits on anvil's health check, then runs forge script script/Deploy.s.sol --broadcast --rpc-url http://anvil:8545.</w:t>
      </w:r>
    </w:p>
    <w:p>
      <w:pPr>
        <w:pStyle w:val="ListParagraph"/>
        <w:numPr>
          <w:ilvl w:val="0"/>
          <w:numId w:val="3"/>
        </w:numPr>
        <w:spacing w:after="90" w:line="264"/>
      </w:pPr>
      <w:r>
        <w:rPr>
          <w:sz w:val="21"/>
          <w:szCs w:val="21"/>
        </w:rPr>
        <w:t xml:space="preserve">The script funds the tenant-template managed signer address from an Anvil pre-funded test account, deploys AssetLicenseRegistry.sol, and writes CONTRACT_ADDRESS and its ABI JSON to a shared volume mounted by api and worker.</w:t>
      </w:r>
    </w:p>
    <w:p>
      <w:pPr>
        <w:pStyle w:val="ListParagraph"/>
        <w:numPr>
          <w:ilvl w:val="0"/>
          <w:numId w:val="3"/>
        </w:numPr>
        <w:spacing w:after="90" w:line="264"/>
      </w:pPr>
      <w:r>
        <w:rPr>
          <w:sz w:val="21"/>
          <w:szCs w:val="21"/>
        </w:rPr>
        <w:t xml:space="preserve">api and worker read CONTRACT_ADDRESS at startup and construct a typed viem contract instance used by the chain-license job (Section 3.10).</w:t>
      </w:r>
    </w:p>
    <w:p>
      <w:pPr>
        <w:pStyle w:val="Heading2"/>
        <w:spacing w:after="150" w:before="300"/>
      </w:pPr>
      <w:r>
        <w:rPr>
          <w:b/>
          <w:bCs/>
          <w:color w:val="4338CA"/>
          <w:sz w:val="25"/>
          <w:szCs w:val="25"/>
        </w:rPr>
        <w:t xml:space="preserve">9.4 Environment Variables (Summary)</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2600"/>
        <w:gridCol w:w="1900"/>
        <w:gridCol w:w="4850"/>
      </w:tblGrid>
      <w:tr>
        <w:trPr>
          <w:tblHeader/>
        </w:trPr>
        <w:tc>
          <w:tcPr>
            <w:tcW w:type="dxa" w:w="2600"/>
            <w:shd w:fill="1E1B4B" w:val="clear"/>
            <w:tcMar>
              <w:top w:type="dxa" w:w="80"/>
              <w:left w:type="dxa" w:w="100"/>
              <w:bottom w:type="dxa" w:w="80"/>
              <w:right w:type="dxa" w:w="100"/>
            </w:tcMar>
            <w:vAlign w:val="center"/>
          </w:tcPr>
          <w:p>
            <w:r>
              <w:rPr>
                <w:b/>
                <w:bCs/>
                <w:color w:val="FFFFFF"/>
                <w:sz w:val="19"/>
                <w:szCs w:val="19"/>
              </w:rPr>
              <w:t xml:space="preserve">Variable</w:t>
            </w:r>
          </w:p>
        </w:tc>
        <w:tc>
          <w:tcPr>
            <w:tcW w:type="dxa" w:w="1900"/>
            <w:shd w:fill="1E1B4B" w:val="clear"/>
            <w:tcMar>
              <w:top w:type="dxa" w:w="80"/>
              <w:left w:type="dxa" w:w="100"/>
              <w:bottom w:type="dxa" w:w="80"/>
              <w:right w:type="dxa" w:w="100"/>
            </w:tcMar>
            <w:vAlign w:val="center"/>
          </w:tcPr>
          <w:p>
            <w:r>
              <w:rPr>
                <w:b/>
                <w:bCs/>
                <w:color w:val="FFFFFF"/>
                <w:sz w:val="19"/>
                <w:szCs w:val="19"/>
              </w:rPr>
              <w:t xml:space="preserve">Consumed by</w:t>
            </w:r>
          </w:p>
        </w:tc>
        <w:tc>
          <w:tcPr>
            <w:tcW w:type="dxa" w:w="4850"/>
            <w:shd w:fill="1E1B4B" w:val="clear"/>
            <w:tcMar>
              <w:top w:type="dxa" w:w="80"/>
              <w:left w:type="dxa" w:w="100"/>
              <w:bottom w:type="dxa" w:w="80"/>
              <w:right w:type="dxa" w:w="100"/>
            </w:tcMar>
            <w:vAlign w:val="center"/>
          </w:tcPr>
          <w:p>
            <w:r>
              <w:rPr>
                <w:b/>
                <w:bCs/>
                <w:color w:val="FFFFFF"/>
                <w:sz w:val="19"/>
                <w:szCs w:val="19"/>
              </w:rPr>
              <w:t xml:space="preserve">Purpose</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DATABASE_URL</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api, worker</w:t>
            </w:r>
          </w:p>
        </w:tc>
        <w:tc>
          <w:tcPr>
            <w:tcW w:type="dxa" w:w="4850"/>
            <w:shd w:fill="FFFFFF" w:val="clear"/>
            <w:tcMar>
              <w:top w:type="dxa" w:w="80"/>
              <w:left w:type="dxa" w:w="100"/>
              <w:bottom w:type="dxa" w:w="80"/>
              <w:right w:type="dxa" w:w="100"/>
            </w:tcMar>
            <w:vAlign w:val="center"/>
          </w:tcPr>
          <w:p>
            <w:r>
              <w:rPr>
                <w:b w:val="false"/>
                <w:bCs w:val="false"/>
                <w:sz w:val="19"/>
                <w:szCs w:val="19"/>
              </w:rPr>
              <w:t xml:space="preserve">Postgres connection string.</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REDIS_URL</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api, worker</w:t>
            </w:r>
          </w:p>
        </w:tc>
        <w:tc>
          <w:tcPr>
            <w:tcW w:type="dxa" w:w="4850"/>
            <w:shd w:fill="F8FAFC" w:val="clear"/>
            <w:tcMar>
              <w:top w:type="dxa" w:w="80"/>
              <w:left w:type="dxa" w:w="100"/>
              <w:bottom w:type="dxa" w:w="80"/>
              <w:right w:type="dxa" w:w="100"/>
            </w:tcMar>
            <w:vAlign w:val="center"/>
          </w:tcPr>
          <w:p>
            <w:r>
              <w:rPr>
                <w:b w:val="false"/>
                <w:bCs w:val="false"/>
                <w:sz w:val="19"/>
                <w:szCs w:val="19"/>
              </w:rPr>
              <w:t xml:space="preserve">Redis connection string for BullMQ/cache.</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IPFS_API_URL / IPFS_GATEWAY_URL</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worker / nginx</w:t>
            </w:r>
          </w:p>
        </w:tc>
        <w:tc>
          <w:tcPr>
            <w:tcW w:type="dxa" w:w="4850"/>
            <w:shd w:fill="FFFFFF" w:val="clear"/>
            <w:tcMar>
              <w:top w:type="dxa" w:w="80"/>
              <w:left w:type="dxa" w:w="100"/>
              <w:bottom w:type="dxa" w:w="80"/>
              <w:right w:type="dxa" w:w="100"/>
            </w:tcMar>
            <w:vAlign w:val="center"/>
          </w:tcPr>
          <w:p>
            <w:r>
              <w:rPr>
                <w:b w:val="false"/>
                <w:bCs w:val="false"/>
                <w:sz w:val="19"/>
                <w:szCs w:val="19"/>
              </w:rPr>
              <w:t xml:space="preserve">Local IPFS node HTTP API and gateway.</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ANVIL_RPC_URL / CONTRACT_ADDRESS</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api, worker</w:t>
            </w:r>
          </w:p>
        </w:tc>
        <w:tc>
          <w:tcPr>
            <w:tcW w:type="dxa" w:w="4850"/>
            <w:shd w:fill="F8FAFC" w:val="clear"/>
            <w:tcMar>
              <w:top w:type="dxa" w:w="80"/>
              <w:left w:type="dxa" w:w="100"/>
              <w:bottom w:type="dxa" w:w="80"/>
              <w:right w:type="dxa" w:w="100"/>
            </w:tcMar>
            <w:vAlign w:val="center"/>
          </w:tcPr>
          <w:p>
            <w:r>
              <w:rPr>
                <w:b w:val="false"/>
                <w:bCs w:val="false"/>
                <w:sz w:val="19"/>
                <w:szCs w:val="19"/>
              </w:rPr>
              <w:t xml:space="preserve">Chain RPC endpoint and deployed licensing contract address.</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PLATFORM_SIGNER_SEED</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worker (secret, never exposed to web)</w:t>
            </w:r>
          </w:p>
        </w:tc>
        <w:tc>
          <w:tcPr>
            <w:tcW w:type="dxa" w:w="4850"/>
            <w:shd w:fill="FFFFFF" w:val="clear"/>
            <w:tcMar>
              <w:top w:type="dxa" w:w="80"/>
              <w:left w:type="dxa" w:w="100"/>
              <w:bottom w:type="dxa" w:w="80"/>
              <w:right w:type="dxa" w:w="100"/>
            </w:tcMar>
            <w:vAlign w:val="center"/>
          </w:tcPr>
          <w:p>
            <w:r>
              <w:rPr>
                <w:b w:val="false"/>
                <w:bCs w:val="false"/>
                <w:sz w:val="19"/>
                <w:szCs w:val="19"/>
              </w:rPr>
              <w:t xml:space="preserve">Derives each tenant's managed publisher wallet.</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JWT_ACCESS_SECRET / JWT_REFRESH_SECRET</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api</w:t>
            </w:r>
          </w:p>
        </w:tc>
        <w:tc>
          <w:tcPr>
            <w:tcW w:type="dxa" w:w="4850"/>
            <w:shd w:fill="F8FAFC" w:val="clear"/>
            <w:tcMar>
              <w:top w:type="dxa" w:w="80"/>
              <w:left w:type="dxa" w:w="100"/>
              <w:bottom w:type="dxa" w:w="80"/>
              <w:right w:type="dxa" w:w="100"/>
            </w:tcMar>
            <w:vAlign w:val="center"/>
          </w:tcPr>
          <w:p>
            <w:r>
              <w:rPr>
                <w:b w:val="false"/>
                <w:bCs w:val="false"/>
                <w:sz w:val="19"/>
                <w:szCs w:val="19"/>
              </w:rPr>
              <w:t xml:space="preserve">Token signing keys.</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ANTHROPIC_API_KEY</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worker</w:t>
            </w:r>
          </w:p>
        </w:tc>
        <w:tc>
          <w:tcPr>
            <w:tcW w:type="dxa" w:w="4850"/>
            <w:shd w:fill="FFFFFF" w:val="clear"/>
            <w:tcMar>
              <w:top w:type="dxa" w:w="80"/>
              <w:left w:type="dxa" w:w="100"/>
              <w:bottom w:type="dxa" w:w="80"/>
              <w:right w:type="dxa" w:w="100"/>
            </w:tcMar>
            <w:vAlign w:val="center"/>
          </w:tcPr>
          <w:p>
            <w:r>
              <w:rPr>
                <w:b w:val="false"/>
                <w:bCs w:val="false"/>
                <w:sz w:val="19"/>
                <w:szCs w:val="19"/>
              </w:rPr>
              <w:t xml:space="preserve">Optional — enables AI enrichment; system degrades gracefully without it (NFR-REL.1).</w:t>
            </w:r>
          </w:p>
        </w:tc>
      </w:tr>
      <w:tr>
        <w:tc>
          <w:tcPr>
            <w:tcW w:type="dxa" w:w="2600"/>
            <w:shd w:fill="F8FAFC" w:val="clear"/>
            <w:tcMar>
              <w:top w:type="dxa" w:w="80"/>
              <w:left w:type="dxa" w:w="100"/>
              <w:bottom w:type="dxa" w:w="80"/>
              <w:right w:type="dxa" w:w="100"/>
            </w:tcMar>
            <w:vAlign w:val="center"/>
          </w:tcPr>
          <w:p>
            <w:r>
              <w:rPr>
                <w:b w:val="false"/>
                <w:bCs w:val="false"/>
                <w:sz w:val="19"/>
                <w:szCs w:val="19"/>
              </w:rPr>
              <w:t xml:space="preserve">SKETCHFAB_CLIENT_ID/SECRET, POLYPIZZA_API_KEY, MESHY_API_KEY, EON_API_KEY</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api, worker</w:t>
            </w:r>
          </w:p>
        </w:tc>
        <w:tc>
          <w:tcPr>
            <w:tcW w:type="dxa" w:w="4850"/>
            <w:shd w:fill="F8FAFC" w:val="clear"/>
            <w:tcMar>
              <w:top w:type="dxa" w:w="80"/>
              <w:left w:type="dxa" w:w="100"/>
              <w:bottom w:type="dxa" w:w="80"/>
              <w:right w:type="dxa" w:w="100"/>
            </w:tcMar>
            <w:vAlign w:val="center"/>
          </w:tcPr>
          <w:p>
            <w:r>
              <w:rPr>
                <w:b w:val="false"/>
                <w:bCs w:val="false"/>
                <w:sz w:val="19"/>
                <w:szCs w:val="19"/>
              </w:rPr>
              <w:t xml:space="preserve">Optional third-party integrations — each independently toggled off if unset.</w:t>
            </w:r>
          </w:p>
        </w:tc>
      </w:tr>
    </w:tbl>
    <w:p>
      <w:pPr>
        <w:spacing w:after="220"/>
      </w:pPr>
    </w:p>
    <w:p>
      <w:pPr>
        <w:pStyle w:val="Heading2"/>
        <w:spacing w:after="150" w:before="300"/>
      </w:pPr>
      <w:r>
        <w:rPr>
          <w:b/>
          <w:bCs/>
          <w:color w:val="4338CA"/>
          <w:sz w:val="25"/>
          <w:szCs w:val="25"/>
        </w:rPr>
        <w:t xml:space="preserve">9.5 Testing Strategy</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1700"/>
        <w:gridCol w:w="2900"/>
        <w:gridCol w:w="4750"/>
      </w:tblGrid>
      <w:tr>
        <w:trPr>
          <w:tblHeader/>
        </w:trPr>
        <w:tc>
          <w:tcPr>
            <w:tcW w:type="dxa" w:w="1700"/>
            <w:shd w:fill="1E1B4B" w:val="clear"/>
            <w:tcMar>
              <w:top w:type="dxa" w:w="80"/>
              <w:left w:type="dxa" w:w="100"/>
              <w:bottom w:type="dxa" w:w="80"/>
              <w:right w:type="dxa" w:w="100"/>
            </w:tcMar>
            <w:vAlign w:val="center"/>
          </w:tcPr>
          <w:p>
            <w:r>
              <w:rPr>
                <w:b/>
                <w:bCs/>
                <w:color w:val="FFFFFF"/>
                <w:sz w:val="19"/>
                <w:szCs w:val="19"/>
              </w:rPr>
              <w:t xml:space="preserve">Layer</w:t>
            </w:r>
          </w:p>
        </w:tc>
        <w:tc>
          <w:tcPr>
            <w:tcW w:type="dxa" w:w="2900"/>
            <w:shd w:fill="1E1B4B" w:val="clear"/>
            <w:tcMar>
              <w:top w:type="dxa" w:w="80"/>
              <w:left w:type="dxa" w:w="100"/>
              <w:bottom w:type="dxa" w:w="80"/>
              <w:right w:type="dxa" w:w="100"/>
            </w:tcMar>
            <w:vAlign w:val="center"/>
          </w:tcPr>
          <w:p>
            <w:r>
              <w:rPr>
                <w:b/>
                <w:bCs/>
                <w:color w:val="FFFFFF"/>
                <w:sz w:val="19"/>
                <w:szCs w:val="19"/>
              </w:rPr>
              <w:t xml:space="preserve">Tooling</w:t>
            </w:r>
          </w:p>
        </w:tc>
        <w:tc>
          <w:tcPr>
            <w:tcW w:type="dxa" w:w="4750"/>
            <w:shd w:fill="1E1B4B" w:val="clear"/>
            <w:tcMar>
              <w:top w:type="dxa" w:w="80"/>
              <w:left w:type="dxa" w:w="100"/>
              <w:bottom w:type="dxa" w:w="80"/>
              <w:right w:type="dxa" w:w="100"/>
            </w:tcMar>
            <w:vAlign w:val="center"/>
          </w:tcPr>
          <w:p>
            <w:r>
              <w:rPr>
                <w:b/>
                <w:bCs/>
                <w:color w:val="FFFFFF"/>
                <w:sz w:val="19"/>
                <w:szCs w:val="19"/>
              </w:rPr>
              <w:t xml:space="preserve">Scope</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Unit</w:t>
            </w:r>
          </w:p>
        </w:tc>
        <w:tc>
          <w:tcPr>
            <w:tcW w:type="dxa" w:w="2900"/>
            <w:shd w:fill="FFFFFF" w:val="clear"/>
            <w:tcMar>
              <w:top w:type="dxa" w:w="80"/>
              <w:left w:type="dxa" w:w="100"/>
              <w:bottom w:type="dxa" w:w="80"/>
              <w:right w:type="dxa" w:w="100"/>
            </w:tcMar>
            <w:vAlign w:val="center"/>
          </w:tcPr>
          <w:p>
            <w:r>
              <w:rPr>
                <w:b w:val="false"/>
                <w:bCs w:val="false"/>
                <w:sz w:val="19"/>
                <w:szCs w:val="19"/>
              </w:rPr>
              <w:t xml:space="preserve">Vitest</w:t>
            </w:r>
          </w:p>
        </w:tc>
        <w:tc>
          <w:tcPr>
            <w:tcW w:type="dxa" w:w="4750"/>
            <w:shd w:fill="FFFFFF" w:val="clear"/>
            <w:tcMar>
              <w:top w:type="dxa" w:w="80"/>
              <w:left w:type="dxa" w:w="100"/>
              <w:bottom w:type="dxa" w:w="80"/>
              <w:right w:type="dxa" w:w="100"/>
            </w:tcMar>
            <w:vAlign w:val="center"/>
          </w:tcPr>
          <w:p>
            <w:r>
              <w:rPr>
                <w:b w:val="false"/>
                <w:bCs w:val="false"/>
                <w:sz w:val="19"/>
                <w:szCs w:val="19"/>
              </w:rPr>
              <w:t xml:space="preserve">Service modules (Section 8.6) in isolation, with Prisma/IPFS/chain clients mocked.</w:t>
            </w:r>
          </w:p>
        </w:tc>
      </w:tr>
      <w:tr>
        <w:tc>
          <w:tcPr>
            <w:tcW w:type="dxa" w:w="1700"/>
            <w:shd w:fill="F8FAFC" w:val="clear"/>
            <w:tcMar>
              <w:top w:type="dxa" w:w="80"/>
              <w:left w:type="dxa" w:w="100"/>
              <w:bottom w:type="dxa" w:w="80"/>
              <w:right w:type="dxa" w:w="100"/>
            </w:tcMar>
            <w:vAlign w:val="center"/>
          </w:tcPr>
          <w:p>
            <w:r>
              <w:rPr>
                <w:b w:val="false"/>
                <w:bCs w:val="false"/>
                <w:sz w:val="19"/>
                <w:szCs w:val="19"/>
              </w:rPr>
              <w:t xml:space="preserve">API / Integration</w:t>
            </w:r>
          </w:p>
        </w:tc>
        <w:tc>
          <w:tcPr>
            <w:tcW w:type="dxa" w:w="2900"/>
            <w:shd w:fill="F8FAFC" w:val="clear"/>
            <w:tcMar>
              <w:top w:type="dxa" w:w="80"/>
              <w:left w:type="dxa" w:w="100"/>
              <w:bottom w:type="dxa" w:w="80"/>
              <w:right w:type="dxa" w:w="100"/>
            </w:tcMar>
            <w:vAlign w:val="center"/>
          </w:tcPr>
          <w:p>
            <w:r>
              <w:rPr>
                <w:b w:val="false"/>
                <w:bCs w:val="false"/>
                <w:sz w:val="19"/>
                <w:szCs w:val="19"/>
              </w:rPr>
              <w:t xml:space="preserve">Vitest + Supertest, against dockerized Postgres/Redis</w:t>
            </w:r>
          </w:p>
        </w:tc>
        <w:tc>
          <w:tcPr>
            <w:tcW w:type="dxa" w:w="4750"/>
            <w:shd w:fill="F8FAFC" w:val="clear"/>
            <w:tcMar>
              <w:top w:type="dxa" w:w="80"/>
              <w:left w:type="dxa" w:w="100"/>
              <w:bottom w:type="dxa" w:w="80"/>
              <w:right w:type="dxa" w:w="100"/>
            </w:tcMar>
            <w:vAlign w:val="center"/>
          </w:tcPr>
          <w:p>
            <w:r>
              <w:rPr>
                <w:b w:val="false"/>
                <w:bCs w:val="false"/>
                <w:sz w:val="19"/>
                <w:szCs w:val="19"/>
              </w:rPr>
              <w:t xml:space="preserve">Route contract, RBAC/tenancy enforcement, job enqueue behavior.</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Smart contract</w:t>
            </w:r>
          </w:p>
        </w:tc>
        <w:tc>
          <w:tcPr>
            <w:tcW w:type="dxa" w:w="2900"/>
            <w:shd w:fill="FFFFFF" w:val="clear"/>
            <w:tcMar>
              <w:top w:type="dxa" w:w="80"/>
              <w:left w:type="dxa" w:w="100"/>
              <w:bottom w:type="dxa" w:w="80"/>
              <w:right w:type="dxa" w:w="100"/>
            </w:tcMar>
            <w:vAlign w:val="center"/>
          </w:tcPr>
          <w:p>
            <w:r>
              <w:rPr>
                <w:b w:val="false"/>
                <w:bCs w:val="false"/>
                <w:sz w:val="19"/>
                <w:szCs w:val="19"/>
              </w:rPr>
              <w:t xml:space="preserve">forge test (Foundry)</w:t>
            </w:r>
          </w:p>
        </w:tc>
        <w:tc>
          <w:tcPr>
            <w:tcW w:type="dxa" w:w="4750"/>
            <w:shd w:fill="FFFFFF" w:val="clear"/>
            <w:tcMar>
              <w:top w:type="dxa" w:w="80"/>
              <w:left w:type="dxa" w:w="100"/>
              <w:bottom w:type="dxa" w:w="80"/>
              <w:right w:type="dxa" w:w="100"/>
            </w:tcMar>
            <w:vAlign w:val="center"/>
          </w:tcPr>
          <w:p>
            <w:r>
              <w:rPr>
                <w:b w:val="false"/>
                <w:bCs w:val="false"/>
                <w:sz w:val="19"/>
                <w:szCs w:val="19"/>
              </w:rPr>
              <w:t xml:space="preserve">AssetLicenseRegistry.sol: minting, access control, revocation, event emission.</w:t>
            </w:r>
          </w:p>
        </w:tc>
      </w:tr>
      <w:tr>
        <w:tc>
          <w:tcPr>
            <w:tcW w:type="dxa" w:w="1700"/>
            <w:shd w:fill="F8FAFC" w:val="clear"/>
            <w:tcMar>
              <w:top w:type="dxa" w:w="80"/>
              <w:left w:type="dxa" w:w="100"/>
              <w:bottom w:type="dxa" w:w="80"/>
              <w:right w:type="dxa" w:w="100"/>
            </w:tcMar>
            <w:vAlign w:val="center"/>
          </w:tcPr>
          <w:p>
            <w:r>
              <w:rPr>
                <w:b w:val="false"/>
                <w:bCs w:val="false"/>
                <w:sz w:val="19"/>
                <w:szCs w:val="19"/>
              </w:rPr>
              <w:t xml:space="preserve">End-to-end</w:t>
            </w:r>
          </w:p>
        </w:tc>
        <w:tc>
          <w:tcPr>
            <w:tcW w:type="dxa" w:w="2900"/>
            <w:shd w:fill="F8FAFC" w:val="clear"/>
            <w:tcMar>
              <w:top w:type="dxa" w:w="80"/>
              <w:left w:type="dxa" w:w="100"/>
              <w:bottom w:type="dxa" w:w="80"/>
              <w:right w:type="dxa" w:w="100"/>
            </w:tcMar>
            <w:vAlign w:val="center"/>
          </w:tcPr>
          <w:p>
            <w:r>
              <w:rPr>
                <w:b w:val="false"/>
                <w:bCs w:val="false"/>
                <w:sz w:val="19"/>
                <w:szCs w:val="19"/>
              </w:rPr>
              <w:t xml:space="preserve">Playwright</w:t>
            </w:r>
          </w:p>
        </w:tc>
        <w:tc>
          <w:tcPr>
            <w:tcW w:type="dxa" w:w="4750"/>
            <w:shd w:fill="F8FAFC" w:val="clear"/>
            <w:tcMar>
              <w:top w:type="dxa" w:w="80"/>
              <w:left w:type="dxa" w:w="100"/>
              <w:bottom w:type="dxa" w:w="80"/>
              <w:right w:type="dxa" w:w="100"/>
            </w:tcMar>
            <w:vAlign w:val="center"/>
          </w:tcPr>
          <w:p>
            <w:r>
              <w:rPr>
                <w:b w:val="false"/>
                <w:bCs w:val="false"/>
                <w:sz w:val="19"/>
                <w:szCs w:val="19"/>
              </w:rPr>
              <w:t xml:space="preserve">Full user journeys: signup → upload → AI suggestion → review → publish → license visible in UI.</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Manual/exploratory security</w:t>
            </w:r>
          </w:p>
        </w:tc>
        <w:tc>
          <w:tcPr>
            <w:tcW w:type="dxa" w:w="2900"/>
            <w:shd w:fill="FFFFFF" w:val="clear"/>
            <w:tcMar>
              <w:top w:type="dxa" w:w="80"/>
              <w:left w:type="dxa" w:w="100"/>
              <w:bottom w:type="dxa" w:w="80"/>
              <w:right w:type="dxa" w:w="100"/>
            </w:tcMar>
            <w:vAlign w:val="center"/>
          </w:tcPr>
          <w:p>
            <w:r>
              <w:rPr>
                <w:b w:val="false"/>
                <w:bCs w:val="false"/>
                <w:sz w:val="19"/>
                <w:szCs w:val="19"/>
              </w:rPr>
              <w:t xml:space="preserve">OWASP ASVS-guided checklist</w:t>
            </w:r>
          </w:p>
        </w:tc>
        <w:tc>
          <w:tcPr>
            <w:tcW w:type="dxa" w:w="4750"/>
            <w:shd w:fill="FFFFFF" w:val="clear"/>
            <w:tcMar>
              <w:top w:type="dxa" w:w="80"/>
              <w:left w:type="dxa" w:w="100"/>
              <w:bottom w:type="dxa" w:w="80"/>
              <w:right w:type="dxa" w:w="100"/>
            </w:tcMar>
            <w:vAlign w:val="center"/>
          </w:tcPr>
          <w:p>
            <w:r>
              <w:rPr>
                <w:b w:val="false"/>
                <w:bCs w:val="false"/>
                <w:sz w:val="19"/>
                <w:szCs w:val="19"/>
              </w:rPr>
              <w:t xml:space="preserve">Cross-tenant access attempts (NFR-SEC.5), auth edge cases.</w:t>
            </w:r>
          </w:p>
        </w:tc>
      </w:tr>
    </w:tbl>
    <w:p>
      <w:pPr>
        <w:spacing w:after="220"/>
      </w:pPr>
    </w:p>
    <w:p>
      <w:r>
        <w:br w:type="page"/>
      </w:r>
    </w:p>
    <w:p>
      <w:pPr>
        <w:pStyle w:val="Heading1"/>
        <w:pBdr>
          <w:bottom w:val="single" w:color="4338CA" w:sz="6" w:space="4"/>
        </w:pBdr>
        <w:spacing w:after="200" w:before="400"/>
      </w:pPr>
      <w:r>
        <w:rPr>
          <w:b/>
          <w:bCs/>
          <w:color w:val="1E1B4B"/>
          <w:sz w:val="30"/>
          <w:szCs w:val="30"/>
        </w:rPr>
        <w:t xml:space="preserve">10. Appendices</w:t>
      </w:r>
    </w:p>
    <w:p>
      <w:pPr>
        <w:pStyle w:val="Heading2"/>
        <w:spacing w:after="150" w:before="300"/>
      </w:pPr>
      <w:r>
        <w:rPr>
          <w:b/>
          <w:bCs/>
          <w:color w:val="4338CA"/>
          <w:sz w:val="25"/>
          <w:szCs w:val="25"/>
        </w:rPr>
        <w:t xml:space="preserve">Appendix A — Requirements Traceability Matrix (Sample)</w:t>
      </w:r>
    </w:p>
    <w:tbl>
      <w:tblPr>
        <w:tblW w:type="dxa" w:w="9250"/>
        <w:tblBorders>
          <w:top w:val="single" w:color="CBD5E1" w:sz="2"/>
          <w:left w:val="single" w:color="CBD5E1" w:sz="2"/>
          <w:bottom w:val="single" w:color="CBD5E1" w:sz="2"/>
          <w:right w:val="single" w:color="CBD5E1" w:sz="2"/>
          <w:insideH w:val="single" w:color="E2E8F0" w:sz="2"/>
          <w:insideV w:val="single" w:color="E2E8F0" w:sz="2"/>
        </w:tblBorders>
      </w:tblPr>
      <w:tblGrid>
        <w:gridCol w:w="1200"/>
        <w:gridCol w:w="3300"/>
        <w:gridCol w:w="2600"/>
        <w:gridCol w:w="2150"/>
      </w:tblGrid>
      <w:tr>
        <w:trPr>
          <w:tblHeader/>
        </w:trPr>
        <w:tc>
          <w:tcPr>
            <w:tcW w:type="dxa" w:w="1200"/>
            <w:shd w:fill="1E1B4B" w:val="clear"/>
            <w:tcMar>
              <w:top w:type="dxa" w:w="80"/>
              <w:left w:type="dxa" w:w="100"/>
              <w:bottom w:type="dxa" w:w="80"/>
              <w:right w:type="dxa" w:w="100"/>
            </w:tcMar>
            <w:vAlign w:val="center"/>
          </w:tcPr>
          <w:p>
            <w:r>
              <w:rPr>
                <w:b/>
                <w:bCs/>
                <w:color w:val="FFFFFF"/>
                <w:sz w:val="19"/>
                <w:szCs w:val="19"/>
              </w:rPr>
              <w:t xml:space="preserve">Req. ID</w:t>
            </w:r>
          </w:p>
        </w:tc>
        <w:tc>
          <w:tcPr>
            <w:tcW w:type="dxa" w:w="3300"/>
            <w:shd w:fill="1E1B4B" w:val="clear"/>
            <w:tcMar>
              <w:top w:type="dxa" w:w="80"/>
              <w:left w:type="dxa" w:w="100"/>
              <w:bottom w:type="dxa" w:w="80"/>
              <w:right w:type="dxa" w:w="100"/>
            </w:tcMar>
            <w:vAlign w:val="center"/>
          </w:tcPr>
          <w:p>
            <w:r>
              <w:rPr>
                <w:b/>
                <w:bCs/>
                <w:color w:val="FFFFFF"/>
                <w:sz w:val="19"/>
                <w:szCs w:val="19"/>
              </w:rPr>
              <w:t xml:space="preserve">Feature</w:t>
            </w:r>
          </w:p>
        </w:tc>
        <w:tc>
          <w:tcPr>
            <w:tcW w:type="dxa" w:w="2600"/>
            <w:shd w:fill="1E1B4B" w:val="clear"/>
            <w:tcMar>
              <w:top w:type="dxa" w:w="80"/>
              <w:left w:type="dxa" w:w="100"/>
              <w:bottom w:type="dxa" w:w="80"/>
              <w:right w:type="dxa" w:w="100"/>
            </w:tcMar>
            <w:vAlign w:val="center"/>
          </w:tcPr>
          <w:p>
            <w:r>
              <w:rPr>
                <w:b/>
                <w:bCs/>
                <w:color w:val="FFFFFF"/>
                <w:sz w:val="19"/>
                <w:szCs w:val="19"/>
              </w:rPr>
              <w:t xml:space="preserve">Verification Method</w:t>
            </w:r>
          </w:p>
        </w:tc>
        <w:tc>
          <w:tcPr>
            <w:tcW w:type="dxa" w:w="2150"/>
            <w:shd w:fill="1E1B4B" w:val="clear"/>
            <w:tcMar>
              <w:top w:type="dxa" w:w="80"/>
              <w:left w:type="dxa" w:w="100"/>
              <w:bottom w:type="dxa" w:w="80"/>
              <w:right w:type="dxa" w:w="100"/>
            </w:tcMar>
            <w:vAlign w:val="center"/>
          </w:tcPr>
          <w:p>
            <w:r>
              <w:rPr>
                <w:b/>
                <w:bCs/>
                <w:color w:val="FFFFFF"/>
                <w:sz w:val="19"/>
                <w:szCs w:val="19"/>
              </w:rPr>
              <w:t xml:space="preserve">Related Test Case</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FR-1.6</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Cross-tenant data isolation (RLS-enforced)</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API test (negative, cross-tenant) + code review</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TC-TENANT-002</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FR-2.3</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JWT in httpOnly cookies, ≤15 min expiry</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API test + browser storage inspection</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TC-AUTH-003</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FR-3.1</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Multi-format upload up to 200MB → IPFS</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API + UI test</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TC-ASSET-011</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FR-4.3</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Decision restricted to Assessor+ role</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API test (negative case)</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TC-REVIEW-006</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FR-7.2</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Claude API structured JSON contract</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Integration test with schema validation</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TC-AI-002</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FR-7.6</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No auto-approval from AI output alone</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Code review + integration test</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TC-AI-005</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FR-8.2</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Pin lifecycle matches asset lifecycle</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Integration test against local IPFS node</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TC-IPFS-004</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FR-9.2</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mintLicense called only after approval</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Forge test + integration test</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TC-CHAIN-001</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FR-9.4</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Immutability of licensed version's content</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API test (negative) + contract test</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TC-CHAIN-003</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FR-10.2</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Publish rejected for non-approved assets</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API test (negative case)</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TC-PUBLISH-002</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FR-13.3</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Audit log append-only enforcement</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DB permission test</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TC-AUDIT-001</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NFR-SEC.5</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RLS policy present on every tenant table</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Automated schema audit + pen test</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TC-SEC-009</w:t>
            </w:r>
          </w:p>
        </w:tc>
      </w:tr>
    </w:tbl>
    <w:p>
      <w:pPr>
        <w:spacing w:after="220"/>
      </w:pPr>
    </w:p>
    <w:p>
      <w:pPr>
        <w:pStyle w:val="Heading2"/>
        <w:spacing w:after="150" w:before="300"/>
      </w:pPr>
      <w:r>
        <w:rPr>
          <w:b/>
          <w:bCs/>
          <w:color w:val="4338CA"/>
          <w:sz w:val="25"/>
          <w:szCs w:val="25"/>
        </w:rPr>
        <w:t xml:space="preserve">Appendix B — Glossary</w:t>
      </w:r>
    </w:p>
    <w:p>
      <w:pPr>
        <w:spacing w:after="160" w:line="276"/>
      </w:pPr>
      <w:r>
        <w:rPr>
          <w:sz w:val="21"/>
          <w:szCs w:val="21"/>
        </w:rPr>
        <w:t xml:space="preserve">See Section 1.5 for core terminology. Additional module-level and contract-level terms are defined in the companion Software Design Document (VS-SDD-2.0).</w:t>
      </w:r>
    </w:p>
    <w:p>
      <w:pPr>
        <w:pStyle w:val="Heading2"/>
        <w:spacing w:after="150" w:before="300"/>
      </w:pPr>
      <w:r>
        <w:rPr>
          <w:b/>
          <w:bCs/>
          <w:color w:val="4338CA"/>
          <w:sz w:val="25"/>
          <w:szCs w:val="25"/>
        </w:rPr>
        <w:t xml:space="preserve">Appendix C — Design Decision Rationale</w:t>
      </w:r>
    </w:p>
    <w:p>
      <w:pPr>
        <w:spacing w:after="160" w:line="276"/>
      </w:pPr>
      <w:r>
        <w:rPr>
          <w:sz w:val="21"/>
          <w:szCs w:val="21"/>
        </w:rPr>
        <w:t xml:space="preserve">Every place this SRS chose one technology or pattern over a comparable alternative is summarized here for traceability, in addition to the inline Design Decision callouts in Sections 2–3.</w:t>
      </w:r>
    </w:p>
    <w:tbl>
      <w:tblPr>
        <w:tblW w:type="dxa" w:w="9250"/>
        <w:tblBorders>
          <w:top w:val="single" w:color="CBD5E1" w:sz="2"/>
          <w:left w:val="single" w:color="CBD5E1" w:sz="2"/>
          <w:bottom w:val="single" w:color="CBD5E1" w:sz="2"/>
          <w:right w:val="single" w:color="CBD5E1" w:sz="2"/>
          <w:insideH w:val="single" w:color="E2E8F0" w:sz="2"/>
          <w:insideV w:val="single" w:color="E2E8F0" w:sz="2"/>
        </w:tblBorders>
      </w:tblPr>
      <w:tblGrid>
        <w:gridCol w:w="1550"/>
        <w:gridCol w:w="1950"/>
        <w:gridCol w:w="2200"/>
        <w:gridCol w:w="3550"/>
      </w:tblGrid>
      <w:tr>
        <w:trPr>
          <w:tblHeader/>
        </w:trPr>
        <w:tc>
          <w:tcPr>
            <w:tcW w:type="dxa" w:w="1550"/>
            <w:shd w:fill="1E1B4B" w:val="clear"/>
            <w:tcMar>
              <w:top w:type="dxa" w:w="80"/>
              <w:left w:type="dxa" w:w="100"/>
              <w:bottom w:type="dxa" w:w="80"/>
              <w:right w:type="dxa" w:w="100"/>
            </w:tcMar>
            <w:vAlign w:val="center"/>
          </w:tcPr>
          <w:p>
            <w:r>
              <w:rPr>
                <w:b/>
                <w:bCs/>
                <w:color w:val="FFFFFF"/>
                <w:sz w:val="19"/>
                <w:szCs w:val="19"/>
              </w:rPr>
              <w:t xml:space="preserve">Decision</w:t>
            </w:r>
          </w:p>
        </w:tc>
        <w:tc>
          <w:tcPr>
            <w:tcW w:type="dxa" w:w="1950"/>
            <w:shd w:fill="1E1B4B" w:val="clear"/>
            <w:tcMar>
              <w:top w:type="dxa" w:w="80"/>
              <w:left w:type="dxa" w:w="100"/>
              <w:bottom w:type="dxa" w:w="80"/>
              <w:right w:type="dxa" w:w="100"/>
            </w:tcMar>
            <w:vAlign w:val="center"/>
          </w:tcPr>
          <w:p>
            <w:r>
              <w:rPr>
                <w:b/>
                <w:bCs/>
                <w:color w:val="FFFFFF"/>
                <w:sz w:val="19"/>
                <w:szCs w:val="19"/>
              </w:rPr>
              <w:t xml:space="preserve">Chosen</w:t>
            </w:r>
          </w:p>
        </w:tc>
        <w:tc>
          <w:tcPr>
            <w:tcW w:type="dxa" w:w="2200"/>
            <w:shd w:fill="1E1B4B" w:val="clear"/>
            <w:tcMar>
              <w:top w:type="dxa" w:w="80"/>
              <w:left w:type="dxa" w:w="100"/>
              <w:bottom w:type="dxa" w:w="80"/>
              <w:right w:type="dxa" w:w="100"/>
            </w:tcMar>
            <w:vAlign w:val="center"/>
          </w:tcPr>
          <w:p>
            <w:r>
              <w:rPr>
                <w:b/>
                <w:bCs/>
                <w:color w:val="FFFFFF"/>
                <w:sz w:val="19"/>
                <w:szCs w:val="19"/>
              </w:rPr>
              <w:t xml:space="preserve">Alternatives Considered</w:t>
            </w:r>
          </w:p>
        </w:tc>
        <w:tc>
          <w:tcPr>
            <w:tcW w:type="dxa" w:w="3550"/>
            <w:shd w:fill="1E1B4B" w:val="clear"/>
            <w:tcMar>
              <w:top w:type="dxa" w:w="80"/>
              <w:left w:type="dxa" w:w="100"/>
              <w:bottom w:type="dxa" w:w="80"/>
              <w:right w:type="dxa" w:w="100"/>
            </w:tcMar>
            <w:vAlign w:val="center"/>
          </w:tcPr>
          <w:p>
            <w:r>
              <w:rPr>
                <w:b/>
                <w:bCs/>
                <w:color w:val="FFFFFF"/>
                <w:sz w:val="19"/>
                <w:szCs w:val="19"/>
              </w:rPr>
              <w:t xml:space="preserve">Rationale</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Backend framework</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Fastify + TypeScript</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NestJS, Express, tRPC-only</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Explicitly requested; low overhead; JSON-Schema-first fits an OpenAPI contract external Developers need (Section 3.1).</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ORM / data layer</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Prisma over PostgreSQL</w:t>
            </w:r>
          </w:p>
        </w:tc>
        <w:tc>
          <w:tcPr>
            <w:tcW w:type="dxa" w:w="2200"/>
            <w:shd w:fill="F8FAFC" w:val="clear"/>
            <w:tcMar>
              <w:top w:type="dxa" w:w="80"/>
              <w:left w:type="dxa" w:w="100"/>
              <w:bottom w:type="dxa" w:w="80"/>
              <w:right w:type="dxa" w:w="100"/>
            </w:tcMar>
            <w:vAlign w:val="center"/>
          </w:tcPr>
          <w:p>
            <w:r>
              <w:rPr>
                <w:b w:val="false"/>
                <w:bCs w:val="false"/>
                <w:sz w:val="19"/>
                <w:szCs w:val="19"/>
              </w:rPr>
              <w:t xml:space="preserve">TypeORM, Drizzle, raw SQL</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Strong TypeScript inference, mature migration tooling, wide team familiarity.</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Multi-tenancy model</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Shared schema + Postgres RLS</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Schema-per-tenant, DB-per-tenant</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Fast local iteration and single migration path while keeping strong isolation (Section 3.5).</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Asset storage</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Local IPFS (Kubo) node</w:t>
            </w:r>
          </w:p>
        </w:tc>
        <w:tc>
          <w:tcPr>
            <w:tcW w:type="dxa" w:w="2200"/>
            <w:shd w:fill="F8FAFC" w:val="clear"/>
            <w:tcMar>
              <w:top w:type="dxa" w:w="80"/>
              <w:left w:type="dxa" w:w="100"/>
              <w:bottom w:type="dxa" w:w="80"/>
              <w:right w:type="dxa" w:w="100"/>
            </w:tcMar>
            <w:vAlign w:val="center"/>
          </w:tcPr>
          <w:p>
            <w:r>
              <w:rPr>
                <w:b w:val="false"/>
                <w:bCs w:val="false"/>
                <w:sz w:val="19"/>
                <w:szCs w:val="19"/>
              </w:rPr>
              <w:t xml:space="preserve">S3/MinIO only, S3 + hash column</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Explicit requirement for IPFS-based, content-addressed storage that a smart contract can anchor to (Section 3.8).</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Blockchain runtime</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Anvil (Foundry), local</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Public testnet (Sepolia), Hardhat network</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Zero external dependency, no faucet/RPC provider needed, fastest local iteration; explicitly requested to avoid external chains.</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License representation</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ERC-721 (one token per asset license)</w:t>
            </w:r>
          </w:p>
        </w:tc>
        <w:tc>
          <w:tcPr>
            <w:tcW w:type="dxa" w:w="2200"/>
            <w:shd w:fill="F8FAFC" w:val="clear"/>
            <w:tcMar>
              <w:top w:type="dxa" w:w="80"/>
              <w:left w:type="dxa" w:w="100"/>
              <w:bottom w:type="dxa" w:w="80"/>
              <w:right w:type="dxa" w:w="100"/>
            </w:tcMar>
            <w:vAlign w:val="center"/>
          </w:tcPr>
          <w:p>
            <w:r>
              <w:rPr>
                <w:b w:val="false"/>
                <w:bCs w:val="false"/>
                <w:sz w:val="19"/>
                <w:szCs w:val="19"/>
              </w:rPr>
              <w:t xml:space="preserve">Plain database flag, custom non-token registry</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A widely-understood, tooling-compatible standard that still gives an immutable, transferable, auditable record on-chain.</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Wallet model</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Managed/custodial signer by default, wallet-connect optional</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Mandatory MetaMask for every user</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Keeps the core review/publish flow fast for non-crypto-native Assessors while preserving genuine on-chain provenance (Section 3.9.3).</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Background processing</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BullMQ (Redis-backed)</w:t>
            </w:r>
          </w:p>
        </w:tc>
        <w:tc>
          <w:tcPr>
            <w:tcW w:type="dxa" w:w="2200"/>
            <w:shd w:fill="F8FAFC" w:val="clear"/>
            <w:tcMar>
              <w:top w:type="dxa" w:w="80"/>
              <w:left w:type="dxa" w:w="100"/>
              <w:bottom w:type="dxa" w:w="80"/>
              <w:right w:type="dxa" w:w="100"/>
            </w:tcMar>
            <w:vAlign w:val="center"/>
          </w:tcPr>
          <w:p>
            <w:r>
              <w:rPr>
                <w:b w:val="false"/>
                <w:bCs w:val="false"/>
                <w:sz w:val="19"/>
                <w:szCs w:val="19"/>
              </w:rPr>
              <w:t xml:space="preserve">Cron scripts, direct async/await in request handlers</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Durable, retryable, independently scalable per-queue processing, matching NFR-REL and NFR-SCAL.</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Frontend state</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TanStack Query + Zustand</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Redux, plain Context</w:t>
            </w:r>
          </w:p>
        </w:tc>
        <w:tc>
          <w:tcPr>
            <w:tcW w:type="dxa" w:w="3550"/>
            <w:shd w:fill="FFFFFF" w:val="clear"/>
            <w:tcMar>
              <w:top w:type="dxa" w:w="80"/>
              <w:left w:type="dxa" w:w="100"/>
              <w:bottom w:type="dxa" w:w="80"/>
              <w:right w:type="dxa" w:w="100"/>
            </w:tcMar>
            <w:vAlign w:val="center"/>
          </w:tcPr>
          <w:p>
            <w:r>
              <w:rPr>
                <w:b w:val="false"/>
                <w:bCs w:val="false"/>
                <w:sz w:val="19"/>
                <w:szCs w:val="19"/>
              </w:rPr>
              <w:t xml:space="preserve">Purpose-built server-cache layer (TanStack Query) paired with minimal local UI state (Zustand); less boilerplate than Redux.</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Monorepo tooling</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pnpm workspaces + Turborepo</w:t>
            </w:r>
          </w:p>
        </w:tc>
        <w:tc>
          <w:tcPr>
            <w:tcW w:type="dxa" w:w="2200"/>
            <w:shd w:fill="F8FAFC" w:val="clear"/>
            <w:tcMar>
              <w:top w:type="dxa" w:w="80"/>
              <w:left w:type="dxa" w:w="100"/>
              <w:bottom w:type="dxa" w:w="80"/>
              <w:right w:type="dxa" w:w="100"/>
            </w:tcMar>
            <w:vAlign w:val="center"/>
          </w:tcPr>
          <w:p>
            <w:r>
              <w:rPr>
                <w:b w:val="false"/>
                <w:bCs w:val="false"/>
                <w:sz w:val="19"/>
                <w:szCs w:val="19"/>
              </w:rPr>
              <w:t xml:space="preserve">Separate repos, Nx</w:t>
            </w:r>
          </w:p>
        </w:tc>
        <w:tc>
          <w:tcPr>
            <w:tcW w:type="dxa" w:w="3550"/>
            <w:shd w:fill="F8FAFC" w:val="clear"/>
            <w:tcMar>
              <w:top w:type="dxa" w:w="80"/>
              <w:left w:type="dxa" w:w="100"/>
              <w:bottom w:type="dxa" w:w="80"/>
              <w:right w:type="dxa" w:w="100"/>
            </w:tcMar>
            <w:vAlign w:val="center"/>
          </w:tcPr>
          <w:p>
            <w:r>
              <w:rPr>
                <w:b w:val="false"/>
                <w:bCs w:val="false"/>
                <w:sz w:val="19"/>
                <w:szCs w:val="19"/>
              </w:rPr>
              <w:t xml:space="preserve">Shared types across web/api/worker with fast, cached builds; lighter footprint than Nx for this project's size.</w:t>
            </w:r>
          </w:p>
        </w:tc>
      </w:tr>
    </w:tbl>
    <w:p>
      <w:pPr>
        <w:spacing w:after="220"/>
      </w:pPr>
    </w:p>
    <w:p>
      <w:pPr>
        <w:pStyle w:val="Heading2"/>
        <w:spacing w:after="150" w:before="300"/>
      </w:pPr>
      <w:r>
        <w:rPr>
          <w:b/>
          <w:bCs/>
          <w:color w:val="4338CA"/>
          <w:sz w:val="25"/>
          <w:szCs w:val="25"/>
        </w:rPr>
        <w:t xml:space="preserve">Appendix D — Future Work / Out of Scope for This Phase</w:t>
      </w:r>
    </w:p>
    <w:p>
      <w:pPr>
        <w:pStyle w:val="ListParagraph"/>
        <w:numPr>
          <w:ilvl w:val="0"/>
          <w:numId w:val="2"/>
        </w:numPr>
        <w:spacing w:after="90" w:line="264"/>
      </w:pPr>
      <w:r>
        <w:rPr>
          <w:sz w:val="21"/>
          <w:szCs w:val="21"/>
        </w:rPr>
        <w:t xml:space="preserve">Deployment of the licensing contract to a public L2/mainnet, with real gas costs and key-management hardening (HSM/KMS-backed signer instead of a seed-derived wallet).</w:t>
      </w:r>
    </w:p>
    <w:p>
      <w:pPr>
        <w:pStyle w:val="ListParagraph"/>
        <w:numPr>
          <w:ilvl w:val="0"/>
          <w:numId w:val="2"/>
        </w:numPr>
        <w:spacing w:after="90" w:line="264"/>
      </w:pPr>
      <w:r>
        <w:rPr>
          <w:sz w:val="21"/>
          <w:szCs w:val="21"/>
        </w:rPr>
        <w:t xml:space="preserve">A remote IPFS pinning service (or a self-hosted IPFS cluster) for production durability beyond a single local node.</w:t>
      </w:r>
    </w:p>
    <w:p>
      <w:pPr>
        <w:pStyle w:val="ListParagraph"/>
        <w:numPr>
          <w:ilvl w:val="0"/>
          <w:numId w:val="2"/>
        </w:numPr>
        <w:spacing w:after="90" w:line="264"/>
      </w:pPr>
      <w:r>
        <w:rPr>
          <w:sz w:val="21"/>
          <w:szCs w:val="21"/>
        </w:rPr>
        <w:t xml:space="preserve">Native mobile applications and in-browser mesh editing.</w:t>
      </w:r>
    </w:p>
    <w:p>
      <w:pPr>
        <w:pStyle w:val="ListParagraph"/>
        <w:numPr>
          <w:ilvl w:val="0"/>
          <w:numId w:val="2"/>
        </w:numPr>
        <w:spacing w:after="90" w:line="264"/>
      </w:pPr>
      <w:r>
        <w:rPr>
          <w:sz w:val="21"/>
          <w:szCs w:val="21"/>
        </w:rPr>
        <w:t xml:space="preserve">Real-time multi-user co-editing of 3D models.</w:t>
      </w:r>
    </w:p>
    <w:p>
      <w:pPr>
        <w:pStyle w:val="ListParagraph"/>
        <w:numPr>
          <w:ilvl w:val="0"/>
          <w:numId w:val="2"/>
        </w:numPr>
        <w:spacing w:after="90" w:line="264"/>
      </w:pPr>
      <w:r>
        <w:rPr>
          <w:sz w:val="21"/>
          <w:szCs w:val="21"/>
        </w:rPr>
        <w:t xml:space="preserve">Multi-region / multi-cloud production deployment topology and disaster recovery runbook.</w:t>
      </w:r>
    </w:p>
    <w:p>
      <w:pPr>
        <w:pStyle w:val="ListParagraph"/>
        <w:numPr>
          <w:ilvl w:val="0"/>
          <w:numId w:val="2"/>
        </w:numPr>
        <w:spacing w:after="90" w:line="264"/>
      </w:pPr>
      <w:r>
        <w:rPr>
          <w:sz w:val="21"/>
          <w:szCs w:val="21"/>
        </w:rPr>
        <w:t xml:space="preserve">Fine-grained, tenant-editable custom roles beyond the fixed six-role set in Section 3.6.</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VOID·SPACE —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75394722a61941e1ffa7b7e82b5312f260ea8d.png"/><Relationship Id="rId10" Type="http://schemas.openxmlformats.org/officeDocument/2006/relationships/image" Target="media/1c9cc9885a95f4dd1bac7f964ed1bbb4057f748b.png"/><Relationship Id="rId11" Type="http://schemas.openxmlformats.org/officeDocument/2006/relationships/image" Target="media/9d6761b808726121ae8935a246cc77320025ffe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2026-09-21T08:01:39.200Z</dcterms:created>
  <dcterms:modified xsi:type="dcterms:W3CDTF">2026-09-21T08:01:39.200Z</dcterms:modified>
</cp:coreProperties>
</file>

<file path=docProps/custom.xml><?xml version="1.0" encoding="utf-8"?>
<Properties xmlns="http://schemas.openxmlformats.org/officeDocument/2006/custom-properties" xmlns:vt="http://schemas.openxmlformats.org/officeDocument/2006/docPropsVTypes"/>
</file>