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B7830" w14:textId="77777777" w:rsidR="0034516E" w:rsidRDefault="0034516E">
      <w:pPr>
        <w:pStyle w:val="Heading3"/>
        <w:rPr>
          <w:rFonts w:eastAsia="Times New Roman"/>
          <w:kern w:val="0"/>
          <w:sz w:val="27"/>
          <w:szCs w:val="27"/>
          <w14:ligatures w14:val="none"/>
        </w:rPr>
      </w:pPr>
      <w:r>
        <w:rPr>
          <w:rStyle w:val="Strong"/>
          <w:rFonts w:eastAsia="Times New Roman"/>
          <w:b w:val="0"/>
          <w:bCs w:val="0"/>
        </w:rPr>
        <w:t>Updated Verified Research References for Superchips in Aviation and HPC Comparison</w:t>
      </w:r>
    </w:p>
    <w:p w14:paraId="756EB136" w14:textId="77777777" w:rsidR="0034516E" w:rsidRDefault="0034516E">
      <w:pPr>
        <w:pStyle w:val="NormalWeb"/>
      </w:pPr>
      <w:r>
        <w:t xml:space="preserve">The following references have been </w:t>
      </w:r>
      <w:r>
        <w:rPr>
          <w:rStyle w:val="Strong"/>
        </w:rPr>
        <w:t>cross-checked and verified</w:t>
      </w:r>
      <w:r>
        <w:t xml:space="preserve"> from modern research sources, including </w:t>
      </w:r>
      <w:proofErr w:type="spellStart"/>
      <w:r>
        <w:rPr>
          <w:rStyle w:val="Strong"/>
        </w:rPr>
        <w:t>arXiv</w:t>
      </w:r>
      <w:proofErr w:type="spellEnd"/>
      <w:r>
        <w:rPr>
          <w:rStyle w:val="Strong"/>
        </w:rPr>
        <w:t>, Springer, IEEE, and ACM</w:t>
      </w:r>
      <w:r>
        <w:t>.</w:t>
      </w:r>
    </w:p>
    <w:p w14:paraId="32915469" w14:textId="77777777" w:rsidR="0034516E" w:rsidRDefault="0034516E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Primary References on Superchips &amp; HPC in Turbulence Prediction:</w:t>
      </w:r>
    </w:p>
    <w:p w14:paraId="0C601A49" w14:textId="77777777" w:rsidR="0034516E" w:rsidRDefault="0034516E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Oliani</w:t>
      </w:r>
      <w:proofErr w:type="spellEnd"/>
      <w:r>
        <w:rPr>
          <w:rStyle w:val="Strong"/>
        </w:rPr>
        <w:t xml:space="preserve">, S., </w:t>
      </w:r>
      <w:proofErr w:type="spellStart"/>
      <w:r>
        <w:rPr>
          <w:rStyle w:val="Strong"/>
        </w:rPr>
        <w:t>Fadiga</w:t>
      </w:r>
      <w:proofErr w:type="spellEnd"/>
      <w:r>
        <w:rPr>
          <w:rStyle w:val="Strong"/>
        </w:rPr>
        <w:t xml:space="preserve">, E., </w:t>
      </w:r>
      <w:proofErr w:type="spellStart"/>
      <w:r>
        <w:rPr>
          <w:rStyle w:val="Strong"/>
        </w:rPr>
        <w:t>Spisso</w:t>
      </w:r>
      <w:proofErr w:type="spellEnd"/>
      <w:r>
        <w:rPr>
          <w:rStyle w:val="Strong"/>
        </w:rPr>
        <w:t>, I., &amp; Capone, L. (2024).</w:t>
      </w:r>
      <w:r>
        <w:br/>
      </w:r>
      <w:r>
        <w:rPr>
          <w:rStyle w:val="Emphasis"/>
        </w:rPr>
        <w:t xml:space="preserve">GPU-accelerated Linear Algebra for Coupled Solvers in Industrial CFD Applications with </w:t>
      </w:r>
      <w:proofErr w:type="spellStart"/>
      <w:r>
        <w:rPr>
          <w:rStyle w:val="Emphasis"/>
        </w:rPr>
        <w:t>OpenFOAM</w:t>
      </w:r>
      <w:proofErr w:type="spellEnd"/>
      <w:r>
        <w:rPr>
          <w:rStyle w:val="Emphasis"/>
        </w:rPr>
        <w:t>.</w:t>
      </w:r>
      <w:r>
        <w:br/>
      </w:r>
      <w:proofErr w:type="spellStart"/>
      <w:r>
        <w:rPr>
          <w:rStyle w:val="Strong"/>
        </w:rPr>
        <w:t>arXiv</w:t>
      </w:r>
      <w:proofErr w:type="spellEnd"/>
      <w:r>
        <w:rPr>
          <w:rStyle w:val="Strong"/>
        </w:rPr>
        <w:t xml:space="preserve"> preprint.</w:t>
      </w:r>
      <w:r>
        <w:t xml:space="preserve"> </w:t>
      </w:r>
      <w:hyperlink r:id="rId5" w:history="1">
        <w:r>
          <w:rPr>
            <w:rStyle w:val="Hyperlink"/>
          </w:rPr>
          <w:t>Full Text</w:t>
        </w:r>
      </w:hyperlink>
    </w:p>
    <w:p w14:paraId="5DDD29B3" w14:textId="77777777" w:rsidR="0034516E" w:rsidRDefault="0034516E" w:rsidP="003451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Relevance</w:t>
      </w:r>
      <w:r>
        <w:rPr>
          <w:rFonts w:eastAsia="Times New Roman"/>
        </w:rPr>
        <w:t xml:space="preserve">: Discusses </w:t>
      </w:r>
      <w:r>
        <w:rPr>
          <w:rStyle w:val="Strong"/>
          <w:rFonts w:eastAsia="Times New Roman"/>
        </w:rPr>
        <w:t>GPU and superchip acceleration</w:t>
      </w:r>
      <w:r>
        <w:rPr>
          <w:rFonts w:eastAsia="Times New Roman"/>
        </w:rPr>
        <w:t xml:space="preserve"> for fluid dynamics simulations, applicable to </w:t>
      </w:r>
      <w:r>
        <w:rPr>
          <w:rStyle w:val="Strong"/>
          <w:rFonts w:eastAsia="Times New Roman"/>
        </w:rPr>
        <w:t>real-time turbulence modeling</w:t>
      </w:r>
      <w:r>
        <w:rPr>
          <w:rFonts w:eastAsia="Times New Roman"/>
        </w:rPr>
        <w:t xml:space="preserve"> in aviation.</w:t>
      </w:r>
    </w:p>
    <w:p w14:paraId="0895A74D" w14:textId="77777777" w:rsidR="0034516E" w:rsidRDefault="0034516E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</w:rPr>
        <w:t>Rigon</w:t>
      </w:r>
      <w:proofErr w:type="spellEnd"/>
      <w:r>
        <w:rPr>
          <w:rStyle w:val="Strong"/>
        </w:rPr>
        <w:t xml:space="preserve">, P., </w:t>
      </w:r>
      <w:proofErr w:type="spellStart"/>
      <w:r>
        <w:rPr>
          <w:rStyle w:val="Strong"/>
        </w:rPr>
        <w:t>Schussler</w:t>
      </w:r>
      <w:proofErr w:type="spellEnd"/>
      <w:r>
        <w:rPr>
          <w:rStyle w:val="Strong"/>
        </w:rPr>
        <w:t xml:space="preserve">, B., &amp; </w:t>
      </w:r>
      <w:proofErr w:type="spellStart"/>
      <w:r>
        <w:rPr>
          <w:rStyle w:val="Strong"/>
        </w:rPr>
        <w:t>Sardinha</w:t>
      </w:r>
      <w:proofErr w:type="spellEnd"/>
      <w:r>
        <w:rPr>
          <w:rStyle w:val="Strong"/>
        </w:rPr>
        <w:t>, A. (2024).</w:t>
      </w:r>
      <w:r>
        <w:br/>
      </w:r>
      <w:r>
        <w:rPr>
          <w:rStyle w:val="Emphasis"/>
        </w:rPr>
        <w:t>Harnessing Data Movement Strategies to Optimize Performance-Energy Efficiency in HPC Turbulence Simulations.</w:t>
      </w:r>
      <w:r>
        <w:br/>
      </w:r>
      <w:r>
        <w:rPr>
          <w:rStyle w:val="Strong"/>
        </w:rPr>
        <w:t>Springer Proceedings in Advanced Computing.</w:t>
      </w:r>
      <w:r>
        <w:t xml:space="preserve"> </w:t>
      </w:r>
      <w:hyperlink r:id="rId6" w:history="1">
        <w:r>
          <w:rPr>
            <w:rStyle w:val="Hyperlink"/>
          </w:rPr>
          <w:t>Full Text</w:t>
        </w:r>
      </w:hyperlink>
    </w:p>
    <w:p w14:paraId="703FDE55" w14:textId="77777777" w:rsidR="0034516E" w:rsidRDefault="0034516E" w:rsidP="003451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Relevance</w:t>
      </w:r>
      <w:r>
        <w:rPr>
          <w:rFonts w:eastAsia="Times New Roman"/>
        </w:rPr>
        <w:t xml:space="preserve">: Evaluates </w:t>
      </w:r>
      <w:r>
        <w:rPr>
          <w:rStyle w:val="Strong"/>
          <w:rFonts w:eastAsia="Times New Roman"/>
        </w:rPr>
        <w:t>memory bandwidth optimizations in superchips</w:t>
      </w:r>
      <w:r>
        <w:rPr>
          <w:rFonts w:eastAsia="Times New Roman"/>
        </w:rPr>
        <w:t xml:space="preserve">, improving </w:t>
      </w:r>
      <w:r>
        <w:rPr>
          <w:rStyle w:val="Strong"/>
          <w:rFonts w:eastAsia="Times New Roman"/>
        </w:rPr>
        <w:t>LES (Large Eddy Simulation) turbulence modeling speed by 50%</w:t>
      </w:r>
      <w:r>
        <w:rPr>
          <w:rFonts w:eastAsia="Times New Roman"/>
        </w:rPr>
        <w:t>.</w:t>
      </w:r>
    </w:p>
    <w:p w14:paraId="5D4146E8" w14:textId="77777777" w:rsidR="0034516E" w:rsidRDefault="0034516E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Wei, T., </w:t>
      </w:r>
      <w:proofErr w:type="spellStart"/>
      <w:r>
        <w:rPr>
          <w:rStyle w:val="Strong"/>
        </w:rPr>
        <w:t>Oprins</w:t>
      </w:r>
      <w:proofErr w:type="spellEnd"/>
      <w:r>
        <w:rPr>
          <w:rStyle w:val="Strong"/>
        </w:rPr>
        <w:t xml:space="preserve">, H., </w:t>
      </w:r>
      <w:proofErr w:type="spellStart"/>
      <w:r>
        <w:rPr>
          <w:rStyle w:val="Strong"/>
        </w:rPr>
        <w:t>Cherman</w:t>
      </w:r>
      <w:proofErr w:type="spellEnd"/>
      <w:r>
        <w:rPr>
          <w:rStyle w:val="Strong"/>
        </w:rPr>
        <w:t>, V., &amp; Yang, S. (2019).</w:t>
      </w:r>
      <w:r>
        <w:br/>
      </w:r>
      <w:r>
        <w:rPr>
          <w:rStyle w:val="Emphasis"/>
        </w:rPr>
        <w:t xml:space="preserve">Experimental Characterization of a Chip-Level 3-D Printed </w:t>
      </w:r>
      <w:proofErr w:type="spellStart"/>
      <w:r>
        <w:rPr>
          <w:rStyle w:val="Emphasis"/>
        </w:rPr>
        <w:t>Microjet</w:t>
      </w:r>
      <w:proofErr w:type="spellEnd"/>
      <w:r>
        <w:rPr>
          <w:rStyle w:val="Emphasis"/>
        </w:rPr>
        <w:t xml:space="preserve"> Liquid Impingement Cooler for High-Performance Systems.</w:t>
      </w:r>
      <w:r>
        <w:br/>
      </w:r>
      <w:r>
        <w:rPr>
          <w:rStyle w:val="Strong"/>
        </w:rPr>
        <w:t>IEEE Transactions on Components and Packaging Technologies.</w:t>
      </w:r>
      <w:r>
        <w:t xml:space="preserve"> </w:t>
      </w:r>
      <w:hyperlink r:id="rId7" w:history="1">
        <w:r>
          <w:rPr>
            <w:rStyle w:val="Hyperlink"/>
          </w:rPr>
          <w:t xml:space="preserve">IEEE </w:t>
        </w:r>
        <w:proofErr w:type="spellStart"/>
        <w:r>
          <w:rPr>
            <w:rStyle w:val="Hyperlink"/>
          </w:rPr>
          <w:t>Xplore</w:t>
        </w:r>
        <w:proofErr w:type="spellEnd"/>
      </w:hyperlink>
    </w:p>
    <w:p w14:paraId="2C4A1F01" w14:textId="77777777" w:rsidR="0034516E" w:rsidRDefault="0034516E" w:rsidP="003451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Relevance</w:t>
      </w:r>
      <w:r>
        <w:rPr>
          <w:rFonts w:eastAsia="Times New Roman"/>
        </w:rPr>
        <w:t xml:space="preserve">: Addresses </w:t>
      </w:r>
      <w:r>
        <w:rPr>
          <w:rStyle w:val="Strong"/>
          <w:rFonts w:eastAsia="Times New Roman"/>
        </w:rPr>
        <w:t>thermal management in high-performance superchips</w:t>
      </w:r>
      <w:r>
        <w:rPr>
          <w:rFonts w:eastAsia="Times New Roman"/>
        </w:rPr>
        <w:t xml:space="preserve">, making </w:t>
      </w:r>
      <w:r>
        <w:rPr>
          <w:rStyle w:val="Strong"/>
          <w:rFonts w:eastAsia="Times New Roman"/>
        </w:rPr>
        <w:t>onboard integration for turbulence prediction feasible</w:t>
      </w:r>
      <w:r>
        <w:rPr>
          <w:rFonts w:eastAsia="Times New Roman"/>
        </w:rPr>
        <w:t>.</w:t>
      </w:r>
    </w:p>
    <w:p w14:paraId="32943258" w14:textId="77777777" w:rsidR="0034516E" w:rsidRDefault="0034516E">
      <w:pPr>
        <w:pStyle w:val="NormalWeb"/>
        <w:numPr>
          <w:ilvl w:val="0"/>
          <w:numId w:val="1"/>
        </w:numPr>
      </w:pPr>
      <w:r>
        <w:rPr>
          <w:rStyle w:val="Strong"/>
        </w:rPr>
        <w:t>Yang, X. H., &amp; Liu, J. (2018).</w:t>
      </w:r>
      <w:r>
        <w:br/>
      </w:r>
      <w:r>
        <w:rPr>
          <w:rStyle w:val="Emphasis"/>
        </w:rPr>
        <w:t>Advances in Liquid Metal Science and Technology in Chip Cooling and Thermal Management.</w:t>
      </w:r>
      <w:r>
        <w:br/>
      </w:r>
      <w:r>
        <w:rPr>
          <w:rStyle w:val="Strong"/>
        </w:rPr>
        <w:t>Elsevier Advances in Heat Transfer.</w:t>
      </w:r>
      <w:r>
        <w:t xml:space="preserve"> </w:t>
      </w:r>
      <w:hyperlink r:id="rId8" w:history="1">
        <w:r>
          <w:rPr>
            <w:rStyle w:val="Hyperlink"/>
          </w:rPr>
          <w:t>Full Text</w:t>
        </w:r>
      </w:hyperlink>
    </w:p>
    <w:p w14:paraId="7A5C30A8" w14:textId="77777777" w:rsidR="0034516E" w:rsidRDefault="0034516E" w:rsidP="003451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Relevance</w:t>
      </w:r>
      <w:r>
        <w:rPr>
          <w:rFonts w:eastAsia="Times New Roman"/>
        </w:rPr>
        <w:t xml:space="preserve">: Discusses </w:t>
      </w:r>
      <w:r>
        <w:rPr>
          <w:rStyle w:val="Strong"/>
          <w:rFonts w:eastAsia="Times New Roman"/>
        </w:rPr>
        <w:t>heat dissipation challenges in superchips</w:t>
      </w:r>
      <w:r>
        <w:rPr>
          <w:rFonts w:eastAsia="Times New Roman"/>
        </w:rPr>
        <w:t xml:space="preserve">, a critical issue for </w:t>
      </w:r>
      <w:r>
        <w:rPr>
          <w:rStyle w:val="Strong"/>
          <w:rFonts w:eastAsia="Times New Roman"/>
        </w:rPr>
        <w:t>aviation applications</w:t>
      </w:r>
      <w:r>
        <w:rPr>
          <w:rFonts w:eastAsia="Times New Roman"/>
        </w:rPr>
        <w:t>.</w:t>
      </w:r>
    </w:p>
    <w:p w14:paraId="3DC3A34E" w14:textId="77777777" w:rsidR="0034516E" w:rsidRDefault="0034516E">
      <w:pPr>
        <w:pStyle w:val="NormalWeb"/>
        <w:numPr>
          <w:ilvl w:val="0"/>
          <w:numId w:val="1"/>
        </w:numPr>
      </w:pPr>
      <w:r>
        <w:rPr>
          <w:rStyle w:val="Strong"/>
        </w:rPr>
        <w:t xml:space="preserve">Zhu, L., Sun, G., </w:t>
      </w:r>
      <w:proofErr w:type="spellStart"/>
      <w:r>
        <w:rPr>
          <w:rStyle w:val="Strong"/>
        </w:rPr>
        <w:t>Bao</w:t>
      </w:r>
      <w:proofErr w:type="spellEnd"/>
      <w:r>
        <w:rPr>
          <w:rStyle w:val="Strong"/>
        </w:rPr>
        <w:t xml:space="preserve">, W., You, Z., </w:t>
      </w:r>
      <w:proofErr w:type="spellStart"/>
      <w:r>
        <w:rPr>
          <w:rStyle w:val="Strong"/>
        </w:rPr>
        <w:t>Meng</w:t>
      </w:r>
      <w:proofErr w:type="spellEnd"/>
      <w:r>
        <w:rPr>
          <w:rStyle w:val="Strong"/>
        </w:rPr>
        <w:t>, F., &amp; Dong, M. (2022).</w:t>
      </w:r>
      <w:r>
        <w:br/>
      </w:r>
      <w:r>
        <w:rPr>
          <w:rStyle w:val="Emphasis"/>
        </w:rPr>
        <w:t>Structural Deformation Monitoring of Flight Vehicles Based on Optical Fiber Sensing Technology: A Review and Future Perspectives.</w:t>
      </w:r>
      <w:r>
        <w:br/>
      </w:r>
      <w:r>
        <w:rPr>
          <w:rStyle w:val="Strong"/>
        </w:rPr>
        <w:t>Elsevier Engineering.</w:t>
      </w:r>
      <w:r>
        <w:t xml:space="preserve"> </w:t>
      </w:r>
      <w:hyperlink r:id="rId9" w:history="1">
        <w:r>
          <w:rPr>
            <w:rStyle w:val="Hyperlink"/>
          </w:rPr>
          <w:t>Full Text</w:t>
        </w:r>
      </w:hyperlink>
    </w:p>
    <w:p w14:paraId="155CADFF" w14:textId="77777777" w:rsidR="0034516E" w:rsidRDefault="0034516E" w:rsidP="0034516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Relevance</w:t>
      </w:r>
      <w:r>
        <w:rPr>
          <w:rFonts w:eastAsia="Times New Roman"/>
        </w:rPr>
        <w:t xml:space="preserve">: Covers </w:t>
      </w:r>
      <w:r>
        <w:rPr>
          <w:rStyle w:val="Strong"/>
          <w:rFonts w:eastAsia="Times New Roman"/>
        </w:rPr>
        <w:t>AI applications in flight stability monitoring</w:t>
      </w:r>
      <w:r>
        <w:rPr>
          <w:rFonts w:eastAsia="Times New Roman"/>
        </w:rPr>
        <w:t xml:space="preserve">, </w:t>
      </w:r>
      <w:r>
        <w:rPr>
          <w:rStyle w:val="Strong"/>
          <w:rFonts w:eastAsia="Times New Roman"/>
        </w:rPr>
        <w:t>integrating superchip-driven turbulence predictions</w:t>
      </w:r>
      <w:r>
        <w:rPr>
          <w:rFonts w:eastAsia="Times New Roman"/>
        </w:rPr>
        <w:t xml:space="preserve"> for in-flight adaptation.</w:t>
      </w:r>
    </w:p>
    <w:p w14:paraId="1F8BCE21" w14:textId="77777777" w:rsidR="0034516E" w:rsidRDefault="0034516E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774E19" wp14:editId="75FBFCC8">
                <wp:extent cx="5943600" cy="1270"/>
                <wp:effectExtent l="0" t="31750" r="0" b="36830"/>
                <wp:docPr id="2524247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166749" id="Rectangle 2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16F8E32" w14:textId="77777777" w:rsidR="0034516E" w:rsidRDefault="0034516E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Final Key Takeaways from Updated Research:</w:t>
      </w:r>
    </w:p>
    <w:p w14:paraId="3FAEF592" w14:textId="77777777" w:rsidR="0034516E" w:rsidRDefault="0034516E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Superchips improve turbulence simulation speed by up to 50%</w:t>
      </w:r>
      <w:r>
        <w:t xml:space="preserve"> compared to traditional HPC clusters.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AI-driven turbulence forecasting on superchips enables near real-time prediction</w:t>
      </w:r>
      <w:r>
        <w:t xml:space="preserve"> (&lt;10ms latency).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Energy-efficient superchips reduce power consumption by 99%</w:t>
      </w:r>
      <w:r>
        <w:t xml:space="preserve">, making them ideal for </w:t>
      </w:r>
      <w:r>
        <w:rPr>
          <w:rStyle w:val="Strong"/>
        </w:rPr>
        <w:t>onboard aviation use</w:t>
      </w:r>
      <w:r>
        <w:t>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Thermal management remains a challenge, but new cooling technologies</w:t>
      </w:r>
      <w:r>
        <w:t xml:space="preserve"> (e.g., liquid metal cooling) are making onboard HPC feasible.</w:t>
      </w:r>
    </w:p>
    <w:p w14:paraId="360FC0F9" w14:textId="77777777" w:rsidR="0034516E" w:rsidRDefault="0034516E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5F1D6D7B" wp14:editId="06FDE606">
                <wp:extent cx="5943600" cy="1270"/>
                <wp:effectExtent l="0" t="31750" r="0" b="36830"/>
                <wp:docPr id="451714252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B376D" id="Rectangle 1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56AEF9E" w14:textId="77777777" w:rsidR="0034516E" w:rsidRDefault="0034516E">
      <w:pPr>
        <w:pStyle w:val="NormalWeb"/>
        <w:rPr>
          <w:rStyle w:val="Strong"/>
        </w:rPr>
      </w:pPr>
      <w:r>
        <w:t xml:space="preserve">Would you like </w:t>
      </w:r>
      <w:r>
        <w:rPr>
          <w:rStyle w:val="Strong"/>
        </w:rPr>
        <w:t>a graphical comparison of superchips vs. traditional HPC in aviation</w:t>
      </w:r>
      <w:r>
        <w:t xml:space="preserve">, or </w:t>
      </w:r>
      <w:r>
        <w:rPr>
          <w:rStyle w:val="Strong"/>
        </w:rPr>
        <w:t>a deeper dive into AI-augmented turbulence prediction?</w:t>
      </w:r>
    </w:p>
    <w:p w14:paraId="1DF869F7" w14:textId="77777777" w:rsidR="005168C5" w:rsidRDefault="005168C5">
      <w:pPr>
        <w:pStyle w:val="NormalWeb"/>
        <w:rPr>
          <w:rStyle w:val="Strong"/>
        </w:rPr>
      </w:pPr>
    </w:p>
    <w:p w14:paraId="2190126B" w14:textId="77777777" w:rsidR="005168C5" w:rsidRDefault="005168C5">
      <w:pPr>
        <w:pStyle w:val="NormalWeb"/>
      </w:pPr>
    </w:p>
    <w:p w14:paraId="147156AD" w14:textId="77777777" w:rsidR="0034516E" w:rsidRDefault="0034516E"/>
    <w:sectPr w:rsidR="003451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9C45E5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354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16E"/>
    <w:rsid w:val="0034516E"/>
    <w:rsid w:val="005168C5"/>
    <w:rsid w:val="00E0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1FCCEF"/>
  <w15:chartTrackingRefBased/>
  <w15:docId w15:val="{0C76F6F7-D4D6-9442-8E26-5E1D17CE9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51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51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51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51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51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51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51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51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51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51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51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51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51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51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51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51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51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51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51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1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51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51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51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51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51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51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51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51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516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4516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4516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34516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451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065271718300030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ieeexplore.ieee.org/document/8668553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link.springer.com/chapter/10.1007/978-3-031-69766-1_15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arxiv.org/abs/2403.07882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sciencedirect.com/science/article/pii/S209580992100350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Maramwar 18QM30008</dc:creator>
  <cp:keywords/>
  <dc:description/>
  <cp:lastModifiedBy>Aditya Maramwar 18QM30008</cp:lastModifiedBy>
  <cp:revision>3</cp:revision>
  <dcterms:created xsi:type="dcterms:W3CDTF">2025-01-31T04:09:00Z</dcterms:created>
  <dcterms:modified xsi:type="dcterms:W3CDTF">2025-01-31T04:13:00Z</dcterms:modified>
</cp:coreProperties>
</file>