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Global Markets Operations &amp; Quant Risk Analyst // BBA International Business (2026)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>Bengaluru, Karnataka, India | +91 70034 56624 | adityamehra799@gmail.com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>[LinkedIn Profile](https://www.linkedin.com/in/adityamehra07) | [GitHub Profile](https://github.com/AdityaMehra007)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Status:* **Immediate Joiner (0 Days Notice) • Global Shift Ready • Bengaluru Resident • DSU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GLOBAL MARKETS OPERATIONS ANALYST — GOLDMAN SACHS (Req: BLR-JOB-005)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Quantitative-minded, rigorous </w:t>
      </w:r>
      <w:r>
        <w:rPr>
          <w:rFonts w:ascii="Calibri" w:hAnsi="Calibri"/>
          <w:b/>
          <w:color w:val="1E293B"/>
          <w:sz w:val="19"/>
        </w:rPr>
        <w:t>BBA International Business graduate (2026) from Dayananda Sagar University</w:t>
      </w:r>
      <w:r>
        <w:rPr>
          <w:rFonts w:ascii="Calibri" w:hAnsi="Calibri"/>
          <w:color w:val="1E293B"/>
          <w:sz w:val="19"/>
        </w:rPr>
        <w:t xml:space="preserve">, targeting Global Markets Operations and Trade Support at Goldman Sachs Bengaluru. Bridges deep commercial domain expertise in International Trade, Incoterms, and UCP 600 rules with hands-on quantitative systems engineering: architected the </w:t>
      </w:r>
      <w:r>
        <w:rPr>
          <w:rFonts w:ascii="Calibri" w:hAnsi="Calibri"/>
          <w:b/>
          <w:color w:val="1E293B"/>
          <w:sz w:val="19"/>
        </w:rPr>
        <w:t>Omega Global Markets Nexus</w:t>
      </w:r>
      <w:r>
        <w:rPr>
          <w:rFonts w:ascii="Calibri" w:hAnsi="Calibri"/>
          <w:color w:val="1E293B"/>
          <w:sz w:val="19"/>
        </w:rPr>
        <w:t xml:space="preserve">, implementing </w:t>
      </w:r>
      <w:r>
        <w:rPr>
          <w:rFonts w:ascii="Calibri" w:hAnsi="Calibri"/>
          <w:b/>
          <w:color w:val="1E293B"/>
          <w:sz w:val="19"/>
        </w:rPr>
        <w:t>Nelson-Siegel 4-parameter sovereign yield curve fitting</w:t>
      </w:r>
      <w:r>
        <w:rPr>
          <w:rFonts w:ascii="Calibri" w:hAnsi="Calibri"/>
          <w:color w:val="1E293B"/>
          <w:sz w:val="19"/>
        </w:rPr>
        <w:t xml:space="preserve">, continuous limit order matching, and Covered Interest Rate Parity (CIRP) forward points calculation. Demonstrates exceptional operational discipline with </w:t>
      </w:r>
      <w:r>
        <w:rPr>
          <w:rFonts w:ascii="Calibri" w:hAnsi="Calibri"/>
          <w:b/>
          <w:color w:val="1E293B"/>
          <w:sz w:val="19"/>
        </w:rPr>
        <w:t>99.4% audited KYC accuracy</w:t>
      </w:r>
      <w:r>
        <w:rPr>
          <w:rFonts w:ascii="Calibri" w:hAnsi="Calibri"/>
          <w:color w:val="1E293B"/>
          <w:sz w:val="19"/>
        </w:rPr>
        <w:t xml:space="preserve"> at Instawork, </w:t>
      </w:r>
      <w:r>
        <w:rPr>
          <w:rFonts w:ascii="Calibri" w:hAnsi="Calibri"/>
          <w:b/>
          <w:color w:val="1E293B"/>
          <w:sz w:val="19"/>
        </w:rPr>
        <w:t>0.0% shrinkage</w:t>
      </w:r>
      <w:r>
        <w:rPr>
          <w:rFonts w:ascii="Calibri" w:hAnsi="Calibri"/>
          <w:color w:val="1E293B"/>
          <w:sz w:val="19"/>
        </w:rPr>
        <w:t xml:space="preserve"> across 100,000+ visitors at Aero India 2025, and </w:t>
      </w:r>
      <w:r>
        <w:rPr>
          <w:rFonts w:ascii="Calibri" w:hAnsi="Calibri"/>
          <w:b/>
          <w:color w:val="1E293B"/>
          <w:sz w:val="19"/>
        </w:rPr>
        <w:t>ApexFlow</w:t>
      </w:r>
      <w:r>
        <w:rPr>
          <w:rFonts w:ascii="Calibri" w:hAnsi="Calibri"/>
          <w:color w:val="1E293B"/>
          <w:sz w:val="19"/>
        </w:rPr>
        <w:t xml:space="preserve"> processing </w:t>
      </w:r>
      <w:r>
        <w:rPr>
          <w:rFonts w:ascii="Calibri" w:hAnsi="Calibri"/>
          <w:b/>
          <w:color w:val="1E293B"/>
          <w:sz w:val="19"/>
        </w:rPr>
        <w:t>56,179 records/sec</w:t>
      </w:r>
      <w:r>
        <w:rPr>
          <w:rFonts w:ascii="Calibri" w:hAnsi="Calibri"/>
          <w:color w:val="1E293B"/>
          <w:sz w:val="19"/>
        </w:rPr>
        <w:t xml:space="preserve"> at &lt;18 µs latency.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&amp; GLOBAL MARKETS DOMAIN EXPERTISE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Quantitative &amp; Market Microstructure:</w:t>
      </w:r>
      <w:r>
        <w:rPr>
          <w:rFonts w:ascii="Calibri" w:hAnsi="Calibri"/>
          <w:color w:val="1E293B"/>
          <w:sz w:val="19"/>
        </w:rPr>
        <w:t xml:space="preserve"> Nelson-Siegel Sovereign Yield Curve Modeling, Continuous Limit Order Book (Price-Time Priority FIFO), Covered Interest Rate Parity (CIRP) FX Valuation.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Trade Finance &amp; Documentation Compliance:</w:t>
      </w:r>
      <w:r>
        <w:rPr>
          <w:rFonts w:ascii="Calibri" w:hAnsi="Calibri"/>
          <w:color w:val="1E293B"/>
          <w:sz w:val="19"/>
        </w:rPr>
        <w:t xml:space="preserve"> UCP 600 Letter of Credit Discrepancy Audits, ICEGATE Landed-Cost &amp; Customs Tariff Calculation (BCD, SWS, IGST), Incoterms 2020.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Reconciliation &amp; Settlement Risk:</w:t>
      </w:r>
      <w:r>
        <w:rPr>
          <w:rFonts w:ascii="Calibri" w:hAnsi="Calibri"/>
          <w:color w:val="1E293B"/>
          <w:sz w:val="19"/>
        </w:rPr>
        <w:t xml:space="preserve"> 3-Way Trade Matching (ApexFlow: 56,179 rec/sec), Cryptographic SHA-256 Idempotency Ledgers, Zero Ledger Drift Semantics.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Data Precision &amp; Technical Tooling:</w:t>
      </w:r>
      <w:r>
        <w:rPr>
          <w:rFonts w:ascii="Calibri" w:hAnsi="Calibri"/>
          <w:color w:val="1E293B"/>
          <w:sz w:val="19"/>
        </w:rPr>
        <w:t xml:space="preserve"> Python 3.13 (AsyncIO, NumPy/SciPy modeling, Pytest), MS Excel (Advanced Financial Modeling, XLOOKUP, Pivot Tables), SQLite WAL, Prometheus Metrics.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PRODUCTION-VERIFIED SYSTEMS &amp; QUANTITATIVE WORK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Omega Global Markets Nexus — Quantitative Finance &amp; EXIM Nexus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>*Python 3.13, Pytest (32/32 Tests Passing)* | [Live Showcase](file:///e:/anti/portfolio_showcase/index.html)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Implemented </w:t>
      </w:r>
      <w:r>
        <w:rPr>
          <w:rFonts w:ascii="Calibri" w:hAnsi="Calibri"/>
          <w:b/>
          <w:color w:val="1E293B"/>
          <w:sz w:val="19"/>
        </w:rPr>
        <w:t>Nelson-Siegel 4-parameter sovereign yield curve interpolation</w:t>
      </w:r>
      <w:r>
        <w:rPr>
          <w:rFonts w:ascii="Calibri" w:hAnsi="Calibri"/>
          <w:color w:val="1E293B"/>
          <w:sz w:val="19"/>
        </w:rPr>
        <w:t xml:space="preserve"> (\(\beta_0, \beta_1, \beta_2, \lambda\)) to model spot and forward rate curves under varying liquidity conditions.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Engineered a continuous limit order book featuring </w:t>
      </w:r>
      <w:r>
        <w:rPr>
          <w:rFonts w:ascii="Calibri" w:hAnsi="Calibri"/>
          <w:b/>
          <w:color w:val="1E293B"/>
          <w:sz w:val="19"/>
        </w:rPr>
        <w:t>Price-Time priority FIFO matching</w:t>
      </w:r>
      <w:r>
        <w:rPr>
          <w:rFonts w:ascii="Calibri" w:hAnsi="Calibri"/>
          <w:color w:val="1E293B"/>
          <w:sz w:val="19"/>
        </w:rPr>
        <w:t>, real-time depth aggregation, and sub-millisecond execution.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Automated </w:t>
      </w:r>
      <w:r>
        <w:rPr>
          <w:rFonts w:ascii="Calibri" w:hAnsi="Calibri"/>
          <w:b/>
          <w:color w:val="1E293B"/>
          <w:sz w:val="19"/>
        </w:rPr>
        <w:t>UCP 600 Letter of Credit document discrepancy audits</w:t>
      </w:r>
      <w:r>
        <w:rPr>
          <w:rFonts w:ascii="Calibri" w:hAnsi="Calibri"/>
          <w:color w:val="1E293B"/>
          <w:sz w:val="19"/>
        </w:rPr>
        <w:t>, checking invoice amounts, shipping dates, and beneficiary endorsements against credit mandates with zero discrepancy leakage.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Built an ICEGATE customs landed-cost calculator computing Basic Customs Duty, Social Welfare Surcharge, and IGST with automated anti-dumping tariff rule validation.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ApexFlow — High-Throughput Reconciliation &amp; Settlement Engine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Python 3.13, FastAPI, SQLite WAL, AsyncIO, Pytest (15/15 Tests Passing)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Architected an asynchronous 3-way reconciliation engine processing </w:t>
      </w:r>
      <w:r>
        <w:rPr>
          <w:rFonts w:ascii="Calibri" w:hAnsi="Calibri"/>
          <w:b/>
          <w:color w:val="1E293B"/>
          <w:sz w:val="19"/>
        </w:rPr>
        <w:t>56,179 transactions/sec</w:t>
      </w:r>
      <w:r>
        <w:rPr>
          <w:rFonts w:ascii="Calibri" w:hAnsi="Calibri"/>
          <w:color w:val="1E293B"/>
          <w:sz w:val="19"/>
        </w:rPr>
        <w:t xml:space="preserve"> at </w:t>
      </w:r>
      <w:r>
        <w:rPr>
          <w:rFonts w:ascii="Calibri" w:hAnsi="Calibri"/>
          <w:b/>
          <w:color w:val="1E293B"/>
          <w:sz w:val="19"/>
        </w:rPr>
        <w:t>sub-18 microsecond average latency</w:t>
      </w:r>
      <w:r>
        <w:rPr>
          <w:rFonts w:ascii="Calibri" w:hAnsi="Calibri"/>
          <w:color w:val="1E293B"/>
          <w:sz w:val="19"/>
        </w:rPr>
        <w:t xml:space="preserve"> (&lt;0.02ms p99 SLA).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Deployed a </w:t>
      </w:r>
      <w:r>
        <w:rPr>
          <w:rFonts w:ascii="Calibri" w:hAnsi="Calibri"/>
          <w:b/>
          <w:color w:val="1E293B"/>
          <w:sz w:val="19"/>
        </w:rPr>
        <w:t>cryptographic SHA-256 idempotency ledger</w:t>
      </w:r>
      <w:r>
        <w:rPr>
          <w:rFonts w:ascii="Calibri" w:hAnsi="Calibri"/>
          <w:color w:val="1E293B"/>
          <w:sz w:val="19"/>
        </w:rPr>
        <w:t xml:space="preserve"> guaranteeing exactly-once financial settlement and eliminating double-execution risk under market stress.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 &amp; OPERATIONAL RIGOR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&amp; Data Verification Intern — Instawork Services India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Dec 2025 – Dec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Audited high-throughput partner onboarding records and KYC documentation against verification checklists, achieving a </w:t>
      </w:r>
      <w:r>
        <w:rPr>
          <w:rFonts w:ascii="Calibri" w:hAnsi="Calibri"/>
          <w:b/>
          <w:color w:val="1E293B"/>
          <w:sz w:val="19"/>
        </w:rPr>
        <w:t>99.4% audit accuracy rate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Conducted queue triage under operational turnaround SLAs, contributing to a </w:t>
      </w:r>
      <w:r>
        <w:rPr>
          <w:rFonts w:ascii="Calibri" w:hAnsi="Calibri"/>
          <w:b/>
          <w:color w:val="1E293B"/>
          <w:sz w:val="19"/>
        </w:rPr>
        <w:t>12% reduction in cycle review time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Commercial &amp; Procurement Operations Intern —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2024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Built complex pricing and cost estimation models in MS Excel, reconciling contractor quotations and unit costs to close </w:t>
      </w:r>
      <w:r>
        <w:rPr>
          <w:rFonts w:ascii="Calibri" w:hAnsi="Calibri"/>
          <w:b/>
          <w:color w:val="1E293B"/>
          <w:sz w:val="19"/>
        </w:rPr>
        <w:t>INR 1.5L+ in commercial revenue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Received written </w:t>
      </w:r>
      <w:r>
        <w:rPr>
          <w:rFonts w:ascii="Calibri" w:hAnsi="Calibri"/>
          <w:b/>
          <w:color w:val="1E293B"/>
          <w:sz w:val="19"/>
        </w:rPr>
        <w:t>Management Commendation</w:t>
      </w:r>
      <w:r>
        <w:rPr>
          <w:rFonts w:ascii="Calibri" w:hAnsi="Calibri"/>
          <w:color w:val="1E293B"/>
          <w:sz w:val="19"/>
        </w:rPr>
        <w:t xml:space="preserve"> from senior leadership for analytical accuracy and meticulous documentation.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Exhibition Operations Lead — Salt in My Cocoa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Yelahanka Air Force Station, Bengaluru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Supervised commercial operations and inventory control for </w:t>
      </w:r>
      <w:r>
        <w:rPr>
          <w:rFonts w:ascii="Calibri" w:hAnsi="Calibri"/>
          <w:b/>
          <w:color w:val="1E293B"/>
          <w:sz w:val="19"/>
        </w:rPr>
        <w:t>100,000+ defense and international trade visitors</w:t>
      </w:r>
      <w:r>
        <w:rPr>
          <w:rFonts w:ascii="Calibri" w:hAnsi="Calibri"/>
          <w:color w:val="1E293B"/>
          <w:sz w:val="19"/>
        </w:rPr>
        <w:t xml:space="preserve"> under military security protocols.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Delivered </w:t>
      </w:r>
      <w:r>
        <w:rPr>
          <w:rFonts w:ascii="Calibri" w:hAnsi="Calibri"/>
          <w:b/>
          <w:color w:val="1E293B"/>
          <w:sz w:val="19"/>
        </w:rPr>
        <w:t>0.0% inventory shrinkage</w:t>
      </w:r>
      <w:r>
        <w:rPr>
          <w:rFonts w:ascii="Calibri" w:hAnsi="Calibri"/>
          <w:color w:val="1E293B"/>
          <w:sz w:val="19"/>
        </w:rPr>
        <w:t xml:space="preserve"> and reconciled 100% of cash and digital settlement journals with zero variance.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 &amp; CREDENTIALS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Bachelor of Business Administration (BBA) — International Business</w:t>
      </w:r>
      <w:r>
        <w:rPr>
          <w:rFonts w:ascii="Calibri" w:hAnsi="Calibri"/>
          <w:color w:val="1E293B"/>
          <w:sz w:val="19"/>
        </w:rPr>
        <w:t xml:space="preserve"> | Dayananda Sagar University (DSU), Bengaluru (2023 – 2026)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Certifications:</w:t>
      </w:r>
      <w:r>
        <w:rPr>
          <w:rFonts w:ascii="Calibri" w:hAnsi="Calibri"/>
          <w:color w:val="1E293B"/>
          <w:sz w:val="19"/>
        </w:rPr>
        <w:t xml:space="preserve"> Written Management Commendation (Pencil Mark) • Google Digital Marketing Certification • Services Marketing &amp; Customer Relationship (IIT Kharagpur / NPTEL)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Languages:</w:t>
      </w:r>
      <w:r>
        <w:rPr>
          <w:rFonts w:ascii="Calibri" w:hAnsi="Calibri"/>
          <w:color w:val="1E293B"/>
          <w:sz w:val="19"/>
        </w:rPr>
        <w:t xml:space="preserve"> English (Fluent Professional), Hindi (Native / Bilingual)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