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Wholesale Payments &amp; Trade Finance Operations Analyst // BBA International Business (2026)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Bengaluru, Karnataka, India | +91 70034 56624 | adityamehra799@gmail.com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[LinkedIn Profile](https://www.linkedin.com/in/adityamehra07) | [GitHub Profile](https://github.com/AdityaMehra007)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Status:* **Immediate Joiner (0 Days Notice) • 24/7 Global Shift Flexibility • Bengaluru Resident • DSU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WHOLESALE PAYMENTS &amp; TRADE OPERATIONS ANALYST — JP MORGAN CHASE (Req: BLR-JOB-006)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Analytical, compliance-disciplined </w:t>
      </w:r>
      <w:r>
        <w:rPr>
          <w:rFonts w:ascii="Calibri" w:hAnsi="Calibri"/>
          <w:b/>
          <w:color w:val="1E293B"/>
          <w:sz w:val="19"/>
        </w:rPr>
        <w:t>BBA International Business graduate (2026) from Dayananda Sagar University</w:t>
      </w:r>
      <w:r>
        <w:rPr>
          <w:rFonts w:ascii="Calibri" w:hAnsi="Calibri"/>
          <w:color w:val="1E293B"/>
          <w:sz w:val="19"/>
        </w:rPr>
        <w:t xml:space="preserve">, targeting Wholesale Payments, Trade Finance, and Global Settlement Operations at JP Morgan Chase Bengaluru. Possesses deep, verified foundation in International Trade rules (UCP 600, Incoterms 2020) paired with production-tested transaction systems architecture. Built the </w:t>
      </w:r>
      <w:r>
        <w:rPr>
          <w:rFonts w:ascii="Calibri" w:hAnsi="Calibri"/>
          <w:b/>
          <w:color w:val="1E293B"/>
          <w:sz w:val="19"/>
        </w:rPr>
        <w:t>Omega Global Markets Nexus</w:t>
      </w:r>
      <w:r>
        <w:rPr>
          <w:rFonts w:ascii="Calibri" w:hAnsi="Calibri"/>
          <w:color w:val="1E293B"/>
          <w:sz w:val="19"/>
        </w:rPr>
        <w:t xml:space="preserve"> (automated UCP 600 Letter of Credit document discrepancy engine and ICEGATE customs calculator) and </w:t>
      </w:r>
      <w:r>
        <w:rPr>
          <w:rFonts w:ascii="Calibri" w:hAnsi="Calibri"/>
          <w:b/>
          <w:color w:val="1E293B"/>
          <w:sz w:val="19"/>
        </w:rPr>
        <w:t>ApexFlow</w:t>
      </w:r>
      <w:r>
        <w:rPr>
          <w:rFonts w:ascii="Calibri" w:hAnsi="Calibri"/>
          <w:color w:val="1E293B"/>
          <w:sz w:val="19"/>
        </w:rPr>
        <w:t xml:space="preserve"> (high-throughput 3-way reconciliation engine executing </w:t>
      </w:r>
      <w:r>
        <w:rPr>
          <w:rFonts w:ascii="Calibri" w:hAnsi="Calibri"/>
          <w:b/>
          <w:color w:val="1E293B"/>
          <w:sz w:val="19"/>
        </w:rPr>
        <w:t>56,179 records/sec</w:t>
      </w:r>
      <w:r>
        <w:rPr>
          <w:rFonts w:ascii="Calibri" w:hAnsi="Calibri"/>
          <w:color w:val="1E293B"/>
          <w:sz w:val="19"/>
        </w:rPr>
        <w:t xml:space="preserve"> with SHA-256 idempotency and &lt;18 µs latency). Demonstrates unassailable operational integrity: </w:t>
      </w:r>
      <w:r>
        <w:rPr>
          <w:rFonts w:ascii="Calibri" w:hAnsi="Calibri"/>
          <w:b/>
          <w:color w:val="1E293B"/>
          <w:sz w:val="19"/>
        </w:rPr>
        <w:t>99.4% audited KYC accuracy</w:t>
      </w:r>
      <w:r>
        <w:rPr>
          <w:rFonts w:ascii="Calibri" w:hAnsi="Calibri"/>
          <w:color w:val="1E293B"/>
          <w:sz w:val="19"/>
        </w:rPr>
        <w:t xml:space="preserve"> at Instawork, </w:t>
      </w:r>
      <w:r>
        <w:rPr>
          <w:rFonts w:ascii="Calibri" w:hAnsi="Calibri"/>
          <w:b/>
          <w:color w:val="1E293B"/>
          <w:sz w:val="19"/>
        </w:rPr>
        <w:t>0.0% shrinkage</w:t>
      </w:r>
      <w:r>
        <w:rPr>
          <w:rFonts w:ascii="Calibri" w:hAnsi="Calibri"/>
          <w:color w:val="1E293B"/>
          <w:sz w:val="19"/>
        </w:rPr>
        <w:t xml:space="preserve"> at Aero India 2025, and </w:t>
      </w:r>
      <w:r>
        <w:rPr>
          <w:rFonts w:ascii="Calibri" w:hAnsi="Calibri"/>
          <w:b/>
          <w:color w:val="1E293B"/>
          <w:sz w:val="19"/>
        </w:rPr>
        <w:t>INR 1.5L+ closed commercial revenue</w:t>
      </w:r>
      <w:r>
        <w:rPr>
          <w:rFonts w:ascii="Calibri" w:hAnsi="Calibri"/>
          <w:color w:val="1E293B"/>
          <w:sz w:val="19"/>
        </w:rPr>
        <w:t xml:space="preserve"> with written commendation.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&amp; WHOLESALE TRADE EXPERTISE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Trade Finance &amp; Regulatory Compliance:</w:t>
      </w:r>
      <w:r>
        <w:rPr>
          <w:rFonts w:ascii="Calibri" w:hAnsi="Calibri"/>
          <w:color w:val="1E293B"/>
          <w:sz w:val="19"/>
        </w:rPr>
        <w:t xml:space="preserve"> UCP 600 Letter of Credit Verification, Document Discrepancy Clearance, Incoterms 2020 (FOB, CIF, DDP), ICEGATE Indian Customs Tariffs (BCD, SWS, IGST).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Payment Reconciliation &amp; Settlement:</w:t>
      </w:r>
      <w:r>
        <w:rPr>
          <w:rFonts w:ascii="Calibri" w:hAnsi="Calibri"/>
          <w:color w:val="1E293B"/>
          <w:sz w:val="19"/>
        </w:rPr>
        <w:t xml:space="preserve"> 3-Way Reconciliation (PO vs GRN vs Invoice), Cryptographic SHA-256 Idempotency Ledgers (Zero Duplicate Settlement), Discrepancy Queue Triage.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Client Onboarding &amp; KYC Rigor:</w:t>
      </w:r>
      <w:r>
        <w:rPr>
          <w:rFonts w:ascii="Calibri" w:hAnsi="Calibri"/>
          <w:color w:val="1E293B"/>
          <w:sz w:val="19"/>
        </w:rPr>
        <w:t xml:space="preserve"> Partner Identity Verification (</w:t>
      </w:r>
      <w:r>
        <w:rPr>
          <w:rFonts w:ascii="Calibri" w:hAnsi="Calibri"/>
          <w:b/>
          <w:color w:val="1E293B"/>
          <w:sz w:val="19"/>
        </w:rPr>
        <w:t>99.4% Audited Accuracy</w:t>
      </w:r>
      <w:r>
        <w:rPr>
          <w:rFonts w:ascii="Calibri" w:hAnsi="Calibri"/>
          <w:color w:val="1E293B"/>
          <w:sz w:val="19"/>
        </w:rPr>
        <w:t>), Compliance Checklist Governance, SOP Execution, Queue Cycle Optimization (</w:t>
      </w:r>
      <w:r>
        <w:rPr>
          <w:rFonts w:ascii="Calibri" w:hAnsi="Calibri"/>
          <w:b/>
          <w:color w:val="1E293B"/>
          <w:sz w:val="19"/>
        </w:rPr>
        <w:t>-12% Review Time</w:t>
      </w:r>
      <w:r>
        <w:rPr>
          <w:rFonts w:ascii="Calibri" w:hAnsi="Calibri"/>
          <w:color w:val="1E293B"/>
          <w:sz w:val="19"/>
        </w:rPr>
        <w:t>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Technical &amp; Automated Tools:</w:t>
      </w:r>
      <w:r>
        <w:rPr>
          <w:rFonts w:ascii="Calibri" w:hAnsi="Calibri"/>
          <w:color w:val="1E293B"/>
          <w:sz w:val="19"/>
        </w:rPr>
        <w:t xml:space="preserve"> Python 3.13 (AsyncIO, FastAPI, Pytest), MS Excel (Advanced Financial Modeling, XLOOKUP, Pivot Tables), SQLite WAL, Prometheus Metrics.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PRODUCTION-VERIFIED SYSTEMS &amp; TECHNICAL INNOVATION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Omega Global Markets Nexus — Quantitative Finance &amp; Trade Operations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*Python 3.13, Pytest (32/32 Tests Passing)* | [Live Showcase](file:///e:/anti/portfolio_showcase/index.html)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Automated </w:t>
      </w:r>
      <w:r>
        <w:rPr>
          <w:rFonts w:ascii="Calibri" w:hAnsi="Calibri"/>
          <w:b/>
          <w:color w:val="1E293B"/>
          <w:sz w:val="19"/>
        </w:rPr>
        <w:t>UCP 600 Letter of Credit discrepancy auditing</w:t>
      </w:r>
      <w:r>
        <w:rPr>
          <w:rFonts w:ascii="Calibri" w:hAnsi="Calibri"/>
          <w:color w:val="1E293B"/>
          <w:sz w:val="19"/>
        </w:rPr>
        <w:t>, rigorously comparing commercial invoices, bills of lading, and insurance certificates against LC stipulations with zero error leakage.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Implemented </w:t>
      </w:r>
      <w:r>
        <w:rPr>
          <w:rFonts w:ascii="Calibri" w:hAnsi="Calibri"/>
          <w:b/>
          <w:color w:val="1E293B"/>
          <w:sz w:val="19"/>
        </w:rPr>
        <w:t>Covered Interest Rate Parity (CIRP) FX forward valuation</w:t>
      </w:r>
      <w:r>
        <w:rPr>
          <w:rFonts w:ascii="Calibri" w:hAnsi="Calibri"/>
          <w:color w:val="1E293B"/>
          <w:sz w:val="19"/>
        </w:rPr>
        <w:t xml:space="preserve"> and continuous limit order book matching with price-time priority.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Built an ICEGATE customs landed-cost calculator computing Basic Customs Duty, Social Welfare Surcharge, and IGST with automated anti-dumping checks.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ApexFlow — High-Throughput Reconciliation &amp; Settlement Engine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Python 3.13, FastAPI, SQLite WAL, AsyncIO, Pytest (15/15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Architected an asynchronous 3-way reconciliation engine (PO vs GRN vs Tax Invoice) executing </w:t>
      </w:r>
      <w:r>
        <w:rPr>
          <w:rFonts w:ascii="Calibri" w:hAnsi="Calibri"/>
          <w:b/>
          <w:color w:val="1E293B"/>
          <w:sz w:val="19"/>
        </w:rPr>
        <w:t>56,179 transactions/sec</w:t>
      </w:r>
      <w:r>
        <w:rPr>
          <w:rFonts w:ascii="Calibri" w:hAnsi="Calibri"/>
          <w:color w:val="1E293B"/>
          <w:sz w:val="19"/>
        </w:rPr>
        <w:t xml:space="preserve"> at </w:t>
      </w:r>
      <w:r>
        <w:rPr>
          <w:rFonts w:ascii="Calibri" w:hAnsi="Calibri"/>
          <w:b/>
          <w:color w:val="1E293B"/>
          <w:sz w:val="19"/>
        </w:rPr>
        <w:t>sub-18 microsecond average latency</w:t>
      </w:r>
      <w:r>
        <w:rPr>
          <w:rFonts w:ascii="Calibri" w:hAnsi="Calibri"/>
          <w:color w:val="1E293B"/>
          <w:sz w:val="19"/>
        </w:rPr>
        <w:t xml:space="preserve"> (&lt;0.02ms p99 SLA).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Engineered a </w:t>
      </w:r>
      <w:r>
        <w:rPr>
          <w:rFonts w:ascii="Calibri" w:hAnsi="Calibri"/>
          <w:b/>
          <w:color w:val="1E293B"/>
          <w:sz w:val="19"/>
        </w:rPr>
        <w:t>cryptographic SHA-256 idempotency ledger</w:t>
      </w:r>
      <w:r>
        <w:rPr>
          <w:rFonts w:ascii="Calibri" w:hAnsi="Calibri"/>
          <w:color w:val="1E293B"/>
          <w:sz w:val="19"/>
        </w:rPr>
        <w:t xml:space="preserve"> in SQLite WAL mode to guarantee exactly-once payment settlement and prevent double billing.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Deployed a 3-state </w:t>
      </w:r>
      <w:r>
        <w:rPr>
          <w:rFonts w:ascii="Calibri" w:hAnsi="Calibri"/>
          <w:b/>
          <w:color w:val="1E293B"/>
          <w:sz w:val="19"/>
        </w:rPr>
        <w:t>self-healing Circuit Breaker</w:t>
      </w:r>
      <w:r>
        <w:rPr>
          <w:rFonts w:ascii="Calibri" w:hAnsi="Calibri"/>
          <w:color w:val="1E293B"/>
          <w:sz w:val="19"/>
        </w:rPr>
        <w:t xml:space="preserve"> (`CLOSED` -&gt; `OPEN` -&gt; `HALF_OPEN`) to isolate downstream system outages.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 &amp; OPERATIONAL RECORD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&amp; Data Verification Intern — Instawork Services India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Dec 2025 – Dec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Audited high-throughput partner onboarding records and KYC documentation against compliance checklists, maintaining a </w:t>
      </w:r>
      <w:r>
        <w:rPr>
          <w:rFonts w:ascii="Calibri" w:hAnsi="Calibri"/>
          <w:b/>
          <w:color w:val="1E293B"/>
          <w:sz w:val="19"/>
        </w:rPr>
        <w:t>99.4% accuracy rate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daily queue triage under strict operational turnaround SLAs, contributing to a </w:t>
      </w:r>
      <w:r>
        <w:rPr>
          <w:rFonts w:ascii="Calibri" w:hAnsi="Calibri"/>
          <w:b/>
          <w:color w:val="1E293B"/>
          <w:sz w:val="19"/>
        </w:rPr>
        <w:t>12% reduction in cycle review time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Commercial &amp; Procurement Operations Intern —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2024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Reconciled Purchase Orders (PO), delivery challans, and contractor invoices, resolving payment discrepancies and ensuring clean ledger balance.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Supported commercial deal structuring, contributing to the closure of </w:t>
      </w:r>
      <w:r>
        <w:rPr>
          <w:rFonts w:ascii="Calibri" w:hAnsi="Calibri"/>
          <w:b/>
          <w:color w:val="1E293B"/>
          <w:sz w:val="19"/>
        </w:rPr>
        <w:t>INR 1.5L+ in commercial interior contracts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Conferred written </w:t>
      </w:r>
      <w:r>
        <w:rPr>
          <w:rFonts w:ascii="Calibri" w:hAnsi="Calibri"/>
          <w:b/>
          <w:color w:val="1E293B"/>
          <w:sz w:val="19"/>
        </w:rPr>
        <w:t>Management Commendation</w:t>
      </w:r>
      <w:r>
        <w:rPr>
          <w:rFonts w:ascii="Calibri" w:hAnsi="Calibri"/>
          <w:color w:val="1E293B"/>
          <w:sz w:val="19"/>
        </w:rPr>
        <w:t xml:space="preserve"> from executive leadership for operational accuracy, dependability, and speed.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Exhibition Operations Lead — Salt in My Cocoa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Yelahanka Air Force Station, Bengaluru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Directed commercial stall operations and goods logistics for </w:t>
      </w:r>
      <w:r>
        <w:rPr>
          <w:rFonts w:ascii="Calibri" w:hAnsi="Calibri"/>
          <w:b/>
          <w:color w:val="1E293B"/>
          <w:sz w:val="19"/>
        </w:rPr>
        <w:t>100,000+ defense and commercial delegates</w:t>
      </w:r>
      <w:r>
        <w:rPr>
          <w:rFonts w:ascii="Calibri" w:hAnsi="Calibri"/>
          <w:color w:val="1E293B"/>
          <w:sz w:val="19"/>
        </w:rPr>
        <w:t xml:space="preserve"> under military-grade security.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Reconciled 100% of cash and digital UPI settlement journals with zero discrepancy, achieving </w:t>
      </w:r>
      <w:r>
        <w:rPr>
          <w:rFonts w:ascii="Calibri" w:hAnsi="Calibri"/>
          <w:b/>
          <w:color w:val="1E293B"/>
          <w:sz w:val="19"/>
        </w:rPr>
        <w:t>0.0% inventory shrinkage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 &amp; CREDENTIALS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Bachelor of Business Administration (BBA) — International Business</w:t>
      </w:r>
      <w:r>
        <w:rPr>
          <w:rFonts w:ascii="Calibri" w:hAnsi="Calibri"/>
          <w:color w:val="1E293B"/>
          <w:sz w:val="19"/>
        </w:rPr>
        <w:t xml:space="preserve"> | Dayananda Sagar University (DSU), Bengaluru (2023 –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Certifications:</w:t>
      </w:r>
      <w:r>
        <w:rPr>
          <w:rFonts w:ascii="Calibri" w:hAnsi="Calibri"/>
          <w:color w:val="1E293B"/>
          <w:sz w:val="19"/>
        </w:rPr>
        <w:t xml:space="preserve"> Written Management Commendation (Pencil Mark) • Google Digital Marketing Certification • Services Marketing (IIT Kharagpur / NPTEL)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Languages:</w:t>
      </w:r>
      <w:r>
        <w:rPr>
          <w:rFonts w:ascii="Calibri" w:hAnsi="Calibri"/>
          <w:color w:val="1E293B"/>
          <w:sz w:val="19"/>
        </w:rPr>
        <w:t xml:space="preserve"> English (Fluent Professional), Hindi (Native / Bilingual)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