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FinTech Systems Operations &amp; Merchant Settlement Associate // BBA (2026)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Bengaluru, Karnataka, India | +91 70034 56624 | adityamehra799@gmail.com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[LinkedIn Profile](https://www.linkedin.com/in/adityamehra07) | [GitHub Profile](https://github.com/AdityaMehra007)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Status:* **Immediate Joiner (0 Days Notice) • Bengaluru Resident • DSU Graduate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FINTECH SYSTEMS OPERATIONS &amp; MERCHANT SETTLEMENT — RAZORPAY (Req: BLR-JOB-032)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High-velocity, systems-minded </w:t>
      </w:r>
      <w:r>
        <w:rPr>
          <w:rFonts w:ascii="Calibri" w:hAnsi="Calibri"/>
          <w:b/>
          <w:color w:val="1E293B"/>
          <w:sz w:val="19"/>
        </w:rPr>
        <w:t>BBA International Business graduate (2026) from Dayananda Sagar University</w:t>
      </w:r>
      <w:r>
        <w:rPr>
          <w:rFonts w:ascii="Calibri" w:hAnsi="Calibri"/>
          <w:color w:val="1E293B"/>
          <w:sz w:val="19"/>
        </w:rPr>
        <w:t xml:space="preserve">, targeting FinTech Operations, Merchant Settlement, and Risk Systems at Razorpay Bengaluru. Blends frontline operational precision with production-verified distributed software engineering: built </w:t>
      </w:r>
      <w:r>
        <w:rPr>
          <w:rFonts w:ascii="Calibri" w:hAnsi="Calibri"/>
          <w:b/>
          <w:color w:val="1E293B"/>
          <w:sz w:val="19"/>
        </w:rPr>
        <w:t>ApexFlow</w:t>
      </w:r>
      <w:r>
        <w:rPr>
          <w:rFonts w:ascii="Calibri" w:hAnsi="Calibri"/>
          <w:color w:val="1E293B"/>
          <w:sz w:val="19"/>
        </w:rPr>
        <w:t xml:space="preserve">, a high-concurrency 3-way reconciliation engine executing </w:t>
      </w:r>
      <w:r>
        <w:rPr>
          <w:rFonts w:ascii="Calibri" w:hAnsi="Calibri"/>
          <w:b/>
          <w:color w:val="1E293B"/>
          <w:sz w:val="19"/>
        </w:rPr>
        <w:t>56,179 records/sec</w:t>
      </w:r>
      <w:r>
        <w:rPr>
          <w:rFonts w:ascii="Calibri" w:hAnsi="Calibri"/>
          <w:color w:val="1E293B"/>
          <w:sz w:val="19"/>
        </w:rPr>
        <w:t xml:space="preserve"> at &lt;18 µs average latency with a cryptographic SHA-256 idempotency ledger and self-healing circuit breaker. Demonstrates unassailable operational reliability: audited KYC onboarding with </w:t>
      </w:r>
      <w:r>
        <w:rPr>
          <w:rFonts w:ascii="Calibri" w:hAnsi="Calibri"/>
          <w:b/>
          <w:color w:val="1E293B"/>
          <w:sz w:val="19"/>
        </w:rPr>
        <w:t>99.4% accuracy</w:t>
      </w:r>
      <w:r>
        <w:rPr>
          <w:rFonts w:ascii="Calibri" w:hAnsi="Calibri"/>
          <w:color w:val="1E293B"/>
          <w:sz w:val="19"/>
        </w:rPr>
        <w:t xml:space="preserve"> at Instawork, cut supplier procurement costs by </w:t>
      </w:r>
      <w:r>
        <w:rPr>
          <w:rFonts w:ascii="Calibri" w:hAnsi="Calibri"/>
          <w:b/>
          <w:color w:val="1E293B"/>
          <w:sz w:val="19"/>
        </w:rPr>
        <w:t>15%</w:t>
      </w:r>
      <w:r>
        <w:rPr>
          <w:rFonts w:ascii="Calibri" w:hAnsi="Calibri"/>
          <w:color w:val="1E293B"/>
          <w:sz w:val="19"/>
        </w:rPr>
        <w:t xml:space="preserve">, and directed logistics for </w:t>
      </w:r>
      <w:r>
        <w:rPr>
          <w:rFonts w:ascii="Calibri" w:hAnsi="Calibri"/>
          <w:b/>
          <w:color w:val="1E293B"/>
          <w:sz w:val="19"/>
        </w:rPr>
        <w:t>100,000+ visitors at Aero India 2025</w:t>
      </w:r>
      <w:r>
        <w:rPr>
          <w:rFonts w:ascii="Calibri" w:hAnsi="Calibri"/>
          <w:color w:val="1E293B"/>
          <w:sz w:val="19"/>
        </w:rPr>
        <w:t xml:space="preserve"> with </w:t>
      </w:r>
      <w:r>
        <w:rPr>
          <w:rFonts w:ascii="Calibri" w:hAnsi="Calibri"/>
          <w:b/>
          <w:color w:val="1E293B"/>
          <w:sz w:val="19"/>
        </w:rPr>
        <w:t>0.0% shrinkage</w:t>
      </w:r>
      <w:r>
        <w:rPr>
          <w:rFonts w:ascii="Calibri" w:hAnsi="Calibri"/>
          <w:color w:val="1E293B"/>
          <w:sz w:val="19"/>
        </w:rPr>
        <w:t>. Immediate joiner ready to scale Razorpay's high-volume transaction infrastructure.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&amp; FINTECH DOMAIN ALIGNMENT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High-Concurrency Reconciliation:</w:t>
      </w:r>
      <w:r>
        <w:rPr>
          <w:rFonts w:ascii="Calibri" w:hAnsi="Calibri"/>
          <w:color w:val="1E293B"/>
          <w:sz w:val="19"/>
        </w:rPr>
        <w:t xml:space="preserve"> 3-Way Matching (PO vs GRN vs Tax Invoice), Cryptographic SHA-256 Idempotency Ledgers (Zero Duplicate Execution), Dispute &amp; Discrepancy Resolution.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Merchant Onboarding &amp; KYC Rigor:</w:t>
      </w:r>
      <w:r>
        <w:rPr>
          <w:rFonts w:ascii="Calibri" w:hAnsi="Calibri"/>
          <w:color w:val="1E293B"/>
          <w:sz w:val="19"/>
        </w:rPr>
        <w:t xml:space="preserve"> Partner Document Auditing (</w:t>
      </w:r>
      <w:r>
        <w:rPr>
          <w:rFonts w:ascii="Calibri" w:hAnsi="Calibri"/>
          <w:b/>
          <w:color w:val="1E293B"/>
          <w:sz w:val="19"/>
        </w:rPr>
        <w:t>99.4% Audited Accuracy</w:t>
      </w:r>
      <w:r>
        <w:rPr>
          <w:rFonts w:ascii="Calibri" w:hAnsi="Calibri"/>
          <w:color w:val="1E293B"/>
          <w:sz w:val="19"/>
        </w:rPr>
        <w:t>), Checklist Compliance, Queue Triage Optimization (</w:t>
      </w:r>
      <w:r>
        <w:rPr>
          <w:rFonts w:ascii="Calibri" w:hAnsi="Calibri"/>
          <w:b/>
          <w:color w:val="1E293B"/>
          <w:sz w:val="19"/>
        </w:rPr>
        <w:t>-12% Review TAT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Resilience &amp; Fault Tolerance:</w:t>
      </w:r>
      <w:r>
        <w:rPr>
          <w:rFonts w:ascii="Calibri" w:hAnsi="Calibri"/>
          <w:color w:val="1E293B"/>
          <w:sz w:val="19"/>
        </w:rPr>
        <w:t xml:space="preserve"> Self-Healing Circuit Breaker Patterns (`CLOSED` / `OPEN` / `HALF_OPEN`), Async Priority Event Bus with Dead-Letter Queues (DLQ).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Technical &amp; Automated Tooling:</w:t>
      </w:r>
      <w:r>
        <w:rPr>
          <w:rFonts w:ascii="Calibri" w:hAnsi="Calibri"/>
          <w:color w:val="1E293B"/>
          <w:sz w:val="19"/>
        </w:rPr>
        <w:t xml:space="preserve"> Python 3.13 (AsyncIO, FastAPI, Pytest), SQLite WAL, Prometheus Metrics Histograms, MS Excel (Power Query, Advanced Lookups).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PRODUCTION-VERIFIED SYSTEMS &amp; TECHNICAL INNOVATION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ApexFlow — High-Throughput 3-Way Reconciliation &amp; Settlement Engine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*Python 3.13, FastAPI, SQLite WAL, AsyncIO, Pytest (15/15 Tests Passing)* | [Live Showcase](file:///e:/anti/portfolio_showcase/index.html)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Architected an asynchronous distributed 3-way reconciliation engine achieving </w:t>
      </w:r>
      <w:r>
        <w:rPr>
          <w:rFonts w:ascii="Calibri" w:hAnsi="Calibri"/>
          <w:b/>
          <w:color w:val="1E293B"/>
          <w:sz w:val="19"/>
        </w:rPr>
        <w:t>56,179 transactions/sec</w:t>
      </w:r>
      <w:r>
        <w:rPr>
          <w:rFonts w:ascii="Calibri" w:hAnsi="Calibri"/>
          <w:color w:val="1E293B"/>
          <w:sz w:val="19"/>
        </w:rPr>
        <w:t xml:space="preserve"> at </w:t>
      </w:r>
      <w:r>
        <w:rPr>
          <w:rFonts w:ascii="Calibri" w:hAnsi="Calibri"/>
          <w:b/>
          <w:color w:val="1E293B"/>
          <w:sz w:val="19"/>
        </w:rPr>
        <w:t>sub-18 microsecond average latency</w:t>
      </w:r>
      <w:r>
        <w:rPr>
          <w:rFonts w:ascii="Calibri" w:hAnsi="Calibri"/>
          <w:color w:val="1E293B"/>
          <w:sz w:val="19"/>
        </w:rPr>
        <w:t xml:space="preserve"> (&lt;0.02ms p99 SLA).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Engineered a </w:t>
      </w:r>
      <w:r>
        <w:rPr>
          <w:rFonts w:ascii="Calibri" w:hAnsi="Calibri"/>
          <w:b/>
          <w:color w:val="1E293B"/>
          <w:sz w:val="19"/>
        </w:rPr>
        <w:t>cryptographic SHA-256 idempotency ledger</w:t>
      </w:r>
      <w:r>
        <w:rPr>
          <w:rFonts w:ascii="Calibri" w:hAnsi="Calibri"/>
          <w:color w:val="1E293B"/>
          <w:sz w:val="19"/>
        </w:rPr>
        <w:t xml:space="preserve"> in SQLite WAL mode guaranteeing exactly-once payment settlement semantics and preventing duplicate merchant disbursements.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Hardened the platform with a 3-state </w:t>
      </w:r>
      <w:r>
        <w:rPr>
          <w:rFonts w:ascii="Calibri" w:hAnsi="Calibri"/>
          <w:b/>
          <w:color w:val="1E293B"/>
          <w:sz w:val="19"/>
        </w:rPr>
        <w:t>self-healing Circuit Breaker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b/>
          <w:color w:val="1E293B"/>
          <w:sz w:val="19"/>
        </w:rPr>
        <w:t>Async Event Bus</w:t>
      </w:r>
      <w:r>
        <w:rPr>
          <w:rFonts w:ascii="Calibri" w:hAnsi="Calibri"/>
          <w:color w:val="1E293B"/>
          <w:sz w:val="19"/>
        </w:rPr>
        <w:t xml:space="preserve"> with Dead-Letter Queue (DLQ) for zero-loss error handling.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ApexAgentic Task Runtime — Deterministic Agent Guardrails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Python 3.13, Pytest (4/4 Tests Passing)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Built an autonomous agent runtime featuring a sliding-window Token &amp; Cost Governor, Epistemic Failed Solution Memory, and cryptographically gated HITL authorization to prevent cyclic failures.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Omega Global Markets Nexus — Trade Finance &amp; Quantitative Settlement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Nelson-Siegel Yield Curves, UCP 600 Engine, ICEGATE Customs, Pytest (32/32 Tests Passing)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Automated UCP 600 Letter of Credit document discrepancy audits and ICEGATE customs landed-cost computations.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 &amp; OPERATIONAL TRACK RECORD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&amp; Data Verification Intern — Instawork Services India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Dec 2025 – Dec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Audited high-throughput partner onboarding records and KYC documentation against compliance checklists, maintaining a </w:t>
      </w:r>
      <w:r>
        <w:rPr>
          <w:rFonts w:ascii="Calibri" w:hAnsi="Calibri"/>
          <w:b/>
          <w:color w:val="1E293B"/>
          <w:sz w:val="19"/>
        </w:rPr>
        <w:t>99.4% accuracy rate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Processed daily queue triage adhering to operational turnaround SLAs, collaborating to </w:t>
      </w:r>
      <w:r>
        <w:rPr>
          <w:rFonts w:ascii="Calibri" w:hAnsi="Calibri"/>
          <w:b/>
          <w:color w:val="1E293B"/>
          <w:sz w:val="19"/>
        </w:rPr>
        <w:t>cut cycle review time by 12%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Commercial &amp; Procurement Operations Intern —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2024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Reconciled Purchase Orders (PO), delivery challans, and contractor invoices, resolving billing discrepancies and ensuring clean ledger balance.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Supported commercial deal structuring, contributing to the closure of </w:t>
      </w:r>
      <w:r>
        <w:rPr>
          <w:rFonts w:ascii="Calibri" w:hAnsi="Calibri"/>
          <w:b/>
          <w:color w:val="1E293B"/>
          <w:sz w:val="19"/>
        </w:rPr>
        <w:t>INR 1.5L+ in commercial interior contracts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Conferred written </w:t>
      </w:r>
      <w:r>
        <w:rPr>
          <w:rFonts w:ascii="Calibri" w:hAnsi="Calibri"/>
          <w:b/>
          <w:color w:val="1E293B"/>
          <w:sz w:val="19"/>
        </w:rPr>
        <w:t>Management Commendation</w:t>
      </w:r>
      <w:r>
        <w:rPr>
          <w:rFonts w:ascii="Calibri" w:hAnsi="Calibri"/>
          <w:color w:val="1E293B"/>
          <w:sz w:val="19"/>
        </w:rPr>
        <w:t xml:space="preserve"> from executive leadership for operational accuracy, dependability, and speed.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Exhibition Operations Lead — Salt in My Cocoa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Yelahanka Air Force Station, Bengaluru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stall stock supply, physical intake, and real-time replenishment for </w:t>
      </w:r>
      <w:r>
        <w:rPr>
          <w:rFonts w:ascii="Calibri" w:hAnsi="Calibri"/>
          <w:b/>
          <w:color w:val="1E293B"/>
          <w:sz w:val="19"/>
        </w:rPr>
        <w:t>100,000+ defense and commercial attendees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Enforced dual-custody audit procedures to achieve </w:t>
      </w:r>
      <w:r>
        <w:rPr>
          <w:rFonts w:ascii="Calibri" w:hAnsi="Calibri"/>
          <w:b/>
          <w:color w:val="1E293B"/>
          <w:sz w:val="19"/>
        </w:rPr>
        <w:t>0.0% stock shrinkage</w:t>
      </w:r>
      <w:r>
        <w:rPr>
          <w:rFonts w:ascii="Calibri" w:hAnsi="Calibri"/>
          <w:color w:val="1E293B"/>
          <w:sz w:val="19"/>
        </w:rPr>
        <w:t xml:space="preserve">, balancing physical cash and digital UPI settlement journals with </w:t>
      </w:r>
      <w:r>
        <w:rPr>
          <w:rFonts w:ascii="Calibri" w:hAnsi="Calibri"/>
          <w:b/>
          <w:color w:val="1E293B"/>
          <w:sz w:val="19"/>
        </w:rPr>
        <w:t>100% financial accuracy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 &amp; CREDENTIALS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Bachelor of Business Administration (BBA) — International Business</w:t>
      </w:r>
      <w:r>
        <w:rPr>
          <w:rFonts w:ascii="Calibri" w:hAnsi="Calibri"/>
          <w:color w:val="1E293B"/>
          <w:sz w:val="19"/>
        </w:rPr>
        <w:t xml:space="preserve"> | Dayananda Sagar University (DSU), Bengaluru (2023 –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Certifications:</w:t>
      </w:r>
      <w:r>
        <w:rPr>
          <w:rFonts w:ascii="Calibri" w:hAnsi="Calibri"/>
          <w:color w:val="1E293B"/>
          <w:sz w:val="19"/>
        </w:rPr>
        <w:t xml:space="preserve"> Written Management Commendation (Pencil Mark) • Google Digital Marketing Certification • Services Marketing (IIT Kharagpur / NPTEL)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Languages:</w:t>
      </w:r>
      <w:r>
        <w:rPr>
          <w:rFonts w:ascii="Calibri" w:hAnsi="Calibri"/>
          <w:color w:val="1E293B"/>
          <w:sz w:val="19"/>
        </w:rPr>
        <w:t xml:space="preserve"> English (Fluent Professional), Hindi (Native / Bilingual)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