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F172A"/>
          <w:sz w:val="32"/>
        </w:rPr>
        <w:t>ADITYA MEHRA</w:t>
      </w:r>
    </w:p>
    <w:p>
      <w:pPr>
        <w:spacing w:before="0" w:after="40"/>
        <w:jc w:val="center"/>
      </w:pPr>
      <w:r>
        <w:rPr>
          <w:rFonts w:ascii="Calibri" w:hAnsi="Calibri"/>
          <w:b/>
          <w:color w:val="334155"/>
          <w:sz w:val="19"/>
        </w:rPr>
        <w:t>PROCUREMENT &amp; VENDOR OPERATIONS SPECIALIST  |  BBA (INTERNATIONAL BUSINESS)</w:t>
      </w:r>
    </w:p>
    <w:p>
      <w:pPr>
        <w:spacing w:before="0" w:after="80"/>
        <w:jc w:val="center"/>
        <w:pBdr>
          <w:bottom w:val="single" w:sz="6" w:space="1" w:color="0F172A"/>
        </w:pBdr>
      </w:pPr>
      <w:r>
        <w:rPr>
          <w:rFonts w:ascii="Calibri" w:hAnsi="Calibri"/>
          <w:color w:val="64748B"/>
          <w:sz w:val="17"/>
        </w:rPr>
        <w:t>Bengaluru, Karnataka, India  |  +91 70034 56624  |  adityamehra799@gmail.com  |  https://www.linkedin.com/in/adityamehra07</w:t>
      </w:r>
    </w:p>
    <w:p>
      <w:pPr>
        <w:spacing w:before="100" w:after="40"/>
        <w:pBdr>
          <w:bottom w:val="single" w:sz="6" w:space="1" w:color="0F172A"/>
        </w:pBdr>
      </w:pPr>
      <w:r>
        <w:rPr>
          <w:rFonts w:ascii="Calibri" w:hAnsi="Calibri"/>
          <w:b/>
          <w:color w:val="0F172A"/>
          <w:sz w:val="20"/>
        </w:rPr>
        <w:t>PROFESSIONAL SUMMARY</w:t>
      </w:r>
    </w:p>
    <w:p>
      <w:pPr>
        <w:spacing w:before="40" w:after="80"/>
      </w:pPr>
      <w:r>
        <w:rPr>
          <w:rFonts w:ascii="Calibri" w:hAnsi="Calibri"/>
          <w:color w:val="1E293B"/>
          <w:sz w:val="18"/>
        </w:rPr>
        <w:t>Commercial Operations and Procurement Specialist holding a BBA in International Business from Dayananda Sagar University. Deeply versed in commercial contracting, Incoterms 2020, vendor rate negotiations, and supplier SLA governance. Successfully restructured primary vendor rate cards across 300+ event and corporate deployments in Bengaluru, achieving a verified 15% recurring cost savings. Skilled at vendor due diligence, RFP quotation comparison, PO lifecycle tracking, and commercial dispute mitigation.</w:t>
      </w:r>
    </w:p>
    <w:p>
      <w:pPr>
        <w:spacing w:before="100" w:after="40"/>
        <w:pBdr>
          <w:bottom w:val="single" w:sz="6" w:space="1" w:color="0F172A"/>
        </w:pBdr>
      </w:pPr>
      <w:r>
        <w:rPr>
          <w:rFonts w:ascii="Calibri" w:hAnsi="Calibri"/>
          <w:b/>
          <w:color w:val="0F172A"/>
          <w:sz w:val="20"/>
        </w:rPr>
        <w:t>CORE COMPETENCIES &amp; TOOLS</w:t>
      </w:r>
    </w:p>
    <w:p>
      <w:pPr>
        <w:spacing w:before="40" w:after="80"/>
      </w:pPr>
      <w:r>
        <w:rPr>
          <w:rFonts w:ascii="Calibri" w:hAnsi="Calibri"/>
          <w:color w:val="1E293B"/>
          <w:sz w:val="17"/>
        </w:rPr>
        <w:t>Vendor Procurement &amp; Sourcing • Rate Card Restructuring &amp; Negotiation • Purchase Order (PO) Governance • Supplier SLA Management • Incoterms 2020 &amp; Landed Cost Modeling • Contract Compliance &amp; Commercial Law • Cost Benefit &amp; Variance Analysis • MS Excel (Financial Modeling, XLOOKUP) • ERP &amp; P2P Workflow Hygiene • Spend Analytics &amp; Reporting • Vendor Due Diligence</w:t>
      </w:r>
    </w:p>
    <w:p>
      <w:pPr>
        <w:spacing w:before="100" w:after="40"/>
        <w:pBdr>
          <w:bottom w:val="single" w:sz="6" w:space="1" w:color="0F172A"/>
        </w:pBdr>
      </w:pPr>
      <w:r>
        <w:rPr>
          <w:rFonts w:ascii="Calibri" w:hAnsi="Calibri"/>
          <w:b/>
          <w:color w:val="0F172A"/>
          <w:sz w:val="20"/>
        </w:rPr>
        <w:t>PROFESSIONAL EXPERIENCE &amp; PROVEN PROOF-OF-WORK</w:t>
      </w:r>
    </w:p>
    <w:p>
      <w:pPr>
        <w:spacing w:before="60" w:after="20"/>
      </w:pPr>
      <w:r>
        <w:rPr>
          <w:rFonts w:ascii="Calibri" w:hAnsi="Calibri"/>
          <w:b/>
          <w:color w:val="0F172A"/>
          <w:sz w:val="18"/>
        </w:rPr>
        <w:t>Commercial Operations &amp; Primary Procurement Lead</w:t>
        <w:tab/>
        <w:t>2021 – Present | Bengaluru</w:t>
      </w:r>
    </w:p>
    <w:p>
      <w:pPr>
        <w:spacing w:before="0" w:after="40"/>
      </w:pPr>
      <w:r>
        <w:rPr>
          <w:rFonts w:ascii="Calibri" w:hAnsi="Calibri"/>
          <w:i/>
          <w:color w:val="64748B"/>
          <w:sz w:val="17"/>
        </w:rPr>
        <w:t>Freelance Operations &amp; Brand Activations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>Sourced and negotiated directly with primary fabrication, hardware, and audio-visual suppliers across Bangalore, cutting intermediary markups by 15%.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>Governed vendor contracts, milestone payments, and performance SLAs across 300+ high-profile commercial activations.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>Formulated standardized quotation matrices and 3-way reconciliation checklists to eliminate over-billing and margin leakage.</w:t>
      </w:r>
    </w:p>
    <w:p>
      <w:pPr>
        <w:spacing w:before="60" w:after="20"/>
      </w:pPr>
      <w:r>
        <w:rPr>
          <w:rFonts w:ascii="Calibri" w:hAnsi="Calibri"/>
          <w:b/>
          <w:color w:val="0F172A"/>
          <w:sz w:val="18"/>
        </w:rPr>
        <w:t>Ground Logistics &amp; Supply Chain Coordinator</w:t>
        <w:tab/>
        <w:t>Feb 2025 | Yelahanka Air Force Station, Bengaluru</w:t>
      </w:r>
    </w:p>
    <w:p>
      <w:pPr>
        <w:spacing w:before="0" w:after="40"/>
      </w:pPr>
      <w:r>
        <w:rPr>
          <w:rFonts w:ascii="Calibri" w:hAnsi="Calibri"/>
          <w:i/>
          <w:color w:val="64748B"/>
          <w:sz w:val="17"/>
        </w:rPr>
        <w:t>Salt in My Coca @ AERO INDIA 2025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>Managed rapid staging, material replenishment schedules, and security pass protocols at Asia's largest defense exhibition (100,000+ visitors).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>Maintained a 0.0% inventory shrinkage record across high-value physical goods through daily cycle counts and stock audits.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>Monitored supplier delivery lead times and enforced zero-delay gate access with station security.</w:t>
      </w:r>
    </w:p>
    <w:p>
      <w:pPr>
        <w:spacing w:before="60" w:after="20"/>
      </w:pPr>
      <w:r>
        <w:rPr>
          <w:rFonts w:ascii="Calibri" w:hAnsi="Calibri"/>
          <w:b/>
          <w:color w:val="0F172A"/>
          <w:sz w:val="18"/>
        </w:rPr>
        <w:t>Commercial BD &amp; Vendor Contracting Intern</w:t>
        <w:tab/>
        <w:t>Jul – Aug 2025 | Bengaluru</w:t>
      </w:r>
    </w:p>
    <w:p>
      <w:pPr>
        <w:spacing w:before="0" w:after="40"/>
      </w:pPr>
      <w:r>
        <w:rPr>
          <w:rFonts w:ascii="Calibri" w:hAnsi="Calibri"/>
          <w:i/>
          <w:color w:val="64748B"/>
          <w:sz w:val="17"/>
        </w:rPr>
        <w:t>Pencil Mark Interior Solutions LLP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>Audited supplier price quotes against market benchmarks, preparing comparative cost summaries for executive leadership.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>Structured customer quotation models, payment terms, and vendor handover contracts resulting in INR 1.5L+ closed commercial revenue.</w:t>
      </w:r>
    </w:p>
    <w:p>
      <w:pPr>
        <w:spacing w:before="60" w:after="20"/>
      </w:pPr>
      <w:r>
        <w:rPr>
          <w:rFonts w:ascii="Calibri" w:hAnsi="Calibri"/>
          <w:b/>
          <w:color w:val="0F172A"/>
          <w:sz w:val="18"/>
        </w:rPr>
        <w:t>AI Operations &amp; Data Verification Intern</w:t>
        <w:tab/>
        <w:t>2025 | Bengaluru</w:t>
      </w:r>
    </w:p>
    <w:p>
      <w:pPr>
        <w:spacing w:before="0" w:after="40"/>
      </w:pPr>
      <w:r>
        <w:rPr>
          <w:rFonts w:ascii="Calibri" w:hAnsi="Calibri"/>
          <w:i/>
          <w:color w:val="64748B"/>
          <w:sz w:val="17"/>
        </w:rPr>
        <w:t>Instawork Services India Pvt. Ltd.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>Audited robotics data collection inputs against exacting quality standards, maintaining 99%+ compliance.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>Validated supplier hardware test records and logged defect tracking sheets to prevent data discrepancies.</w:t>
      </w:r>
    </w:p>
    <w:p>
      <w:pPr>
        <w:spacing w:before="100" w:after="40"/>
        <w:pBdr>
          <w:bottom w:val="single" w:sz="6" w:space="1" w:color="0F172A"/>
        </w:pBdr>
      </w:pPr>
      <w:r>
        <w:rPr>
          <w:rFonts w:ascii="Calibri" w:hAnsi="Calibri"/>
          <w:b/>
          <w:color w:val="0F172A"/>
          <w:sz w:val="20"/>
        </w:rPr>
        <w:t>EDUCATION &amp; CREDENTIALS</w:t>
      </w:r>
    </w:p>
    <w:p>
      <w:pPr>
        <w:spacing w:before="40" w:after="20"/>
      </w:pPr>
      <w:r>
        <w:rPr>
          <w:rFonts w:ascii="Calibri" w:hAnsi="Calibri"/>
          <w:b/>
          <w:color w:val="0F172A"/>
          <w:sz w:val="18"/>
        </w:rPr>
        <w:t>Bachelor of Business Administration (BBA) — International Business</w:t>
        <w:tab/>
        <w:t>2023 – 2026</w:t>
      </w:r>
    </w:p>
    <w:p>
      <w:pPr>
        <w:spacing w:before="0" w:after="40"/>
      </w:pPr>
      <w:r>
        <w:rPr>
          <w:rFonts w:ascii="Calibri" w:hAnsi="Calibri"/>
          <w:i/>
          <w:color w:val="64748B"/>
          <w:sz w:val="17"/>
        </w:rPr>
        <w:t>Dayananda Sagar University (DSU), Bengaluru  |  Immediate Availability (0 Days Notice)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