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PROCESS OPERATIONS &amp; RISK CONTROLS ASSOCIATE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Process Operations candidate (BBA International Business, DSU '26) with strong foundation in compliance, risk mitigation, and audit controls. Field-tested at Aero India 2025 enforcing strict military defense base security protocols and dual-custody barcode staging for 100,000+ visitors with zero shrinkage. Designed standardized operational workflows eliminating manual transcription errors in commercial trade operations.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Process Optimization, Risk &amp; Internal Controls, KYC/AML Awareness, Audit Trails, SOP Documentation, Dual-Custody Verification, Discrepancy Resolution, Excel Auditing &amp; Reconciliation, Compliance Governance.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Advanced Excel (Power Query, Index/Match, Dynamic Arrays), Python (Data Pipelines), SQL Basics, Jira, ClickUp, ERP/CRM navigation, Google Workspace.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&amp; Workflow Optimization Specialist</w:t>
      </w:r>
      <w:r>
        <w:rPr>
          <w:rFonts w:ascii="Segoe UI" w:hAnsi="Segoe UI"/>
          <w:i/>
          <w:sz w:val="19"/>
        </w:rPr>
        <w:t xml:space="preserve"> — Commercial Logistics &amp; Trade Operations | Bengaluru, India</w:t>
        <w:br/>
      </w:r>
      <w:r>
        <w:rPr>
          <w:rFonts w:ascii="Segoe UI" w:hAnsi="Segoe UI"/>
          <w:color w:val="334155"/>
          <w:sz w:val="17"/>
        </w:rPr>
        <w:t>2024 – Present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Mapped and standardized end-to-end commercial transaction workflows, establishing structured SOPs that reduced weekly status reconciliation time by 25%.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Engineered automated Excel Power Query models to consolidate cross-party shipment records, eliminating manual data-entry errors across high-volume transactions.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Monitored vendor performance against contracted SLAs, identifying pricing anomalies across rate cards to optimize procurement spend.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Designed weekly executive status reports and operational KPI dashboards for leadership decision support.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Ground Logistics Lead</w:t>
      </w:r>
      <w:r>
        <w:rPr>
          <w:rFonts w:ascii="Segoe UI" w:hAnsi="Segoe UI"/>
          <w:i/>
          <w:sz w:val="19"/>
        </w:rPr>
        <w:t xml:space="preserve"> — Brand Activations &amp; Live Deployments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Directed operational execution and run-of-show logistics across 300+ brand activations and large-scale deployments (Puma, Dyson, Google, Nykaa, OnePlus).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2025 (Yelahanka Air Force Station): Governed multi-vendor SLA setup, accreditation protocols, and visitor crowd flows for 100,000+ attendees under strict defense security protocols with zero shrinkage.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Fusion Concert (Bengaluru Club, Jan 2026): Coordinated artist schedules, technical staging vendors, and VIP hospitality with 100% on-time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Instituted structured pre-event risk checklists and rapid-escalation channels, achieving zero vendor downtime across high-stakes engagements.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Expected Graduation: May 2026 | Full Full-Time Corporate Availability</w:t>
        <w:br/>
      </w:r>
      <w:r>
        <w:rPr>
          <w:rFonts w:ascii="Segoe UI" w:hAnsi="Segoe UI"/>
          <w:sz w:val="17"/>
        </w:rPr>
        <w:t>Relevant Coursework: Global Supply Chain Management, Cross-Border Logistics, Operations Management, International Trade Policy, Business Analytics &amp; Statistics.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