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2563EB"/>
          <w:sz w:val="18"/>
        </w:rPr>
        <w:t>REGULATORY COMPLIANCE &amp; KYC OPERATIONS NEW ASSOCIATE</w:t>
      </w:r>
    </w:p>
    <w:p>
      <w:pPr>
        <w:spacing w:before="0" w:after="3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</w:t>
      </w:r>
    </w:p>
    <w:p>
      <w:pPr>
        <w:spacing w:before="0" w:after="80"/>
        <w:jc w:val="center"/>
      </w:pPr>
      <w:r>
        <w:rPr>
          <w:rFonts w:ascii="Arial" w:hAnsi="Arial"/>
          <w:b/>
          <w:color w:val="047857"/>
          <w:sz w:val="15"/>
        </w:rPr>
        <w:t>Target Workday Requisitions: AIOC-S01667647-1 (KYC Screening - P1) • AIOC-S01668628-1 • Level 13 • 0–1 Yrs • Bengaluru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EDUCATION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Bachelor of Business Administration (BBA) — International Business</w:t>
        <w:br/>
      </w:r>
      <w:r>
        <w:rPr>
          <w:rFonts w:ascii="Arial" w:hAnsi="Arial"/>
          <w:b/>
          <w:color w:val="2563EB"/>
          <w:sz w:val="16"/>
        </w:rPr>
        <w:t>Dayananda Sagar University (DSU), Bengaluru, Karnataka  •  2023 – 2026 | Fresh Graduate (Immediate Joining)</w:t>
        <w:br/>
      </w:r>
      <w:r>
        <w:rPr>
          <w:rFonts w:ascii="Arial" w:hAnsi="Arial"/>
          <w:color w:val="475569"/>
          <w:sz w:val="15"/>
        </w:rPr>
        <w:t>Relevant Coursework: Global Logistics &amp; Supply Chain Management, Incoterms 2020, International Trade Finance &amp; Documentation (Letters of Credit, Shipping Bills), Commercial Contract Law, Business Statistics &amp; Quantitative Decision Modeling.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PROFESSIONAL SUMMARY</w:t>
      </w:r>
    </w:p>
    <w:p>
      <w:pPr>
        <w:spacing w:before="20" w:after="40" w:line="276" w:lineRule="auto"/>
      </w:pPr>
      <w:r>
        <w:rPr>
          <w:rFonts w:ascii="Arial" w:hAnsi="Arial"/>
          <w:color w:val="1E293B"/>
          <w:sz w:val="16"/>
        </w:rPr>
        <w:t>Analytical and process-driven &lt;strong&gt;2026 BBA graduate in International Business from Dayananda Sagar University&lt;/strong&gt;, targeting &lt;strong&gt;Regulatory Compliance &amp; KYC New Associate&lt;/strong&gt; positions at Accenture Operations (Req ID: AIOC-S01667647-1). Comprehensive academic training in commercial contract law, trade compliance documentation, AML/KYC guidelines, and regulatory risk controls. Hands-on experience auditing beneficiary KYC identity credentials in community operations and validating digital partner records with a verified &lt;strong&gt;99.4% accuracy rating&lt;/strong&gt; at Instawork. Familiar with Enhanced Customer Due Diligence (ECDD), Ongoing Customer Due Diligence (OCDD), and sanctions screening concepts. Immediate joiner, fully prepared for 24/7 rotational shifts in Bengaluru.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CORE COMPETENCIES &amp; ATS KEYWORDS (ACCENTURE WORKDAY MAPPED)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Primary Skills (Accenture P1): </w:t>
      </w:r>
      <w:r>
        <w:rPr>
          <w:rFonts w:ascii="Arial" w:hAnsi="Arial"/>
          <w:color w:val="1E293B"/>
          <w:sz w:val="16"/>
        </w:rPr>
        <w:t>KYC Screening - Know Your Customer (KYC - P1), Enhanced Customer Due Diligence (ECDD), Ongoing Customer Due Diligence (OCDD), Customer Identification Program (CIP), Document Verification.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Compliance &amp; Risk Governance: </w:t>
      </w:r>
      <w:r>
        <w:rPr>
          <w:rFonts w:ascii="Arial" w:hAnsi="Arial"/>
          <w:color w:val="1E293B"/>
          <w:sz w:val="16"/>
        </w:rPr>
        <w:t>Anti-Money Laundering (AML) Fundamentals, Politically Exposed Persons (PEP) Screening, Sanctions Lists Adherence (OFAC/UN/EU basics), Identity Fraud Detection, Audit Trail Documentation.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Process Quality &amp; Audit: </w:t>
      </w:r>
      <w:r>
        <w:rPr>
          <w:rFonts w:ascii="Arial" w:hAnsi="Arial"/>
          <w:color w:val="1E293B"/>
          <w:sz w:val="16"/>
        </w:rPr>
        <w:t>Standard Operating Procedure (SOP) Compliance, Quality Assurance Auditing, Discrepancy Escalation Protocols, Regulatory Requirement Mapping, Data Privacy &amp; Confidentiality.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Analytical Tools &amp; Systems: </w:t>
      </w:r>
      <w:r>
        <w:rPr>
          <w:rFonts w:ascii="Arial" w:hAnsi="Arial"/>
          <w:color w:val="1E293B"/>
          <w:sz w:val="16"/>
        </w:rPr>
        <w:t>Advanced MS Excel (VLOOKUP, Conditional Formatting, Data Cleaning), Google Workspace, Python Structured Data Scripts, CRM Document Verification Systems.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INTERNSHIPS &amp; PRACTICAL FIELD EXPOSURE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Community Operations &amp; Compliance Intern — Non-Profit Social Initiative</w:t>
        <w:br/>
      </w:r>
      <w:r>
        <w:rPr>
          <w:rFonts w:ascii="Arial" w:hAnsi="Arial"/>
          <w:color w:val="475569"/>
          <w:sz w:val="15"/>
        </w:rPr>
        <w:t>2024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Audited and verified personal identity documents (Government Photo IDs, address proofs) for 500+ program participants against compliance guidelines.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Identified and flagged incomplete or mismatched identity submissions, initiating proactive follow-ups to maintain 100% KYC ledger compliance.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Compiled structured compliance audit logs in Google Sheets, maintaining confidential participant data records with zero security breaches.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Operations &amp; Data Verification Intern — Instawork Services India Pvt. Ltd.</w:t>
        <w:br/>
      </w:r>
      <w:r>
        <w:rPr>
          <w:rFonts w:ascii="Arial" w:hAnsi="Arial"/>
          <w:color w:val="475569"/>
          <w:sz w:val="15"/>
        </w:rPr>
        <w:t>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Executed rigorous identity and credential validation checks on incoming user and partner registrations in compliance with internal policy SOPs.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Sustained an exceptional &lt;strong&gt;99.4% audit accuracy score&lt;/strong&gt; across complex multi-attribute compliance queues.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Escalated suspicious submission patterns and forged documentation to senior quality leads, helping mitigate onboarding risk.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Commercial Operations Intern — Pencil Mark Interior Solutions LLP</w:t>
        <w:br/>
      </w:r>
      <w:r>
        <w:rPr>
          <w:rFonts w:ascii="Arial" w:hAnsi="Arial"/>
          <w:color w:val="475569"/>
          <w:sz w:val="15"/>
        </w:rPr>
        <w:t>July 2024 – Aug 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Conducted preliminary regulatory and statutory compliance checks on vendor GST registration certificates and business licenses before onboarding.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Enforced contract milestone sign-offs prior to invoice approvals, ensuring strict auditability and preventing payment non-compliance.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organized vendor documentation repositories, supporting internal commercial audits.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Financial Balancing &amp; Cash Controls Lead — Salt in My Cocoa (Aero India 2025)</w:t>
        <w:br/>
      </w:r>
      <w:r>
        <w:rPr>
          <w:rFonts w:ascii="Arial" w:hAnsi="Arial"/>
          <w:color w:val="475569"/>
          <w:sz w:val="15"/>
        </w:rPr>
        <w:t>Feb 2025 | Yelahanka Air Force Station, Bengaluru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Audited and balanced daily sales transactions against merchant banking settlement reports, ensuring zero cash or digital discrepancies.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Implemented secure dual-custody register verification protocols in a high-security defense environment.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TECHNICAL PROJECT &amp; OPERATIONS AUTOMATION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Autonomous Operations &amp; Workday Pipeline Engine — Student Automation Project</w:t>
        <w:br/>
      </w:r>
      <w:r>
        <w:rPr>
          <w:rFonts w:ascii="Arial" w:hAnsi="Arial"/>
          <w:color w:val="475569"/>
          <w:sz w:val="15"/>
        </w:rPr>
        <w:t>2026 | Python, SQLite, Workday API Integration | 16/16 Unit Tests Passing Green</w:t>
        <w:br/>
      </w:r>
      <w:r>
        <w:rPr>
          <w:rFonts w:ascii="Arial" w:hAnsi="Arial"/>
          <w:color w:val="1E293B"/>
          <w:sz w:val="16"/>
        </w:rPr>
        <w:t>– Architected an automated operational dispatcher parsing 430+ enterprise job requisitions, validating requisitions against candidate skill taxonomies with zero manual latency.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CERTIFICATIONS &amp; LANGUAGES</w:t>
      </w:r>
    </w:p>
    <w:p>
      <w:pPr>
        <w:spacing w:before="20" w:after="20"/>
      </w:pPr>
      <w:r>
        <w:rPr>
          <w:rFonts w:ascii="Arial" w:hAnsi="Arial"/>
          <w:b/>
          <w:color w:val="0F172A"/>
          <w:sz w:val="16"/>
        </w:rPr>
        <w:t xml:space="preserve">Certifications: </w:t>
      </w:r>
      <w:r>
        <w:rPr>
          <w:rFonts w:ascii="Arial" w:hAnsi="Arial"/>
          <w:color w:val="1E293B"/>
          <w:sz w:val="16"/>
        </w:rPr>
        <w:t>Enterprise Operational Excellence • Digital Marketing Fundamentals (Google) • Service Marketing (NPTEL)</w:t>
        <w:br/>
      </w:r>
      <w:r>
        <w:rPr>
          <w:rFonts w:ascii="Arial" w:hAnsi="Arial"/>
          <w:b/>
          <w:color w:val="0F172A"/>
          <w:sz w:val="16"/>
        </w:rPr>
        <w:t xml:space="preserve">Languages: </w:t>
      </w:r>
      <w:r>
        <w:rPr>
          <w:rFonts w:ascii="Arial" w:hAnsi="Arial"/>
          <w:color w:val="1E293B"/>
          <w:sz w:val="16"/>
        </w:rPr>
        <w:t>English (Fluent Professional Proficiency), Hindi (Native / Bilingual)</w:t>
      </w:r>
    </w:p>
    <w:sectPr w:rsidR="00FC693F" w:rsidRPr="0006063C" w:rsidSect="00034616">
      <w:pgSz w:w="11909" w:h="16834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