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34"/>
        </w:rPr>
        <w:t>ADITYA MEHRA</w:t>
      </w:r>
    </w:p>
    <w:p>
      <w:pPr>
        <w:spacing w:before="0" w:after="40"/>
        <w:jc w:val="center"/>
      </w:pPr>
      <w:r>
        <w:rPr>
          <w:rFonts w:ascii="Calibri" w:hAnsi="Calibri"/>
          <w:b/>
          <w:color w:val="334155"/>
          <w:sz w:val="19"/>
        </w:rPr>
        <w:t>AUDIT, ASSURANCE &amp; COMMERCIAL COMPLIANCE  |  BBA (INTERNATIONAL BUSINESS)</w:t>
      </w:r>
    </w:p>
    <w:p>
      <w:pPr>
        <w:spacing w:before="0" w:after="80"/>
        <w:jc w:val="center"/>
        <w:pBdr>
          <w:bottom w:val="single" w:sz="4" w:space="1" w:color="CBD5E1"/>
        </w:pBdr>
      </w:pPr>
      <w:r>
        <w:rPr>
          <w:rFonts w:ascii="Calibri" w:hAnsi="Calibri"/>
          <w:color w:val="64748B"/>
          <w:sz w:val="17"/>
        </w:rPr>
        <w:t>Bengaluru, Karnataka, India  |  +91-7003456624  |  adityamehra799@gmail.com  |  https://www.linkedin.com/in/aditya-mehra-b8644b326</w:t>
      </w:r>
    </w:p>
    <w:p>
      <w:pPr>
        <w:spacing w:before="120" w:after="40"/>
        <w:pBdr>
          <w:bottom w:val="single" w:sz="4" w:space="1" w:color="CBD5E1"/>
        </w:pBdr>
      </w:pPr>
      <w:r>
        <w:rPr>
          <w:rFonts w:ascii="Calibri" w:hAnsi="Calibri"/>
          <w:b/>
          <w:color w:val="0F172A"/>
          <w:sz w:val="20"/>
        </w:rPr>
        <w:t>PROFESSIONAL SUMMARY</w:t>
      </w:r>
    </w:p>
    <w:p>
      <w:pPr>
        <w:spacing w:before="40" w:after="80"/>
      </w:pPr>
      <w:r>
        <w:rPr>
          <w:rFonts w:ascii="Calibri" w:hAnsi="Calibri"/>
          <w:color w:val="1E293B"/>
          <w:sz w:val="18"/>
        </w:rPr>
        <w:t>Analytical, detail-oriented BBA graduate specializing in International Business, Financial Operations, and Commercial Compliance. Extensive experience auditing vendor contracts, verifying rate cards against fulfillment manifests, and ensuring contractual SLA adherence. Trained in International Trade regulatory guidelines, UCP 600 Letter of Credit rules, and international business documentation standards. Brings a zero-compromise mindset to internal controls, data reconciliation, evidence gathering, and workflow integrity.</w:t>
      </w:r>
    </w:p>
    <w:p>
      <w:pPr>
        <w:spacing w:before="120" w:after="40"/>
        <w:pBdr>
          <w:bottom w:val="single" w:sz="4" w:space="1" w:color="CBD5E1"/>
        </w:pBdr>
      </w:pPr>
      <w:r>
        <w:rPr>
          <w:rFonts w:ascii="Calibri" w:hAnsi="Calibri"/>
          <w:b/>
          <w:color w:val="0F172A"/>
          <w:sz w:val="20"/>
        </w:rPr>
        <w:t>CORE COMPETENCIES &amp; TOOLS</w:t>
      </w:r>
    </w:p>
    <w:p>
      <w:pPr>
        <w:spacing w:before="40" w:after="80"/>
      </w:pPr>
      <w:r>
        <w:rPr>
          <w:rFonts w:ascii="Calibri" w:hAnsi="Calibri"/>
          <w:color w:val="1E293B"/>
          <w:sz w:val="17"/>
        </w:rPr>
        <w:t>Internal Controls &amp; Compliance • Vendor Rate Card Auditing • Discrepancy Reconciliation • Contractual SLA Verification • Financial Operations Support • UCP 600 &amp; Trade Documentation • Evidence Dossier Preparation • Process Documentation • Excel Modeling &amp; Power Query • Data Normalization • Python Verification Scripts • Audit Trail Preservation</w:t>
      </w:r>
    </w:p>
    <w:p>
      <w:pPr>
        <w:spacing w:before="120" w:after="40"/>
        <w:pBdr>
          <w:bottom w:val="single" w:sz="4" w:space="1" w:color="CBD5E1"/>
        </w:pBdr>
      </w:pPr>
      <w:r>
        <w:rPr>
          <w:rFonts w:ascii="Calibri" w:hAnsi="Calibri"/>
          <w:b/>
          <w:color w:val="0F172A"/>
          <w:sz w:val="20"/>
        </w:rPr>
        <w:t>PROFESSIONAL EXPERIENCE &amp; OPERATIONAL EXECUTION</w:t>
      </w:r>
    </w:p>
    <w:p>
      <w:pPr>
        <w:spacing w:before="60" w:after="20"/>
      </w:pPr>
      <w:r>
        <w:rPr>
          <w:rFonts w:ascii="Calibri" w:hAnsi="Calibri"/>
          <w:b/>
          <w:color w:val="0F172A"/>
          <w:sz w:val="18"/>
        </w:rPr>
        <w:t>Ground Operations &amp; Logistics Coordinator — Aero India 2025</w:t>
        <w:tab/>
        <w:t>Feb 2025 | Bengaluru</w:t>
      </w:r>
    </w:p>
    <w:p>
      <w:pPr>
        <w:spacing w:before="0" w:after="40"/>
      </w:pPr>
      <w:r>
        <w:rPr>
          <w:rFonts w:ascii="Calibri" w:hAnsi="Calibri"/>
          <w:i/>
          <w:color w:val="64748B"/>
          <w:sz w:val="16"/>
        </w:rPr>
        <w:t>Yelahanka Air Force Station | Salt in My Coca</w:t>
      </w:r>
    </w:p>
    <w:p>
      <w:pPr>
        <w:pStyle w:val="ListBullet"/>
        <w:spacing w:before="0" w:after="20"/>
      </w:pPr>
      <w:r>
        <w:rPr>
          <w:rFonts w:ascii="Calibri" w:hAnsi="Calibri"/>
          <w:color w:val="1E293B"/>
          <w:sz w:val="17"/>
        </w:rPr>
        <w:t>Managed strict time-windowed cargo movements, vendor clearances, and asset staging across Asia's largest defense exhibition (100,000+ visitors).</w:t>
      </w:r>
    </w:p>
    <w:p>
      <w:pPr>
        <w:pStyle w:val="ListBullet"/>
        <w:spacing w:before="0" w:after="60"/>
      </w:pPr>
      <w:r>
        <w:rPr>
          <w:rFonts w:ascii="Calibri" w:hAnsi="Calibri"/>
          <w:color w:val="1E293B"/>
          <w:sz w:val="17"/>
        </w:rPr>
        <w:t>Enforced protocol compliance and security credentialing across 15+ sub-contractor teams under zero incident downtime.</w:t>
      </w:r>
    </w:p>
    <w:p>
      <w:pPr>
        <w:spacing w:before="60" w:after="20"/>
      </w:pPr>
      <w:r>
        <w:rPr>
          <w:rFonts w:ascii="Calibri" w:hAnsi="Calibri"/>
          <w:b/>
          <w:color w:val="0F172A"/>
          <w:sz w:val="18"/>
        </w:rPr>
        <w:t>Commercial Operations &amp; Event Production Lead</w:t>
        <w:tab/>
        <w:t>2019 – Present | Bengaluru</w:t>
      </w:r>
    </w:p>
    <w:p>
      <w:pPr>
        <w:spacing w:before="0" w:after="40"/>
      </w:pPr>
      <w:r>
        <w:rPr>
          <w:rFonts w:ascii="Calibri" w:hAnsi="Calibri"/>
          <w:i/>
          <w:color w:val="64748B"/>
          <w:sz w:val="16"/>
        </w:rPr>
        <w:t>Independent Enterprise Contracts</w:t>
      </w:r>
    </w:p>
    <w:p>
      <w:pPr>
        <w:pStyle w:val="ListBullet"/>
        <w:spacing w:before="0" w:after="20"/>
      </w:pPr>
      <w:r>
        <w:rPr>
          <w:rFonts w:ascii="Calibri" w:hAnsi="Calibri"/>
          <w:color w:val="1E293B"/>
          <w:sz w:val="17"/>
        </w:rPr>
        <w:t>Directed end-to-end execution for 300+ enterprise brand activations (Puma India, Tata Communications, Dyson, Apollo, Razorpay) with 100% SLA adherence.</w:t>
      </w:r>
    </w:p>
    <w:p>
      <w:pPr>
        <w:pStyle w:val="ListBullet"/>
        <w:spacing w:before="0" w:after="60"/>
      </w:pPr>
      <w:r>
        <w:rPr>
          <w:rFonts w:ascii="Calibri" w:hAnsi="Calibri"/>
          <w:color w:val="1E293B"/>
          <w:sz w:val="17"/>
        </w:rPr>
        <w:t>Formulated rate card benchmarking across AV, staging, and freight vendors; reduced reconciliation latency by 25%.</w:t>
      </w:r>
    </w:p>
    <w:p>
      <w:pPr>
        <w:spacing w:before="60" w:after="20"/>
      </w:pPr>
      <w:r>
        <w:rPr>
          <w:rFonts w:ascii="Calibri" w:hAnsi="Calibri"/>
          <w:b/>
          <w:color w:val="0F172A"/>
          <w:sz w:val="18"/>
        </w:rPr>
        <w:t>Commercial Research &amp; Operations Intern</w:t>
        <w:tab/>
        <w:t>Jun 2024 – Nov 2024 | Bengaluru</w:t>
      </w:r>
    </w:p>
    <w:p>
      <w:pPr>
        <w:spacing w:before="0" w:after="40"/>
      </w:pPr>
      <w:r>
        <w:rPr>
          <w:rFonts w:ascii="Calibri" w:hAnsi="Calibri"/>
          <w:i/>
          <w:color w:val="64748B"/>
          <w:sz w:val="16"/>
        </w:rPr>
        <w:t>Pencil Mark Interior Solutions LLP</w:t>
      </w:r>
    </w:p>
    <w:p>
      <w:pPr>
        <w:pStyle w:val="ListBullet"/>
        <w:spacing w:before="0" w:after="60"/>
      </w:pPr>
      <w:r>
        <w:rPr>
          <w:rFonts w:ascii="Calibri" w:hAnsi="Calibri"/>
          <w:color w:val="1E293B"/>
          <w:sz w:val="17"/>
        </w:rPr>
        <w:t>Maintained client CRM records with 100% data integrity and analyzed supplier price trends for executive quotation modeling.</w:t>
      </w:r>
    </w:p>
    <w:p>
      <w:pPr>
        <w:spacing w:before="60" w:after="20"/>
      </w:pPr>
      <w:r>
        <w:rPr>
          <w:rFonts w:ascii="Calibri" w:hAnsi="Calibri"/>
          <w:b/>
          <w:color w:val="0F172A"/>
          <w:sz w:val="18"/>
        </w:rPr>
        <w:t>AI Workflow &amp; Data Pipeline Lead</w:t>
        <w:tab/>
        <w:t>2025 – Present | Bengaluru</w:t>
      </w:r>
    </w:p>
    <w:p>
      <w:pPr>
        <w:spacing w:before="0" w:after="40"/>
      </w:pPr>
      <w:r>
        <w:rPr>
          <w:rFonts w:ascii="Calibri" w:hAnsi="Calibri"/>
          <w:i/>
          <w:color w:val="64748B"/>
          <w:sz w:val="16"/>
        </w:rPr>
        <w:t>Autonomous Career &amp; Market Intelligence System</w:t>
      </w:r>
    </w:p>
    <w:p>
      <w:pPr>
        <w:pStyle w:val="ListBullet"/>
        <w:spacing w:before="0" w:after="60"/>
      </w:pPr>
      <w:r>
        <w:rPr>
          <w:rFonts w:ascii="Calibri" w:hAnsi="Calibri"/>
          <w:color w:val="1E293B"/>
          <w:sz w:val="17"/>
        </w:rPr>
        <w:t>Architected computational pipelines parsing 4,500+ commercial enterprise entities across Bengaluru tech parks into structured relational schemas.</w:t>
      </w:r>
    </w:p>
    <w:p>
      <w:pPr>
        <w:spacing w:before="120" w:after="40"/>
        <w:pBdr>
          <w:bottom w:val="single" w:sz="4" w:space="1" w:color="CBD5E1"/>
        </w:pBdr>
      </w:pPr>
      <w:r>
        <w:rPr>
          <w:rFonts w:ascii="Calibri" w:hAnsi="Calibri"/>
          <w:b/>
          <w:color w:val="0F172A"/>
          <w:sz w:val="20"/>
        </w:rPr>
        <w:t>EDUCATION</w:t>
      </w:r>
    </w:p>
    <w:p>
      <w:pPr>
        <w:spacing w:before="60" w:after="20"/>
      </w:pPr>
      <w:r>
        <w:rPr>
          <w:rFonts w:ascii="Calibri" w:hAnsi="Calibri"/>
          <w:b/>
          <w:color w:val="0F172A"/>
          <w:sz w:val="18"/>
        </w:rPr>
        <w:t>Bachelor of Business Administration (BBA) — International Business</w:t>
        <w:tab/>
        <w:t>Class of 2026 | Bengaluru</w:t>
      </w:r>
    </w:p>
    <w:p>
      <w:pPr>
        <w:spacing w:before="0" w:after="40"/>
      </w:pPr>
      <w:r>
        <w:rPr>
          <w:rFonts w:ascii="Calibri" w:hAnsi="Calibri"/>
          <w:i/>
          <w:color w:val="64748B"/>
          <w:sz w:val="16"/>
        </w:rPr>
        <w:t>Dayananda Sagar University (DSU) — First Class Standing</w:t>
      </w:r>
    </w:p>
    <w:p>
      <w:pPr>
        <w:spacing w:before="0" w:after="80"/>
      </w:pPr>
      <w:r>
        <w:rPr>
          <w:rFonts w:ascii="Calibri" w:hAnsi="Calibri"/>
          <w:color w:val="1E293B"/>
          <w:sz w:val="17"/>
        </w:rPr>
        <w:t>Core Modules: International Trade Logistics, Operations Management, Incoterms 2020, UCP 600, Global Financial Corridors, Business Statistics.</w:t>
        <w:br/>
        <w:t>Campus Leadership: Managed operational flow and logistics for university summits hosting 1,000+ delegates.</w:t>
      </w:r>
    </w:p>
    <w:p>
      <w:pPr>
        <w:spacing w:before="120" w:after="40"/>
        <w:pBdr>
          <w:bottom w:val="single" w:sz="4" w:space="1" w:color="CBD5E1"/>
        </w:pBdr>
      </w:pPr>
      <w:r>
        <w:rPr>
          <w:rFonts w:ascii="Calibri" w:hAnsi="Calibri"/>
          <w:b/>
          <w:color w:val="0F172A"/>
          <w:sz w:val="20"/>
        </w:rPr>
        <w:t>TRACK HIGHLIGHTS &amp; QUANTIFIED IMPACT</w:t>
      </w:r>
    </w:p>
    <w:p>
      <w:pPr>
        <w:pStyle w:val="ListBullet"/>
        <w:spacing w:before="0" w:after="20"/>
      </w:pPr>
      <w:r>
        <w:rPr>
          <w:rFonts w:ascii="Calibri" w:hAnsi="Calibri"/>
          <w:color w:val="1E293B"/>
          <w:sz w:val="17"/>
        </w:rPr>
        <w:t>Audited multi-tier supplier rate cards across commercial projects, identifying billing anomalies and recovering ~15-20% margin leakage.</w:t>
      </w:r>
    </w:p>
    <w:p>
      <w:pPr>
        <w:pStyle w:val="ListBullet"/>
        <w:spacing w:before="0" w:after="20"/>
      </w:pPr>
      <w:r>
        <w:rPr>
          <w:rFonts w:ascii="Calibri" w:hAnsi="Calibri"/>
          <w:color w:val="1E293B"/>
          <w:sz w:val="17"/>
        </w:rPr>
        <w:t>Formulated tamper-evident evidence registries and reconciliation logs for high-volume commercial events.</w:t>
      </w:r>
    </w:p>
    <w:p>
      <w:pPr>
        <w:pStyle w:val="ListBullet"/>
        <w:spacing w:before="0" w:after="20"/>
      </w:pPr>
      <w:r>
        <w:rPr>
          <w:rFonts w:ascii="Calibri" w:hAnsi="Calibri"/>
          <w:color w:val="1E293B"/>
          <w:sz w:val="17"/>
        </w:rPr>
        <w:t>Applied UCP 600 and Incoterms 2020 regulatory frameworks in academic and practical trade case studies.</w:t>
      </w:r>
    </w:p>
    <w:p>
      <w:pPr>
        <w:pStyle w:val="ListBullet"/>
        <w:spacing w:before="0" w:after="20"/>
      </w:pPr>
      <w:r>
        <w:rPr>
          <w:rFonts w:ascii="Calibri" w:hAnsi="Calibri"/>
          <w:color w:val="1E293B"/>
          <w:sz w:val="17"/>
        </w:rPr>
        <w:t>Engineered automated audit validation checks in Python to verify financial data consistency across enterprise datasets.</w:t>
      </w:r>
    </w:p>
    <w:sectPr w:rsidR="00FC693F" w:rsidRPr="0006063C" w:rsidSect="00034616">
      <w:pgSz w:w="11909" w:h="16834"/>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