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4"/>
        </w:rPr>
        <w:t>ADITYA MEHRA</w:t>
      </w:r>
    </w:p>
    <w:p>
      <w:pPr>
        <w:spacing w:before="0" w:after="40"/>
        <w:jc w:val="center"/>
      </w:pPr>
      <w:r>
        <w:rPr>
          <w:rFonts w:ascii="Calibri" w:hAnsi="Calibri"/>
          <w:b/>
          <w:color w:val="334155"/>
          <w:sz w:val="19"/>
        </w:rPr>
        <w:t>GLOBAL BUSINESS OPERATIONS &amp; EXECUTION  |  BBA (INTERNATIONAL BUSINESS)</w:t>
      </w:r>
    </w:p>
    <w:p>
      <w:pPr>
        <w:spacing w:before="0" w:after="80"/>
        <w:jc w:val="center"/>
        <w:pBdr>
          <w:bottom w:val="single" w:sz="4" w:space="1" w:color="CBD5E1"/>
        </w:pBdr>
      </w:pPr>
      <w:r>
        <w:rPr>
          <w:rFonts w:ascii="Calibri" w:hAnsi="Calibri"/>
          <w:color w:val="64748B"/>
          <w:sz w:val="17"/>
        </w:rPr>
        <w:t>Bengaluru, Karnataka, India  |  +91-7003456624  |  adityamehra799@gmail.com  |  https://www.linkedin.com/in/aditya-mehra-b8644b326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PROFESSIONAL SUMMARY</w:t>
      </w:r>
    </w:p>
    <w:p>
      <w:pPr>
        <w:spacing w:before="40" w:after="80"/>
      </w:pPr>
      <w:r>
        <w:rPr>
          <w:rFonts w:ascii="Calibri" w:hAnsi="Calibri"/>
          <w:color w:val="1E293B"/>
          <w:sz w:val="18"/>
        </w:rPr>
        <w:t>Disciplined, execution-focused Business Operations specialist holding a BBA in International Business from Dayananda Sagar University, Bengaluru. Proven track record directing on-ground logistics across high-stakes defense expos (Aero India 2025 at Yelahanka Air Force Station) and 300+ enterprise brand activations (Puma India, Tata Communications, Dyson). Expert in vendor SLA governance, rate card cost modeling, SOP architecture, and automated reporting pipelines. Strictly dedicated to non-sales corporate operations requiring analytical rigor, high accountability, and zero operational downtime.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CORE COMPETENCIES &amp; TOOLS</w:t>
      </w:r>
    </w:p>
    <w:p>
      <w:pPr>
        <w:spacing w:before="40" w:after="80"/>
      </w:pPr>
      <w:r>
        <w:rPr>
          <w:rFonts w:ascii="Calibri" w:hAnsi="Calibri"/>
          <w:color w:val="1E293B"/>
          <w:sz w:val="17"/>
        </w:rPr>
        <w:t>Operations Management • On-Ground Logistics • Vendor SLA Governance • Process Standardization (SOPs) • Rate Card Cost Modeling • Incident Mitigation • Root Cause Analysis • Stakeholder Communication • Cross-Functional Coordination • Python Automation • Microsoft Excel (PivotTables, Power Query) • Power BI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PROFESSIONAL EXPERIENCE &amp; OPERATIONAL EXECUTION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Ground Operations &amp; Logistics Coordinator — Aero India 2025</w:t>
        <w:tab/>
        <w:t>Feb 2025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Yelahanka Air Force Station | Salt in My Coca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Managed strict time-windowed cargo movements, vendor clearances, and asset staging across Asia's largest defense exhibition (100,000+ visitors).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Enforced protocol compliance and security credentialing across 15+ sub-contractor teams under zero incident downtime.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Operations &amp; Event Production Lead</w:t>
        <w:tab/>
        <w:t>2019 – Present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Independent Enterprise Contracts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Directed end-to-end execution for 300+ enterprise brand activations (Puma India, Tata Communications, Dyson, Apollo, Razorpay) with 100% SLA adherence.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Formulated rate card benchmarking across AV, staging, and freight vendors; reduced reconciliation latency by 25%.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Research &amp; Operations Intern</w:t>
        <w:tab/>
        <w:t>Jun 2024 – Nov 2024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Pencil Mark Interior Solutions LLP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Maintained client CRM records with 100% data integrity and analyzed supplier price trends for executive quotation modeling.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AI Workflow &amp; Data Pipeline Lead</w:t>
        <w:tab/>
        <w:t>2025 – Present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Autonomous Career &amp; Market Intelligence System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Architected computational pipelines parsing 4,500+ commercial enterprise entities across Bengaluru tech parks into structured relational schemas.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EDUCATION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</w:t>
        <w:tab/>
        <w:t>Class of 2026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Dayananda Sagar University (DSU) — First Class Standing</w:t>
      </w:r>
    </w:p>
    <w:p>
      <w:pPr>
        <w:spacing w:before="0" w:after="80"/>
      </w:pPr>
      <w:r>
        <w:rPr>
          <w:rFonts w:ascii="Calibri" w:hAnsi="Calibri"/>
          <w:color w:val="1E293B"/>
          <w:sz w:val="17"/>
        </w:rPr>
        <w:t>Core Modules: International Trade Logistics, Operations Management, Incoterms 2020, UCP 600, Global Financial Corridors, Business Statistics.</w:t>
        <w:br/>
        <w:t>Campus Leadership: Managed operational flow and logistics for university summits hosting 1,000+ delegates.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TRACK HIGHLIGHTS &amp; QUANTIFIED IMPACT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Coordinated on-ground logistics and vendor protocol at Aero India 2025 (Yelahanka AFS) under strict military access windows.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Directed 300+ operational activations with 100% on-time execution for marquee enterprise clients.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Architected Excel-based vendor rate card models, eliminating redundant markup layers and cutting reconciliation latency by 25%.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Built automated Python scripts to streamline daily KPI reporting and operational data synthesis.</w:t>
      </w:r>
    </w:p>
    <w:sectPr w:rsidR="00FC693F" w:rsidRPr="0006063C" w:rsidSect="00034616">
      <w:pgSz w:w="11909" w:h="16834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