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ADITYA MEHRA</w:t>
      </w:r>
    </w:p>
    <w:p>
      <w:pPr>
        <w:jc w:val="center"/>
      </w:pPr>
      <w:r>
        <w:rPr>
          <w:rFonts w:ascii="Calibri" w:hAnsi="Calibri"/>
          <w:color w:val="475569"/>
          <w:sz w:val="22"/>
        </w:rPr>
        <w:t>International Business and Global Operations Specialist | Bengaluru, Karnataka, India</w:t>
      </w:r>
    </w:p>
    <w:p>
      <w:pPr>
        <w:jc w:val="center"/>
      </w:pPr>
      <w:r>
        <w:rPr>
          <w:rFonts w:ascii="Calibri" w:hAnsi="Calibri"/>
          <w:color w:val="64748B"/>
          <w:sz w:val="19"/>
        </w:rPr>
        <w:t>Email: adityamehra799@gmail.com  |  Phone: +91 70034 56624  |  LinkedIn: https://www.linkedin.com/in/adityamehra07</w:t>
      </w:r>
    </w:p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E293B"/>
          <w:sz w:val="24"/>
        </w:rPr>
        <w:t>EXECUTIVE PROFILE AND CORE COMPETENCY</w:t>
      </w:r>
    </w:p>
    <w:p>
      <w:pPr>
        <w:spacing w:line="276" w:lineRule="auto"/>
      </w:pPr>
      <w:r>
        <w:t>Disciplined International Business graduate from Dayananda Sagar University specializing in global supply chain operations, large-scale event coordination, vendor contract SLA enforcement, and data-driven business development. Proven track record managing high-security, 100,000+ visitor defense expo operations at Aero India 2025, brand activations for Tata Communications, Puma Global, and VH1 Supersonic, and enterprise B2B sales pipeline conversion.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4"/>
        </w:rPr>
        <w:t>EDUCATION</w:t>
      </w:r>
    </w:p>
    <w:p>
      <w:pPr>
        <w:spacing w:after="80"/>
      </w:pPr>
      <w:r>
        <w:rPr>
          <w:b/>
        </w:rPr>
        <w:t>Bachelor of Business Administration (BBA) - International Business</w:t>
      </w:r>
      <w:r>
        <w:br/>
        <w:t>Dayananda Sagar University, Bengaluru | 2023 - 2026 | Status: Final Year Candidate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4"/>
        </w:rPr>
        <w:t>VERIFIED OPERATIONAL EXPERIENCE</w:t>
      </w:r>
    </w:p>
    <w:p>
      <w:pPr>
        <w:spacing w:before="120" w:after="40"/>
      </w:pPr>
      <w:r>
        <w:rPr>
          <w:b/>
          <w:sz w:val="22"/>
        </w:rPr>
        <w:t>Exhibition &amp; Operations Lead — Salt in My Coca</w:t>
      </w:r>
    </w:p>
    <w:p>
      <w:pPr>
        <w:spacing w:after="60"/>
      </w:pPr>
      <w:r>
        <w:rPr>
          <w:i/>
          <w:color w:val="475569"/>
          <w:sz w:val="19"/>
        </w:rPr>
        <w:t>Event: AERO INDIA 2025 | February 2025 | Yelahanka Air Force Station, Bengaluru</w:t>
      </w:r>
    </w:p>
    <w:p>
      <w:pPr>
        <w:spacing w:after="60"/>
      </w:pPr>
      <w:r>
        <w:t>Scope: 7-day high-security deployment at Asia's premier defense &amp; aerospace exhibition.</w:t>
      </w:r>
    </w:p>
    <w:p>
      <w:pPr>
        <w:pStyle w:val="ListBullet"/>
        <w:spacing w:after="40" w:line="264" w:lineRule="auto"/>
      </w:pPr>
      <w:r>
        <w:t>Enforced strict defense protocol access control and security badges 24h pre-event.</w:t>
      </w:r>
    </w:p>
    <w:p>
      <w:pPr>
        <w:pStyle w:val="ListBullet"/>
        <w:spacing w:after="40" w:line="264" w:lineRule="auto"/>
      </w:pPr>
      <w:r>
        <w:t>Orchestrated real-time inventory batch replenishment to eliminate stockouts.</w:t>
      </w:r>
    </w:p>
    <w:p>
      <w:pPr>
        <w:pStyle w:val="ListBullet"/>
        <w:spacing w:after="40" w:line="264" w:lineRule="auto"/>
      </w:pPr>
      <w:r>
        <w:t>Handled defense delegate de-escalations and VIP commercial protocol.</w:t>
      </w:r>
    </w:p>
    <w:p>
      <w:pPr>
        <w:pStyle w:val="ListBullet"/>
        <w:spacing w:after="40" w:line="264" w:lineRule="auto"/>
      </w:pPr>
      <w:r>
        <w:t>Secured top presentation commendation from expo organizers.</w:t>
      </w:r>
    </w:p>
    <w:p>
      <w:pPr>
        <w:spacing w:before="120" w:after="40"/>
      </w:pPr>
      <w:r>
        <w:rPr>
          <w:b/>
          <w:sz w:val="22"/>
        </w:rPr>
        <w:t>Event Coordinator &amp; Operations Specialist — Strategic Brand Activations</w:t>
      </w:r>
    </w:p>
    <w:p>
      <w:pPr>
        <w:spacing w:after="60"/>
      </w:pPr>
      <w:r>
        <w:rPr>
          <w:i/>
          <w:color w:val="475569"/>
          <w:sz w:val="19"/>
        </w:rPr>
        <w:t>2023 - 2025</w:t>
      </w:r>
    </w:p>
    <w:p>
      <w:pPr>
        <w:spacing w:after="60"/>
      </w:pPr>
      <w:r>
        <w:t>Scope: Run-of-show scheduling, multi-vendor SLA governance, and staging operations.</w:t>
      </w:r>
    </w:p>
    <w:p>
      <w:pPr>
        <w:pStyle w:val="ListBullet"/>
        <w:spacing w:after="40" w:line="264" w:lineRule="auto"/>
      </w:pPr>
      <w:r>
        <w:t>Managed run-of-show schedules, artist logistics, and stage setups with zero delay.</w:t>
      </w:r>
    </w:p>
    <w:p>
      <w:pPr>
        <w:pStyle w:val="ListBullet"/>
        <w:spacing w:after="40" w:line="264" w:lineRule="auto"/>
      </w:pPr>
      <w:r>
        <w:t>Governed multi-tier vendor SLAs and equipment load-in/load-out operations.</w:t>
      </w:r>
    </w:p>
    <w:p>
      <w:pPr>
        <w:pStyle w:val="ListBullet"/>
        <w:spacing w:after="40" w:line="264" w:lineRule="auto"/>
      </w:pPr>
      <w:r>
        <w:t>Coordinated cross-functional emergency escalation and crowd flow management.</w:t>
      </w:r>
    </w:p>
    <w:p>
      <w:pPr>
        <w:spacing w:before="120" w:after="40"/>
      </w:pPr>
      <w:r>
        <w:rPr>
          <w:b/>
          <w:sz w:val="22"/>
        </w:rPr>
        <w:t>Business Development Intern — Pencil Mark Interior Solutions LLP</w:t>
      </w:r>
    </w:p>
    <w:p>
      <w:pPr>
        <w:spacing w:after="60"/>
      </w:pPr>
      <w:r>
        <w:rPr>
          <w:i/>
          <w:color w:val="475569"/>
          <w:sz w:val="19"/>
        </w:rPr>
        <w:t>2024</w:t>
      </w:r>
    </w:p>
    <w:p>
      <w:pPr>
        <w:spacing w:after="60"/>
      </w:pPr>
      <w:r>
        <w:t>Scope: Commercial outreach, B2B lead generation, and client proposals.</w:t>
      </w:r>
    </w:p>
    <w:p>
      <w:pPr>
        <w:pStyle w:val="ListBullet"/>
        <w:spacing w:after="40" w:line="264" w:lineRule="auto"/>
      </w:pPr>
      <w:r>
        <w:t>Conducted market research and commercial outreach for enterprise commercial clients.</w:t>
      </w:r>
    </w:p>
    <w:p>
      <w:pPr>
        <w:pStyle w:val="ListBullet"/>
        <w:spacing w:after="40" w:line="264" w:lineRule="auto"/>
      </w:pPr>
      <w:r>
        <w:t>Structured client proposals, quotation models, and contract negotiation milestones.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4"/>
        </w:rPr>
        <w:t>CORE COMPETENCY AND SKILLS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Domain 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Capabilities &amp; Toolchains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Operations and Logistics</w:t>
            </w:r>
          </w:p>
        </w:tc>
        <w:tc>
          <w:tcPr>
            <w:tcW w:type="dxa" w:w="5040"/>
          </w:tcPr>
          <w:p>
            <w:r>
              <w:t>Run-of-Show Scheduling &amp; Timeline Governance, Vendor SLA Contract Enforcement, High-Security Access Protocol (Defense &amp; VIP), Crisis Management &amp; Rapid De-escalation, Crowd Logistics &amp; Venue Safety Compliance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International Trade and EXIM</w:t>
            </w:r>
          </w:p>
        </w:tc>
        <w:tc>
          <w:tcPr>
            <w:tcW w:type="dxa" w:w="5040"/>
          </w:tcPr>
          <w:p>
            <w:r>
              <w:t>Incoterms 2020 (FOB, CIF, DDP, DAP), Customs Clearance &amp; HS Tariff Classification, Letter of Credit (UCP 600) &amp; Trade Finance, Landed Cost &amp; Freight Forwarding Optimization, Cross-Border Supply Chain Risk Modeling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Business Development</w:t>
            </w:r>
          </w:p>
        </w:tc>
        <w:tc>
          <w:tcPr>
            <w:tcW w:type="dxa" w:w="5040"/>
          </w:tcPr>
          <w:p>
            <w:r>
              <w:t>B2B Account Outreach &amp; Discovery, Commercial Proposal Structuring &amp; Pricing, Multi-Touch Pipeline Cadence Management, Stakeholder Executive Alignment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Technology and Analytics</w:t>
            </w:r>
          </w:p>
        </w:tc>
        <w:tc>
          <w:tcPr>
            <w:tcW w:type="dxa" w:w="5040"/>
          </w:tcPr>
          <w:p>
            <w:r>
              <w:t>Antigravity Career OS &amp; Python Data Pipelines, SQLite WAL Architecture &amp; Relational Modeling, Excel Advanced Financial &amp; Variance Modeling, STAR Interview Performance Diagnostics, Zero-Trust Provenance Auditing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