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ADITYA MEHRA ENTERPRISE SOLUTIONS (AME GLOBAL)</w:t>
      </w:r>
    </w:p>
    <w:p>
      <w:r>
        <w:rPr>
          <w:color w:val="0E7490"/>
          <w:sz w:val="22"/>
        </w:rPr>
        <w:t>Master Strategic Business Plan &amp; Autonomous Operating Roadmap (2026-2030)</w:t>
        <w:br/>
        <w:t>Founder: Aditya Mehra | Bengaluru, Karnataka, India</w:t>
      </w:r>
    </w:p>
    <w:p>
      <w:r>
        <w:t>Executive Summary: AME Global operates as a high-margin, dual-engine enterprise with zero payroll overhead and 97.5% EBITDA margins, delivering cross-border Incoterms 2020 trade advisory and agentic workflow automation.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Target Value</w:t>
            </w:r>
          </w:p>
        </w:tc>
      </w:tr>
      <w:tr>
        <w:tc>
          <w:tcPr>
            <w:tcW w:type="dxa" w:w="4968"/>
          </w:tcPr>
          <w:p>
            <w:r>
              <w:t>Year 1 ARR Target</w:t>
            </w:r>
          </w:p>
        </w:tc>
        <w:tc>
          <w:tcPr>
            <w:tcW w:type="dxa" w:w="4968"/>
          </w:tcPr>
          <w:p>
            <w:r>
              <w:t>,008,000 USD (INR 8.57 Crore)</w:t>
            </w:r>
          </w:p>
        </w:tc>
      </w:tr>
      <w:tr>
        <w:tc>
          <w:tcPr>
            <w:tcW w:type="dxa" w:w="4968"/>
          </w:tcPr>
          <w:p>
            <w:r>
              <w:t>Target MRR</w:t>
            </w:r>
          </w:p>
        </w:tc>
        <w:tc>
          <w:tcPr>
            <w:tcW w:type="dxa" w:w="4968"/>
          </w:tcPr>
          <w:p>
            <w:r>
              <w:t>,000 USD / Month (INR 71.4 Lakhs)</w:t>
            </w:r>
          </w:p>
        </w:tc>
      </w:tr>
      <w:tr>
        <w:tc>
          <w:tcPr>
            <w:tcW w:type="dxa" w:w="4968"/>
          </w:tcPr>
          <w:p>
            <w:r>
              <w:t>EBITDA Margin</w:t>
            </w:r>
          </w:p>
        </w:tc>
        <w:tc>
          <w:tcPr>
            <w:tcW w:type="dxa" w:w="4968"/>
          </w:tcPr>
          <w:p>
            <w:r>
              <w:t>97.5% (Zero Payroll Overhead)</w:t>
            </w:r>
          </w:p>
        </w:tc>
      </w:tr>
      <w:tr>
        <w:tc>
          <w:tcPr>
            <w:tcW w:type="dxa" w:w="4968"/>
          </w:tcPr>
          <w:p>
            <w:r>
              <w:t>Year 1 Enterprise Valuation</w:t>
            </w:r>
          </w:p>
        </w:tc>
        <w:tc>
          <w:tcPr>
            <w:tcW w:type="dxa" w:w="4968"/>
          </w:tcPr>
          <w:p>
            <w:r>
              <w:t>.56 Million USD (INR 64.2 Crore)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