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44"/>
        </w:rPr>
        <w:t>THE $1,000,000 ARR SOVEREIGN ENTERPRISE</w:t>
      </w:r>
    </w:p>
    <w:p>
      <w:pPr>
        <w:spacing w:before="0" w:after="280"/>
      </w:pPr>
      <w:r>
        <w:rPr>
          <w:rFonts w:ascii="Calibri" w:hAnsi="Calibri"/>
          <w:color w:val="10B981"/>
          <w:sz w:val="22"/>
        </w:rPr>
        <w:t>Master Operational Roadmap, Unit Economics &amp; Autonomous Swarm Capitalization</w:t>
        <w:br/>
        <w:t>Founder: Aditya Mehra | Bengaluru, Karnataka, India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32"/>
        </w:rPr>
        <w:t>1. Executive Summary &amp; $1M ARR Valuation Model</w:t>
      </w:r>
    </w:p>
    <w:p>
      <w:pPr>
        <w:spacing w:line="276" w:lineRule="auto"/>
      </w:pPr>
      <w:r>
        <w:rPr>
          <w:rFonts w:ascii="Calibri" w:hAnsi="Calibri"/>
          <w:sz w:val="20"/>
        </w:rPr>
        <w:t>This master specification establishes the operational blueprint for scaling Aditya Mehra Global Autonomous Solutions (AMG Solutions) to $1,000,000 Annual Recurring Revenue (ARR) ($84,000 / ~INR 71.4 Lakhs monthly run-rate; ~INR 8.57 Crores ARR). Operating with a 5-agent autonomous swarm and leveraging deep domain authority in International Trade &amp; Incoterms 2020 cross-border logistics, the enterprise operates at an extraordinary 97.5% EBITDA net margin with zero payroll overhead, commanding an institutional valuation of $7.56 Million (~INR 64.2 Crores).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32"/>
        </w:rPr>
        <w:t>2. High-Yield Capital Architecture &amp; Valuation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Annual Recurring Revenue (ARR Target)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0B981"/>
                <w:sz w:val="19"/>
              </w:rPr>
              <w:t>$1,008,000 USD (INR 8.57 Crore / Year)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Monthly Recurring Revenue (MRR)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0B981"/>
                <w:sz w:val="19"/>
              </w:rPr>
              <w:t>$84,000 USD (INR 7,140,000 / Month)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Net Annual EBITDA Profit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0B981"/>
                <w:sz w:val="19"/>
              </w:rPr>
              <w:t>$982,800 USD (INR 8.35 Crore)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EBITDA Operating Margin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0B981"/>
                <w:sz w:val="19"/>
              </w:rPr>
              <w:t>97.5% (Zero Payroll Overhead)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Target Enterprise Valuation (7.5x Multiple)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0B981"/>
                <w:sz w:val="19"/>
              </w:rPr>
              <w:t>$7,560,000 USD (INR 64.26 Crore Valuation)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Active Corporate Account Capacity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0B981"/>
                <w:sz w:val="19"/>
              </w:rPr>
              <w:t>43 Paying Enterprise Accounts across 3 Tiers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F172A"/>
          <w:sz w:val="32"/>
        </w:rPr>
        <w:t>3. Three-Tier Product &amp; Service Portfolio</w:t>
      </w:r>
    </w:p>
    <w:p>
      <w:pPr>
        <w:spacing w:line="276" w:lineRule="auto"/>
      </w:pPr>
      <w:r>
        <w:t>• Tier 1: Enterprise Trade Landed-Cost &amp; Customs Compliance Retainers (10 Clients @ $3,500/mo = $35,000/mo / $420k ARR)</w:t>
        <w:br/>
        <w:t xml:space="preserve">  Targeted at mid-to-large Indian and global freight forwarders, electronics importers, and manufacturing conglomerates needing Incoterms 2020 tariff audits and bonded warehouse concessions.</w:t>
        <w:br/>
        <w:br/>
        <w:t>• Tier 2: Enterprise Agentic AI &amp; Self-Healing n8n Pipeline Suites (20 Clients @ $1,800/mo = $36,000/mo / $432k ARR)</w:t>
        <w:br/>
        <w:t xml:space="preserve">  Targeted at tech scaleups, SaaS platforms, and fulfillment companies automating invoice reconciliation, webhook triggers, and autonomous SLA governance.</w:t>
        <w:br/>
        <w:br/>
        <w:t>• Tier 3: High-Yield Recruiter &amp; Candidate Intelligence Licenses (13 Clients @ $1,000/mo = $13,000/mo / $156k ARR)</w:t>
        <w:br/>
        <w:t xml:space="preserve">  Targeted at executive talent acquisition teams seeking curated access to 17,615+ vetted early-career engineering profiles and direct outreach DAGs.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32"/>
        </w:rPr>
        <w:t>4. Enterprise Deal Pipeline Sample (From 17,615 Master DB)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Enterprise Account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Contract Tier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Annual Contract Value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Win-Weighted ARR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True Anomaly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1_ENTERPRISE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$42,000 USD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$18,900 USD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RTX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1_ENTERPRISE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$42,000 USD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$18,900 USD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Citadel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1_ENTERPRISE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$42,000 USD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$18,900 USD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Akuna Capital University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1_ENTERPRISE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$42,000 USD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$18,900 USD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Akima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1_ENTERPRISE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$42,000 USD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$18,900 USD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DoorDash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1_ENTERPRISE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$42,000 USD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$18,900 USD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Grass Valley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1_ENTERPRISE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$42,000 USD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$18,900 USD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Xcel Energy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1_ENTERPRISE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$42,000 USD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$18,900 USD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Equitable Bank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1_ENTERPRISE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$42,000 USD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$18,900 USD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V2X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1_ENTERPRISE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$42,000 USD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$18,900 USD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F172A"/>
          <w:sz w:val="32"/>
        </w:rPr>
        <w:t>5. Sovereign Execution Directives for Founder Aditya Mehra</w:t>
      </w:r>
    </w:p>
    <w:p>
      <w:pPr>
        <w:spacing w:line="276" w:lineRule="auto"/>
      </w:pPr>
      <w:r>
        <w:t>1. Autonomous Outbound Compounding: Maintain enterprise_daemon.py in continuous operation, refreshing 50 high-ticket B2B leads daily.</w:t>
        <w:br/>
        <w:t>2. Deterministic Fulfillment: Deploy standardized client blueprints within 48 hours of onboarding using modular n8n workflows and automated Excel landed cost models.</w:t>
        <w:br/>
        <w:t>3. Capital Reinvestment &amp; Moat Construction: Compound net cashflow into proprietary datasets, sovereign AI infrastructure, and institutional brand authority.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