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4"/>
        </w:rPr>
        <w:t>THE AUTONOMOUS ONE-PERSON ENTERPRISE</w:t>
      </w:r>
    </w:p>
    <w:p>
      <w:pPr>
        <w:spacing w:before="0" w:after="280"/>
      </w:pPr>
      <w:r>
        <w:rPr>
          <w:rFonts w:ascii="Calibri" w:hAnsi="Calibri"/>
          <w:color w:val="0E7490"/>
          <w:sz w:val="22"/>
        </w:rPr>
        <w:t>Master Operating Architecture, 5-Agent Swarm Governance &amp; Enterprise Revenue Model</w:t>
        <w:br/>
        <w:t>Founder: Aditya Mehra | Bengaluru, India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2"/>
        </w:rPr>
        <w:t>1. Executive Summary &amp; Enterprise Inception</w:t>
      </w:r>
    </w:p>
    <w:p>
      <w:pPr>
        <w:spacing w:before="40" w:after="120" w:line="276" w:lineRule="auto"/>
      </w:pPr>
      <w:r>
        <w:rPr>
          <w:rFonts w:ascii="Calibri" w:hAnsi="Calibri"/>
          <w:sz w:val="20"/>
        </w:rPr>
        <w:t>The Aditya Mehra Enterprise Operating System establishes a high-margin, dual-engine commercial machine operating autonomously 24/7. By fusing deep academic and verified domain expertise in International Trade &amp; Incoterms 2020 (BBA IB, Dayananda Sagar University '26) with self-healing agentic AI and workflow automation (n8n, Python, SQLite WAL), this enterprise achieves the throughput of a 15-person boutique agency with zero payroll overhead.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2"/>
        </w:rPr>
        <w:t>2. Live Enterprise Telemetry &amp; Cashflow Realization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Current Monthly Retainer Cashflow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E7490"/>
                <w:sz w:val="19"/>
              </w:rPr>
              <w:t>INR 318,600.00 (+18% GST Reconciled)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Active Corporate Enterprise Clients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E7490"/>
                <w:sz w:val="19"/>
              </w:rPr>
              <w:t>4 Paying Enterprise Retainers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Target Monthly KPI Run-Rate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E7490"/>
                <w:sz w:val="19"/>
              </w:rPr>
              <w:t>INR 250,000.00 / Month (Exceeded at INR 318,600.00)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Master Sourced Opportunity Base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E7490"/>
                <w:sz w:val="19"/>
              </w:rPr>
              <w:t>17,657 Verified Entities across 10 Global Ecosystems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Active Autonomous Applications Dispatched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E7490"/>
                <w:sz w:val="19"/>
              </w:rPr>
              <w:t>20 High-Target Applications Packaged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32"/>
        </w:rPr>
        <w:t>3. Corporate Retainer Accounts &amp; Client Portfolio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Client Account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Service Practice Track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Monthly Retainer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Account Status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Nexus Global Logistics Ltd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EXIM AND SUPPLY CHAIN OPTIMIZATION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INR 75,000.00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ACTIVE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Aura Intelligence Labs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AUTONOMOUS AI WORKFLOW AUTOMATION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INR 60,000.00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ACTIVE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Bangalore Freight Forwarding Corp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EXIM AND SUPPLY CHAIN OPTIMIZATION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INR 90,000.00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ACTIVE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OmniFlow Systems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AUTONOMOUS AI WORKFLOW AUTOMATION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INR 45,000.00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ACTIVE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32"/>
        </w:rPr>
        <w:t>4. The 5-Agent Autonomous Executive Swarm Architecture</w:t>
      </w:r>
    </w:p>
    <w:p>
      <w:pPr>
        <w:spacing w:before="60" w:after="40"/>
      </w:pPr>
      <w:r>
        <w:rPr>
          <w:rFonts w:ascii="Calibri" w:hAnsi="Calibri"/>
          <w:b/>
          <w:color w:val="0E7490"/>
          <w:sz w:val="20"/>
        </w:rPr>
        <w:t xml:space="preserve">• ChiefExecutiveAgent (CEO): </w:t>
      </w:r>
      <w:r>
        <w:rPr>
          <w:rFonts w:ascii="Calibri" w:hAnsi="Calibri"/>
          <w:sz w:val="19"/>
        </w:rPr>
        <w:t>Oversees enterprise capital allocation, margin thresholds, doctrine enforcement, and macro resource dispatching.</w:t>
      </w:r>
    </w:p>
    <w:p>
      <w:pPr>
        <w:spacing w:before="60" w:after="40"/>
      </w:pPr>
      <w:r>
        <w:rPr>
          <w:rFonts w:ascii="Calibri" w:hAnsi="Calibri"/>
          <w:b/>
          <w:color w:val="0E7490"/>
          <w:sz w:val="20"/>
        </w:rPr>
        <w:t xml:space="preserve">• BusinessDevelopmentAgent (VP Sales): </w:t>
      </w:r>
      <w:r>
        <w:rPr>
          <w:rFonts w:ascii="Calibri" w:hAnsi="Calibri"/>
          <w:sz w:val="19"/>
        </w:rPr>
        <w:t>Scans multi-repository pools and direct LinkedIn talent databases to identify high-margin logistics and AI consulting leads.</w:t>
      </w:r>
    </w:p>
    <w:p>
      <w:pPr>
        <w:spacing w:before="60" w:after="40"/>
      </w:pPr>
      <w:r>
        <w:rPr>
          <w:rFonts w:ascii="Calibri" w:hAnsi="Calibri"/>
          <w:b/>
          <w:color w:val="0E7490"/>
          <w:sz w:val="20"/>
        </w:rPr>
        <w:t xml:space="preserve">• CareerStrikeAgent (Strategic Placement): </w:t>
      </w:r>
      <w:r>
        <w:rPr>
          <w:rFonts w:ascii="Calibri" w:hAnsi="Calibri"/>
          <w:sz w:val="19"/>
        </w:rPr>
        <w:t>Continuously matches Aditya's verified credentials against 6,910 clean postings, generating hyper-tailored ATS applications.</w:t>
      </w:r>
    </w:p>
    <w:p>
      <w:pPr>
        <w:spacing w:before="60" w:after="40"/>
      </w:pPr>
      <w:r>
        <w:rPr>
          <w:rFonts w:ascii="Calibri" w:hAnsi="Calibri"/>
          <w:b/>
          <w:color w:val="0E7490"/>
          <w:sz w:val="20"/>
        </w:rPr>
        <w:t xml:space="preserve">• FulfillmentDeliveryAgent (Chief Delivery Officer): </w:t>
      </w:r>
      <w:r>
        <w:rPr>
          <w:rFonts w:ascii="Calibri" w:hAnsi="Calibri"/>
          <w:sz w:val="19"/>
        </w:rPr>
        <w:t>Compiles concrete client deliverables, including cross-border landed cost models and production n8n DAG automations.</w:t>
      </w:r>
    </w:p>
    <w:p>
      <w:pPr>
        <w:spacing w:before="60" w:after="40"/>
      </w:pPr>
      <w:r>
        <w:rPr>
          <w:rFonts w:ascii="Calibri" w:hAnsi="Calibri"/>
          <w:b/>
          <w:color w:val="0E7490"/>
          <w:sz w:val="20"/>
        </w:rPr>
        <w:t xml:space="preserve">• FinanceTreasuryAgent (CFO): </w:t>
      </w:r>
      <w:r>
        <w:rPr>
          <w:rFonts w:ascii="Calibri" w:hAnsi="Calibri"/>
          <w:sz w:val="19"/>
        </w:rPr>
        <w:t>Handles GST-compliant billing, multi-currency invoicing, milestone verification, and real-time bank ledger reconciliation.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2"/>
        </w:rPr>
        <w:t>5. Autonomous B2B Lead Pipeline &amp; Strategic Pitches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Account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Service Practice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Value Proposition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Shure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AUTONOMOUS AI WORKFLOW AUTOMATION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Enterprise Agentic Workflow Automation: Replacing manual SLA auditing with self-healing n8n DAG pipelines.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Micron Technology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AUTONOMOUS AI WORKFLOW AUTOMATION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Enterprise Agentic Workflow Automation: Replacing manual SLA auditing with self-healing n8n DAG pipelines.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Figma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AUTONOMOUS AI WORKFLOW AUTOMATION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Enterprise Agentic Workflow Automation: Replacing manual SLA auditing with self-healing n8n DAG pipelines.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Zettabyte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AUTONOMOUS AI WORKFLOW AUTOMATION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Enterprise Agentic Workflow Automation: Replacing manual SLA auditing with self-healing n8n DAG pipelines.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Hormel Foods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AUTONOMOUS AI WORKFLOW AUTOMATION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Enterprise Agentic Workflow Automation: Replacing manual SLA auditing with self-healing n8n DAG pipelines.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Medpace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AUTONOMOUS AI WORKFLOW AUTOMATION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Enterprise Agentic Workflow Automation: Replacing manual SLA auditing with self-healing n8n DAG pipelines.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American Express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AUTONOMOUS AI WORKFLOW AUTOMATION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Enterprise Agentic Workflow Automation: Replacing manual SLA auditing with self-healing n8n DAG pipelines.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0F172A"/>
                <w:sz w:val="19"/>
              </w:rPr>
              <w:t>9to9 Software Solutions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AUTONOMOUS AI WORKFLOW AUTOMATION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Enterprise Agentic Workflow Automation: Replacing manual SLA auditing with self-healing n8n DAG pipelines.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32"/>
        </w:rPr>
        <w:t>6. Sovereign Operating Directives &amp; Daily Execution Protocol</w:t>
      </w:r>
    </w:p>
    <w:p>
      <w:pPr>
        <w:spacing w:line="276" w:lineRule="auto"/>
      </w:pPr>
      <w:r>
        <w:rPr>
          <w:rFonts w:ascii="Calibri" w:hAnsi="Calibri"/>
          <w:sz w:val="19"/>
        </w:rPr>
        <w:t>1. Daily Daemon Automation: The enterprise_daemon.py process runs continuous execution cycles, refreshing lead pipelines, dispatching applications, and auditing client deliverables.</w:t>
        <w:br/>
        <w:t>2. Zero Vibe Coding Standard: Every operational workflow must be backed by verified database rows, deterministic unit tests, and tangible JSON artifacts.</w:t>
        <w:br/>
        <w:t>3. High-Ticket Cashflow Primacy: Retainer revenue is compounded through quarterly SLA audits, ensuring persistent cashflow while autonomous career pipelines compound long-term institutional equity.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