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F172A"/>
          <w:sz w:val="48"/>
        </w:rPr>
        <w:t>THE TRINITY WEALTH SCALE BLUEPRINT</w:t>
      </w:r>
    </w:p>
    <w:p>
      <w:pPr>
        <w:spacing w:after="240"/>
      </w:pPr>
      <w:r>
        <w:rPr>
          <w:color w:val="64748B"/>
          <w:sz w:val="22"/>
        </w:rPr>
        <w:t>Autonomous Multi-Tier Capital Unification: Millions ($1M-$100M) • Billions ($1B-$100B) • Trillions ($1,472T)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64748B"/>
                <w:sz w:val="17"/>
              </w:rPr>
              <w:t>FOUNDER</w:t>
              <w:br/>
            </w:r>
            <w:r>
              <w:rPr>
                <w:b/>
                <w:color w:val="0F172A"/>
                <w:sz w:val="19"/>
              </w:rPr>
              <w:t>Aditya Mehra</w:t>
              <w:br/>
              <w:t>BBA Int'l Business '26</w:t>
            </w:r>
          </w:p>
        </w:tc>
        <w:tc>
          <w:tcPr>
            <w:tcW w:type="dxa" w:w="252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64748B"/>
                <w:sz w:val="17"/>
              </w:rPr>
              <w:t>HEADQUARTERS</w:t>
              <w:br/>
            </w:r>
            <w:r>
              <w:rPr>
                <w:b/>
                <w:color w:val="0F172A"/>
                <w:sz w:val="19"/>
              </w:rPr>
              <w:t>Bengaluru Tech Hub</w:t>
              <w:br/>
              <w:t>Karnataka, India</w:t>
            </w:r>
          </w:p>
        </w:tc>
        <w:tc>
          <w:tcPr>
            <w:tcW w:type="dxa" w:w="252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64748B"/>
                <w:sz w:val="17"/>
              </w:rPr>
              <w:t>ACTIVE PIPELINE</w:t>
              <w:br/>
            </w:r>
            <w:r>
              <w:rPr>
                <w:b/>
                <w:color w:val="0F172A"/>
                <w:sz w:val="19"/>
              </w:rPr>
              <w:t>$2,239,200 USD</w:t>
              <w:br/>
              <w:t>(96 Enterprise Accounts)</w:t>
            </w:r>
          </w:p>
        </w:tc>
        <w:tc>
          <w:tcPr>
            <w:tcW w:type="dxa" w:w="252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64748B"/>
                <w:sz w:val="17"/>
              </w:rPr>
              <w:t>GLOBAL POOL</w:t>
              <w:br/>
            </w:r>
            <w:r>
              <w:rPr>
                <w:b/>
                <w:color w:val="0F172A"/>
                <w:sz w:val="19"/>
              </w:rPr>
              <w:t>$1,472.0 Trillion USD</w:t>
              <w:br/>
              <w:t>(8 Planetary Pillars)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F172A"/>
          <w:sz w:val="36"/>
        </w:rPr>
        <w:t>1. Executive Sovereign Thesis &amp; Trinity Architecture</w:t>
      </w:r>
    </w:p>
    <w:p>
      <w:pPr>
        <w:spacing w:after="120"/>
      </w:pPr>
      <w:r>
        <w:t>Modern wealth compounding does not operate in fragmented silos; it functions as a recursive three-tiered continuum. The Trinity Scale Wealth Engine bridges micro-operational day-to-day cashflow ($1M-$100M ARR), meso-institutional promoter family offices ($1B-$100B Net Worth), and macro-planetary liquidity conduits ($1,472 Trillion total global pools). By anchoring on zero-payroll agentic architecture, the founder extracts high-margin cashflow from Tier 1, secures strategic advisory equity in Tier 2, and positions algorithmic data arteries across Tier 3.</w:t>
      </w:r>
    </w:p>
    <w:p>
      <w:pPr>
        <w:keepNext/>
        <w:spacing w:before="280" w:after="80"/>
      </w:pPr>
      <w:r>
        <w:rPr>
          <w:b/>
          <w:color w:val="0F172A"/>
          <w:sz w:val="36"/>
        </w:rPr>
        <w:t>2. Tier 1: Micro-Operational Cashflow Engine ($1M - $100M ARR)</w:t>
      </w:r>
    </w:p>
    <w:p>
      <w:pPr>
        <w:spacing w:after="120"/>
      </w:pPr>
      <w:r>
        <w:t>Scope: Micro-Enterprise &amp; Operational Cashflow | Scale Range: $1,000,000 to $100,000,000 USD</w:t>
        <w:br/>
        <w:t>Active Accounts in Funnel: 96 | Identified Pipeline ACV: $2,239,200.00 USD | Reconciled Monthly Cashflow: INR 318,600.00/mo | Net Operating Margin: 92% – 97.5% Net EBITDA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Core Competency</w:t>
            </w:r>
          </w:p>
        </w:tc>
        <w:tc>
          <w:tcPr>
            <w:tcW w:type="dxa" w:w="403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System Deliverable</w:t>
            </w:r>
          </w:p>
        </w:tc>
        <w:tc>
          <w:tcPr>
            <w:tcW w:type="dxa" w:w="288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Monetization Framework</w:t>
            </w:r>
          </w:p>
        </w:tc>
      </w:tr>
      <w:tr>
        <w:tc>
          <w:tcPr>
            <w:tcW w:type="dxa" w:w="3168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Cross-Border EXIM Optimization</w:t>
            </w:r>
          </w:p>
        </w:tc>
        <w:tc>
          <w:tcPr>
            <w:tcW w:type="dxa" w:w="4032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HS Code 8471.50 customs reclassification &amp; FTP advance authorization audits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15-20% gainshare on verified duty savings</w:t>
            </w:r>
          </w:p>
        </w:tc>
      </w:tr>
      <w:tr>
        <w:tc>
          <w:tcPr>
            <w:tcW w:type="dxa" w:w="316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Autonomous Workflow Engineering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Self-hosted n8n lead enrichment, vetting &amp; cold outreach DAGs (32 nodes)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Recurring monthly managed service retainer</w:t>
            </w:r>
          </w:p>
        </w:tc>
      </w:tr>
      <w:tr>
        <w:tc>
          <w:tcPr>
            <w:tcW w:type="dxa" w:w="3168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Founder Retainer Agreements</w:t>
            </w:r>
          </w:p>
        </w:tc>
        <w:tc>
          <w:tcPr>
            <w:tcW w:type="dxa" w:w="4032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Standard Master Services Agreement (MSA) with INR 351,050/mo baseline scope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Multi-month prepaid bank wire / escrow</w:t>
            </w:r>
          </w:p>
        </w:tc>
      </w:tr>
      <w:tr>
        <w:tc>
          <w:tcPr>
            <w:tcW w:type="dxa" w:w="316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Zero-Payroll Economics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Agentic pair-programming &amp; headless automation replacing 12 FTE personnel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97.2% net operational EBITDA margin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F172A"/>
          <w:sz w:val="36"/>
        </w:rPr>
        <w:t>3. Tier 2: Meso-Institutional Promoter Engine ($1B - $100B Net Worth)</w:t>
      </w:r>
    </w:p>
    <w:p>
      <w:pPr>
        <w:spacing w:after="120"/>
      </w:pPr>
      <w:r>
        <w:t>Scope: Meso-Institutional &amp; Promoters / Family Offices | Total Indexed Sovereign Entities: 140</w:t>
        <w:br/>
        <w:t>Arbitrage Role: Founders' Office Strategic Associate, Investment Operations Due Diligence, High-Comp Placement (₹14L–₹20L+ CTC)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Promoter / Office</w:t>
            </w:r>
          </w:p>
        </w:tc>
        <w:tc>
          <w:tcPr>
            <w:tcW w:type="dxa" w:w="172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Hub</w:t>
            </w:r>
          </w:p>
        </w:tc>
        <w:tc>
          <w:tcPr>
            <w:tcW w:type="dxa" w:w="288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Key Sectors</w:t>
            </w:r>
          </w:p>
        </w:tc>
        <w:tc>
          <w:tcPr>
            <w:tcW w:type="dxa" w:w="288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Strategic Alignment Corridor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PremjiInvest (Azim Premji)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Bengaluru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Wipro, Tech PE, Enterprise SaaS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IT services automated procurement &amp; compliance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Catamaran Ventures (Murthy)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Bengaluru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Infosys, Cloud, Retail, CleanTech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Cross-border logistics &amp; supply chain modernization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Rainmatter Capital (N. Kamath)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Bengaluru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Zerodha, FinTech, WealthTech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Micro-clearing APIs &amp; high-volume financial pipes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Gruhas Proptech (Nikhil Kamath)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Bengaluru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Real Estate, PropTech, Hospitality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Industrial logistics warehousing &amp; land banks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Reliance Industries (Ambani)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Mumbai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Jio, Retail, Petrochemicals, Green H2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Mega-scale distribution &amp; sovereign AI infrastructure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Tata Sons (Chandrasekaran)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Mumbai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TCS, Tata Motors, Steel, Electronics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Industrial automotive &amp; semiconductor fab networks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Adani Enterprises (Adani)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Ahmedabad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Ports, Energy, Airports, Mining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Port logistics customs automation &amp; bonded zones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F172A"/>
          <w:sz w:val="36"/>
        </w:rPr>
        <w:t>4. Tier 3: Macro-Planetary Liquidity Pillars ($1,472 Trillion USD)</w:t>
      </w:r>
    </w:p>
    <w:p>
      <w:pPr>
        <w:spacing w:after="120"/>
      </w:pPr>
      <w:r>
        <w:t>Total Global Pillars Mapped: 8 | Aggregated Capital Pool: $1,472,000,000,000,000.0 Trillion USD</w:t>
        <w:br/>
        <w:t>Global capital pools represent systemic planetary energy. The sovereign entrepreneur does not need to own these pools; one merely constructs frictionless toll gates, compliance verifiers, and automated routing pipelines along their arterial paths.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Global Capital Pillar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Mapped Liquidity Pool</w:t>
            </w:r>
          </w:p>
        </w:tc>
        <w:tc>
          <w:tcPr>
            <w:tcW w:type="dxa" w:w="388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Strategic Sovereign Extraction Role</w:t>
            </w:r>
          </w:p>
        </w:tc>
      </w:tr>
      <w:tr>
        <w:tc>
          <w:tcPr>
            <w:tcW w:type="dxa" w:w="360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Derivatives &amp; Synthetic Contracts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$630 Trillion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Clearing house settlement fees, basis spread extraction, collateral custody</w:t>
            </w:r>
          </w:p>
        </w:tc>
      </w:tr>
      <w:tr>
        <w:tc>
          <w:tcPr>
            <w:tcW w:type="dxa" w:w="360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Real Estate &amp; Physical Property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$380 Trillion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REIT packaging, tokenized physical debt syndication, logistics park audits</w:t>
            </w:r>
          </w:p>
        </w:tc>
      </w:tr>
      <w:tr>
        <w:tc>
          <w:tcPr>
            <w:tcW w:type="dxa" w:w="360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Global Asset Management (AUM Pools)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$140 Trillion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Multi-family office wealthtech advisory, AUM pipeline automation, custody routing</w:t>
            </w:r>
          </w:p>
        </w:tc>
      </w:tr>
      <w:tr>
        <w:tc>
          <w:tcPr>
            <w:tcW w:type="dxa" w:w="360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Bond &amp; Debt Capital Markets (DCM)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$135 Trillion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Bond issuance structuring, sovereign debt verification, commercial paper settlement</w:t>
            </w:r>
          </w:p>
        </w:tc>
      </w:tr>
      <w:tr>
        <w:tc>
          <w:tcPr>
            <w:tcW w:type="dxa" w:w="360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Public Listed Equities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$115 Trillion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Promoter equity stake hedging, secondary block placements, automated filings</w:t>
            </w:r>
          </w:p>
        </w:tc>
      </w:tr>
      <w:tr>
        <w:tc>
          <w:tcPr>
            <w:tcW w:type="dxa" w:w="360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Cross-Border Trade Flows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$32 Trillion / Year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Cross-border EXIM customs duty savings, Letters of Credit factoring, tariff audits</w:t>
            </w:r>
          </w:p>
        </w:tc>
      </w:tr>
      <w:tr>
        <w:tc>
          <w:tcPr>
            <w:tcW w:type="dxa" w:w="360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Sovereign Wealth Funds &amp; FX Reserves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$27 Trillion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Bilateral infrastructure co-investment, energy &amp; semiconductor syndications</w:t>
            </w:r>
          </w:p>
        </w:tc>
      </w:tr>
      <w:tr>
        <w:tc>
          <w:tcPr>
            <w:tcW w:type="dxa" w:w="360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Private Equity &amp; Venture Capital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$13 Trillion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Secondary liquidity matching, tech portfolio AI automation audits, growth advisory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F172A"/>
          <w:sz w:val="36"/>
        </w:rPr>
        <w:t>5. Sovereign Compounding Roadmap (2026 - 2030)</w:t>
      </w:r>
    </w:p>
    <w:p>
      <w:pPr>
        <w:spacing w:after="120"/>
      </w:pPr>
      <w:r>
        <w:t>Phase 1 (Months 1-6): Scale Tier 1 ARR to $1,000,000 USD via 15 enterprise EXIM trade optimization retainers.</w:t>
        <w:br/>
        <w:t>Phase 2 (Months 6-18): Secure 3 Tier 2 family office strategic technology partnerships, taking 5-10% performance carry in lieu of advisory fees.</w:t>
        <w:br/>
        <w:t>Phase 3 (Months 18-36): Deploy institutional micro-clearing protocol across Tier 3 trade arteries, settling $100M+ in cross-border paper autonomously.</w:t>
        <w:br/>
        <w:t>Phase 4 (Perpetual): Infinite compounding with 97%+ net EBITDA channeled into sovereign infrastructure and AI compute assets.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