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MICROSOFT</w:t>
      </w:r>
    </w:p>
    <w:p>
      <w:pPr>
        <w:jc w:val="center"/>
      </w:pPr>
      <w:r>
        <w:rPr>
          <w:color w:val="475569"/>
          <w:sz w:val="17"/>
        </w:rPr>
        <w:t>Data Science &amp; Applied AI Systems Intern (Redmond / Remote) | Dossier APX-AI-004 | Comp: $52/hr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Azure AI Agent Service Integration, Enterprise RAG Governance &amp; Workflow DAG Reliability</w:t>
              <w:br/>
            </w:r>
            <w:r>
              <w:rPr>
                <w:color w:val="334155"/>
                <w:sz w:val="17"/>
              </w:rPr>
              <w:t>Deploying self-healing multi-agent DAG architectures with state-machine determinism across enterprise workflows.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Microsoft</w:t>
        <w:br/>
      </w:r>
    </w:p>
    <w:p>
      <w:pPr>
        <w:spacing w:after="40"/>
      </w:pPr>
      <w:r>
        <w:rPr>
          <w:color w:val="334155"/>
          <w:sz w:val="17"/>
        </w:rPr>
        <w:t>I am applying for the Data Science &amp; Applied AI Systems Intern (Redmond / Remote)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Microsoft.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