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AKUNA CAPITAL</w:t>
      </w:r>
    </w:p>
    <w:p>
      <w:pPr>
        <w:jc w:val="center"/>
      </w:pPr>
      <w:r>
        <w:rPr>
          <w:color w:val="475569"/>
          <w:sz w:val="17"/>
        </w:rPr>
        <w:t>Quantitative Development &amp; Strategy Intern (Summer 2027) | Dossier APX-AI-008 | Comp: $75/hr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High-Frequency Order Routing, Real-Time PnL Reconciliation &amp; Event-Driven Engine Design</w:t>
              <w:br/>
            </w:r>
            <w:r>
              <w:rPr>
                <w:color w:val="334155"/>
                <w:sz w:val="17"/>
              </w:rPr>
              <w:t>Constructing lock-free event-driven trading components with deterministic latency envelopes and live telemetry.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Akuna Capital</w:t>
        <w:br/>
      </w:r>
    </w:p>
    <w:p>
      <w:pPr>
        <w:spacing w:after="40"/>
      </w:pPr>
      <w:r>
        <w:rPr>
          <w:color w:val="334155"/>
          <w:sz w:val="17"/>
        </w:rPr>
        <w:t>I am applying for the Quantitative Development &amp; Strategy Intern (Summer 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Akuna Capital.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