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ADOBE</w:t>
      </w:r>
    </w:p>
    <w:p>
      <w:pPr>
        <w:jc w:val="center"/>
      </w:pPr>
      <w:r>
        <w:rPr>
          <w:color w:val="475569"/>
          <w:sz w:val="17"/>
        </w:rPr>
        <w:t>Machine Learning Engineer - Creative AI Intern (2027) | Dossier APX-AI-009 | Comp: $55/hr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On-Device Neural Acceleration, Latency-Critical Image Pipelines &amp; WebAssembly Shaders</w:t>
              <w:br/>
            </w:r>
            <w:r>
              <w:rPr>
                <w:color w:val="334155"/>
                <w:sz w:val="17"/>
              </w:rPr>
              <w:t>Compiling multi-modal inference runtimes into zero-latency client runtimes with verifiable accuracy.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Adobe</w:t>
        <w:br/>
      </w:r>
    </w:p>
    <w:p>
      <w:pPr>
        <w:spacing w:after="40"/>
      </w:pPr>
      <w:r>
        <w:rPr>
          <w:color w:val="334155"/>
          <w:sz w:val="17"/>
        </w:rPr>
        <w:t>I am applying for the Machine Learning Engineer - Creative AI Intern (2027)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Adobe.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