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ROBINHOOD</w:t>
      </w:r>
    </w:p>
    <w:p>
      <w:pPr>
        <w:jc w:val="center"/>
      </w:pPr>
      <w:r>
        <w:rPr>
          <w:color w:val="475569"/>
          <w:sz w:val="17"/>
        </w:rPr>
        <w:t>Associate Product Manager (New Grad 2026) | Dossier APX-NG-004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Algorithmic Order Flow Auditing, Fractional Settlement Pipelines &amp; Regulatory Compliant FinTech UX</w:t>
              <w:br/>
            </w:r>
            <w:r>
              <w:rPr>
                <w:color w:val="334155"/>
                <w:sz w:val="17"/>
              </w:rPr>
              <w:t>Accelerating retail access to high-frequency financial primitives with verifiable audit trails and institutional security.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Robinhood</w:t>
        <w:br/>
      </w:r>
    </w:p>
    <w:p>
      <w:pPr>
        <w:spacing w:after="40"/>
      </w:pPr>
      <w:r>
        <w:rPr>
          <w:color w:val="334155"/>
          <w:sz w:val="17"/>
        </w:rPr>
        <w:t>I am applying for the Associate Product Manager (New Grad 2026)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Robinhood.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