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N1 SYSTEMS</w:t>
      </w:r>
    </w:p>
    <w:p>
      <w:pPr>
        <w:jc w:val="center"/>
      </w:pPr>
      <w:r>
        <w:rPr>
          <w:color w:val="475569"/>
          <w:sz w:val="17"/>
        </w:rPr>
        <w:t>New Grad Software Engineer (Backend Systems &amp; Rust) | Dossier APX-NG-010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Low-Latency Kernel Interfacing, Memory-Safe Async Concurrency &amp; Sub-Millisecond State Replication</w:t>
              <w:br/>
            </w:r>
            <w:r>
              <w:rPr>
                <w:color w:val="334155"/>
                <w:sz w:val="17"/>
              </w:rPr>
              <w:t>Building ultra-low-latency backend infrastructure and cryptographic data ledgers with zero garbage-collection jitter.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7,618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N1 Systems</w:t>
        <w:br/>
      </w:r>
    </w:p>
    <w:p>
      <w:pPr>
        <w:spacing w:after="40"/>
      </w:pPr>
      <w:r>
        <w:rPr>
          <w:color w:val="334155"/>
          <w:sz w:val="17"/>
        </w:rPr>
        <w:t>I am applying for the New Grad Software Engineer (Backend Systems &amp; Rust)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N1 Systems.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