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CREDIT GENIE</w:t>
      </w:r>
    </w:p>
    <w:p>
      <w:pPr>
        <w:jc w:val="center"/>
      </w:pPr>
      <w:r>
        <w:rPr>
          <w:color w:val="475569"/>
          <w:sz w:val="17"/>
        </w:rPr>
        <w:t>New Grad: Software Engineer | Dossier APX-NG27-007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Real-Time Underwriting State Engines, M2M Micropayment Clearing &amp; Fraud Verification Graphs</w:t>
              <w:br/>
            </w:r>
            <w:r>
              <w:rPr>
                <w:color w:val="334155"/>
                <w:sz w:val="17"/>
              </w:rPr>
              <w:t>Combining international business financial knowledge with robust transactional backend systems to accelerate instant credit verification and fraud prevention.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Credit Genie</w:t>
        <w:br/>
      </w:r>
    </w:p>
    <w:p>
      <w:pPr>
        <w:spacing w:after="40"/>
      </w:pPr>
      <w:r>
        <w:rPr>
          <w:color w:val="334155"/>
          <w:sz w:val="17"/>
        </w:rPr>
        <w:t>I am applying for the New Grad: Software Engineer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Credit Genie.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